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ind w:left="3020"/>
        <w:spacing w:after="0"/>
        <w:tabs>
          <w:tab w:leader="none" w:pos="220" w:val="left"/>
        </w:tabs>
        <w:rPr>
          <w:sz w:val="20"/>
          <w:szCs w:val="20"/>
          <w:color w:val="auto"/>
        </w:rPr>
      </w:pPr>
      <w:r>
        <w:rPr>
          <w:rFonts w:ascii="Arial" w:cs="Arial" w:eastAsia="Arial" w:hAnsi="Arial"/>
          <w:sz w:val="18"/>
          <w:szCs w:val="18"/>
          <w:b w:val="1"/>
          <w:bCs w:val="1"/>
          <w:color w:val="auto"/>
        </w:rPr>
        <w:t>x</w:t>
        <w:tab/>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3020"/>
        <w:spacing w:after="0"/>
        <w:tabs>
          <w:tab w:leader="none" w:pos="200" w:val="left"/>
        </w:tabs>
        <w:rPr>
          <w:sz w:val="20"/>
          <w:szCs w:val="20"/>
          <w:color w:val="auto"/>
        </w:rPr>
      </w:pPr>
      <w:r>
        <w:rPr>
          <w:rFonts w:ascii="Arial" w:cs="Arial" w:eastAsia="Arial" w:hAnsi="Arial"/>
          <w:sz w:val="18"/>
          <w:szCs w:val="18"/>
          <w:b w:val="1"/>
          <w:bCs w:val="1"/>
          <w:color w:val="auto"/>
        </w:rPr>
        <w:t>o</w:t>
        <w:tab/>
        <w:t>TRANSITION REPORT PURSUANT TO SECTION 13 OR 15(d)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001-39095</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0" w:type="dxa"/>
            <w:vAlign w:val="bottom"/>
            <w:gridSpan w:val="7"/>
          </w:tcPr>
          <w:p>
            <w:pPr>
              <w:jc w:val="center"/>
              <w:ind w:right="4090"/>
              <w:spacing w:after="0"/>
              <w:rPr>
                <w:sz w:val="20"/>
                <w:szCs w:val="20"/>
                <w:color w:val="auto"/>
              </w:rPr>
            </w:pPr>
            <w:r>
              <w:rPr>
                <w:rFonts w:ascii="Arial" w:cs="Arial" w:eastAsia="Arial" w:hAnsi="Arial"/>
                <w:sz w:val="18"/>
                <w:szCs w:val="18"/>
                <w:b w:val="1"/>
                <w:bCs w:val="1"/>
                <w:color w:val="auto"/>
              </w:rPr>
              <w:t>UNITED COMMUNITY BANKS, INC.</w:t>
            </w:r>
          </w:p>
        </w:tc>
      </w:tr>
      <w:tr>
        <w:trPr>
          <w:trHeight w:val="234"/>
        </w:trPr>
        <w:tc>
          <w:tcPr>
            <w:tcW w:w="3340" w:type="dxa"/>
            <w:vAlign w:val="bottom"/>
          </w:tcPr>
          <w:p>
            <w:pPr>
              <w:spacing w:after="0"/>
              <w:rPr>
                <w:sz w:val="20"/>
                <w:szCs w:val="20"/>
                <w:color w:val="auto"/>
              </w:rPr>
            </w:pPr>
          </w:p>
        </w:tc>
        <w:tc>
          <w:tcPr>
            <w:tcW w:w="4200" w:type="dxa"/>
            <w:vAlign w:val="bottom"/>
            <w:tcBorders>
              <w:top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691"/>
        </w:trPr>
        <w:tc>
          <w:tcPr>
            <w:tcW w:w="33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Georgia</w:t>
            </w:r>
          </w:p>
        </w:tc>
        <w:tc>
          <w:tcPr>
            <w:tcW w:w="8080" w:type="dxa"/>
            <w:vAlign w:val="bottom"/>
            <w:gridSpan w:val="8"/>
          </w:tcPr>
          <w:p>
            <w:pPr>
              <w:jc w:val="right"/>
              <w:ind w:right="1930"/>
              <w:spacing w:after="0"/>
              <w:rPr>
                <w:sz w:val="20"/>
                <w:szCs w:val="20"/>
                <w:color w:val="auto"/>
              </w:rPr>
            </w:pPr>
            <w:r>
              <w:rPr>
                <w:rFonts w:ascii="Arial" w:cs="Arial" w:eastAsia="Arial" w:hAnsi="Arial"/>
                <w:sz w:val="18"/>
                <w:szCs w:val="18"/>
                <w:b w:val="1"/>
                <w:bCs w:val="1"/>
                <w:color w:val="auto"/>
              </w:rPr>
              <w:t>58-1807304</w:t>
            </w:r>
          </w:p>
        </w:tc>
      </w:tr>
      <w:tr>
        <w:trPr>
          <w:trHeight w:val="234"/>
        </w:trPr>
        <w:tc>
          <w:tcPr>
            <w:tcW w:w="334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2"/>
              </w:rPr>
              <w:t>(State of Incorporation)</w:t>
            </w:r>
          </w:p>
        </w:tc>
        <w:tc>
          <w:tcPr>
            <w:tcW w:w="2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gridSpan w:val="2"/>
          </w:tcPr>
          <w:p>
            <w:pPr>
              <w:jc w:val="center"/>
              <w:ind w:righ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684"/>
        </w:trPr>
        <w:tc>
          <w:tcPr>
            <w:tcW w:w="334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125 Highway 515 East</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334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Blairsville, Georgia</w:t>
            </w:r>
          </w:p>
        </w:tc>
        <w:tc>
          <w:tcPr>
            <w:tcW w:w="8080" w:type="dxa"/>
            <w:vAlign w:val="bottom"/>
            <w:gridSpan w:val="8"/>
          </w:tcPr>
          <w:p>
            <w:pPr>
              <w:jc w:val="right"/>
              <w:ind w:right="930"/>
              <w:spacing w:after="0"/>
              <w:rPr>
                <w:sz w:val="20"/>
                <w:szCs w:val="20"/>
                <w:color w:val="auto"/>
              </w:rPr>
            </w:pPr>
            <w:r>
              <w:rPr>
                <w:rFonts w:ascii="Arial" w:cs="Arial" w:eastAsia="Arial" w:hAnsi="Arial"/>
                <w:sz w:val="18"/>
                <w:szCs w:val="18"/>
                <w:b w:val="1"/>
                <w:bCs w:val="1"/>
                <w:color w:val="auto"/>
              </w:rPr>
              <w:t>30512</w:t>
            </w:r>
          </w:p>
        </w:tc>
      </w:tr>
      <w:tr>
        <w:trPr>
          <w:trHeight w:val="198"/>
        </w:trPr>
        <w:tc>
          <w:tcPr>
            <w:tcW w:w="3340" w:type="dxa"/>
            <w:vAlign w:val="bottom"/>
            <w:tcBorders>
              <w:top w:val="single" w:sz="8" w:color="auto"/>
            </w:tcBorders>
          </w:tcPr>
          <w:p>
            <w:pPr>
              <w:jc w:val="center"/>
              <w:ind w:left="470"/>
              <w:spacing w:after="0" w:line="198" w:lineRule="exact"/>
              <w:rPr>
                <w:sz w:val="20"/>
                <w:szCs w:val="20"/>
                <w:color w:val="auto"/>
              </w:rPr>
            </w:pPr>
            <w:r>
              <w:rPr>
                <w:rFonts w:ascii="Arial" w:cs="Arial" w:eastAsia="Arial" w:hAnsi="Arial"/>
                <w:sz w:val="18"/>
                <w:szCs w:val="18"/>
                <w:b w:val="1"/>
                <w:bCs w:val="1"/>
                <w:color w:val="auto"/>
                <w:w w:val="90"/>
              </w:rPr>
              <w:t>Address of Principal</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(Zip Code)</w:t>
            </w:r>
          </w:p>
        </w:tc>
      </w:tr>
      <w:tr>
        <w:trPr>
          <w:trHeight w:val="234"/>
        </w:trPr>
        <w:tc>
          <w:tcPr>
            <w:tcW w:w="33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Executive Offices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19"/>
        </w:trPr>
        <w:tc>
          <w:tcPr>
            <w:tcW w:w="334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Arial" w:cs="Arial" w:eastAsia="Arial" w:hAnsi="Arial"/>
                <w:sz w:val="18"/>
                <w:szCs w:val="18"/>
                <w:b w:val="1"/>
                <w:bCs w:val="1"/>
                <w:color w:val="auto"/>
              </w:rPr>
              <w:t>(706) 781-2265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80" w:type="dxa"/>
            <w:vAlign w:val="bottom"/>
            <w:gridSpan w:val="6"/>
          </w:tcPr>
          <w:p>
            <w:pPr>
              <w:jc w:val="center"/>
              <w:ind w:right="385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225"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o NO o</w:t>
      </w:r>
    </w:p>
    <w:p>
      <w:pPr>
        <w:spacing w:after="0" w:line="252"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Large accelerated filer o</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Accelerated filer x</w:t>
            </w:r>
          </w:p>
        </w:tc>
      </w:tr>
      <w:tr>
        <w:trPr>
          <w:trHeight w:val="432"/>
        </w:trPr>
        <w:tc>
          <w:tcPr>
            <w:tcW w:w="8500" w:type="dxa"/>
            <w:vAlign w:val="bottom"/>
          </w:tcPr>
          <w:p>
            <w:pPr>
              <w:spacing w:after="0"/>
              <w:rPr>
                <w:sz w:val="20"/>
                <w:szCs w:val="20"/>
                <w:color w:val="auto"/>
              </w:rPr>
            </w:pPr>
            <w:r>
              <w:rPr>
                <w:rFonts w:ascii="Arial" w:cs="Arial" w:eastAsia="Arial" w:hAnsi="Arial"/>
                <w:sz w:val="18"/>
                <w:szCs w:val="18"/>
                <w:b w:val="1"/>
                <w:bCs w:val="1"/>
                <w:color w:val="auto"/>
              </w:rPr>
              <w:t>Non-accelerated filer o (Do not check if a smaller reporting company)</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Smaller Reporting Company o</w:t>
            </w:r>
          </w:p>
        </w:tc>
      </w:tr>
      <w:tr>
        <w:trPr>
          <w:trHeight w:val="459"/>
        </w:trPr>
        <w:tc>
          <w:tcPr>
            <w:tcW w:w="8500" w:type="dxa"/>
            <w:vAlign w:val="bottom"/>
          </w:tcPr>
          <w:p>
            <w:pPr>
              <w:spacing w:after="0"/>
              <w:rPr>
                <w:sz w:val="20"/>
                <w:szCs w:val="20"/>
                <w:color w:val="auto"/>
              </w:rPr>
            </w:pPr>
            <w:r>
              <w:rPr>
                <w:rFonts w:ascii="Arial" w:cs="Arial" w:eastAsia="Arial" w:hAnsi="Arial"/>
                <w:sz w:val="18"/>
                <w:szCs w:val="18"/>
                <w:b w:val="1"/>
                <w:bCs w:val="1"/>
                <w:color w:val="auto"/>
                <w:w w:val="97"/>
              </w:rPr>
              <w:t>Indicate by check mark whether the registrant is a shell company (as defined in Rule 12b-2 of the Act).</w:t>
            </w:r>
          </w:p>
        </w:tc>
        <w:tc>
          <w:tcPr>
            <w:tcW w:w="2920" w:type="dxa"/>
            <w:vAlign w:val="bottom"/>
          </w:tcPr>
          <w:p>
            <w:pPr>
              <w:spacing w:after="0"/>
              <w:rPr>
                <w:sz w:val="24"/>
                <w:szCs w:val="24"/>
                <w:color w:val="auto"/>
              </w:rPr>
            </w:pPr>
          </w:p>
        </w:tc>
      </w:tr>
      <w:tr>
        <w:trPr>
          <w:trHeight w:val="441"/>
        </w:trPr>
        <w:tc>
          <w:tcPr>
            <w:tcW w:w="850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YES o NO x</w:t>
            </w:r>
          </w:p>
        </w:tc>
        <w:tc>
          <w:tcPr>
            <w:tcW w:w="2920" w:type="dxa"/>
            <w:vAlign w:val="bottom"/>
          </w:tcPr>
          <w:p>
            <w:pPr>
              <w:spacing w:after="0"/>
              <w:rPr>
                <w:sz w:val="24"/>
                <w:szCs w:val="24"/>
                <w:color w:val="auto"/>
              </w:rPr>
            </w:pPr>
          </w:p>
        </w:tc>
      </w:tr>
      <w:tr>
        <w:trPr>
          <w:trHeight w:val="216"/>
        </w:trPr>
        <w:tc>
          <w:tcPr>
            <w:tcW w:w="8500" w:type="dxa"/>
            <w:vAlign w:val="bottom"/>
          </w:tcPr>
          <w:p>
            <w:pPr>
              <w:jc w:val="center"/>
              <w:ind w:left="2850"/>
              <w:spacing w:after="0"/>
              <w:rPr>
                <w:sz w:val="20"/>
                <w:szCs w:val="20"/>
                <w:color w:val="auto"/>
              </w:rPr>
            </w:pPr>
            <w:r>
              <w:rPr>
                <w:rFonts w:ascii="Arial" w:cs="Arial" w:eastAsia="Arial" w:hAnsi="Arial"/>
                <w:sz w:val="18"/>
                <w:szCs w:val="18"/>
                <w:b w:val="1"/>
                <w:bCs w:val="1"/>
                <w:color w:val="auto"/>
                <w:w w:val="89"/>
              </w:rPr>
              <w:t>Common stock, par value $1 per share 104,568,558 shares</w:t>
            </w:r>
          </w:p>
        </w:tc>
        <w:tc>
          <w:tcPr>
            <w:tcW w:w="2920" w:type="dxa"/>
            <w:vAlign w:val="bottom"/>
          </w:tcPr>
          <w:p>
            <w:pPr>
              <w:spacing w:after="0"/>
              <w:rPr>
                <w:sz w:val="18"/>
                <w:szCs w:val="18"/>
                <w:color w:val="auto"/>
              </w:rPr>
            </w:pPr>
          </w:p>
        </w:tc>
      </w:tr>
      <w:tr>
        <w:trPr>
          <w:trHeight w:val="234"/>
        </w:trPr>
        <w:tc>
          <w:tcPr>
            <w:tcW w:w="8500" w:type="dxa"/>
            <w:vAlign w:val="bottom"/>
          </w:tcPr>
          <w:p>
            <w:pPr>
              <w:jc w:val="center"/>
              <w:ind w:left="2830"/>
              <w:spacing w:after="0"/>
              <w:rPr>
                <w:sz w:val="20"/>
                <w:szCs w:val="20"/>
                <w:color w:val="auto"/>
              </w:rPr>
            </w:pPr>
            <w:r>
              <w:rPr>
                <w:rFonts w:ascii="Arial" w:cs="Arial" w:eastAsia="Arial" w:hAnsi="Arial"/>
                <w:sz w:val="18"/>
                <w:szCs w:val="18"/>
                <w:b w:val="1"/>
                <w:bCs w:val="1"/>
                <w:color w:val="auto"/>
                <w:w w:val="89"/>
              </w:rPr>
              <w:t>outstanding as of April 30, 2011</w:t>
            </w:r>
          </w:p>
        </w:tc>
        <w:tc>
          <w:tcPr>
            <w:tcW w:w="2920" w:type="dxa"/>
            <w:vAlign w:val="bottom"/>
          </w:tcPr>
          <w:p>
            <w:pPr>
              <w:spacing w:after="0"/>
              <w:rPr>
                <w:sz w:val="20"/>
                <w:szCs w:val="20"/>
                <w:color w:val="auto"/>
              </w:rPr>
            </w:pPr>
          </w:p>
        </w:tc>
      </w:tr>
      <w:tr>
        <w:trPr>
          <w:trHeight w:val="659"/>
        </w:trPr>
        <w:tc>
          <w:tcPr>
            <w:tcW w:w="85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0" w:right="239" w:bottom="11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840"/>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1560" w:type="dxa"/>
            <w:vAlign w:val="bottom"/>
          </w:tcPr>
          <w:p>
            <w:pPr>
              <w:spacing w:after="0"/>
              <w:rPr>
                <w:sz w:val="20"/>
                <w:szCs w:val="20"/>
                <w:color w:val="auto"/>
              </w:rPr>
            </w:pPr>
          </w:p>
        </w:tc>
      </w:tr>
      <w:tr>
        <w:trPr>
          <w:trHeight w:val="414"/>
        </w:trPr>
        <w:tc>
          <w:tcPr>
            <w:tcW w:w="9860" w:type="dxa"/>
            <w:vAlign w:val="bottom"/>
            <w:gridSpan w:val="2"/>
          </w:tcPr>
          <w:p>
            <w:pPr>
              <w:ind w:left="1160"/>
              <w:spacing w:after="0"/>
              <w:rPr>
                <w:sz w:val="20"/>
                <w:szCs w:val="20"/>
                <w:color w:val="auto"/>
              </w:rPr>
            </w:pPr>
            <w:r>
              <w:rPr>
                <w:rFonts w:ascii="Arial" w:cs="Arial" w:eastAsia="Arial" w:hAnsi="Arial"/>
                <w:sz w:val="18"/>
                <w:szCs w:val="18"/>
                <w:b w:val="1"/>
                <w:bCs w:val="1"/>
                <w:color w:val="auto"/>
              </w:rPr>
              <w:t>Consolidated Statement of Operations (unaudited) for the Three Months Ended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34"/>
        </w:trPr>
        <w:tc>
          <w:tcPr>
            <w:tcW w:w="9860" w:type="dxa"/>
            <w:vAlign w:val="bottom"/>
            <w:gridSpan w:val="2"/>
          </w:tcPr>
          <w:p>
            <w:pPr>
              <w:ind w:left="1340"/>
              <w:spacing w:after="0"/>
              <w:rPr>
                <w:sz w:val="20"/>
                <w:szCs w:val="20"/>
                <w:color w:val="auto"/>
              </w:rPr>
            </w:pPr>
            <w:r>
              <w:rPr>
                <w:rFonts w:ascii="Arial" w:cs="Arial" w:eastAsia="Arial" w:hAnsi="Arial"/>
                <w:sz w:val="18"/>
                <w:szCs w:val="18"/>
                <w:b w:val="1"/>
                <w:bCs w:val="1"/>
                <w:color w:val="auto"/>
              </w:rPr>
              <w:t>March 31, 2011 and 2010</w:t>
            </w:r>
          </w:p>
        </w:tc>
        <w:tc>
          <w:tcPr>
            <w:tcW w:w="1560" w:type="dxa"/>
            <w:vAlign w:val="bottom"/>
          </w:tcPr>
          <w:p>
            <w:pPr>
              <w:spacing w:after="0"/>
              <w:rPr>
                <w:sz w:val="20"/>
                <w:szCs w:val="20"/>
                <w:color w:val="auto"/>
              </w:rPr>
            </w:pPr>
          </w:p>
        </w:tc>
      </w:tr>
      <w:tr>
        <w:trPr>
          <w:trHeight w:val="414"/>
        </w:trPr>
        <w:tc>
          <w:tcPr>
            <w:tcW w:w="9860" w:type="dxa"/>
            <w:vAlign w:val="bottom"/>
            <w:gridSpan w:val="2"/>
          </w:tcPr>
          <w:p>
            <w:pPr>
              <w:ind w:left="1160"/>
              <w:spacing w:after="0"/>
              <w:rPr>
                <w:sz w:val="20"/>
                <w:szCs w:val="20"/>
                <w:color w:val="auto"/>
              </w:rPr>
            </w:pPr>
            <w:r>
              <w:rPr>
                <w:rFonts w:ascii="Arial" w:cs="Arial" w:eastAsia="Arial" w:hAnsi="Arial"/>
                <w:sz w:val="18"/>
                <w:szCs w:val="18"/>
                <w:b w:val="1"/>
                <w:bCs w:val="1"/>
                <w:color w:val="auto"/>
              </w:rPr>
              <w:t>Consolidated Balance Sheet at March 31, 2011 (unaudited), December 31, 2010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34"/>
        </w:trPr>
        <w:tc>
          <w:tcPr>
            <w:tcW w:w="138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(audited) and March 31, 2010 (unaudited)</w:t>
            </w:r>
          </w:p>
        </w:tc>
        <w:tc>
          <w:tcPr>
            <w:tcW w:w="1560" w:type="dxa"/>
            <w:vAlign w:val="bottom"/>
          </w:tcPr>
          <w:p>
            <w:pPr>
              <w:spacing w:after="0"/>
              <w:rPr>
                <w:sz w:val="20"/>
                <w:szCs w:val="20"/>
                <w:color w:val="auto"/>
              </w:rPr>
            </w:pPr>
          </w:p>
        </w:tc>
      </w:tr>
      <w:tr>
        <w:trPr>
          <w:trHeight w:val="414"/>
        </w:trPr>
        <w:tc>
          <w:tcPr>
            <w:tcW w:w="9860" w:type="dxa"/>
            <w:vAlign w:val="bottom"/>
            <w:gridSpan w:val="2"/>
          </w:tcPr>
          <w:p>
            <w:pPr>
              <w:ind w:left="1160"/>
              <w:spacing w:after="0"/>
              <w:rPr>
                <w:sz w:val="20"/>
                <w:szCs w:val="20"/>
                <w:color w:val="auto"/>
              </w:rPr>
            </w:pPr>
            <w:r>
              <w:rPr>
                <w:rFonts w:ascii="Arial" w:cs="Arial" w:eastAsia="Arial" w:hAnsi="Arial"/>
                <w:sz w:val="18"/>
                <w:szCs w:val="18"/>
                <w:b w:val="1"/>
                <w:bCs w:val="1"/>
                <w:color w:val="auto"/>
              </w:rPr>
              <w:t>Consolidated Statement of Changes in Shareholders’ Equity (unaudited) for the</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4"/>
        </w:trPr>
        <w:tc>
          <w:tcPr>
            <w:tcW w:w="9860" w:type="dxa"/>
            <w:vAlign w:val="bottom"/>
            <w:gridSpan w:val="2"/>
          </w:tcPr>
          <w:p>
            <w:pPr>
              <w:ind w:left="1380"/>
              <w:spacing w:after="0"/>
              <w:rPr>
                <w:sz w:val="20"/>
                <w:szCs w:val="20"/>
                <w:color w:val="auto"/>
              </w:rPr>
            </w:pPr>
            <w:r>
              <w:rPr>
                <w:rFonts w:ascii="Arial" w:cs="Arial" w:eastAsia="Arial" w:hAnsi="Arial"/>
                <w:sz w:val="18"/>
                <w:szCs w:val="18"/>
                <w:b w:val="1"/>
                <w:bCs w:val="1"/>
                <w:color w:val="auto"/>
              </w:rPr>
              <w:t>Three Months Ended March 31, 2011 and 2010</w:t>
            </w:r>
          </w:p>
        </w:tc>
        <w:tc>
          <w:tcPr>
            <w:tcW w:w="1560" w:type="dxa"/>
            <w:vAlign w:val="bottom"/>
          </w:tcPr>
          <w:p>
            <w:pPr>
              <w:spacing w:after="0"/>
              <w:rPr>
                <w:sz w:val="20"/>
                <w:szCs w:val="20"/>
                <w:color w:val="auto"/>
              </w:rPr>
            </w:pPr>
          </w:p>
        </w:tc>
      </w:tr>
      <w:tr>
        <w:trPr>
          <w:trHeight w:val="414"/>
        </w:trPr>
        <w:tc>
          <w:tcPr>
            <w:tcW w:w="9860" w:type="dxa"/>
            <w:vAlign w:val="bottom"/>
            <w:gridSpan w:val="2"/>
          </w:tcPr>
          <w:p>
            <w:pPr>
              <w:ind w:left="1160"/>
              <w:spacing w:after="0"/>
              <w:rPr>
                <w:sz w:val="20"/>
                <w:szCs w:val="20"/>
                <w:color w:val="auto"/>
              </w:rPr>
            </w:pPr>
            <w:r>
              <w:rPr>
                <w:rFonts w:ascii="Arial" w:cs="Arial" w:eastAsia="Arial" w:hAnsi="Arial"/>
                <w:sz w:val="18"/>
                <w:szCs w:val="18"/>
                <w:b w:val="1"/>
                <w:bCs w:val="1"/>
                <w:color w:val="auto"/>
              </w:rPr>
              <w:t>Consolidated Statement of Cash Flows (unaudited) for the Three Months Ended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4"/>
        </w:trPr>
        <w:tc>
          <w:tcPr>
            <w:tcW w:w="9860" w:type="dxa"/>
            <w:vAlign w:val="bottom"/>
            <w:gridSpan w:val="2"/>
          </w:tcPr>
          <w:p>
            <w:pPr>
              <w:ind w:left="1340"/>
              <w:spacing w:after="0"/>
              <w:rPr>
                <w:sz w:val="20"/>
                <w:szCs w:val="20"/>
                <w:color w:val="auto"/>
              </w:rPr>
            </w:pPr>
            <w:r>
              <w:rPr>
                <w:rFonts w:ascii="Arial" w:cs="Arial" w:eastAsia="Arial" w:hAnsi="Arial"/>
                <w:sz w:val="18"/>
                <w:szCs w:val="18"/>
                <w:b w:val="1"/>
                <w:bCs w:val="1"/>
                <w:color w:val="auto"/>
              </w:rPr>
              <w:t>March 31, 2011 and 2010</w:t>
            </w:r>
          </w:p>
        </w:tc>
        <w:tc>
          <w:tcPr>
            <w:tcW w:w="1560" w:type="dxa"/>
            <w:vAlign w:val="bottom"/>
          </w:tcPr>
          <w:p>
            <w:pPr>
              <w:spacing w:after="0"/>
              <w:rPr>
                <w:sz w:val="20"/>
                <w:szCs w:val="20"/>
                <w:color w:val="auto"/>
              </w:rPr>
            </w:pPr>
          </w:p>
        </w:tc>
      </w:tr>
      <w:tr>
        <w:trPr>
          <w:trHeight w:val="432"/>
        </w:trPr>
        <w:tc>
          <w:tcPr>
            <w:tcW w:w="9860" w:type="dxa"/>
            <w:vAlign w:val="bottom"/>
            <w:gridSpan w:val="2"/>
          </w:tcPr>
          <w:p>
            <w:pPr>
              <w:ind w:left="1160"/>
              <w:spacing w:after="0"/>
              <w:rPr>
                <w:sz w:val="20"/>
                <w:szCs w:val="20"/>
                <w:color w:val="auto"/>
              </w:rPr>
            </w:pPr>
            <w:r>
              <w:rPr>
                <w:rFonts w:ascii="Arial" w:cs="Arial" w:eastAsia="Arial" w:hAnsi="Arial"/>
                <w:sz w:val="18"/>
                <w:szCs w:val="18"/>
                <w:b w:val="1"/>
                <w:bCs w:val="1"/>
                <w:color w:val="auto"/>
              </w:rPr>
              <w:t>Notes to Consolidated Financial Statements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32"/>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432"/>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432"/>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4.   Controls and Procedures.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648"/>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PART II - Other Information</w:t>
            </w:r>
          </w:p>
        </w:tc>
        <w:tc>
          <w:tcPr>
            <w:tcW w:w="1560" w:type="dxa"/>
            <w:vAlign w:val="bottom"/>
          </w:tcPr>
          <w:p>
            <w:pPr>
              <w:spacing w:after="0"/>
              <w:rPr>
                <w:sz w:val="24"/>
                <w:szCs w:val="24"/>
                <w:color w:val="auto"/>
              </w:rPr>
            </w:pPr>
          </w:p>
        </w:tc>
      </w:tr>
      <w:tr>
        <w:trPr>
          <w:trHeight w:val="414"/>
        </w:trPr>
        <w:tc>
          <w:tcPr>
            <w:tcW w:w="1380" w:type="dxa"/>
            <w:vAlign w:val="bottom"/>
          </w:tcPr>
          <w:p>
            <w:pPr>
              <w:ind w:left="840"/>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tcPr>
          <w:p>
            <w:pPr>
              <w:ind w:left="240"/>
              <w:spacing w:after="0"/>
              <w:rPr>
                <w:sz w:val="20"/>
                <w:szCs w:val="20"/>
                <w:color w:val="auto"/>
              </w:rPr>
            </w:pPr>
            <w:r>
              <w:rPr>
                <w:rFonts w:ascii="Arial" w:cs="Arial" w:eastAsia="Arial" w:hAnsi="Arial"/>
                <w:sz w:val="18"/>
                <w:szCs w:val="18"/>
                <w:b w:val="1"/>
                <w:bCs w:val="1"/>
                <w:color w:val="auto"/>
              </w:rPr>
              <w:t>Legal Proceedings.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1A. Risk Factors.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3.   Defaults Upon Senior Securities.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9860" w:type="dxa"/>
            <w:vAlign w:val="bottom"/>
            <w:gridSpan w:val="2"/>
          </w:tcPr>
          <w:p>
            <w:pPr>
              <w:ind w:left="840"/>
              <w:spacing w:after="0"/>
              <w:rPr>
                <w:sz w:val="20"/>
                <w:szCs w:val="20"/>
                <w:color w:val="auto"/>
              </w:rPr>
            </w:pPr>
            <w:r>
              <w:rPr>
                <w:rFonts w:ascii="Arial" w:cs="Arial" w:eastAsia="Arial" w:hAnsi="Arial"/>
                <w:sz w:val="18"/>
                <w:szCs w:val="18"/>
                <w:b w:val="1"/>
                <w:bCs w:val="1"/>
                <w:color w:val="auto"/>
              </w:rPr>
              <w:t>Item 4.   (Removed and Reserved)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16"/>
        </w:trPr>
        <w:tc>
          <w:tcPr>
            <w:tcW w:w="1380" w:type="dxa"/>
            <w:vAlign w:val="bottom"/>
          </w:tcPr>
          <w:p>
            <w:pPr>
              <w:ind w:left="840"/>
              <w:spacing w:after="0"/>
              <w:rPr>
                <w:sz w:val="20"/>
                <w:szCs w:val="20"/>
                <w:color w:val="auto"/>
              </w:rPr>
            </w:pPr>
            <w:r>
              <w:rPr>
                <w:rFonts w:ascii="Arial" w:cs="Arial" w:eastAsia="Arial" w:hAnsi="Arial"/>
                <w:sz w:val="18"/>
                <w:szCs w:val="18"/>
                <w:b w:val="1"/>
                <w:bCs w:val="1"/>
                <w:color w:val="auto"/>
                <w:w w:val="91"/>
              </w:rPr>
              <w:t>Item 5.</w:t>
            </w:r>
          </w:p>
        </w:tc>
        <w:tc>
          <w:tcPr>
            <w:tcW w:w="8480" w:type="dxa"/>
            <w:vAlign w:val="bottom"/>
          </w:tcPr>
          <w:p>
            <w:pPr>
              <w:ind w:left="240"/>
              <w:spacing w:after="0"/>
              <w:rPr>
                <w:sz w:val="20"/>
                <w:szCs w:val="20"/>
                <w:color w:val="auto"/>
              </w:rPr>
            </w:pPr>
            <w:r>
              <w:rPr>
                <w:rFonts w:ascii="Arial" w:cs="Arial" w:eastAsia="Arial" w:hAnsi="Arial"/>
                <w:sz w:val="18"/>
                <w:szCs w:val="18"/>
                <w:b w:val="1"/>
                <w:bCs w:val="1"/>
                <w:color w:val="auto"/>
              </w:rPr>
              <w:t>Other Information.</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34"/>
        </w:trPr>
        <w:tc>
          <w:tcPr>
            <w:tcW w:w="1380" w:type="dxa"/>
            <w:vAlign w:val="bottom"/>
          </w:tcPr>
          <w:p>
            <w:pPr>
              <w:ind w:left="840"/>
              <w:spacing w:after="0"/>
              <w:rPr>
                <w:sz w:val="20"/>
                <w:szCs w:val="20"/>
                <w:color w:val="auto"/>
              </w:rPr>
            </w:pPr>
            <w:r>
              <w:rPr>
                <w:rFonts w:ascii="Arial" w:cs="Arial" w:eastAsia="Arial" w:hAnsi="Arial"/>
                <w:sz w:val="18"/>
                <w:szCs w:val="18"/>
                <w:b w:val="1"/>
                <w:bCs w:val="1"/>
                <w:color w:val="auto"/>
                <w:w w:val="91"/>
              </w:rPr>
              <w:t>Item 6.</w:t>
            </w:r>
          </w:p>
        </w:tc>
        <w:tc>
          <w:tcPr>
            <w:tcW w:w="848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659"/>
        </w:trPr>
        <w:tc>
          <w:tcPr>
            <w:tcW w:w="138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Operations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7"/>
          </w:tcPr>
          <w:p>
            <w:pPr>
              <w:jc w:val="right"/>
              <w:ind w:right="350"/>
              <w:spacing w:after="0" w:line="205" w:lineRule="exact"/>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7"/>
                <w:szCs w:val="17"/>
                <w:color w:val="auto"/>
              </w:rPr>
            </w:pPr>
          </w:p>
        </w:tc>
      </w:t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2010</w:t>
            </w:r>
          </w:p>
        </w:tc>
        <w:tc>
          <w:tcPr>
            <w:tcW w:w="60" w:type="dxa"/>
            <w:vAlign w:val="bottom"/>
          </w:tcPr>
          <w:p>
            <w:pPr>
              <w:spacing w:after="0"/>
              <w:rPr>
                <w:sz w:val="19"/>
                <w:szCs w:val="19"/>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Interest revenue: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Loans, including fees</w:t>
            </w: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61,107</w:t>
            </w:r>
          </w:p>
        </w:tc>
        <w:tc>
          <w:tcPr>
            <w:tcW w:w="10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72,215</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Investment securities, including tax exempt of $259 and $311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16,203</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Federal funds sold, commercial paper and deposits in banks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938</w:t>
            </w: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interest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75,530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89,356</w:t>
            </w:r>
          </w:p>
        </w:tc>
        <w:tc>
          <w:tcPr>
            <w:tcW w:w="60" w:type="dxa"/>
            <w:vAlign w:val="bottom"/>
          </w:tcPr>
          <w:p>
            <w:pPr>
              <w:spacing w:after="0"/>
              <w:rPr>
                <w:sz w:val="19"/>
                <w:szCs w:val="19"/>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1,854</w:t>
            </w: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1,757</w:t>
            </w: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37"/>
        </w:trPr>
        <w:tc>
          <w:tcPr>
            <w:tcW w:w="8700" w:type="dxa"/>
            <w:vAlign w:val="bottom"/>
          </w:tcPr>
          <w:p>
            <w:pPr>
              <w:ind w:left="36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20,198</w:t>
            </w:r>
          </w:p>
        </w:tc>
      </w:tr>
      <w:tr>
        <w:trPr>
          <w:trHeight w:val="202"/>
        </w:trPr>
        <w:tc>
          <w:tcPr>
            <w:tcW w:w="8700" w:type="dxa"/>
            <w:vAlign w:val="bottom"/>
          </w:tcPr>
          <w:p>
            <w:pPr>
              <w:ind w:left="720"/>
              <w:spacing w:after="0" w:line="201" w:lineRule="exact"/>
              <w:rPr>
                <w:sz w:val="20"/>
                <w:szCs w:val="20"/>
                <w:color w:val="auto"/>
              </w:rPr>
            </w:pPr>
            <w:r>
              <w:rPr>
                <w:rFonts w:ascii="Arial" w:cs="Arial" w:eastAsia="Arial" w:hAnsi="Arial"/>
                <w:sz w:val="18"/>
                <w:szCs w:val="18"/>
                <w:color w:val="auto"/>
              </w:rPr>
              <w:t>Total deposit interest expense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15,161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23,893</w:t>
            </w:r>
          </w:p>
        </w:tc>
        <w:tc>
          <w:tcPr>
            <w:tcW w:w="6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2,662</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28,570</w:t>
            </w:r>
          </w:p>
        </w:tc>
        <w:tc>
          <w:tcPr>
            <w:tcW w:w="60" w:type="dxa"/>
            <w:vAlign w:val="bottom"/>
          </w:tcPr>
          <w:p>
            <w:pPr>
              <w:spacing w:after="0"/>
              <w:rPr>
                <w:sz w:val="19"/>
                <w:szCs w:val="19"/>
                <w:color w:val="auto"/>
              </w:rPr>
            </w:pPr>
          </w:p>
        </w:tc>
      </w:tr>
      <w:tr>
        <w:trPr>
          <w:trHeight w:val="202"/>
        </w:trPr>
        <w:tc>
          <w:tcPr>
            <w:tcW w:w="8700" w:type="dxa"/>
            <w:vAlign w:val="bottom"/>
          </w:tcPr>
          <w:p>
            <w:pPr>
              <w:ind w:left="360"/>
              <w:spacing w:after="0" w:line="201" w:lineRule="exact"/>
              <w:rPr>
                <w:sz w:val="20"/>
                <w:szCs w:val="20"/>
                <w:color w:val="auto"/>
              </w:rPr>
            </w:pPr>
            <w:r>
              <w:rPr>
                <w:rFonts w:ascii="Arial" w:cs="Arial" w:eastAsia="Arial" w:hAnsi="Arial"/>
                <w:sz w:val="18"/>
                <w:szCs w:val="18"/>
                <w:color w:val="auto"/>
              </w:rPr>
              <w:t>Net interest revenue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55,957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60,786</w:t>
            </w:r>
          </w:p>
        </w:tc>
        <w:tc>
          <w:tcPr>
            <w:tcW w:w="60" w:type="dxa"/>
            <w:vAlign w:val="bottom"/>
          </w:tcPr>
          <w:p>
            <w:pPr>
              <w:spacing w:after="0"/>
              <w:rPr>
                <w:sz w:val="17"/>
                <w:szCs w:val="17"/>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Net interest expense after provision for loan 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(134,043)</w:t>
            </w: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(14,214)</w:t>
            </w:r>
          </w:p>
        </w:tc>
        <w:tc>
          <w:tcPr>
            <w:tcW w:w="60" w:type="dxa"/>
            <w:vAlign w:val="bottom"/>
          </w:tcPr>
          <w:p>
            <w:pPr>
              <w:spacing w:after="0"/>
              <w:rPr>
                <w:sz w:val="19"/>
                <w:szCs w:val="19"/>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b w:val="1"/>
                <w:bCs w:val="1"/>
                <w:color w:val="auto"/>
              </w:rPr>
              <w:t>Fee revenue: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Service charges and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7,447</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Mortgage loan and other related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1,479</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Brokerage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2,112</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Total fee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60" w:type="dxa"/>
            <w:vAlign w:val="bottom"/>
          </w:tcPr>
          <w:p>
            <w:pPr>
              <w:spacing w:after="0"/>
              <w:rPr>
                <w:sz w:val="19"/>
                <w:szCs w:val="19"/>
                <w:color w:val="auto"/>
              </w:rPr>
            </w:pP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(122,205)</w:t>
            </w: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w:t>
            </w:r>
          </w:p>
        </w:tc>
        <w:tc>
          <w:tcPr>
            <w:tcW w:w="60" w:type="dxa"/>
            <w:vAlign w:val="bottom"/>
          </w:tcPr>
          <w:p>
            <w:pPr>
              <w:spacing w:after="0"/>
              <w:rPr>
                <w:sz w:val="19"/>
                <w:szCs w:val="19"/>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24,924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24,360</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Communications and equipment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3,273</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3,814</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Advertising and public relations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Postage, printing and supplies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1,225</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1,943</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Foreclosed property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64,899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10,813</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FDIC assessments and other regulatory charges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3,626</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115,271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54,820</w:t>
            </w:r>
          </w:p>
        </w:tc>
        <w:tc>
          <w:tcPr>
            <w:tcW w:w="60" w:type="dxa"/>
            <w:vAlign w:val="bottom"/>
          </w:tcPr>
          <w:p>
            <w:pPr>
              <w:spacing w:after="0"/>
              <w:rPr>
                <w:sz w:val="19"/>
                <w:szCs w:val="19"/>
                <w:color w:val="auto"/>
              </w:rPr>
            </w:pPr>
          </w:p>
        </w:tc>
      </w:tr>
      <w:tr>
        <w:trPr>
          <w:trHeight w:val="202"/>
        </w:trPr>
        <w:tc>
          <w:tcPr>
            <w:tcW w:w="8700" w:type="dxa"/>
            <w:vAlign w:val="bottom"/>
          </w:tcPr>
          <w:p>
            <w:pPr>
              <w:ind w:left="180"/>
              <w:spacing w:after="0" w:line="201" w:lineRule="exact"/>
              <w:rPr>
                <w:sz w:val="20"/>
                <w:szCs w:val="20"/>
                <w:color w:val="auto"/>
              </w:rPr>
            </w:pPr>
            <w:r>
              <w:rPr>
                <w:rFonts w:ascii="Arial" w:cs="Arial" w:eastAsia="Arial" w:hAnsi="Arial"/>
                <w:sz w:val="18"/>
                <w:szCs w:val="18"/>
                <w:color w:val="auto"/>
              </w:rPr>
              <w:t>Loss from continuing operations before income taxes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(237,476)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(57,368)</w:t>
            </w:r>
          </w:p>
        </w:tc>
        <w:tc>
          <w:tcPr>
            <w:tcW w:w="60" w:type="dxa"/>
            <w:vAlign w:val="bottom"/>
          </w:tcPr>
          <w:p>
            <w:pPr>
              <w:spacing w:after="0"/>
              <w:rPr>
                <w:sz w:val="17"/>
                <w:szCs w:val="17"/>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(94,990)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(22,910)</w:t>
            </w:r>
          </w:p>
        </w:tc>
      </w:tr>
      <w:tr>
        <w:trPr>
          <w:trHeight w:val="202"/>
        </w:trPr>
        <w:tc>
          <w:tcPr>
            <w:tcW w:w="8700" w:type="dxa"/>
            <w:vAlign w:val="bottom"/>
          </w:tcPr>
          <w:p>
            <w:pPr>
              <w:ind w:left="360"/>
              <w:spacing w:after="0" w:line="201" w:lineRule="exact"/>
              <w:rPr>
                <w:sz w:val="20"/>
                <w:szCs w:val="20"/>
                <w:color w:val="auto"/>
              </w:rPr>
            </w:pPr>
            <w:r>
              <w:rPr>
                <w:rFonts w:ascii="Arial" w:cs="Arial" w:eastAsia="Arial" w:hAnsi="Arial"/>
                <w:sz w:val="18"/>
                <w:szCs w:val="18"/>
                <w:b w:val="1"/>
                <w:bCs w:val="1"/>
                <w:color w:val="auto"/>
              </w:rPr>
              <w:t>Net loss from continuing operations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(142,486)</w:t>
            </w:r>
          </w:p>
        </w:tc>
        <w:tc>
          <w:tcPr>
            <w:tcW w:w="1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(34,458)</w:t>
            </w:r>
          </w:p>
        </w:tc>
        <w:tc>
          <w:tcPr>
            <w:tcW w:w="60" w:type="dxa"/>
            <w:vAlign w:val="bottom"/>
          </w:tcPr>
          <w:p>
            <w:pPr>
              <w:spacing w:after="0"/>
              <w:rPr>
                <w:sz w:val="17"/>
                <w:szCs w:val="17"/>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Loss from discontinued operations, net of income taxes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8700" w:type="dxa"/>
            <w:vAlign w:val="bottom"/>
          </w:tcPr>
          <w:p>
            <w:pPr>
              <w:ind w:left="360"/>
              <w:spacing w:after="0"/>
              <w:rPr>
                <w:sz w:val="20"/>
                <w:szCs w:val="20"/>
                <w:color w:val="auto"/>
              </w:rPr>
            </w:pPr>
            <w:r>
              <w:rPr>
                <w:rFonts w:ascii="Arial" w:cs="Arial" w:eastAsia="Arial" w:hAnsi="Arial"/>
                <w:sz w:val="18"/>
                <w:szCs w:val="18"/>
                <w:color w:val="auto"/>
              </w:rPr>
              <w:t>Gain from sale of subsidiary, net of income taxes and selling costs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1,266</w:t>
            </w:r>
          </w:p>
        </w:tc>
      </w:tr>
      <w:tr>
        <w:trPr>
          <w:trHeight w:val="202"/>
        </w:trPr>
        <w:tc>
          <w:tcPr>
            <w:tcW w:w="8700" w:type="dxa"/>
            <w:vAlign w:val="bottom"/>
          </w:tcPr>
          <w:p>
            <w:pPr>
              <w:ind w:left="360"/>
              <w:spacing w:after="0" w:line="201" w:lineRule="exact"/>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(142,486)</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(33,293)</w:t>
            </w:r>
          </w:p>
        </w:tc>
        <w:tc>
          <w:tcPr>
            <w:tcW w:w="60" w:type="dxa"/>
            <w:vAlign w:val="bottom"/>
          </w:tcPr>
          <w:p>
            <w:pPr>
              <w:spacing w:after="0"/>
              <w:rPr>
                <w:sz w:val="17"/>
                <w:szCs w:val="17"/>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8"/>
                <w:szCs w:val="18"/>
                <w:color w:val="auto"/>
              </w:rPr>
              <w:t>Preferred stock dividends and discount accretion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2,572</w:t>
            </w: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b w:val="1"/>
                <w:bCs w:val="1"/>
                <w:color w:val="auto"/>
              </w:rPr>
              <w:t>Net loss available to common shareholders</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(145,264)</w:t>
            </w:r>
          </w:p>
        </w:tc>
        <w:tc>
          <w:tcPr>
            <w:tcW w:w="2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(35,865)</w:t>
            </w:r>
          </w:p>
        </w:tc>
        <w:tc>
          <w:tcPr>
            <w:tcW w:w="60" w:type="dxa"/>
            <w:vAlign w:val="bottom"/>
          </w:tcPr>
          <w:p>
            <w:pPr>
              <w:spacing w:after="0"/>
              <w:rPr>
                <w:sz w:val="18"/>
                <w:szCs w:val="18"/>
                <w:color w:val="auto"/>
              </w:rPr>
            </w:pPr>
          </w:p>
        </w:tc>
      </w:tr>
      <w:tr>
        <w:trPr>
          <w:trHeight w:val="21"/>
        </w:trPr>
        <w:tc>
          <w:tcPr>
            <w:tcW w:w="87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8700" w:type="dxa"/>
            <w:vAlign w:val="bottom"/>
          </w:tcPr>
          <w:p>
            <w:pPr>
              <w:spacing w:after="0"/>
              <w:rPr>
                <w:sz w:val="20"/>
                <w:szCs w:val="20"/>
                <w:color w:val="auto"/>
              </w:rPr>
            </w:pPr>
            <w:r>
              <w:rPr>
                <w:rFonts w:ascii="Arial" w:cs="Arial" w:eastAsia="Arial" w:hAnsi="Arial"/>
                <w:sz w:val="18"/>
                <w:szCs w:val="18"/>
                <w:color w:val="auto"/>
              </w:rPr>
              <w:t>Loss from continuing operations per common share - Basic / Diluted</w:t>
            </w: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(1.57)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Loss per common share - Basic / Diluted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Weighted average common shares outstanding - Basic / Diluted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92,330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94,390</w:t>
            </w: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950" w:gutter="0" w:footer="0" w:header="0"/>
        </w:sectPr>
      </w:pPr>
    </w:p>
    <w:bookmarkStart w:id="3" w:name="page4"/>
    <w:bookmarkEnd w:id="3"/>
    <w:p>
      <w:pPr>
        <w:ind w:left="6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jc w:val="center"/>
              <w:ind w:right="360"/>
              <w:spacing w:after="0" w:line="205" w:lineRule="exact"/>
              <w:rPr>
                <w:sz w:val="20"/>
                <w:szCs w:val="20"/>
                <w:color w:val="auto"/>
              </w:rPr>
            </w:pPr>
            <w:r>
              <w:rPr>
                <w:rFonts w:ascii="Arial" w:cs="Arial" w:eastAsia="Arial" w:hAnsi="Arial"/>
                <w:sz w:val="18"/>
                <w:szCs w:val="18"/>
                <w:b w:val="1"/>
                <w:bCs w:val="1"/>
                <w:color w:val="auto"/>
                <w:w w:val="93"/>
              </w:rPr>
              <w:t>March 31,</w:t>
            </w:r>
          </w:p>
        </w:tc>
        <w:tc>
          <w:tcPr>
            <w:tcW w:w="1280" w:type="dxa"/>
            <w:vAlign w:val="bottom"/>
            <w:tcBorders>
              <w:top w:val="single" w:sz="8" w:color="auto"/>
            </w:tcBorders>
            <w:gridSpan w:val="3"/>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i w:val="1"/>
                <w:iCs w:val="1"/>
                <w:color w:val="auto"/>
                <w:w w:val="92"/>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i w:val="1"/>
                <w:iCs w:val="1"/>
                <w:color w:val="auto"/>
                <w:w w:val="92"/>
              </w:rPr>
              <w:t>(audited)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i w:val="1"/>
                <w:iCs w:val="1"/>
                <w:color w:val="auto"/>
                <w:w w:val="92"/>
              </w:rPr>
              <w:t>(unaudited)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Cash and due from banks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153,891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95,994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105,613</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465,656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111,901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99,893</w:t>
            </w:r>
          </w:p>
        </w:tc>
        <w:tc>
          <w:tcPr>
            <w:tcW w:w="0" w:type="dxa"/>
            <w:vAlign w:val="bottom"/>
          </w:tcPr>
          <w:p>
            <w:pPr>
              <w:spacing w:after="0"/>
              <w:rPr>
                <w:sz w:val="1"/>
                <w:szCs w:val="1"/>
                <w:color w:val="auto"/>
              </w:rPr>
            </w:pP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color w:val="auto"/>
              </w:rPr>
              <w:t>Federal funds sold, commercial paper and short-term investments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470,087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441,562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183,049</w:t>
            </w:r>
          </w:p>
        </w:tc>
        <w:tc>
          <w:tcPr>
            <w:tcW w:w="0" w:type="dxa"/>
            <w:vAlign w:val="bottom"/>
          </w:tcPr>
          <w:p>
            <w:pPr>
              <w:spacing w:after="0"/>
              <w:rPr>
                <w:sz w:val="1"/>
                <w:szCs w:val="1"/>
                <w:color w:val="auto"/>
              </w:rPr>
            </w:pPr>
          </w:p>
        </w:tc>
      </w:tr>
      <w:tr>
        <w:trPr>
          <w:trHeight w:val="202"/>
        </w:trPr>
        <w:tc>
          <w:tcPr>
            <w:tcW w:w="7320" w:type="dxa"/>
            <w:vAlign w:val="bottom"/>
          </w:tcPr>
          <w:p>
            <w:pPr>
              <w:ind w:left="320"/>
              <w:spacing w:after="0" w:line="201"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1,089,634</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649,457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388,555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1,638,494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1,224,417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1,526,589</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Securities held to maturity (fair value $248,361 and $267,988)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245,430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80,629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25,364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35,908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21,998</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4,194,372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4,604,126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4,992,045</w:t>
            </w:r>
          </w:p>
        </w:tc>
        <w:tc>
          <w:tcPr>
            <w:tcW w:w="0" w:type="dxa"/>
            <w:vAlign w:val="bottom"/>
          </w:tcPr>
          <w:p>
            <w:pPr>
              <w:spacing w:after="0"/>
              <w:rPr>
                <w:sz w:val="1"/>
                <w:szCs w:val="1"/>
                <w:color w:val="auto"/>
              </w:rPr>
            </w:pPr>
          </w:p>
        </w:tc>
      </w:tr>
      <w:tr>
        <w:trPr>
          <w:trHeight w:val="237"/>
        </w:trPr>
        <w:tc>
          <w:tcPr>
            <w:tcW w:w="7320" w:type="dxa"/>
            <w:vAlign w:val="bottom"/>
          </w:tcPr>
          <w:p>
            <w:pPr>
              <w:ind w:left="36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133,121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174,695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173,934</w:t>
            </w:r>
          </w:p>
        </w:tc>
        <w:tc>
          <w:tcPr>
            <w:tcW w:w="0" w:type="dxa"/>
            <w:vAlign w:val="bottom"/>
          </w:tcPr>
          <w:p>
            <w:pPr>
              <w:spacing w:after="0"/>
              <w:rPr>
                <w:sz w:val="1"/>
                <w:szCs w:val="1"/>
                <w:color w:val="auto"/>
              </w:rPr>
            </w:pPr>
          </w:p>
        </w:tc>
      </w:tr>
      <w:tr>
        <w:trPr>
          <w:trHeight w:val="202"/>
        </w:trPr>
        <w:tc>
          <w:tcPr>
            <w:tcW w:w="7320" w:type="dxa"/>
            <w:vAlign w:val="bottom"/>
          </w:tcPr>
          <w:p>
            <w:pPr>
              <w:ind w:left="680"/>
              <w:spacing w:after="0" w:line="201" w:lineRule="exact"/>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4,061,251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4,429,431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4,818,111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Assets covered by loss sharing agreements with the FDIC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125,789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131,887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169,287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179,143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178,239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181,217</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21,687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30,492</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224,394</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Foreclosed property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54,378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136,275</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266,367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166,937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92,986</w:t>
            </w:r>
          </w:p>
        </w:tc>
        <w:tc>
          <w:tcPr>
            <w:tcW w:w="0" w:type="dxa"/>
            <w:vAlign w:val="bottom"/>
          </w:tcPr>
          <w:p>
            <w:pPr>
              <w:spacing w:after="0"/>
              <w:rPr>
                <w:sz w:val="1"/>
                <w:szCs w:val="1"/>
                <w:color w:val="auto"/>
              </w:rPr>
            </w:pPr>
          </w:p>
        </w:tc>
      </w:tr>
      <w:tr>
        <w:trPr>
          <w:trHeight w:val="237"/>
        </w:trPr>
        <w:tc>
          <w:tcPr>
            <w:tcW w:w="73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174,742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183,160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247,114</w:t>
            </w:r>
          </w:p>
        </w:tc>
        <w:tc>
          <w:tcPr>
            <w:tcW w:w="0" w:type="dxa"/>
            <w:vAlign w:val="bottom"/>
          </w:tcPr>
          <w:p>
            <w:pPr>
              <w:spacing w:after="0"/>
              <w:rPr>
                <w:sz w:val="1"/>
                <w:szCs w:val="1"/>
                <w:color w:val="auto"/>
              </w:rPr>
            </w:pPr>
          </w:p>
        </w:tc>
      </w:tr>
      <w:tr>
        <w:trPr>
          <w:trHeight w:val="216"/>
        </w:trPr>
        <w:tc>
          <w:tcPr>
            <w:tcW w:w="732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7,973,592</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7,837,018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Demand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864,708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793,414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740,727</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1,320,136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1,424,781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1,344,973</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967,938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891,252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729,283</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193,591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183,894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186,699</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60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1,576,505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1,496,700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1,643,059</w:t>
            </w:r>
          </w:p>
        </w:tc>
        <w:tc>
          <w:tcPr>
            <w:tcW w:w="0" w:type="dxa"/>
            <w:vAlign w:val="bottom"/>
          </w:tcPr>
          <w:p>
            <w:pPr>
              <w:spacing w:after="0"/>
              <w:rPr>
                <w:sz w:val="1"/>
                <w:szCs w:val="1"/>
                <w:color w:val="auto"/>
              </w:rPr>
            </w:pPr>
          </w:p>
        </w:tc>
      </w:tr>
      <w:tr>
        <w:trPr>
          <w:trHeight w:val="216"/>
        </w:trPr>
        <w:tc>
          <w:tcPr>
            <w:tcW w:w="7320" w:type="dxa"/>
            <w:vAlign w:val="bottom"/>
          </w:tcPr>
          <w:p>
            <w:pPr>
              <w:ind w:left="600"/>
              <w:spacing w:after="0"/>
              <w:rPr>
                <w:sz w:val="20"/>
                <w:szCs w:val="20"/>
                <w:color w:val="auto"/>
              </w:rPr>
            </w:pPr>
            <w:r>
              <w:rPr>
                <w:rFonts w:ascii="Arial" w:cs="Arial" w:eastAsia="Arial" w:hAnsi="Arial"/>
                <w:sz w:val="18"/>
                <w:szCs w:val="18"/>
                <w:color w:val="auto"/>
              </w:rPr>
              <w:t>Greater than $100,000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990,289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1,002,359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1,132,034</w:t>
            </w:r>
          </w:p>
        </w:tc>
        <w:tc>
          <w:tcPr>
            <w:tcW w:w="0" w:type="dxa"/>
            <w:vAlign w:val="bottom"/>
          </w:tcPr>
          <w:p>
            <w:pPr>
              <w:spacing w:after="0"/>
              <w:rPr>
                <w:sz w:val="1"/>
                <w:szCs w:val="1"/>
                <w:color w:val="auto"/>
              </w:rPr>
            </w:pPr>
          </w:p>
        </w:tc>
      </w:tr>
      <w:tr>
        <w:trPr>
          <w:trHeight w:val="237"/>
        </w:trPr>
        <w:tc>
          <w:tcPr>
            <w:tcW w:w="7320" w:type="dxa"/>
            <w:vAlign w:val="bottom"/>
          </w:tcPr>
          <w:p>
            <w:pPr>
              <w:ind w:left="60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684,581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676,772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710,813</w:t>
            </w:r>
          </w:p>
        </w:tc>
        <w:tc>
          <w:tcPr>
            <w:tcW w:w="0" w:type="dxa"/>
            <w:vAlign w:val="bottom"/>
          </w:tcPr>
          <w:p>
            <w:pPr>
              <w:spacing w:after="0"/>
              <w:rPr>
                <w:sz w:val="1"/>
                <w:szCs w:val="1"/>
                <w:color w:val="auto"/>
              </w:rPr>
            </w:pPr>
          </w:p>
        </w:tc>
      </w:tr>
      <w:tr>
        <w:trPr>
          <w:trHeight w:val="202"/>
        </w:trPr>
        <w:tc>
          <w:tcPr>
            <w:tcW w:w="7320" w:type="dxa"/>
            <w:vAlign w:val="bottom"/>
          </w:tcPr>
          <w:p>
            <w:pPr>
              <w:ind w:left="1000"/>
              <w:spacing w:after="0" w:line="201" w:lineRule="exact"/>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6,597,748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6,469,172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6,487,588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102,107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101,067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102,480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55,125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114,303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150,166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150,146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150,086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177,532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40,766</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32,171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39,078</w:t>
            </w:r>
          </w:p>
        </w:tc>
        <w:tc>
          <w:tcPr>
            <w:tcW w:w="0" w:type="dxa"/>
            <w:vAlign w:val="bottom"/>
          </w:tcPr>
          <w:p>
            <w:pPr>
              <w:spacing w:after="0"/>
              <w:rPr>
                <w:sz w:val="1"/>
                <w:szCs w:val="1"/>
                <w:color w:val="auto"/>
              </w:rPr>
            </w:pPr>
          </w:p>
        </w:tc>
      </w:tr>
      <w:tr>
        <w:trPr>
          <w:trHeight w:val="223"/>
        </w:trPr>
        <w:tc>
          <w:tcPr>
            <w:tcW w:w="732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7,123,444</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60"/>
              <w:spacing w:after="0" w:line="201"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Preferred stock, $1 par value; 10,000,000 shares authorized;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60"/>
              <w:spacing w:after="0"/>
              <w:rPr>
                <w:sz w:val="20"/>
                <w:szCs w:val="20"/>
                <w:color w:val="auto"/>
              </w:rPr>
            </w:pPr>
            <w:r>
              <w:rPr>
                <w:rFonts w:ascii="Arial" w:cs="Arial" w:eastAsia="Arial" w:hAnsi="Arial"/>
                <w:sz w:val="18"/>
                <w:szCs w:val="18"/>
                <w:color w:val="auto"/>
              </w:rPr>
              <w:t>Series A; $10 stated value; 21,700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7320" w:type="dxa"/>
            <w:vAlign w:val="bottom"/>
          </w:tcPr>
          <w:p>
            <w:pPr>
              <w:ind w:left="460"/>
              <w:spacing w:after="0"/>
              <w:rPr>
                <w:sz w:val="20"/>
                <w:szCs w:val="20"/>
                <w:color w:val="auto"/>
              </w:rPr>
            </w:pPr>
            <w:r>
              <w:rPr>
                <w:rFonts w:ascii="Arial" w:cs="Arial" w:eastAsia="Arial" w:hAnsi="Arial"/>
                <w:sz w:val="18"/>
                <w:szCs w:val="18"/>
                <w:color w:val="auto"/>
              </w:rPr>
              <w:t>Series B; $1,000 stated value; 180,000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176,049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175,711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174,727</w:t>
            </w:r>
          </w:p>
        </w:tc>
        <w:tc>
          <w:tcPr>
            <w:tcW w:w="0" w:type="dxa"/>
            <w:vAlign w:val="bottom"/>
          </w:tcPr>
          <w:p>
            <w:pPr>
              <w:spacing w:after="0"/>
              <w:rPr>
                <w:sz w:val="1"/>
                <w:szCs w:val="1"/>
                <w:color w:val="auto"/>
              </w:rPr>
            </w:pPr>
          </w:p>
        </w:tc>
      </w:tr>
      <w:tr>
        <w:trPr>
          <w:trHeight w:val="216"/>
        </w:trPr>
        <w:tc>
          <w:tcPr>
            <w:tcW w:w="7320" w:type="dxa"/>
            <w:vAlign w:val="bottom"/>
          </w:tcPr>
          <w:p>
            <w:pPr>
              <w:ind w:left="460"/>
              <w:spacing w:after="0"/>
              <w:rPr>
                <w:sz w:val="20"/>
                <w:szCs w:val="20"/>
                <w:color w:val="auto"/>
              </w:rPr>
            </w:pPr>
            <w:r>
              <w:rPr>
                <w:rFonts w:ascii="Arial" w:cs="Arial" w:eastAsia="Arial" w:hAnsi="Arial"/>
                <w:sz w:val="18"/>
                <w:szCs w:val="18"/>
                <w:color w:val="auto"/>
              </w:rPr>
              <w:t>Series D; $1,000 stated value; 16,613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16,613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460"/>
              <w:spacing w:after="0"/>
              <w:rPr>
                <w:sz w:val="20"/>
                <w:szCs w:val="20"/>
                <w:color w:val="auto"/>
              </w:rPr>
            </w:pPr>
            <w:r>
              <w:rPr>
                <w:rFonts w:ascii="Arial" w:cs="Arial" w:eastAsia="Arial" w:hAnsi="Arial"/>
                <w:sz w:val="18"/>
                <w:szCs w:val="18"/>
                <w:color w:val="auto"/>
              </w:rPr>
              <w:t>Series F; $1,000 stated value; 195,872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460"/>
              <w:spacing w:after="0"/>
              <w:rPr>
                <w:sz w:val="20"/>
                <w:szCs w:val="20"/>
                <w:color w:val="auto"/>
              </w:rPr>
            </w:pPr>
            <w:r>
              <w:rPr>
                <w:rFonts w:ascii="Arial" w:cs="Arial" w:eastAsia="Arial" w:hAnsi="Arial"/>
                <w:sz w:val="18"/>
                <w:szCs w:val="18"/>
                <w:color w:val="auto"/>
              </w:rPr>
              <w:t>Series G; $1,000 stated value; 151,185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151,185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Common stock, $1 par value; 200,000,000 shares authorized;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20"/>
              <w:spacing w:after="0"/>
              <w:rPr>
                <w:sz w:val="20"/>
                <w:szCs w:val="20"/>
                <w:color w:val="auto"/>
              </w:rPr>
            </w:pPr>
            <w:r>
              <w:rPr>
                <w:rFonts w:ascii="Arial" w:cs="Arial" w:eastAsia="Arial" w:hAnsi="Arial"/>
                <w:sz w:val="18"/>
                <w:szCs w:val="18"/>
                <w:color w:val="auto"/>
              </w:rPr>
              <w:t>104,515,553, 94,685,003 and 94,175,857 shares issued and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104,516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94,685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94,176</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Common stock issuable; 397,138, 336,437 and 262,002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7320" w:type="dxa"/>
            <w:vAlign w:val="bottom"/>
          </w:tcPr>
          <w:p>
            <w:pPr>
              <w:ind w:left="24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655,350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665,496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622,803</w:t>
            </w: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(480,831)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(335,567)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37"/>
        </w:trPr>
        <w:tc>
          <w:tcPr>
            <w:tcW w:w="73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27,496</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31,079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45,326</w:t>
            </w:r>
          </w:p>
        </w:tc>
        <w:tc>
          <w:tcPr>
            <w:tcW w:w="0" w:type="dxa"/>
            <w:vAlign w:val="bottom"/>
          </w:tcPr>
          <w:p>
            <w:pPr>
              <w:spacing w:after="0"/>
              <w:rPr>
                <w:sz w:val="1"/>
                <w:szCs w:val="1"/>
                <w:color w:val="auto"/>
              </w:rPr>
            </w:pPr>
          </w:p>
        </w:tc>
      </w:tr>
      <w:tr>
        <w:trPr>
          <w:trHeight w:val="223"/>
        </w:trPr>
        <w:tc>
          <w:tcPr>
            <w:tcW w:w="732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850,148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635,515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7,973,592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113"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7"/>
              </w:rPr>
              <w:t>Preferred Stock</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00" w:type="dxa"/>
            <w:vAlign w:val="bottom"/>
            <w:gridSpan w:val="2"/>
          </w:tcPr>
          <w:p>
            <w:pPr>
              <w:spacing w:after="0" w:line="117" w:lineRule="exact"/>
              <w:rPr>
                <w:sz w:val="20"/>
                <w:szCs w:val="20"/>
                <w:color w:val="auto"/>
              </w:rPr>
            </w:pPr>
            <w:r>
              <w:rPr>
                <w:rFonts w:ascii="Arial" w:cs="Arial" w:eastAsia="Arial" w:hAnsi="Arial"/>
                <w:sz w:val="13"/>
                <w:szCs w:val="13"/>
                <w:i w:val="1"/>
                <w:iCs w:val="1"/>
                <w:color w:val="auto"/>
              </w:rPr>
              <w:t>(in thousands, except share</w:t>
            </w:r>
          </w:p>
        </w:tc>
        <w:tc>
          <w:tcPr>
            <w:tcW w:w="100" w:type="dxa"/>
            <w:vAlign w:val="bottom"/>
          </w:tcPr>
          <w:p>
            <w:pPr>
              <w:spacing w:after="0"/>
              <w:rPr>
                <w:sz w:val="10"/>
                <w:szCs w:val="10"/>
                <w:color w:val="auto"/>
              </w:rPr>
            </w:pPr>
          </w:p>
        </w:tc>
        <w:tc>
          <w:tcPr>
            <w:tcW w:w="48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Series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40"/>
              <w:spacing w:after="0" w:line="117" w:lineRule="exact"/>
              <w:rPr>
                <w:sz w:val="20"/>
                <w:szCs w:val="20"/>
                <w:color w:val="auto"/>
              </w:rPr>
            </w:pPr>
            <w:r>
              <w:rPr>
                <w:rFonts w:ascii="Arial" w:cs="Arial" w:eastAsia="Arial" w:hAnsi="Arial"/>
                <w:sz w:val="13"/>
                <w:szCs w:val="13"/>
                <w:b w:val="1"/>
                <w:bCs w:val="1"/>
                <w:color w:val="auto"/>
              </w:rPr>
              <w:t>Series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400"/>
              <w:spacing w:after="0" w:line="117" w:lineRule="exact"/>
              <w:rPr>
                <w:sz w:val="20"/>
                <w:szCs w:val="20"/>
                <w:color w:val="auto"/>
              </w:rPr>
            </w:pPr>
            <w:r>
              <w:rPr>
                <w:rFonts w:ascii="Arial" w:cs="Arial" w:eastAsia="Arial" w:hAnsi="Arial"/>
                <w:sz w:val="13"/>
                <w:szCs w:val="13"/>
                <w:b w:val="1"/>
                <w:bCs w:val="1"/>
                <w:color w:val="auto"/>
                <w:w w:val="92"/>
              </w:rPr>
              <w:t>Series</w:t>
            </w:r>
          </w:p>
        </w:tc>
        <w:tc>
          <w:tcPr>
            <w:tcW w:w="120" w:type="dxa"/>
            <w:vAlign w:val="bottom"/>
          </w:tcPr>
          <w:p>
            <w:pPr>
              <w:spacing w:after="0"/>
              <w:rPr>
                <w:sz w:val="10"/>
                <w:szCs w:val="10"/>
                <w:color w:val="auto"/>
              </w:rPr>
            </w:pPr>
          </w:p>
        </w:tc>
        <w:tc>
          <w:tcPr>
            <w:tcW w:w="760" w:type="dxa"/>
            <w:vAlign w:val="bottom"/>
            <w:gridSpan w:val="2"/>
          </w:tcPr>
          <w:p>
            <w:pPr>
              <w:ind w:left="60"/>
              <w:spacing w:after="0" w:line="117" w:lineRule="exact"/>
              <w:rPr>
                <w:sz w:val="20"/>
                <w:szCs w:val="20"/>
                <w:color w:val="auto"/>
              </w:rPr>
            </w:pPr>
            <w:r>
              <w:rPr>
                <w:rFonts w:ascii="Arial" w:cs="Arial" w:eastAsia="Arial" w:hAnsi="Arial"/>
                <w:sz w:val="13"/>
                <w:szCs w:val="13"/>
                <w:b w:val="1"/>
                <w:bCs w:val="1"/>
                <w:color w:val="auto"/>
              </w:rPr>
              <w:t>Series</w:t>
            </w:r>
          </w:p>
        </w:tc>
        <w:tc>
          <w:tcPr>
            <w:tcW w:w="120" w:type="dxa"/>
            <w:vAlign w:val="bottom"/>
          </w:tcPr>
          <w:p>
            <w:pPr>
              <w:spacing w:after="0"/>
              <w:rPr>
                <w:sz w:val="10"/>
                <w:szCs w:val="10"/>
                <w:color w:val="auto"/>
              </w:rPr>
            </w:pPr>
          </w:p>
        </w:tc>
        <w:tc>
          <w:tcPr>
            <w:tcW w:w="560" w:type="dxa"/>
            <w:vAlign w:val="bottom"/>
          </w:tcPr>
          <w:p>
            <w:pPr>
              <w:jc w:val="right"/>
              <w:ind w:right="117"/>
              <w:spacing w:after="0" w:line="117" w:lineRule="exact"/>
              <w:rPr>
                <w:sz w:val="20"/>
                <w:szCs w:val="20"/>
                <w:color w:val="auto"/>
              </w:rPr>
            </w:pPr>
            <w:r>
              <w:rPr>
                <w:rFonts w:ascii="Arial" w:cs="Arial" w:eastAsia="Arial" w:hAnsi="Arial"/>
                <w:sz w:val="13"/>
                <w:szCs w:val="13"/>
                <w:b w:val="1"/>
                <w:bCs w:val="1"/>
                <w:color w:val="auto"/>
                <w:w w:val="92"/>
              </w:rPr>
              <w:t>Series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320"/>
              <w:spacing w:after="0" w:line="117" w:lineRule="exact"/>
              <w:rPr>
                <w:sz w:val="20"/>
                <w:szCs w:val="20"/>
                <w:color w:val="auto"/>
              </w:rPr>
            </w:pPr>
            <w:r>
              <w:rPr>
                <w:rFonts w:ascii="Arial" w:cs="Arial" w:eastAsia="Arial" w:hAnsi="Arial"/>
                <w:sz w:val="13"/>
                <w:szCs w:val="13"/>
                <w:b w:val="1"/>
                <w:bCs w:val="1"/>
                <w:color w:val="auto"/>
                <w:w w:val="85"/>
              </w:rPr>
              <w:t>Common</w:t>
            </w:r>
          </w:p>
        </w:tc>
        <w:tc>
          <w:tcPr>
            <w:tcW w:w="6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17"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360"/>
              <w:spacing w:after="0" w:line="117" w:lineRule="exact"/>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10"/>
                <w:szCs w:val="10"/>
                <w:color w:val="auto"/>
              </w:rPr>
            </w:pPr>
          </w:p>
        </w:tc>
        <w:tc>
          <w:tcPr>
            <w:tcW w:w="1420" w:type="dxa"/>
            <w:vAlign w:val="bottom"/>
            <w:gridSpan w:val="5"/>
          </w:tcPr>
          <w:p>
            <w:pPr>
              <w:jc w:val="right"/>
              <w:ind w:right="360"/>
              <w:spacing w:after="0" w:line="117"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60"/>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and per share data)</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B</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Issuable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Surplus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Earnings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2"/>
              </w:rPr>
              <w:t>Income</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900" w:type="dxa"/>
            <w:vAlign w:val="bottom"/>
            <w:gridSpan w:val="2"/>
          </w:tcPr>
          <w:p>
            <w:pPr>
              <w:spacing w:after="0"/>
              <w:rPr>
                <w:sz w:val="20"/>
                <w:szCs w:val="20"/>
                <w:color w:val="auto"/>
              </w:rPr>
            </w:pPr>
            <w:r>
              <w:rPr>
                <w:rFonts w:ascii="Arial" w:cs="Arial" w:eastAsia="Arial" w:hAnsi="Arial"/>
                <w:sz w:val="13"/>
                <w:szCs w:val="13"/>
                <w:b w:val="1"/>
                <w:bCs w:val="1"/>
                <w:color w:val="auto"/>
              </w:rPr>
              <w:t>Balance, December 31, 2009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217</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w w:val="97"/>
              </w:rPr>
              <w:t>174,408</w:t>
            </w:r>
          </w:p>
        </w:tc>
        <w:tc>
          <w:tcPr>
            <w:tcW w:w="2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94,046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3,597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622,034</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20,384</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47,635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962,321</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rPr>
              <w:t>Comprehensive income: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(33,293)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(33,293)</w:t>
            </w:r>
          </w:p>
        </w:tc>
        <w:tc>
          <w:tcPr>
            <w:tcW w:w="0" w:type="dxa"/>
            <w:vAlign w:val="bottom"/>
          </w:tcPr>
          <w:p>
            <w:pPr>
              <w:spacing w:after="0"/>
              <w:rPr>
                <w:sz w:val="1"/>
                <w:szCs w:val="1"/>
                <w:color w:val="auto"/>
              </w:rPr>
            </w:pPr>
          </w:p>
        </w:tc>
      </w:tr>
      <w:tr>
        <w:trPr>
          <w:trHeight w:val="135"/>
        </w:trPr>
        <w:tc>
          <w:tcPr>
            <w:tcW w:w="2480" w:type="dxa"/>
            <w:vAlign w:val="bottom"/>
            <w:gridSpan w:val="5"/>
          </w:tcPr>
          <w:p>
            <w:pPr>
              <w:ind w:left="200"/>
              <w:spacing w:after="0" w:line="135" w:lineRule="exact"/>
              <w:rPr>
                <w:sz w:val="20"/>
                <w:szCs w:val="20"/>
                <w:color w:val="auto"/>
              </w:rPr>
            </w:pPr>
            <w:r>
              <w:rPr>
                <w:rFonts w:ascii="Arial" w:cs="Arial" w:eastAsia="Arial" w:hAnsi="Arial"/>
                <w:sz w:val="13"/>
                <w:szCs w:val="13"/>
                <w:color w:val="auto"/>
              </w:rPr>
              <w:t>Other comprehensive income (loss):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Unrealized holding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gains 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available for sale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securities,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net of deferred tax</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ind w:left="360"/>
              <w:spacing w:after="0" w:line="135" w:lineRule="exact"/>
              <w:rPr>
                <w:sz w:val="20"/>
                <w:szCs w:val="20"/>
                <w:color w:val="auto"/>
              </w:rPr>
            </w:pPr>
            <w:r>
              <w:rPr>
                <w:rFonts w:ascii="Arial" w:cs="Arial" w:eastAsia="Arial" w:hAnsi="Arial"/>
                <w:sz w:val="13"/>
                <w:szCs w:val="13"/>
                <w:color w:val="auto"/>
                <w:w w:val="91"/>
              </w:rPr>
              <w:t>and reclassification adjustment</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783</w:t>
            </w: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35"/>
        </w:trPr>
        <w:tc>
          <w:tcPr>
            <w:tcW w:w="190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0"/>
              </w:rPr>
              <w:t>Unrealized losses on derivative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financial instruments qualifying</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as cash flow hedges,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net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00" w:type="dxa"/>
            <w:vAlign w:val="bottom"/>
            <w:gridSpan w:val="2"/>
          </w:tcPr>
          <w:p>
            <w:pPr>
              <w:ind w:left="560"/>
              <w:spacing w:after="0"/>
              <w:rPr>
                <w:sz w:val="20"/>
                <w:szCs w:val="20"/>
                <w:color w:val="auto"/>
              </w:rPr>
            </w:pPr>
            <w:r>
              <w:rPr>
                <w:rFonts w:ascii="Arial" w:cs="Arial" w:eastAsia="Arial" w:hAnsi="Arial"/>
                <w:sz w:val="13"/>
                <w:szCs w:val="13"/>
                <w:color w:val="auto"/>
              </w:rPr>
              <w:t>deferred tax benefit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(3,092)</w:t>
            </w: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(3,092)</w:t>
            </w:r>
          </w:p>
        </w:tc>
        <w:tc>
          <w:tcPr>
            <w:tcW w:w="0" w:type="dxa"/>
            <w:vAlign w:val="bottom"/>
          </w:tcPr>
          <w:p>
            <w:pPr>
              <w:spacing w:after="0"/>
              <w:rPr>
                <w:sz w:val="1"/>
                <w:szCs w:val="1"/>
                <w:color w:val="auto"/>
              </w:rPr>
            </w:pPr>
          </w:p>
        </w:tc>
      </w:tr>
      <w:tr>
        <w:trPr>
          <w:trHeight w:val="121"/>
        </w:trPr>
        <w:tc>
          <w:tcPr>
            <w:tcW w:w="1900" w:type="dxa"/>
            <w:vAlign w:val="bottom"/>
            <w:gridSpan w:val="2"/>
          </w:tcPr>
          <w:p>
            <w:pPr>
              <w:ind w:left="700"/>
              <w:spacing w:after="0" w:line="121" w:lineRule="exact"/>
              <w:rPr>
                <w:sz w:val="20"/>
                <w:szCs w:val="20"/>
                <w:color w:val="auto"/>
              </w:rPr>
            </w:pPr>
            <w:r>
              <w:rPr>
                <w:rFonts w:ascii="Arial" w:cs="Arial" w:eastAsia="Arial" w:hAnsi="Arial"/>
                <w:sz w:val="13"/>
                <w:szCs w:val="13"/>
                <w:color w:val="auto"/>
              </w:rPr>
              <w:t>Comprehensive</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loss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(33,293)</w:t>
            </w:r>
          </w:p>
        </w:tc>
        <w:tc>
          <w:tcPr>
            <w:tcW w:w="10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(2,309)</w:t>
            </w: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(35,602)</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6"/>
              </w:rPr>
              <w:t>Common stock issued to dividend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ind w:left="220"/>
              <w:spacing w:after="0" w:line="135" w:lineRule="exact"/>
              <w:rPr>
                <w:sz w:val="20"/>
                <w:szCs w:val="20"/>
                <w:color w:val="auto"/>
              </w:rPr>
            </w:pPr>
            <w:r>
              <w:rPr>
                <w:rFonts w:ascii="Arial" w:cs="Arial" w:eastAsia="Arial" w:hAnsi="Arial"/>
                <w:sz w:val="13"/>
                <w:szCs w:val="13"/>
                <w:color w:val="auto"/>
                <w:w w:val="91"/>
              </w:rPr>
              <w:t>Reinvestment plan and employee</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benefit plans (125,021</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rPr>
              <w:t>Amortization of stock option and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restricted stock</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5"/>
              </w:rPr>
              <w:t>Vesting of restricted stock (12,447</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shares issued, 16,162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444</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7"/>
              </w:rPr>
              <w:t>Deferred compensation plan, net,</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6"/>
              </w:rPr>
              <w:t>including dividend equivalents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w w:val="90"/>
              </w:rPr>
              <w:t>Dividends on Series A preferred stock</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rPr>
              <w:t>Dividends on Series B preferred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00" w:type="dxa"/>
            <w:vAlign w:val="bottom"/>
            <w:gridSpan w:val="2"/>
          </w:tcPr>
          <w:p>
            <w:pPr>
              <w:spacing w:after="0"/>
              <w:rPr>
                <w:sz w:val="20"/>
                <w:szCs w:val="20"/>
                <w:color w:val="auto"/>
              </w:rPr>
            </w:pPr>
            <w:r>
              <w:rPr>
                <w:rFonts w:ascii="Arial" w:cs="Arial" w:eastAsia="Arial" w:hAnsi="Arial"/>
                <w:sz w:val="13"/>
                <w:szCs w:val="13"/>
                <w:color w:val="auto"/>
              </w:rPr>
              <w:t>stock</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(2,569)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(2,250)</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Balance, March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217</w:t>
            </w: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7"/>
              </w:rPr>
              <w:t>174,727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94,176</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4,127</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622,803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(15,481)</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45,326</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7"/>
              </w:rPr>
              <w:t>925,895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December 31, 2010</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1900" w:type="dxa"/>
            <w:vAlign w:val="bottom"/>
            <w:gridSpan w:val="2"/>
            <w:vMerge w:val="continue"/>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14" w:lineRule="exact"/>
              <w:rPr>
                <w:sz w:val="20"/>
                <w:szCs w:val="20"/>
                <w:color w:val="auto"/>
              </w:rPr>
            </w:pPr>
            <w:r>
              <w:rPr>
                <w:rFonts w:ascii="Arial" w:cs="Arial" w:eastAsia="Arial" w:hAnsi="Arial"/>
                <w:sz w:val="13"/>
                <w:szCs w:val="13"/>
                <w:color w:val="auto"/>
              </w:rPr>
              <w:t>217</w:t>
            </w:r>
          </w:p>
        </w:tc>
        <w:tc>
          <w:tcPr>
            <w:tcW w:w="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114" w:lineRule="exact"/>
              <w:rPr>
                <w:sz w:val="20"/>
                <w:szCs w:val="20"/>
                <w:color w:val="auto"/>
              </w:rPr>
            </w:pPr>
            <w:r>
              <w:rPr>
                <w:rFonts w:ascii="Arial" w:cs="Arial" w:eastAsia="Arial" w:hAnsi="Arial"/>
                <w:sz w:val="13"/>
                <w:szCs w:val="13"/>
                <w:color w:val="auto"/>
                <w:w w:val="97"/>
              </w:rPr>
              <w:t>175,711</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220" w:type="dxa"/>
            <w:vAlign w:val="bottom"/>
            <w:vMerge w:val="continue"/>
          </w:tcPr>
          <w:p>
            <w:pPr>
              <w:spacing w:after="0"/>
              <w:rPr>
                <w:sz w:val="9"/>
                <w:szCs w:val="9"/>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vMerge w:val="continue"/>
          </w:tcPr>
          <w:p>
            <w:pPr>
              <w:spacing w:after="0"/>
              <w:rPr>
                <w:sz w:val="9"/>
                <w:szCs w:val="9"/>
                <w:color w:val="auto"/>
              </w:rPr>
            </w:pP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14" w:lineRule="exact"/>
              <w:rPr>
                <w:sz w:val="20"/>
                <w:szCs w:val="20"/>
                <w:color w:val="auto"/>
              </w:rPr>
            </w:pPr>
            <w:r>
              <w:rPr>
                <w:rFonts w:ascii="Arial" w:cs="Arial" w:eastAsia="Arial" w:hAnsi="Arial"/>
                <w:sz w:val="13"/>
                <w:szCs w:val="13"/>
                <w:color w:val="auto"/>
              </w:rPr>
              <w:t>94,685</w:t>
            </w:r>
          </w:p>
        </w:tc>
        <w:tc>
          <w:tcPr>
            <w:tcW w:w="22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14" w:lineRule="exact"/>
              <w:rPr>
                <w:sz w:val="20"/>
                <w:szCs w:val="20"/>
                <w:color w:val="auto"/>
              </w:rPr>
            </w:pPr>
            <w:r>
              <w:rPr>
                <w:rFonts w:ascii="Arial" w:cs="Arial" w:eastAsia="Arial" w:hAnsi="Arial"/>
                <w:sz w:val="13"/>
                <w:szCs w:val="13"/>
                <w:color w:val="auto"/>
              </w:rPr>
              <w:t>3,894</w:t>
            </w:r>
          </w:p>
        </w:tc>
        <w:tc>
          <w:tcPr>
            <w:tcW w:w="220" w:type="dxa"/>
            <w:vAlign w:val="bottom"/>
            <w:vMerge w:val="continue"/>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14" w:lineRule="exact"/>
              <w:rPr>
                <w:sz w:val="20"/>
                <w:szCs w:val="20"/>
                <w:color w:val="auto"/>
              </w:rPr>
            </w:pPr>
            <w:r>
              <w:rPr>
                <w:rFonts w:ascii="Arial" w:cs="Arial" w:eastAsia="Arial" w:hAnsi="Arial"/>
                <w:sz w:val="13"/>
                <w:szCs w:val="13"/>
                <w:color w:val="auto"/>
              </w:rPr>
              <w:t>665,496</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line="114"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14" w:lineRule="exact"/>
              <w:rPr>
                <w:sz w:val="20"/>
                <w:szCs w:val="20"/>
                <w:color w:val="auto"/>
              </w:rPr>
            </w:pPr>
            <w:r>
              <w:rPr>
                <w:rFonts w:ascii="Arial" w:cs="Arial" w:eastAsia="Arial" w:hAnsi="Arial"/>
                <w:sz w:val="13"/>
                <w:szCs w:val="13"/>
                <w:color w:val="auto"/>
              </w:rPr>
              <w:t>(335,567)</w:t>
            </w:r>
          </w:p>
        </w:tc>
        <w:tc>
          <w:tcPr>
            <w:tcW w:w="220" w:type="dxa"/>
            <w:vAlign w:val="bottom"/>
            <w:vMerge w:val="continue"/>
          </w:tcPr>
          <w:p>
            <w:pPr>
              <w:spacing w:after="0"/>
              <w:rPr>
                <w:sz w:val="9"/>
                <w:szCs w:val="9"/>
                <w:color w:val="auto"/>
              </w:rPr>
            </w:pP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14" w:lineRule="exact"/>
              <w:rPr>
                <w:sz w:val="20"/>
                <w:szCs w:val="20"/>
                <w:color w:val="auto"/>
              </w:rPr>
            </w:pPr>
            <w:r>
              <w:rPr>
                <w:rFonts w:ascii="Arial" w:cs="Arial" w:eastAsia="Arial" w:hAnsi="Arial"/>
                <w:sz w:val="13"/>
                <w:szCs w:val="13"/>
                <w:color w:val="auto"/>
              </w:rPr>
              <w:t>31,079</w:t>
            </w:r>
          </w:p>
        </w:tc>
        <w:tc>
          <w:tcPr>
            <w:tcW w:w="220" w:type="dxa"/>
            <w:vAlign w:val="bottom"/>
            <w:vMerge w:val="continue"/>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114" w:lineRule="exact"/>
              <w:rPr>
                <w:sz w:val="20"/>
                <w:szCs w:val="20"/>
                <w:color w:val="auto"/>
              </w:rPr>
            </w:pPr>
            <w:r>
              <w:rPr>
                <w:rFonts w:ascii="Arial" w:cs="Arial" w:eastAsia="Arial" w:hAnsi="Arial"/>
                <w:sz w:val="13"/>
                <w:szCs w:val="13"/>
                <w:color w:val="auto"/>
                <w:w w:val="97"/>
              </w:rPr>
              <w:t>635,515</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rPr>
              <w:t>Comprehensive loss: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(142,486)</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9"/>
              </w:rPr>
              <w:t>(142,486)</w:t>
            </w:r>
          </w:p>
        </w:tc>
        <w:tc>
          <w:tcPr>
            <w:tcW w:w="0" w:type="dxa"/>
            <w:vAlign w:val="bottom"/>
          </w:tcPr>
          <w:p>
            <w:pPr>
              <w:spacing w:after="0"/>
              <w:rPr>
                <w:sz w:val="1"/>
                <w:szCs w:val="1"/>
                <w:color w:val="auto"/>
              </w:rPr>
            </w:pPr>
          </w:p>
        </w:tc>
      </w:tr>
      <w:tr>
        <w:trPr>
          <w:trHeight w:val="135"/>
        </w:trPr>
        <w:tc>
          <w:tcPr>
            <w:tcW w:w="19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Other comprehensive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loss: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Unrealized holding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gains 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available for sale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securities,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net of deferred tax</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ind w:left="360"/>
              <w:spacing w:after="0" w:line="135" w:lineRule="exact"/>
              <w:rPr>
                <w:sz w:val="20"/>
                <w:szCs w:val="20"/>
                <w:color w:val="auto"/>
              </w:rPr>
            </w:pPr>
            <w:r>
              <w:rPr>
                <w:rFonts w:ascii="Arial" w:cs="Arial" w:eastAsia="Arial" w:hAnsi="Arial"/>
                <w:sz w:val="13"/>
                <w:szCs w:val="13"/>
                <w:color w:val="auto"/>
                <w:w w:val="91"/>
              </w:rPr>
              <w:t>and reclassification adjustment</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(1,003)</w:t>
            </w: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(1,003)</w:t>
            </w:r>
          </w:p>
        </w:tc>
        <w:tc>
          <w:tcPr>
            <w:tcW w:w="0" w:type="dxa"/>
            <w:vAlign w:val="bottom"/>
          </w:tcPr>
          <w:p>
            <w:pPr>
              <w:spacing w:after="0"/>
              <w:rPr>
                <w:sz w:val="1"/>
                <w:szCs w:val="1"/>
                <w:color w:val="auto"/>
              </w:rPr>
            </w:pPr>
          </w:p>
        </w:tc>
      </w:tr>
      <w:tr>
        <w:trPr>
          <w:trHeight w:val="135"/>
        </w:trPr>
        <w:tc>
          <w:tcPr>
            <w:tcW w:w="190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2"/>
              </w:rPr>
              <w:t>Unrealized losses on derivative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financial instruments qualifying</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as cash flow hedges,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net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00" w:type="dxa"/>
            <w:vAlign w:val="bottom"/>
            <w:gridSpan w:val="2"/>
          </w:tcPr>
          <w:p>
            <w:pPr>
              <w:ind w:left="520"/>
              <w:spacing w:after="0"/>
              <w:rPr>
                <w:sz w:val="20"/>
                <w:szCs w:val="20"/>
                <w:color w:val="auto"/>
              </w:rPr>
            </w:pPr>
            <w:r>
              <w:rPr>
                <w:rFonts w:ascii="Arial" w:cs="Arial" w:eastAsia="Arial" w:hAnsi="Arial"/>
                <w:sz w:val="13"/>
                <w:szCs w:val="13"/>
                <w:color w:val="auto"/>
              </w:rPr>
              <w:t>deferred tax benefit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(2,580)</w:t>
            </w: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(2,580)</w:t>
            </w:r>
          </w:p>
        </w:tc>
        <w:tc>
          <w:tcPr>
            <w:tcW w:w="0" w:type="dxa"/>
            <w:vAlign w:val="bottom"/>
          </w:tcPr>
          <w:p>
            <w:pPr>
              <w:spacing w:after="0"/>
              <w:rPr>
                <w:sz w:val="1"/>
                <w:szCs w:val="1"/>
                <w:color w:val="auto"/>
              </w:rPr>
            </w:pPr>
          </w:p>
        </w:tc>
      </w:tr>
      <w:tr>
        <w:trPr>
          <w:trHeight w:val="121"/>
        </w:trPr>
        <w:tc>
          <w:tcPr>
            <w:tcW w:w="1900" w:type="dxa"/>
            <w:vAlign w:val="bottom"/>
            <w:gridSpan w:val="2"/>
          </w:tcPr>
          <w:p>
            <w:pPr>
              <w:ind w:left="240"/>
              <w:spacing w:after="0" w:line="121" w:lineRule="exact"/>
              <w:rPr>
                <w:sz w:val="20"/>
                <w:szCs w:val="20"/>
                <w:color w:val="auto"/>
              </w:rPr>
            </w:pPr>
            <w:r>
              <w:rPr>
                <w:rFonts w:ascii="Arial" w:cs="Arial" w:eastAsia="Arial" w:hAnsi="Arial"/>
                <w:sz w:val="13"/>
                <w:szCs w:val="13"/>
                <w:color w:val="auto"/>
              </w:rPr>
              <w:t>Comprehensive loss</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(142,486)</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(3,583)</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w w:val="82"/>
              </w:rPr>
              <w:t>(146,069)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w w:val="88"/>
              </w:rPr>
              <w:t>Preferred for common equity exchange</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ind w:left="220"/>
              <w:spacing w:after="0" w:line="135" w:lineRule="exact"/>
              <w:rPr>
                <w:sz w:val="20"/>
                <w:szCs w:val="20"/>
                <w:color w:val="auto"/>
              </w:rPr>
            </w:pPr>
            <w:r>
              <w:rPr>
                <w:rFonts w:ascii="Arial" w:cs="Arial" w:eastAsia="Arial" w:hAnsi="Arial"/>
                <w:sz w:val="13"/>
                <w:szCs w:val="13"/>
                <w:color w:val="auto"/>
                <w:w w:val="88"/>
              </w:rPr>
              <w:t>related to tax benefits preservation</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87"/>
              </w:rPr>
              <w:t>plan (7,755,631 common 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16,613</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(7,756)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(8,857)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6"/>
              </w:rPr>
              <w:t>Common stock issued to dividend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88"/>
              </w:rPr>
              <w:t>reinvestment plan and employee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4"/>
              </w:rPr>
              <w:t>benefit plans (230,096 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89"/>
              </w:rPr>
              <w:t>Common and preferred stock issued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(17,338,497 common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195,872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151,185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17,338</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7"/>
              </w:rPr>
              <w:t>362,529</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8"/>
              </w:rPr>
              <w:t>Amortization of stock options and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restricted stock awards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549</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9"/>
              </w:rPr>
              <w:t>Vesting of restricted stock (7,097</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shares issued, 31,910</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97"/>
              </w:rPr>
              <w:t>Deferred compensation plan, net,</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220"/>
              <w:spacing w:after="0" w:line="135" w:lineRule="exact"/>
              <w:rPr>
                <w:sz w:val="20"/>
                <w:szCs w:val="20"/>
                <w:color w:val="auto"/>
              </w:rPr>
            </w:pPr>
            <w:r>
              <w:rPr>
                <w:rFonts w:ascii="Arial" w:cs="Arial" w:eastAsia="Arial" w:hAnsi="Arial"/>
                <w:sz w:val="13"/>
                <w:szCs w:val="13"/>
                <w:color w:val="auto"/>
                <w:w w:val="96"/>
              </w:rPr>
              <w:t>including dividend equivalents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rPr>
              <w:t>Shares issued from deferred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ind w:left="220"/>
              <w:spacing w:after="0" w:line="135" w:lineRule="exact"/>
              <w:rPr>
                <w:sz w:val="20"/>
                <w:szCs w:val="20"/>
                <w:color w:val="auto"/>
              </w:rPr>
            </w:pPr>
            <w:r>
              <w:rPr>
                <w:rFonts w:ascii="Arial" w:cs="Arial" w:eastAsia="Arial" w:hAnsi="Arial"/>
                <w:sz w:val="13"/>
                <w:szCs w:val="13"/>
                <w:color w:val="auto"/>
                <w:w w:val="86"/>
              </w:rPr>
              <w:t>compensation plan (10,491 shares)</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(332)</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color w:val="auto"/>
                <w:w w:val="88"/>
              </w:rPr>
              <w:t>Tax on option exercise and restricted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stock vesting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35"/>
        </w:trPr>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w w:val="90"/>
              </w:rPr>
              <w:t>Dividends on Series A preferred stock</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1"/>
        </w:trPr>
        <w:tc>
          <w:tcPr>
            <w:tcW w:w="2000" w:type="dxa"/>
            <w:vAlign w:val="bottom"/>
            <w:gridSpan w:val="3"/>
          </w:tcPr>
          <w:p>
            <w:pPr>
              <w:spacing w:after="0" w:line="131" w:lineRule="exact"/>
              <w:rPr>
                <w:sz w:val="20"/>
                <w:szCs w:val="20"/>
                <w:color w:val="auto"/>
              </w:rPr>
            </w:pPr>
            <w:r>
              <w:rPr>
                <w:rFonts w:ascii="Arial" w:cs="Arial" w:eastAsia="Arial" w:hAnsi="Arial"/>
                <w:sz w:val="13"/>
                <w:szCs w:val="13"/>
                <w:color w:val="auto"/>
                <w:w w:val="90"/>
              </w:rPr>
              <w:t>Dividends on Series B preferred stock</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1" w:lineRule="exact"/>
              <w:rPr>
                <w:sz w:val="20"/>
                <w:szCs w:val="20"/>
                <w:color w:val="auto"/>
              </w:rPr>
            </w:pPr>
            <w:r>
              <w:rPr>
                <w:rFonts w:ascii="Arial" w:cs="Arial" w:eastAsia="Arial" w:hAnsi="Arial"/>
                <w:sz w:val="13"/>
                <w:szCs w:val="13"/>
                <w:color w:val="auto"/>
              </w:rPr>
              <w:t>338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(2,602)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Dividends on Series 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00" w:type="dxa"/>
            <w:vAlign w:val="bottom"/>
            <w:gridSpan w:val="2"/>
          </w:tcPr>
          <w:p>
            <w:pPr>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Balance, March 31, 2011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217</w:t>
            </w: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7"/>
              </w:rPr>
              <w:t>176,049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16,613</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195,872</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151,185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104,516</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3,681</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655,350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(480,831)</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27,496</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7"/>
              </w:rPr>
              <w:t>850,148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(142,486)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Losses and write downs on sales of other real estate owned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Gain from sale of subsidiary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(90,321)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Proceeds from maturities and calls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Proceeds from sales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Proceeds from maturities and calls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(405,979)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Net decrease in loans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Net cash received from sale of subsidiary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21,692</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Net change in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Net change in federal funds purchased, repurchase agreements, and other short-term borrowings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440,177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12,188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1,089,634</w:t>
            </w:r>
          </w:p>
        </w:tc>
        <w:tc>
          <w:tcPr>
            <w:tcW w:w="140" w:type="dxa"/>
            <w:vAlign w:val="bottom"/>
          </w:tcPr>
          <w:p>
            <w:pPr>
              <w:spacing w:after="0"/>
              <w:rPr>
                <w:sz w:val="24"/>
                <w:szCs w:val="2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388,555</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6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17,936</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177,532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2010 annual report filed on Form 10-K.</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Estate Sales </w:t>
      </w:r>
      <w:r>
        <w:rPr>
          <w:rFonts w:ascii="Arial" w:cs="Arial" w:eastAsia="Arial" w:hAnsi="Arial"/>
          <w:sz w:val="18"/>
          <w:szCs w:val="18"/>
          <w:color w:val="auto"/>
        </w:rPr>
        <w:t>(“ASC 360-20”)</w:t>
      </w:r>
      <w:r>
        <w:rPr>
          <w:rFonts w:ascii="Arial" w:cs="Arial" w:eastAsia="Arial" w:hAnsi="Arial"/>
          <w:sz w:val="18"/>
          <w:szCs w:val="18"/>
          <w:i w:val="1"/>
          <w:i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Standards Updates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2011, the FASB issued Accounting Standards Update No. 2011-02, </w:t>
      </w:r>
      <w:r>
        <w:rPr>
          <w:rFonts w:ascii="Arial" w:cs="Arial" w:eastAsia="Arial" w:hAnsi="Arial"/>
          <w:sz w:val="18"/>
          <w:szCs w:val="18"/>
          <w:i w:val="1"/>
          <w:iCs w:val="1"/>
          <w:color w:val="auto"/>
        </w:rPr>
        <w:t>A Creditor’s Determination of Whether a Restructuring Is a Troubled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(“ASU No. 2011-02”). ASU No. 2011-02 requires a creditor to separately conclude that 1.) the restructuring constitutes a concession and 2.)</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debtor is experiencing financial difficulties in order for a modification to be considered a troubled debt restructuring (“TDR”). The guidance was issued to provide clarification and to address diversity in practice in identifying TDR’s. It is effective for United in the third quarter of 2011 and will be applied retrospectively to the beginning of the year. Although evaluation of the impact is not complete, it is not expected to have a material impact on United’s results of operations, financial position, or disclosures.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April 2011, the FASB issued Accounting Standards Update No. 2011-03, Reconsideration of Effective Control in Repurchase Agreements (“ASU No. 2011-03”). ASU No. 2011-03 removes from the assessment of effective control the criterion related to the transferor’s ability to repurchase or redeem financial assets on substantially the agreed terms, even in the event of default by the transferee. In addition, this guidance also eliminates the requirement to demonstrate that a transferor possesses adequate collateral to fund substantially all the cost of purchasing replacement financial assets. It is effective for United for the first quarter of 2012, and is not expected to have a material impact on United’s results of operations, financial position, or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Mergers and Acquisitions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19, 2009, United Community Bank (“UCB” or the “Bank”) purchased substantially all the assets and assumed substantially all the liabilities of Southern Community Bank (“SCB”) from the Federal Deposit Insurance Corporation (“FDIC”), as Receiver of SCB.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loss sharing agreement, the portion of the losses expected to be indemnified by FDIC is considered an indemnification asset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sharing agreements with the FDIC are reported as “assets covered by loss sharing agreements with the FDIC” in the consolidated balance sheet.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4"/>
          </w:tcPr>
          <w:p>
            <w:pPr>
              <w:spacing w:after="0"/>
              <w:rPr>
                <w:sz w:val="20"/>
                <w:szCs w:val="20"/>
                <w:color w:val="auto"/>
              </w:rPr>
            </w:pPr>
            <w:r>
              <w:rPr>
                <w:rFonts w:ascii="Arial" w:cs="Arial" w:eastAsia="Arial" w:hAnsi="Arial"/>
                <w:sz w:val="18"/>
                <w:szCs w:val="18"/>
                <w:color w:val="auto"/>
                <w:w w:val="98"/>
              </w:rPr>
              <w:t xml:space="preserve">The table below shows the components of covered assets at March 31, 2011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Impaired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96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Loans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418"/>
        </w:trPr>
        <w:tc>
          <w:tcPr>
            <w:tcW w:w="5960" w:type="dxa"/>
            <w:vAlign w:val="bottom"/>
          </w:tcPr>
          <w:p>
            <w:pPr>
              <w:ind w:left="6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35,129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35,129</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Commercial (commercial and industrial)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3,478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3,478</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Construction and land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13,335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14,979</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9,322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9,467</w:t>
            </w:r>
          </w:p>
        </w:tc>
      </w:tr>
      <w:tr>
        <w:trPr>
          <w:trHeight w:val="237"/>
        </w:trPr>
        <w:tc>
          <w:tcPr>
            <w:tcW w:w="5960" w:type="dxa"/>
            <w:vAlign w:val="bottom"/>
          </w:tcPr>
          <w:p>
            <w:pPr>
              <w:ind w:left="6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r>
      <w:tr>
        <w:trPr>
          <w:trHeight w:val="202"/>
        </w:trPr>
        <w:tc>
          <w:tcPr>
            <w:tcW w:w="5960" w:type="dxa"/>
            <w:vAlign w:val="bottom"/>
          </w:tcPr>
          <w:p>
            <w:pPr>
              <w:ind w:left="280"/>
              <w:spacing w:after="0" w:line="201" w:lineRule="exact"/>
              <w:rPr>
                <w:sz w:val="20"/>
                <w:szCs w:val="20"/>
                <w:color w:val="auto"/>
              </w:rPr>
            </w:pPr>
            <w:r>
              <w:rPr>
                <w:rFonts w:ascii="Arial" w:cs="Arial" w:eastAsia="Arial" w:hAnsi="Arial"/>
                <w:sz w:val="18"/>
                <w:szCs w:val="18"/>
                <w:color w:val="auto"/>
              </w:rPr>
              <w:t>Total covered loans</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1,796</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61,493</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63,289</w:t>
            </w:r>
          </w:p>
        </w:tc>
        <w:tc>
          <w:tcPr>
            <w:tcW w:w="20" w:type="dxa"/>
            <w:vAlign w:val="bottom"/>
          </w:tcPr>
          <w:p>
            <w:pPr>
              <w:spacing w:after="0"/>
              <w:rPr>
                <w:sz w:val="17"/>
                <w:szCs w:val="17"/>
                <w:color w:val="auto"/>
              </w:rPr>
            </w:pP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Covered forclosed property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30,833</w:t>
            </w:r>
          </w:p>
        </w:tc>
      </w:tr>
      <w:tr>
        <w:trPr>
          <w:trHeight w:val="216"/>
        </w:trPr>
        <w:tc>
          <w:tcPr>
            <w:tcW w:w="5960" w:type="dxa"/>
            <w:vAlign w:val="bottom"/>
          </w:tcPr>
          <w:p>
            <w:pPr>
              <w:ind w:left="60"/>
              <w:spacing w:after="0"/>
              <w:rPr>
                <w:sz w:val="20"/>
                <w:szCs w:val="20"/>
                <w:color w:val="auto"/>
              </w:rPr>
            </w:pPr>
            <w:r>
              <w:rPr>
                <w:rFonts w:ascii="Arial" w:cs="Arial" w:eastAsia="Arial" w:hAnsi="Arial"/>
                <w:sz w:val="18"/>
                <w:szCs w:val="18"/>
                <w:color w:val="auto"/>
              </w:rPr>
              <w:t>Estimated loss reimbursement from the FDIC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31,667</w:t>
            </w:r>
          </w:p>
        </w:tc>
      </w:tr>
      <w:tr>
        <w:trPr>
          <w:trHeight w:val="230"/>
        </w:trPr>
        <w:tc>
          <w:tcPr>
            <w:tcW w:w="5960" w:type="dxa"/>
            <w:vAlign w:val="bottom"/>
          </w:tcPr>
          <w:p>
            <w:pPr>
              <w:ind w:left="280"/>
              <w:spacing w:after="0"/>
              <w:rPr>
                <w:sz w:val="20"/>
                <w:szCs w:val="20"/>
                <w:color w:val="auto"/>
              </w:rPr>
            </w:pPr>
            <w:r>
              <w:rPr>
                <w:rFonts w:ascii="Arial" w:cs="Arial" w:eastAsia="Arial" w:hAnsi="Arial"/>
                <w:sz w:val="18"/>
                <w:szCs w:val="18"/>
                <w:color w:val="auto"/>
              </w:rPr>
              <w:t>Total covered assets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61,493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62,500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125,789</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second quarter of 2010, securities available for sale with a fair value of $315 million were transferred to held to maturity. The securities were transferred at their fair value on the date of transfer. The unrealized gain of $7.1 million on the transferred securities on the date of transfer is being amortized into interest revenue as an adjustment to the yield on those securities over the remaining life of the transferred securities. Securities are classified as held to maturity when management has the positive intent and ability to hold them until maturity. Securities held to maturity are carried at amortized cost.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 to maturity at March 31, 2011 and December 31, 2010,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 There were no securities classified as held to maturity at March 31,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190"/>
        </w:trPr>
        <w:tc>
          <w:tcPr>
            <w:tcW w:w="6080" w:type="dxa"/>
            <w:vAlign w:val="bottom"/>
            <w:gridSpan w:val="3"/>
          </w:tcPr>
          <w:p>
            <w:pPr>
              <w:spacing w:after="0" w:line="190" w:lineRule="exact"/>
              <w:rPr>
                <w:sz w:val="20"/>
                <w:szCs w:val="20"/>
                <w:color w:val="auto"/>
              </w:rPr>
            </w:pPr>
            <w:r>
              <w:rPr>
                <w:rFonts w:ascii="Arial" w:cs="Arial" w:eastAsia="Arial" w:hAnsi="Arial"/>
                <w:sz w:val="18"/>
                <w:szCs w:val="18"/>
                <w:color w:val="auto"/>
              </w:rPr>
              <w:t>As of March 31, 2011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0" w:lineRule="exact"/>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6080" w:type="dxa"/>
            <w:vAlign w:val="bottom"/>
            <w:gridSpan w:val="3"/>
            <w:vMerge w:val="restart"/>
          </w:tcPr>
          <w:p>
            <w:pPr>
              <w:ind w:left="360"/>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4,989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48,497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48,382</w:t>
            </w:r>
          </w:p>
        </w:tc>
        <w:tc>
          <w:tcPr>
            <w:tcW w:w="0" w:type="dxa"/>
            <w:vAlign w:val="bottom"/>
          </w:tcPr>
          <w:p>
            <w:pPr>
              <w:spacing w:after="0"/>
              <w:rPr>
                <w:sz w:val="1"/>
                <w:szCs w:val="1"/>
                <w:color w:val="auto"/>
              </w:rPr>
            </w:pPr>
          </w:p>
        </w:tc>
      </w:tr>
      <w:tr>
        <w:trPr>
          <w:trHeight w:val="230"/>
        </w:trPr>
        <w:tc>
          <w:tcPr>
            <w:tcW w:w="6080" w:type="dxa"/>
            <w:vAlign w:val="bottom"/>
            <w:gridSpan w:val="3"/>
          </w:tcPr>
          <w:p>
            <w:pPr>
              <w:ind w:left="360"/>
              <w:spacing w:after="0" w:line="230"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191,944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194,978</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08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245,430</w:t>
            </w:r>
          </w:p>
        </w:tc>
        <w:tc>
          <w:tcPr>
            <w:tcW w:w="1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248,361</w:t>
            </w:r>
          </w:p>
        </w:tc>
        <w:tc>
          <w:tcPr>
            <w:tcW w:w="0" w:type="dxa"/>
            <w:vAlign w:val="bottom"/>
          </w:tcPr>
          <w:p>
            <w:pPr>
              <w:spacing w:after="0"/>
              <w:rPr>
                <w:sz w:val="1"/>
                <w:szCs w:val="1"/>
                <w:color w:val="auto"/>
              </w:rPr>
            </w:pPr>
          </w:p>
        </w:tc>
      </w:tr>
      <w:tr>
        <w:trPr>
          <w:trHeight w:val="21"/>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2010</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16"/>
        </w:trPr>
        <w:tc>
          <w:tcPr>
            <w:tcW w:w="608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47,007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46,418</w:t>
            </w:r>
          </w:p>
        </w:tc>
        <w:tc>
          <w:tcPr>
            <w:tcW w:w="0" w:type="dxa"/>
            <w:vAlign w:val="bottom"/>
          </w:tcPr>
          <w:p>
            <w:pPr>
              <w:spacing w:after="0"/>
              <w:rPr>
                <w:sz w:val="1"/>
                <w:szCs w:val="1"/>
                <w:color w:val="auto"/>
              </w:rPr>
            </w:pPr>
          </w:p>
        </w:tc>
      </w:tr>
      <w:tr>
        <w:trPr>
          <w:trHeight w:val="230"/>
        </w:trPr>
        <w:tc>
          <w:tcPr>
            <w:tcW w:w="6080" w:type="dxa"/>
            <w:vAlign w:val="bottom"/>
            <w:gridSpan w:val="3"/>
          </w:tcPr>
          <w:p>
            <w:pPr>
              <w:ind w:left="360"/>
              <w:spacing w:after="0" w:line="230"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206,861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209,552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08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265,807</w:t>
            </w:r>
          </w:p>
        </w:tc>
        <w:tc>
          <w:tcPr>
            <w:tcW w:w="1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267,988</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All are residential type mortgage-backed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March 31, 2011, December 31, 2010 and March 31, 2010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190"/>
        </w:trPr>
        <w:tc>
          <w:tcPr>
            <w:tcW w:w="6080" w:type="dxa"/>
            <w:vAlign w:val="bottom"/>
            <w:gridSpan w:val="4"/>
          </w:tcPr>
          <w:p>
            <w:pPr>
              <w:spacing w:after="0" w:line="190" w:lineRule="exact"/>
              <w:rPr>
                <w:sz w:val="20"/>
                <w:szCs w:val="20"/>
                <w:color w:val="auto"/>
              </w:rPr>
            </w:pPr>
            <w:r>
              <w:rPr>
                <w:rFonts w:ascii="Arial" w:cs="Arial" w:eastAsia="Arial" w:hAnsi="Arial"/>
                <w:sz w:val="18"/>
                <w:szCs w:val="18"/>
                <w:color w:val="auto"/>
              </w:rPr>
              <w:t>As of March 31, 2011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0" w:lineRule="exact"/>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6080" w:type="dxa"/>
            <w:vAlign w:val="bottom"/>
            <w:gridSpan w:val="4"/>
            <w:vMerge w:val="restart"/>
          </w:tcPr>
          <w:p>
            <w:pPr>
              <w:ind w:left="360"/>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94,966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93,778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26,870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27,833</w:t>
            </w:r>
          </w:p>
        </w:tc>
        <w:tc>
          <w:tcPr>
            <w:tcW w:w="0" w:type="dxa"/>
            <w:vAlign w:val="bottom"/>
          </w:tcPr>
          <w:p>
            <w:pPr>
              <w:spacing w:after="0"/>
              <w:rPr>
                <w:sz w:val="1"/>
                <w:szCs w:val="1"/>
                <w:color w:val="auto"/>
              </w:rPr>
            </w:pPr>
          </w:p>
        </w:tc>
      </w:tr>
      <w:tr>
        <w:trPr>
          <w:trHeight w:val="216"/>
        </w:trPr>
        <w:tc>
          <w:tcPr>
            <w:tcW w:w="6080" w:type="dxa"/>
            <w:vAlign w:val="bottom"/>
            <w:gridSpan w:val="4"/>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1,388,702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27,617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1,414,845</w:t>
            </w:r>
          </w:p>
        </w:tc>
        <w:tc>
          <w:tcPr>
            <w:tcW w:w="0" w:type="dxa"/>
            <w:vAlign w:val="bottom"/>
          </w:tcPr>
          <w:p>
            <w:pPr>
              <w:spacing w:after="0"/>
              <w:rPr>
                <w:sz w:val="1"/>
                <w:szCs w:val="1"/>
                <w:color w:val="auto"/>
              </w:rPr>
            </w:pPr>
          </w:p>
        </w:tc>
      </w:tr>
      <w:tr>
        <w:trPr>
          <w:trHeight w:val="237"/>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103,408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102,038</w:t>
            </w:r>
          </w:p>
        </w:tc>
        <w:tc>
          <w:tcPr>
            <w:tcW w:w="0" w:type="dxa"/>
            <w:vAlign w:val="bottom"/>
          </w:tcPr>
          <w:p>
            <w:pPr>
              <w:spacing w:after="0"/>
              <w:rPr>
                <w:sz w:val="1"/>
                <w:szCs w:val="1"/>
                <w:color w:val="auto"/>
              </w:rPr>
            </w:pPr>
          </w:p>
        </w:tc>
      </w:tr>
      <w:tr>
        <w:trPr>
          <w:trHeight w:val="216"/>
        </w:trPr>
        <w:tc>
          <w:tcPr>
            <w:tcW w:w="6080" w:type="dxa"/>
            <w:vAlign w:val="bottom"/>
            <w:gridSpan w:val="4"/>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1,613,946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rPr>
              <w:t>As of December 31, 2010</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0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99,969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27,600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6080" w:type="dxa"/>
            <w:vAlign w:val="bottom"/>
            <w:gridSpan w:val="4"/>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963,475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29,204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37"/>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107,811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106,487</w:t>
            </w:r>
          </w:p>
        </w:tc>
        <w:tc>
          <w:tcPr>
            <w:tcW w:w="0" w:type="dxa"/>
            <w:vAlign w:val="bottom"/>
          </w:tcPr>
          <w:p>
            <w:pPr>
              <w:spacing w:after="0"/>
              <w:rPr>
                <w:sz w:val="1"/>
                <w:szCs w:val="1"/>
                <w:color w:val="auto"/>
              </w:rPr>
            </w:pPr>
          </w:p>
        </w:tc>
      </w:tr>
      <w:tr>
        <w:trPr>
          <w:trHeight w:val="216"/>
        </w:trPr>
        <w:tc>
          <w:tcPr>
            <w:tcW w:w="6080" w:type="dxa"/>
            <w:vAlign w:val="bottom"/>
            <w:gridSpan w:val="4"/>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1,198,855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30,341</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w w:val="92"/>
              </w:rPr>
              <w:t>As of March 31, 2010</w:t>
            </w:r>
          </w:p>
        </w:tc>
        <w:tc>
          <w:tcPr>
            <w:tcW w:w="44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600" w:type="dxa"/>
            <w:vAlign w:val="bottom"/>
            <w:tcBorders>
              <w:bottom w:val="single" w:sz="8" w:color="auto"/>
            </w:tcBorders>
            <w:gridSpan w:val="2"/>
            <w:vMerge w:val="continue"/>
          </w:tcPr>
          <w:p>
            <w:pPr>
              <w:spacing w:after="0"/>
              <w:rPr>
                <w:sz w:val="24"/>
                <w:szCs w:val="24"/>
                <w:color w:val="auto"/>
              </w:rPr>
            </w:pPr>
          </w:p>
        </w:tc>
        <w:tc>
          <w:tcPr>
            <w:tcW w:w="4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306,916</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306,578</w:t>
            </w:r>
          </w:p>
        </w:tc>
        <w:tc>
          <w:tcPr>
            <w:tcW w:w="0" w:type="dxa"/>
            <w:vAlign w:val="bottom"/>
          </w:tcPr>
          <w:p>
            <w:pPr>
              <w:spacing w:after="0"/>
              <w:rPr>
                <w:sz w:val="1"/>
                <w:szCs w:val="1"/>
                <w:color w:val="auto"/>
              </w:rPr>
            </w:pPr>
          </w:p>
        </w:tc>
      </w:tr>
      <w:tr>
        <w:trPr>
          <w:trHeight w:val="216"/>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63,175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64,544</w:t>
            </w:r>
          </w:p>
        </w:tc>
        <w:tc>
          <w:tcPr>
            <w:tcW w:w="0" w:type="dxa"/>
            <w:vAlign w:val="bottom"/>
          </w:tcPr>
          <w:p>
            <w:pPr>
              <w:spacing w:after="0"/>
              <w:rPr>
                <w:sz w:val="1"/>
                <w:szCs w:val="1"/>
                <w:color w:val="auto"/>
              </w:rPr>
            </w:pPr>
          </w:p>
        </w:tc>
      </w:tr>
      <w:tr>
        <w:trPr>
          <w:trHeight w:val="216"/>
        </w:trPr>
        <w:tc>
          <w:tcPr>
            <w:tcW w:w="6080" w:type="dxa"/>
            <w:vAlign w:val="bottom"/>
            <w:gridSpan w:val="4"/>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1,101,456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41,754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1,142,179</w:t>
            </w:r>
          </w:p>
        </w:tc>
        <w:tc>
          <w:tcPr>
            <w:tcW w:w="0" w:type="dxa"/>
            <w:vAlign w:val="bottom"/>
          </w:tcPr>
          <w:p>
            <w:pPr>
              <w:spacing w:after="0"/>
              <w:rPr>
                <w:sz w:val="1"/>
                <w:szCs w:val="1"/>
                <w:color w:val="auto"/>
              </w:rPr>
            </w:pPr>
          </w:p>
        </w:tc>
      </w:tr>
      <w:tr>
        <w:trPr>
          <w:trHeight w:val="237"/>
        </w:trPr>
        <w:tc>
          <w:tcPr>
            <w:tcW w:w="608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13,006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13,288</w:t>
            </w:r>
          </w:p>
        </w:tc>
        <w:tc>
          <w:tcPr>
            <w:tcW w:w="0" w:type="dxa"/>
            <w:vAlign w:val="bottom"/>
          </w:tcPr>
          <w:p>
            <w:pPr>
              <w:spacing w:after="0"/>
              <w:rPr>
                <w:sz w:val="1"/>
                <w:szCs w:val="1"/>
                <w:color w:val="auto"/>
              </w:rPr>
            </w:pPr>
          </w:p>
        </w:tc>
      </w:tr>
      <w:tr>
        <w:trPr>
          <w:trHeight w:val="216"/>
        </w:trPr>
        <w:tc>
          <w:tcPr>
            <w:tcW w:w="6080" w:type="dxa"/>
            <w:vAlign w:val="bottom"/>
            <w:gridSpan w:val="4"/>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1,484,553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All are residential type mortgage-backed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summarizes held to maturity securities in an unrealized loss position as of March 31, 2011 and December 31, 2010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7"/>
          </w:tcPr>
          <w:p>
            <w:pPr>
              <w:ind w:left="38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2240" w:type="dxa"/>
            <w:vAlign w:val="bottom"/>
            <w:gridSpan w:val="4"/>
          </w:tcPr>
          <w:p>
            <w:pPr>
              <w:jc w:val="right"/>
              <w:ind w:right="339"/>
              <w:spacing w:after="0"/>
              <w:rPr>
                <w:sz w:val="20"/>
                <w:szCs w:val="20"/>
                <w:color w:val="auto"/>
              </w:rPr>
            </w:pPr>
            <w:r>
              <w:rPr>
                <w:rFonts w:ascii="Arial" w:cs="Arial" w:eastAsia="Arial" w:hAnsi="Arial"/>
                <w:sz w:val="18"/>
                <w:szCs w:val="18"/>
                <w:color w:val="auto"/>
              </w:rPr>
              <w:t>12 Months or More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Unrealized</w:t>
            </w:r>
          </w:p>
        </w:tc>
        <w:tc>
          <w:tcPr>
            <w:tcW w:w="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40" w:type="dxa"/>
            <w:vAlign w:val="bottom"/>
            <w:gridSpan w:val="3"/>
          </w:tcPr>
          <w:p>
            <w:pPr>
              <w:spacing w:after="0" w:line="190" w:lineRule="exact"/>
              <w:rPr>
                <w:sz w:val="20"/>
                <w:szCs w:val="20"/>
                <w:color w:val="auto"/>
              </w:rPr>
            </w:pPr>
            <w:r>
              <w:rPr>
                <w:rFonts w:ascii="Arial" w:cs="Arial" w:eastAsia="Arial" w:hAnsi="Arial"/>
                <w:sz w:val="18"/>
                <w:szCs w:val="18"/>
                <w:color w:val="auto"/>
              </w:rPr>
              <w:t>As of March 31, 2011</w:t>
            </w:r>
          </w:p>
        </w:tc>
        <w:tc>
          <w:tcPr>
            <w:tcW w:w="140" w:type="dxa"/>
            <w:vAlign w:val="bottom"/>
          </w:tcPr>
          <w:p>
            <w:pPr>
              <w:spacing w:after="0"/>
              <w:rPr>
                <w:sz w:val="16"/>
                <w:szCs w:val="16"/>
                <w:color w:val="auto"/>
              </w:rPr>
            </w:pPr>
          </w:p>
        </w:tc>
        <w:tc>
          <w:tcPr>
            <w:tcW w:w="1060" w:type="dxa"/>
            <w:vAlign w:val="bottom"/>
            <w:gridSpan w:val="3"/>
          </w:tcPr>
          <w:p>
            <w:pPr>
              <w:ind w:left="60"/>
              <w:spacing w:after="0" w:line="190" w:lineRule="exact"/>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16"/>
                <w:szCs w:val="16"/>
                <w:color w:val="auto"/>
              </w:rPr>
            </w:pPr>
          </w:p>
        </w:tc>
        <w:tc>
          <w:tcPr>
            <w:tcW w:w="1020" w:type="dxa"/>
            <w:vAlign w:val="bottom"/>
          </w:tcPr>
          <w:p>
            <w:pPr>
              <w:jc w:val="right"/>
              <w:ind w:right="199"/>
              <w:spacing w:after="0" w:line="190" w:lineRule="exact"/>
              <w:rPr>
                <w:sz w:val="20"/>
                <w:szCs w:val="20"/>
                <w:color w:val="auto"/>
              </w:rPr>
            </w:pPr>
            <w:r>
              <w:rPr>
                <w:rFonts w:ascii="Arial" w:cs="Arial" w:eastAsia="Arial" w:hAnsi="Arial"/>
                <w:sz w:val="18"/>
                <w:szCs w:val="18"/>
                <w:color w:val="auto"/>
              </w:rPr>
              <w:t>Loss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89"/>
              </w:rPr>
              <w:t>Loss</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340" w:type="dxa"/>
            <w:vAlign w:val="bottom"/>
            <w:gridSpan w:val="3"/>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21,313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731</w:t>
            </w:r>
          </w:p>
        </w:tc>
        <w:tc>
          <w:tcPr>
            <w:tcW w:w="2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859"/>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21,313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59"/>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28,949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9"/>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7"/>
        </w:trPr>
        <w:tc>
          <w:tcPr>
            <w:tcW w:w="33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30,900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March 31, 2011, December 31, 2010 and March 31,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7"/>
          </w:tcPr>
          <w:p>
            <w:pPr>
              <w:ind w:left="380"/>
              <w:spacing w:after="0"/>
              <w:rPr>
                <w:sz w:val="20"/>
                <w:szCs w:val="20"/>
                <w:color w:val="auto"/>
              </w:rPr>
            </w:pPr>
            <w:r>
              <w:rPr>
                <w:rFonts w:ascii="Arial" w:cs="Arial" w:eastAsia="Arial" w:hAnsi="Arial"/>
                <w:sz w:val="18"/>
                <w:szCs w:val="18"/>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400"/>
              <w:spacing w:after="0"/>
              <w:rPr>
                <w:sz w:val="20"/>
                <w:szCs w:val="20"/>
                <w:color w:val="auto"/>
              </w:rPr>
            </w:pPr>
            <w:r>
              <w:rPr>
                <w:rFonts w:ascii="Arial" w:cs="Arial" w:eastAsia="Arial" w:hAnsi="Arial"/>
                <w:sz w:val="18"/>
                <w:szCs w:val="18"/>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40" w:type="dxa"/>
            <w:vAlign w:val="bottom"/>
            <w:gridSpan w:val="4"/>
          </w:tcPr>
          <w:p>
            <w:pPr>
              <w:spacing w:after="0" w:line="190" w:lineRule="exact"/>
              <w:rPr>
                <w:sz w:val="20"/>
                <w:szCs w:val="20"/>
                <w:color w:val="auto"/>
              </w:rPr>
            </w:pPr>
            <w:r>
              <w:rPr>
                <w:rFonts w:ascii="Arial" w:cs="Arial" w:eastAsia="Arial" w:hAnsi="Arial"/>
                <w:sz w:val="18"/>
                <w:szCs w:val="18"/>
                <w:color w:val="auto"/>
              </w:rPr>
              <w:t>As of March 31, 2011</w:t>
            </w:r>
          </w:p>
        </w:tc>
        <w:tc>
          <w:tcPr>
            <w:tcW w:w="140" w:type="dxa"/>
            <w:vAlign w:val="bottom"/>
          </w:tcPr>
          <w:p>
            <w:pPr>
              <w:spacing w:after="0"/>
              <w:rPr>
                <w:sz w:val="16"/>
                <w:szCs w:val="16"/>
                <w:color w:val="auto"/>
              </w:rPr>
            </w:pPr>
          </w:p>
        </w:tc>
        <w:tc>
          <w:tcPr>
            <w:tcW w:w="1140" w:type="dxa"/>
            <w:vAlign w:val="bottom"/>
            <w:gridSpan w:val="3"/>
          </w:tcPr>
          <w:p>
            <w:pPr>
              <w:ind w:left="60"/>
              <w:spacing w:after="0" w:line="190" w:lineRule="exact"/>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0" w:lineRule="exact"/>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0" w:lineRule="exact"/>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89"/>
              </w:rPr>
              <w:t>Loss</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340" w:type="dxa"/>
            <w:vAlign w:val="bottom"/>
            <w:gridSpan w:val="4"/>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73,763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1,204</w:t>
            </w:r>
          </w:p>
        </w:tc>
        <w:tc>
          <w:tcPr>
            <w:tcW w:w="2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73,763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292,379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79,386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79,386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3340" w:type="dxa"/>
            <w:vAlign w:val="bottom"/>
            <w:gridSpan w:val="4"/>
          </w:tcPr>
          <w:p>
            <w:pPr>
              <w:ind w:left="22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446,626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As of December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gridSpan w:val="4"/>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68,412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59,505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69,985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69,985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3340" w:type="dxa"/>
            <w:vAlign w:val="bottom"/>
            <w:gridSpan w:val="4"/>
          </w:tcPr>
          <w:p>
            <w:pPr>
              <w:ind w:left="22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198,984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w w:val="92"/>
              </w:rPr>
              <w:t>As of March 31, 2010</w:t>
            </w:r>
          </w:p>
        </w:tc>
        <w:tc>
          <w:tcPr>
            <w:tcW w:w="1740" w:type="dxa"/>
            <w:vAlign w:val="bottom"/>
            <w:gridSpan w:val="2"/>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600" w:type="dxa"/>
            <w:vAlign w:val="bottom"/>
            <w:tcBorders>
              <w:bottom w:val="single" w:sz="8" w:color="auto"/>
            </w:tcBorders>
            <w:gridSpan w:val="2"/>
            <w:vMerge w:val="continue"/>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4"/>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138,233</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138,233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40" w:type="dxa"/>
            <w:vAlign w:val="bottom"/>
            <w:gridSpan w:val="4"/>
          </w:tcPr>
          <w:p>
            <w:pPr>
              <w:ind w:left="22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160,650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2011, there were 38 available for sale securities and 26 held to maturity securities that were in an unrealized loss position. United does not intend to sell nor believes it will be required to sell securities in an unrealized loss position prior to the recovery of their amortized cost basis. Unrealized losses at March 31, 2011 were primarily attributable to changes in interest rates.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the first quarter of 2010, United recorded impairment losses of $950,000 on investments in financial institutions that showed evidence of other-than-temporary impairment. No impairment losses were identified in the first quarter of 2011.</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three-month periods ended March 31, 2011 and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6"/>
          </w:tcPr>
          <w:p>
            <w:pPr>
              <w:jc w:val="right"/>
              <w:ind w:right="1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40" w:type="dxa"/>
            <w:vAlign w:val="bottom"/>
          </w:tcPr>
          <w:p>
            <w:pPr>
              <w:ind w:left="1140"/>
              <w:spacing w:after="0"/>
              <w:rPr>
                <w:sz w:val="20"/>
                <w:szCs w:val="20"/>
                <w:color w:val="auto"/>
              </w:rPr>
            </w:pPr>
            <w:r>
              <w:rPr>
                <w:rFonts w:ascii="Arial" w:cs="Arial" w:eastAsia="Arial" w:hAnsi="Arial"/>
                <w:sz w:val="18"/>
                <w:szCs w:val="18"/>
                <w:color w:val="auto"/>
              </w:rPr>
              <w:t>Proceeds from sales</w:t>
            </w:r>
          </w:p>
        </w:tc>
        <w:tc>
          <w:tcPr>
            <w:tcW w:w="3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51,240</w:t>
            </w:r>
          </w:p>
        </w:tc>
        <w:tc>
          <w:tcPr>
            <w:tcW w:w="120" w:type="dxa"/>
            <w:vAlign w:val="bottom"/>
          </w:tcPr>
          <w:p>
            <w:pPr>
              <w:spacing w:after="0"/>
              <w:rPr>
                <w:sz w:val="24"/>
                <w:szCs w:val="24"/>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40,817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840" w:type="dxa"/>
            <w:vAlign w:val="bottom"/>
          </w:tcPr>
          <w:p>
            <w:pPr>
              <w:ind w:left="1140"/>
              <w:spacing w:after="0"/>
              <w:rPr>
                <w:sz w:val="20"/>
                <w:szCs w:val="20"/>
                <w:color w:val="auto"/>
              </w:rPr>
            </w:pPr>
            <w:r>
              <w:rPr>
                <w:rFonts w:ascii="Arial" w:cs="Arial" w:eastAsia="Arial" w:hAnsi="Arial"/>
                <w:sz w:val="18"/>
                <w:szCs w:val="18"/>
                <w:color w:val="auto"/>
              </w:rPr>
              <w:t>Gross gains on sales</w:t>
            </w:r>
          </w:p>
        </w:tc>
        <w:tc>
          <w:tcPr>
            <w:tcW w:w="3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4"/>
                <w:szCs w:val="24"/>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140"/>
              <w:spacing w:after="0"/>
              <w:rPr>
                <w:sz w:val="20"/>
                <w:szCs w:val="20"/>
                <w:color w:val="auto"/>
              </w:rPr>
            </w:pPr>
            <w:r>
              <w:rPr>
                <w:rFonts w:ascii="Arial" w:cs="Arial" w:eastAsia="Arial" w:hAnsi="Arial"/>
                <w:sz w:val="18"/>
                <w:szCs w:val="18"/>
                <w:color w:val="auto"/>
              </w:rPr>
              <w:t>Gross losses on sales</w:t>
            </w: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right"/>
              <w:ind w:right="11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840" w:type="dxa"/>
            <w:vAlign w:val="bottom"/>
          </w:tcPr>
          <w:p>
            <w:pPr>
              <w:ind w:left="1140"/>
              <w:spacing w:after="0"/>
              <w:rPr>
                <w:sz w:val="20"/>
                <w:szCs w:val="20"/>
                <w:color w:val="auto"/>
              </w:rPr>
            </w:pPr>
            <w:r>
              <w:rPr>
                <w:rFonts w:ascii="Arial" w:cs="Arial" w:eastAsia="Arial" w:hAnsi="Arial"/>
                <w:sz w:val="18"/>
                <w:szCs w:val="18"/>
                <w:color w:val="auto"/>
              </w:rPr>
              <w:t>Impairment losses</w:t>
            </w: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2"/>
          </w:tcPr>
          <w:p>
            <w:pPr>
              <w:jc w:val="right"/>
              <w:ind w:right="118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840" w:type="dxa"/>
            <w:vAlign w:val="bottom"/>
          </w:tcPr>
          <w:p>
            <w:pPr>
              <w:ind w:left="1280"/>
              <w:spacing w:after="0"/>
              <w:rPr>
                <w:sz w:val="20"/>
                <w:szCs w:val="20"/>
                <w:color w:val="auto"/>
              </w:rPr>
            </w:pPr>
            <w:r>
              <w:rPr>
                <w:rFonts w:ascii="Arial" w:cs="Arial" w:eastAsia="Arial" w:hAnsi="Arial"/>
                <w:sz w:val="18"/>
                <w:szCs w:val="18"/>
                <w:color w:val="auto"/>
              </w:rPr>
              <w:t>Net gains on sales of securities</w:t>
            </w:r>
          </w:p>
        </w:tc>
        <w:tc>
          <w:tcPr>
            <w:tcW w:w="3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840" w:type="dxa"/>
            <w:vAlign w:val="bottom"/>
          </w:tcPr>
          <w:p>
            <w:pPr>
              <w:ind w:left="1140"/>
              <w:spacing w:after="0"/>
              <w:rPr>
                <w:sz w:val="20"/>
                <w:szCs w:val="20"/>
                <w:color w:val="auto"/>
              </w:rPr>
            </w:pPr>
            <w:r>
              <w:rPr>
                <w:rFonts w:ascii="Arial" w:cs="Arial" w:eastAsia="Arial" w:hAnsi="Arial"/>
                <w:sz w:val="18"/>
                <w:szCs w:val="18"/>
                <w:color w:val="auto"/>
              </w:rPr>
              <w:t>Income tax expense attributable to sales</w:t>
            </w:r>
          </w:p>
        </w:tc>
        <w:tc>
          <w:tcPr>
            <w:tcW w:w="3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840" w:type="dxa"/>
            <w:vAlign w:val="bottom"/>
            <w:vMerge w:val="restart"/>
          </w:tcPr>
          <w:p>
            <w:pPr>
              <w:jc w:val="right"/>
              <w:ind w:right="1830"/>
              <w:spacing w:after="0"/>
              <w:rPr>
                <w:sz w:val="20"/>
                <w:szCs w:val="20"/>
                <w:color w:val="auto"/>
              </w:rPr>
            </w:pPr>
            <w:r>
              <w:rPr>
                <w:rFonts w:ascii="Arial" w:cs="Arial" w:eastAsia="Arial" w:hAnsi="Arial"/>
                <w:sz w:val="18"/>
                <w:szCs w:val="18"/>
                <w:color w:val="auto"/>
              </w:rPr>
              <w:t>9</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8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8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$1.83 billion, $1.43 billion, and $1.48 billion were pledged to secure public deposits, FHLB advances and other secured borrowings at March 31, 2011, December 31, 2010 and March 31, 2010.</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 to maturity and available for sale securities at March 31, 2011,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6"/>
          </w:tcPr>
          <w:p>
            <w:pPr>
              <w:ind w:left="360"/>
              <w:spacing w:after="0"/>
              <w:rPr>
                <w:sz w:val="20"/>
                <w:szCs w:val="20"/>
                <w:color w:val="auto"/>
              </w:rPr>
            </w:pPr>
            <w:r>
              <w:rPr>
                <w:rFonts w:ascii="Arial" w:cs="Arial" w:eastAsia="Arial" w:hAnsi="Arial"/>
                <w:sz w:val="18"/>
                <w:szCs w:val="18"/>
                <w:color w:val="auto"/>
              </w:rPr>
              <w:t>Available for Sale</w:t>
            </w:r>
          </w:p>
        </w:tc>
        <w:tc>
          <w:tcPr>
            <w:tcW w:w="140" w:type="dxa"/>
            <w:vAlign w:val="bottom"/>
          </w:tcPr>
          <w:p>
            <w:pPr>
              <w:spacing w:after="0"/>
              <w:rPr>
                <w:sz w:val="20"/>
                <w:szCs w:val="20"/>
                <w:color w:val="auto"/>
              </w:rPr>
            </w:pPr>
          </w:p>
        </w:tc>
        <w:tc>
          <w:tcPr>
            <w:tcW w:w="2380" w:type="dxa"/>
            <w:vAlign w:val="bottom"/>
            <w:gridSpan w:val="6"/>
          </w:tcPr>
          <w:p>
            <w:pPr>
              <w:ind w:left="500"/>
              <w:spacing w:after="0"/>
              <w:rPr>
                <w:sz w:val="20"/>
                <w:szCs w:val="20"/>
                <w:color w:val="auto"/>
              </w:rPr>
            </w:pPr>
            <w:r>
              <w:rPr>
                <w:rFonts w:ascii="Arial" w:cs="Arial" w:eastAsia="Arial" w:hAnsi="Arial"/>
                <w:sz w:val="18"/>
                <w:szCs w:val="18"/>
                <w:color w:val="auto"/>
              </w:rPr>
              <w:t>Held to Maturity</w:t>
            </w:r>
          </w:p>
        </w:tc>
      </w:tr>
      <w:tr>
        <w:trPr>
          <w:trHeight w:val="202"/>
        </w:trPr>
        <w:tc>
          <w:tcPr>
            <w:tcW w:w="60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color w:val="auto"/>
                <w:w w:val="98"/>
              </w:rPr>
              <w:t>Amortized</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608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4"/>
              </w:rPr>
              <w:t>Amortized 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81,387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80,729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13,049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94,966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93,778</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13,946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14,523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6,595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5,001</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9,785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90,050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89,501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22,269</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2,752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25,123</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102,038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48,382</w:t>
            </w:r>
          </w:p>
        </w:tc>
        <w:tc>
          <w:tcPr>
            <w:tcW w:w="2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23,852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177,748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176,825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27,270</w:t>
            </w: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18,379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17,172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25,123</w:t>
            </w: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1,388,702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1,414,845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191,944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194,978</w:t>
            </w:r>
          </w:p>
        </w:tc>
      </w:tr>
      <w:tr>
        <w:trPr>
          <w:trHeight w:val="27"/>
        </w:trPr>
        <w:tc>
          <w:tcPr>
            <w:tcW w:w="6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32"/>
        </w:trPr>
        <w:tc>
          <w:tcPr>
            <w:tcW w:w="60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1,613,946</w:t>
            </w:r>
          </w:p>
        </w:tc>
        <w:tc>
          <w:tcPr>
            <w:tcW w:w="2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1,638,494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245,430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248,361</w:t>
            </w:r>
          </w:p>
        </w:tc>
      </w:tr>
      <w:tr>
        <w:trPr>
          <w:trHeight w:val="21"/>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March 31, 2011, December 31, 2010 and March 31, 2010,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December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418"/>
        </w:trPr>
        <w:tc>
          <w:tcPr>
            <w:tcW w:w="66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1,692,154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1,761,424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1,765,204</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357,188</w:t>
            </w: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431,473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441,518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380,331</w:t>
            </w:r>
          </w:p>
        </w:tc>
      </w:tr>
      <w:tr>
        <w:trPr>
          <w:trHeight w:val="202"/>
        </w:trPr>
        <w:tc>
          <w:tcPr>
            <w:tcW w:w="6680" w:type="dxa"/>
            <w:vAlign w:val="bottom"/>
          </w:tcPr>
          <w:p>
            <w:pPr>
              <w:ind w:left="46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2,336,804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2,499,524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2,502,723</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960,372</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1,186,531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1,390,270</w:t>
            </w: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130,656</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138,680</w:t>
            </w:r>
          </w:p>
        </w:tc>
      </w:tr>
      <w:tr>
        <w:trPr>
          <w:trHeight w:val="202"/>
        </w:trPr>
        <w:tc>
          <w:tcPr>
            <w:tcW w:w="6680" w:type="dxa"/>
            <w:vAlign w:val="bottom"/>
          </w:tcPr>
          <w:p>
            <w:pPr>
              <w:ind w:left="460"/>
              <w:spacing w:after="0" w:line="201" w:lineRule="exact"/>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4,194,372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4,604,126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4,992,045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174,695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173,934</w:t>
            </w:r>
          </w:p>
        </w:tc>
      </w:tr>
      <w:tr>
        <w:trPr>
          <w:trHeight w:val="230"/>
        </w:trPr>
        <w:tc>
          <w:tcPr>
            <w:tcW w:w="6680" w:type="dxa"/>
            <w:vAlign w:val="bottom"/>
          </w:tcPr>
          <w:p>
            <w:pPr>
              <w:ind w:left="580"/>
              <w:spacing w:after="0"/>
              <w:rPr>
                <w:sz w:val="20"/>
                <w:szCs w:val="20"/>
                <w:color w:val="auto"/>
              </w:rPr>
            </w:pPr>
            <w:r>
              <w:rPr>
                <w:rFonts w:ascii="Arial" w:cs="Arial" w:eastAsia="Arial" w:hAnsi="Arial"/>
                <w:sz w:val="18"/>
                <w:szCs w:val="18"/>
                <w:color w:val="auto"/>
              </w:rPr>
              <w:t>Loans, net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4,061,251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4,429,431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4,818,111</w:t>
            </w:r>
          </w:p>
        </w:tc>
      </w:tr>
      <w:tr>
        <w:trPr>
          <w:trHeight w:val="21"/>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Bank makes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the allowance for loan losses for the three months ended March 31, 2011 and 2010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60" w:type="dxa"/>
            <w:vAlign w:val="bottom"/>
          </w:tcPr>
          <w:p>
            <w:pPr>
              <w:ind w:left="1200"/>
              <w:spacing w:after="0" w:line="201" w:lineRule="exact"/>
              <w:rPr>
                <w:sz w:val="20"/>
                <w:szCs w:val="20"/>
                <w:color w:val="auto"/>
              </w:rPr>
            </w:pPr>
            <w:r>
              <w:rPr>
                <w:rFonts w:ascii="Arial" w:cs="Arial" w:eastAsia="Arial" w:hAnsi="Arial"/>
                <w:sz w:val="18"/>
                <w:szCs w:val="18"/>
                <w:color w:val="auto"/>
              </w:rPr>
              <w:t>Balance beginning of period</w:t>
            </w:r>
          </w:p>
        </w:tc>
        <w:tc>
          <w:tcPr>
            <w:tcW w:w="27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174,695</w:t>
            </w:r>
          </w:p>
        </w:tc>
        <w:tc>
          <w:tcPr>
            <w:tcW w:w="18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155,602</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0"/>
              <w:spacing w:after="0"/>
              <w:rPr>
                <w:sz w:val="20"/>
                <w:szCs w:val="20"/>
                <w:color w:val="auto"/>
              </w:rPr>
            </w:pPr>
            <w:r>
              <w:rPr>
                <w:rFonts w:ascii="Arial" w:cs="Arial" w:eastAsia="Arial" w:hAnsi="Arial"/>
                <w:sz w:val="18"/>
                <w:szCs w:val="18"/>
                <w:color w:val="auto"/>
              </w:rPr>
              <w:t>Provision for loan losses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0"/>
              <w:spacing w:after="0"/>
              <w:rPr>
                <w:sz w:val="20"/>
                <w:szCs w:val="20"/>
                <w:color w:val="auto"/>
              </w:rPr>
            </w:pPr>
            <w:r>
              <w:rPr>
                <w:rFonts w:ascii="Arial" w:cs="Arial" w:eastAsia="Arial" w:hAnsi="Arial"/>
                <w:sz w:val="18"/>
                <w:szCs w:val="18"/>
                <w:color w:val="auto"/>
              </w:rPr>
              <w:t>Charge-offs: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Commercial (secured by real estate)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Commercial construction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Commercial (commercial and industrial)</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Residential construction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92,255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44,190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Residential mortgage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36,676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380"/>
              <w:spacing w:after="0"/>
              <w:rPr>
                <w:sz w:val="20"/>
                <w:szCs w:val="20"/>
                <w:color w:val="auto"/>
              </w:rPr>
            </w:pPr>
            <w:r>
              <w:rPr>
                <w:rFonts w:ascii="Arial" w:cs="Arial" w:eastAsia="Arial" w:hAnsi="Arial"/>
                <w:sz w:val="18"/>
                <w:szCs w:val="18"/>
                <w:color w:val="auto"/>
              </w:rPr>
              <w:t>Consumer installment</w:t>
            </w: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1560"/>
              <w:spacing w:after="0"/>
              <w:rPr>
                <w:sz w:val="20"/>
                <w:szCs w:val="20"/>
                <w:color w:val="auto"/>
              </w:rPr>
            </w:pPr>
            <w:r>
              <w:rPr>
                <w:rFonts w:ascii="Arial" w:cs="Arial" w:eastAsia="Arial" w:hAnsi="Arial"/>
                <w:sz w:val="18"/>
                <w:szCs w:val="18"/>
                <w:color w:val="auto"/>
              </w:rPr>
              <w:t>Total loans charged-off</w:t>
            </w: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232,811</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60" w:type="dxa"/>
            <w:vAlign w:val="bottom"/>
          </w:tcPr>
          <w:p>
            <w:pPr>
              <w:ind w:left="1200"/>
              <w:spacing w:after="0" w:line="201" w:lineRule="exact"/>
              <w:rPr>
                <w:sz w:val="20"/>
                <w:szCs w:val="20"/>
                <w:color w:val="auto"/>
              </w:rPr>
            </w:pPr>
            <w:r>
              <w:rPr>
                <w:rFonts w:ascii="Arial" w:cs="Arial" w:eastAsia="Arial" w:hAnsi="Arial"/>
                <w:sz w:val="18"/>
                <w:szCs w:val="18"/>
                <w:color w:val="auto"/>
              </w:rPr>
              <w:t>Recoveries:</w:t>
            </w: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Commercial (secured by real estate)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Commercial construction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Commercial (commercial and industrial)</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Residential construction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380"/>
              <w:spacing w:after="0"/>
              <w:rPr>
                <w:sz w:val="20"/>
                <w:szCs w:val="20"/>
                <w:color w:val="auto"/>
              </w:rPr>
            </w:pPr>
            <w:r>
              <w:rPr>
                <w:rFonts w:ascii="Arial" w:cs="Arial" w:eastAsia="Arial" w:hAnsi="Arial"/>
                <w:sz w:val="18"/>
                <w:szCs w:val="18"/>
                <w:color w:val="auto"/>
              </w:rPr>
              <w:t>Residential mortgage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380"/>
              <w:spacing w:after="0"/>
              <w:rPr>
                <w:sz w:val="20"/>
                <w:szCs w:val="20"/>
                <w:color w:val="auto"/>
              </w:rPr>
            </w:pPr>
            <w:r>
              <w:rPr>
                <w:rFonts w:ascii="Arial" w:cs="Arial" w:eastAsia="Arial" w:hAnsi="Arial"/>
                <w:sz w:val="18"/>
                <w:szCs w:val="18"/>
                <w:color w:val="auto"/>
              </w:rPr>
              <w:t>Consumer installment</w:t>
            </w: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1560"/>
              <w:spacing w:after="0"/>
              <w:rPr>
                <w:sz w:val="20"/>
                <w:szCs w:val="20"/>
                <w:color w:val="auto"/>
              </w:rPr>
            </w:pPr>
            <w:r>
              <w:rPr>
                <w:rFonts w:ascii="Arial" w:cs="Arial" w:eastAsia="Arial" w:hAnsi="Arial"/>
                <w:sz w:val="18"/>
                <w:szCs w:val="18"/>
                <w:color w:val="auto"/>
              </w:rPr>
              <w:t>Total recoveries</w:t>
            </w: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1560"/>
              <w:spacing w:after="0"/>
              <w:rPr>
                <w:sz w:val="20"/>
                <w:szCs w:val="20"/>
                <w:color w:val="auto"/>
              </w:rPr>
            </w:pPr>
            <w:r>
              <w:rPr>
                <w:rFonts w:ascii="Arial" w:cs="Arial" w:eastAsia="Arial" w:hAnsi="Arial"/>
                <w:sz w:val="18"/>
                <w:szCs w:val="18"/>
                <w:color w:val="auto"/>
              </w:rPr>
              <w:t>Net charge-offs</w:t>
            </w: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231,574</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60" w:type="dxa"/>
            <w:vAlign w:val="bottom"/>
          </w:tcPr>
          <w:p>
            <w:pPr>
              <w:ind w:left="1560"/>
              <w:spacing w:after="0"/>
              <w:rPr>
                <w:sz w:val="20"/>
                <w:szCs w:val="20"/>
                <w:color w:val="auto"/>
              </w:rPr>
            </w:pPr>
            <w:r>
              <w:rPr>
                <w:rFonts w:ascii="Arial" w:cs="Arial" w:eastAsia="Arial" w:hAnsi="Arial"/>
                <w:sz w:val="18"/>
                <w:szCs w:val="18"/>
                <w:color w:val="auto"/>
              </w:rPr>
              <w:t>Balance end of period</w:t>
            </w:r>
          </w:p>
        </w:tc>
        <w:tc>
          <w:tcPr>
            <w:tcW w:w="2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133,121</w:t>
            </w:r>
          </w:p>
        </w:tc>
        <w:tc>
          <w:tcPr>
            <w:tcW w:w="5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173,934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720" w:type="dxa"/>
            <w:vAlign w:val="bottom"/>
            <w:vMerge w:val="restart"/>
          </w:tcPr>
          <w:p>
            <w:pPr>
              <w:jc w:val="right"/>
              <w:ind w:right="179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9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9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2011, December 31, 2010 and March 31, 2010, loans with a carrying value of $857 million, $1.02 billion and $1.56 billion were pledged as collateral to secure FHLB advances and other contingent funding sources.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balance and activity in the allowance for loan losses by portfolio segment and the recorded investment in loans by portfolio segment based on impairment method as of March 31, 2011, December 31, 2010 and March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Commercial</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4"/>
                <w:szCs w:val="14"/>
                <w:b w:val="1"/>
                <w:bCs w:val="1"/>
                <w:color w:val="auto"/>
              </w:rPr>
              <w:t>Months Ended March 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Commercial</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(Commercial</w:t>
            </w: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Residential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Residential</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Consumer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(Secured by</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Unallocated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Real Estate)</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Construction</w:t>
            </w:r>
          </w:p>
        </w:tc>
        <w:tc>
          <w:tcPr>
            <w:tcW w:w="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Industrial)</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Installment</w:t>
            </w: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38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Allowance for loan losses: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31,191</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6,780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7,580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92,571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22,305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3,030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11,238</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(46,101)</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(24,158)</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(4,363)</w:t>
            </w: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(119,874)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(37,220)</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(1,095)</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(232,811)</w:t>
            </w: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293</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74"/>
        </w:trPr>
        <w:tc>
          <w:tcPr>
            <w:tcW w:w="2380" w:type="dxa"/>
            <w:vAlign w:val="bottom"/>
          </w:tcPr>
          <w:p>
            <w:pPr>
              <w:ind w:left="120"/>
              <w:spacing w:after="0"/>
              <w:rPr>
                <w:sz w:val="20"/>
                <w:szCs w:val="20"/>
                <w:color w:val="auto"/>
              </w:rPr>
            </w:pPr>
            <w:r>
              <w:rPr>
                <w:rFonts w:ascii="Arial" w:cs="Arial" w:eastAsia="Arial" w:hAnsi="Arial"/>
                <w:sz w:val="14"/>
                <w:szCs w:val="14"/>
                <w:color w:val="auto"/>
              </w:rPr>
              <w:t>Provision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35,069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23,359</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4,048</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89,706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39,751</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(2,149)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20,259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5,981</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62,520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25,129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2,556</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4"/>
                <w:szCs w:val="14"/>
                <w:color w:val="auto"/>
                <w:w w:val="98"/>
              </w:rPr>
              <w:t>Ending allowance attributable to loans: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w w:val="98"/>
              </w:rPr>
              <w:t>Individually evaluated for impairment</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380" w:type="dxa"/>
            <w:vAlign w:val="bottom"/>
          </w:tcPr>
          <w:p>
            <w:pPr>
              <w:ind w:left="120"/>
              <w:spacing w:after="0"/>
              <w:rPr>
                <w:sz w:val="20"/>
                <w:szCs w:val="20"/>
                <w:color w:val="auto"/>
              </w:rPr>
            </w:pPr>
            <w:r>
              <w:rPr>
                <w:rFonts w:ascii="Arial" w:cs="Arial" w:eastAsia="Arial" w:hAnsi="Arial"/>
                <w:sz w:val="14"/>
                <w:szCs w:val="14"/>
                <w:color w:val="auto"/>
                <w:w w:val="97"/>
              </w:rPr>
              <w:t>Collectively evaluated for impairment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20,259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5,981</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7,587</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62,520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25,129</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2,556</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9,089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133,121</w:t>
            </w:r>
          </w:p>
        </w:tc>
        <w:tc>
          <w:tcPr>
            <w:tcW w:w="0" w:type="dxa"/>
            <w:vAlign w:val="bottom"/>
          </w:tcPr>
          <w:p>
            <w:pPr>
              <w:spacing w:after="0"/>
              <w:rPr>
                <w:sz w:val="1"/>
                <w:szCs w:val="1"/>
                <w:color w:val="auto"/>
              </w:rPr>
            </w:pPr>
          </w:p>
        </w:tc>
      </w:tr>
      <w:tr>
        <w:trPr>
          <w:trHeight w:val="149"/>
        </w:trPr>
        <w:tc>
          <w:tcPr>
            <w:tcW w:w="2380" w:type="dxa"/>
            <w:vAlign w:val="bottom"/>
          </w:tcPr>
          <w:p>
            <w:pPr>
              <w:ind w:left="30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20,259</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5,981</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62,520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25,129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2,556</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w w:val="98"/>
              </w:rPr>
              <w:t>Individually evaluated for impairment</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17,154</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22,667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48,602</w:t>
            </w:r>
          </w:p>
        </w:tc>
        <w:tc>
          <w:tcPr>
            <w:tcW w:w="0" w:type="dxa"/>
            <w:vAlign w:val="bottom"/>
          </w:tcPr>
          <w:p>
            <w:pPr>
              <w:spacing w:after="0"/>
              <w:rPr>
                <w:sz w:val="1"/>
                <w:szCs w:val="1"/>
                <w:color w:val="auto"/>
              </w:rPr>
            </w:pPr>
          </w:p>
        </w:tc>
      </w:tr>
      <w:tr>
        <w:trPr>
          <w:trHeight w:val="174"/>
        </w:trPr>
        <w:tc>
          <w:tcPr>
            <w:tcW w:w="2380" w:type="dxa"/>
            <w:vAlign w:val="bottom"/>
          </w:tcPr>
          <w:p>
            <w:pPr>
              <w:ind w:left="120"/>
              <w:spacing w:after="0"/>
              <w:rPr>
                <w:sz w:val="20"/>
                <w:szCs w:val="20"/>
                <w:color w:val="auto"/>
              </w:rPr>
            </w:pPr>
            <w:r>
              <w:rPr>
                <w:rFonts w:ascii="Arial" w:cs="Arial" w:eastAsia="Arial" w:hAnsi="Arial"/>
                <w:sz w:val="14"/>
                <w:szCs w:val="14"/>
                <w:color w:val="auto"/>
                <w:w w:val="97"/>
              </w:rPr>
              <w:t>Collectively evaluated for impairment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1,675,000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209,553</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431,473</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526,951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1,181,374</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121,419</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4,145,770</w:t>
            </w:r>
          </w:p>
        </w:tc>
        <w:tc>
          <w:tcPr>
            <w:tcW w:w="0" w:type="dxa"/>
            <w:vAlign w:val="bottom"/>
          </w:tcPr>
          <w:p>
            <w:pPr>
              <w:spacing w:after="0"/>
              <w:rPr>
                <w:sz w:val="1"/>
                <w:szCs w:val="1"/>
                <w:color w:val="auto"/>
              </w:rPr>
            </w:pPr>
          </w:p>
        </w:tc>
      </w:tr>
      <w:tr>
        <w:trPr>
          <w:trHeight w:val="149"/>
        </w:trPr>
        <w:tc>
          <w:tcPr>
            <w:tcW w:w="2380" w:type="dxa"/>
            <w:vAlign w:val="bottom"/>
          </w:tcPr>
          <w:p>
            <w:pPr>
              <w:ind w:left="30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1,692,154</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213,177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431,473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549,618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1,186,531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121,419</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4,194,372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3"/>
        </w:trPr>
        <w:tc>
          <w:tcPr>
            <w:tcW w:w="238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80" w:type="dxa"/>
            <w:vAlign w:val="bottom"/>
          </w:tcPr>
          <w:p>
            <w:pPr>
              <w:ind w:left="40"/>
              <w:spacing w:after="0" w:line="130" w:lineRule="exact"/>
              <w:rPr>
                <w:sz w:val="20"/>
                <w:szCs w:val="20"/>
                <w:color w:val="auto"/>
              </w:rPr>
            </w:pPr>
            <w:r>
              <w:rPr>
                <w:rFonts w:ascii="Arial" w:cs="Arial" w:eastAsia="Arial" w:hAnsi="Arial"/>
                <w:sz w:val="14"/>
                <w:szCs w:val="14"/>
                <w:color w:val="auto"/>
              </w:rPr>
              <w:t>Allowance for loan losses: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40"/>
              <w:spacing w:after="0" w:line="149" w:lineRule="exact"/>
              <w:rPr>
                <w:sz w:val="20"/>
                <w:szCs w:val="20"/>
                <w:color w:val="auto"/>
              </w:rPr>
            </w:pPr>
            <w:r>
              <w:rPr>
                <w:rFonts w:ascii="Arial" w:cs="Arial" w:eastAsia="Arial" w:hAnsi="Arial"/>
                <w:sz w:val="14"/>
                <w:szCs w:val="14"/>
                <w:color w:val="auto"/>
                <w:w w:val="96"/>
              </w:rPr>
              <w:t>Ending allowance attributable to loans: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5"/>
              </w:rPr>
              <w:t>Individually evaluated for impairment</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74"/>
        </w:trPr>
        <w:tc>
          <w:tcPr>
            <w:tcW w:w="2380" w:type="dxa"/>
            <w:vAlign w:val="bottom"/>
          </w:tcPr>
          <w:p>
            <w:pPr>
              <w:jc w:val="center"/>
              <w:ind w:left="48"/>
              <w:spacing w:after="0"/>
              <w:rPr>
                <w:sz w:val="20"/>
                <w:szCs w:val="20"/>
                <w:color w:val="auto"/>
              </w:rPr>
            </w:pPr>
            <w:r>
              <w:rPr>
                <w:rFonts w:ascii="Arial" w:cs="Arial" w:eastAsia="Arial" w:hAnsi="Arial"/>
                <w:sz w:val="14"/>
                <w:szCs w:val="14"/>
                <w:color w:val="auto"/>
                <w:w w:val="95"/>
              </w:rPr>
              <w:t>Collectively evaluated for impairment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30,923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6,780</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7,580</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91,927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22,168</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3,030</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11,238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173,646</w:t>
            </w:r>
          </w:p>
        </w:tc>
        <w:tc>
          <w:tcPr>
            <w:tcW w:w="0" w:type="dxa"/>
            <w:vAlign w:val="bottom"/>
          </w:tcPr>
          <w:p>
            <w:pPr>
              <w:spacing w:after="0"/>
              <w:rPr>
                <w:sz w:val="1"/>
                <w:szCs w:val="1"/>
                <w:color w:val="auto"/>
              </w:rPr>
            </w:pPr>
          </w:p>
        </w:tc>
      </w:tr>
      <w:tr>
        <w:trPr>
          <w:trHeight w:val="149"/>
        </w:trPr>
        <w:tc>
          <w:tcPr>
            <w:tcW w:w="2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2"/>
              </w:rPr>
              <w:t>Total ending allowance balance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31,191</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6,780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92,571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22,305</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3,030</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174,695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ind w:left="40"/>
              <w:spacing w:after="0"/>
              <w:rPr>
                <w:sz w:val="20"/>
                <w:szCs w:val="20"/>
                <w:color w:val="auto"/>
              </w:rPr>
            </w:pPr>
            <w:r>
              <w:rPr>
                <w:rFonts w:ascii="Arial" w:cs="Arial" w:eastAsia="Arial" w:hAnsi="Arial"/>
                <w:sz w:val="14"/>
                <w:szCs w:val="14"/>
                <w:color w:val="auto"/>
              </w:rPr>
              <w:t>Loans: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5"/>
              </w:rPr>
              <w:t>Individually evaluated for impairment</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41,818</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20,311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5,874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39,505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15,468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122,976</w:t>
            </w:r>
          </w:p>
        </w:tc>
        <w:tc>
          <w:tcPr>
            <w:tcW w:w="0" w:type="dxa"/>
            <w:vAlign w:val="bottom"/>
          </w:tcPr>
          <w:p>
            <w:pPr>
              <w:spacing w:after="0"/>
              <w:rPr>
                <w:sz w:val="1"/>
                <w:szCs w:val="1"/>
                <w:color w:val="auto"/>
              </w:rPr>
            </w:pPr>
          </w:p>
        </w:tc>
      </w:tr>
      <w:tr>
        <w:trPr>
          <w:trHeight w:val="174"/>
        </w:trPr>
        <w:tc>
          <w:tcPr>
            <w:tcW w:w="2380" w:type="dxa"/>
            <w:vAlign w:val="bottom"/>
          </w:tcPr>
          <w:p>
            <w:pPr>
              <w:jc w:val="center"/>
              <w:ind w:left="48"/>
              <w:spacing w:after="0"/>
              <w:rPr>
                <w:sz w:val="20"/>
                <w:szCs w:val="20"/>
                <w:color w:val="auto"/>
              </w:rPr>
            </w:pPr>
            <w:r>
              <w:rPr>
                <w:rFonts w:ascii="Arial" w:cs="Arial" w:eastAsia="Arial" w:hAnsi="Arial"/>
                <w:sz w:val="14"/>
                <w:szCs w:val="14"/>
                <w:color w:val="auto"/>
                <w:w w:val="95"/>
              </w:rPr>
              <w:t>Collectively evaluated for impairment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1,719,606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276,271</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435,644</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655,661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1,263,312</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130,656</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4,481,150</w:t>
            </w:r>
          </w:p>
        </w:tc>
        <w:tc>
          <w:tcPr>
            <w:tcW w:w="0" w:type="dxa"/>
            <w:vAlign w:val="bottom"/>
          </w:tcPr>
          <w:p>
            <w:pPr>
              <w:spacing w:after="0"/>
              <w:rPr>
                <w:sz w:val="1"/>
                <w:szCs w:val="1"/>
                <w:color w:val="auto"/>
              </w:rPr>
            </w:pPr>
          </w:p>
        </w:tc>
      </w:tr>
      <w:tr>
        <w:trPr>
          <w:trHeight w:val="149"/>
        </w:trPr>
        <w:tc>
          <w:tcPr>
            <w:tcW w:w="2380" w:type="dxa"/>
            <w:vAlign w:val="bottom"/>
          </w:tcPr>
          <w:p>
            <w:pPr>
              <w:ind w:left="32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1,761,424</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296,582</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441,518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695,166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1,278,780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130,656</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4,604,126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w w:val="97"/>
              </w:rPr>
              <w:t>Three Months Ended March 31, 2010</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3"/>
        </w:trPr>
        <w:tc>
          <w:tcPr>
            <w:tcW w:w="238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Allowance for loan losses: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19,208</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5,861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6,892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93,585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17,266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10,245</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155,602</w:t>
            </w: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(2,936)</w:t>
            </w:r>
          </w:p>
        </w:tc>
        <w:tc>
          <w:tcPr>
            <w:tcW w:w="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(2,211)</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(4,554)</w:t>
            </w: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(44,190)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(4,640)</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(1,129)</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(59,660)</w:t>
            </w: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174"/>
        </w:trPr>
        <w:tc>
          <w:tcPr>
            <w:tcW w:w="2380" w:type="dxa"/>
            <w:vAlign w:val="bottom"/>
          </w:tcPr>
          <w:p>
            <w:pPr>
              <w:ind w:left="120"/>
              <w:spacing w:after="0"/>
              <w:rPr>
                <w:sz w:val="20"/>
                <w:szCs w:val="20"/>
                <w:color w:val="auto"/>
              </w:rPr>
            </w:pPr>
            <w:r>
              <w:rPr>
                <w:rFonts w:ascii="Arial" w:cs="Arial" w:eastAsia="Arial" w:hAnsi="Arial"/>
                <w:sz w:val="14"/>
                <w:szCs w:val="14"/>
                <w:color w:val="auto"/>
              </w:rPr>
              <w:t>Provision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4,772</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3,898</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53,349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6,642</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1,086</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21,808</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8,427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103,834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2,894</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173,934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4"/>
                <w:szCs w:val="14"/>
                <w:color w:val="auto"/>
                <w:w w:val="98"/>
              </w:rPr>
              <w:t>Ending allowance attributable to loans: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w w:val="98"/>
              </w:rPr>
              <w:t>Individually evaluated for impairment</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4,398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6,832</w:t>
            </w:r>
          </w:p>
        </w:tc>
        <w:tc>
          <w:tcPr>
            <w:tcW w:w="0" w:type="dxa"/>
            <w:vAlign w:val="bottom"/>
          </w:tcPr>
          <w:p>
            <w:pPr>
              <w:spacing w:after="0"/>
              <w:rPr>
                <w:sz w:val="1"/>
                <w:szCs w:val="1"/>
                <w:color w:val="auto"/>
              </w:rPr>
            </w:pPr>
          </w:p>
        </w:tc>
      </w:tr>
      <w:tr>
        <w:trPr>
          <w:trHeight w:val="174"/>
        </w:trPr>
        <w:tc>
          <w:tcPr>
            <w:tcW w:w="2380" w:type="dxa"/>
            <w:vAlign w:val="bottom"/>
          </w:tcPr>
          <w:p>
            <w:pPr>
              <w:ind w:left="120"/>
              <w:spacing w:after="0"/>
              <w:rPr>
                <w:sz w:val="20"/>
                <w:szCs w:val="20"/>
                <w:color w:val="auto"/>
              </w:rPr>
            </w:pPr>
            <w:r>
              <w:rPr>
                <w:rFonts w:ascii="Arial" w:cs="Arial" w:eastAsia="Arial" w:hAnsi="Arial"/>
                <w:sz w:val="14"/>
                <w:szCs w:val="14"/>
                <w:color w:val="auto"/>
                <w:w w:val="97"/>
              </w:rPr>
              <w:t>Collectively evaluated for impairment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20,536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7,800</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6,680</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99,436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18,828</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10,934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167,102</w:t>
            </w:r>
          </w:p>
        </w:tc>
        <w:tc>
          <w:tcPr>
            <w:tcW w:w="0" w:type="dxa"/>
            <w:vAlign w:val="bottom"/>
          </w:tcPr>
          <w:p>
            <w:pPr>
              <w:spacing w:after="0"/>
              <w:rPr>
                <w:sz w:val="1"/>
                <w:szCs w:val="1"/>
                <w:color w:val="auto"/>
              </w:rPr>
            </w:pPr>
          </w:p>
        </w:tc>
      </w:tr>
      <w:tr>
        <w:trPr>
          <w:trHeight w:val="149"/>
        </w:trPr>
        <w:tc>
          <w:tcPr>
            <w:tcW w:w="2380" w:type="dxa"/>
            <w:vAlign w:val="bottom"/>
          </w:tcPr>
          <w:p>
            <w:pPr>
              <w:ind w:left="30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21,808</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8,427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103,834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19,357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2,894</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173,934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w w:val="98"/>
              </w:rPr>
              <w:t>Individually evaluated for impairment</w:t>
            </w:r>
          </w:p>
        </w:tc>
        <w:tc>
          <w:tcPr>
            <w:tcW w:w="2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38,519</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22,268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131,249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22,056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215,033</w:t>
            </w:r>
          </w:p>
        </w:tc>
        <w:tc>
          <w:tcPr>
            <w:tcW w:w="0" w:type="dxa"/>
            <w:vAlign w:val="bottom"/>
          </w:tcPr>
          <w:p>
            <w:pPr>
              <w:spacing w:after="0"/>
              <w:rPr>
                <w:sz w:val="1"/>
                <w:szCs w:val="1"/>
                <w:color w:val="auto"/>
              </w:rPr>
            </w:pPr>
          </w:p>
        </w:tc>
      </w:tr>
      <w:tr>
        <w:trPr>
          <w:trHeight w:val="174"/>
        </w:trPr>
        <w:tc>
          <w:tcPr>
            <w:tcW w:w="2380" w:type="dxa"/>
            <w:vAlign w:val="bottom"/>
          </w:tcPr>
          <w:p>
            <w:pPr>
              <w:ind w:left="120"/>
              <w:spacing w:after="0"/>
              <w:rPr>
                <w:sz w:val="20"/>
                <w:szCs w:val="20"/>
                <w:color w:val="auto"/>
              </w:rPr>
            </w:pPr>
            <w:r>
              <w:rPr>
                <w:rFonts w:ascii="Arial" w:cs="Arial" w:eastAsia="Arial" w:hAnsi="Arial"/>
                <w:sz w:val="14"/>
                <w:szCs w:val="14"/>
                <w:color w:val="auto"/>
                <w:w w:val="97"/>
              </w:rPr>
              <w:t>Collectively evaluated for impairment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1,726,685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334,920</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380,331</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829,123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1,368,214</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137,739</w:t>
            </w: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4,777,012</w:t>
            </w:r>
          </w:p>
        </w:tc>
        <w:tc>
          <w:tcPr>
            <w:tcW w:w="0" w:type="dxa"/>
            <w:vAlign w:val="bottom"/>
          </w:tcPr>
          <w:p>
            <w:pPr>
              <w:spacing w:after="0"/>
              <w:rPr>
                <w:sz w:val="1"/>
                <w:szCs w:val="1"/>
                <w:color w:val="auto"/>
              </w:rPr>
            </w:pPr>
          </w:p>
        </w:tc>
      </w:tr>
      <w:tr>
        <w:trPr>
          <w:trHeight w:val="149"/>
        </w:trPr>
        <w:tc>
          <w:tcPr>
            <w:tcW w:w="2380" w:type="dxa"/>
            <w:vAlign w:val="bottom"/>
          </w:tcPr>
          <w:p>
            <w:pPr>
              <w:ind w:left="30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1,765,204</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357,188</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380,331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960,372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1,390,270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138,680</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4,992,045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reviews all loans that are on nonaccrual with a balance of $500,000 or greater for impairment. 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payments received on impaired loans are applied as a reduction of the outstanding principal balance.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2011, following the completion of a transaction to raise $380 million in new capital, United’s Board of Directors adopted an asset disposition plan which included the bulk sale of $267 million in classified loans. Those loans were classified as held for sale at the end of the first quarter and were written down to the expected proceeds from the sale. The charge-offs on the loans transferred to held for sale in anticipation of the bulk loan sale which closed on April 18, 2011, increased first quarter 2011 loan charge offs by $186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 impaired loans at March 31, 2011, December 31, 2010 and March 31, 2010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December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418"/>
        </w:trPr>
        <w:tc>
          <w:tcPr>
            <w:tcW w:w="6640" w:type="dxa"/>
            <w:vAlign w:val="bottom"/>
          </w:tcPr>
          <w:p>
            <w:pPr>
              <w:spacing w:after="0"/>
              <w:rPr>
                <w:sz w:val="20"/>
                <w:szCs w:val="20"/>
                <w:color w:val="auto"/>
              </w:rPr>
            </w:pPr>
            <w:r>
              <w:rPr>
                <w:rFonts w:ascii="Arial" w:cs="Arial" w:eastAsia="Arial" w:hAnsi="Arial"/>
                <w:sz w:val="18"/>
                <w:szCs w:val="18"/>
                <w:color w:val="auto"/>
              </w:rPr>
              <w:t>Period-end loans with no allocated allowance for loan losses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48,602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158,559</w:t>
            </w: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Period-end loans with allocated allowance for loan losses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56,474</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215,033</w:t>
            </w:r>
          </w:p>
        </w:tc>
      </w:tr>
      <w:tr>
        <w:trPr>
          <w:trHeight w:val="21"/>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6"/>
        </w:trPr>
        <w:tc>
          <w:tcPr>
            <w:tcW w:w="664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6,832</w:t>
            </w: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average balances of impaired loans and income recognized on impaired loans while they were considered impaired is presented below for the three months ended March 31, 2011 and March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Three</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Months</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Average balance of individually evaluated impaired loans during period</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95,163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210,854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income recognized during impairment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Cash-basis interest income recognized</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March 31, 2011, December 31, 2010 and March 31,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 2011</w:t>
            </w: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December 31, 2010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Unpaid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Unpaid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Unpaid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Recorded</w:t>
            </w: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Loan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9"/>
              </w:rPr>
              <w:t>Recorded</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for Loan</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for Loan</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Balance</w:t>
            </w:r>
          </w:p>
        </w:tc>
        <w:tc>
          <w:tcPr>
            <w:tcW w:w="2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Allocated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Allocated</w:t>
            </w:r>
          </w:p>
        </w:tc>
        <w:tc>
          <w:tcPr>
            <w:tcW w:w="8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5"/>
                <w:szCs w:val="15"/>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Allocated</w:t>
            </w:r>
          </w:p>
        </w:tc>
        <w:tc>
          <w:tcPr>
            <w:tcW w:w="0" w:type="dxa"/>
            <w:vAlign w:val="bottom"/>
          </w:tcPr>
          <w:p>
            <w:pPr>
              <w:spacing w:after="0"/>
              <w:rPr>
                <w:sz w:val="1"/>
                <w:szCs w:val="1"/>
                <w:color w:val="auto"/>
              </w:rPr>
            </w:pPr>
          </w:p>
        </w:tc>
      </w:tr>
      <w:tr>
        <w:trPr>
          <w:trHeight w:val="278"/>
        </w:trPr>
        <w:tc>
          <w:tcPr>
            <w:tcW w:w="3160" w:type="dxa"/>
            <w:vAlign w:val="bottom"/>
          </w:tcPr>
          <w:p>
            <w:pPr>
              <w:spacing w:after="0"/>
              <w:rPr>
                <w:sz w:val="20"/>
                <w:szCs w:val="20"/>
                <w:color w:val="auto"/>
              </w:rPr>
            </w:pPr>
            <w:r>
              <w:rPr>
                <w:rFonts w:ascii="Arial" w:cs="Arial" w:eastAsia="Arial" w:hAnsi="Arial"/>
                <w:sz w:val="14"/>
                <w:szCs w:val="14"/>
                <w:color w:val="auto"/>
              </w:rPr>
              <w:t>With no related allowance recorded:</w:t>
            </w: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Commercial (secured by real estate)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27,811</w:t>
            </w: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17,154</w:t>
            </w:r>
          </w:p>
        </w:tc>
        <w:tc>
          <w:tcPr>
            <w:tcW w:w="66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60,238</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39,588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42,498</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34,589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Commercial construction</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3,624</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33,898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20,311</w:t>
            </w:r>
          </w:p>
        </w:tc>
        <w:tc>
          <w:tcPr>
            <w:tcW w:w="120" w:type="dxa"/>
            <w:vAlign w:val="bottom"/>
          </w:tcPr>
          <w:p>
            <w:pPr>
              <w:spacing w:after="0"/>
              <w:rPr>
                <w:sz w:val="12"/>
                <w:szCs w:val="12"/>
                <w:color w:val="auto"/>
              </w:rPr>
            </w:pP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21,855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16,018</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120"/>
              <w:spacing w:after="0"/>
              <w:rPr>
                <w:sz w:val="20"/>
                <w:szCs w:val="20"/>
                <w:color w:val="auto"/>
              </w:rPr>
            </w:pPr>
            <w:r>
              <w:rPr>
                <w:rFonts w:ascii="Arial" w:cs="Arial" w:eastAsia="Arial" w:hAnsi="Arial"/>
                <w:sz w:val="14"/>
                <w:szCs w:val="14"/>
                <w:color w:val="auto"/>
              </w:rPr>
              <w:t>Commercial (commercial and industrial)</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10,115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5,874</w:t>
            </w:r>
          </w:p>
        </w:tc>
        <w:tc>
          <w:tcPr>
            <w:tcW w:w="12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60" w:type="dxa"/>
            <w:vAlign w:val="bottom"/>
          </w:tcPr>
          <w:p>
            <w:pPr>
              <w:ind w:left="220"/>
              <w:spacing w:after="0" w:line="130" w:lineRule="exact"/>
              <w:rPr>
                <w:sz w:val="20"/>
                <w:szCs w:val="20"/>
                <w:color w:val="auto"/>
              </w:rPr>
            </w:pPr>
            <w:r>
              <w:rPr>
                <w:rFonts w:ascii="Arial" w:cs="Arial" w:eastAsia="Arial" w:hAnsi="Arial"/>
                <w:sz w:val="14"/>
                <w:szCs w:val="14"/>
                <w:color w:val="auto"/>
              </w:rPr>
              <w:t>Total commercial</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97"/>
              </w:rPr>
              <w:t>32,171</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20,778</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104,251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65,773</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540"/>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64,353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50,607</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Residential construction</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49,205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22,667</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59,502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34,597</w:t>
            </w:r>
          </w:p>
        </w:tc>
        <w:tc>
          <w:tcPr>
            <w:tcW w:w="120" w:type="dxa"/>
            <w:vAlign w:val="bottom"/>
          </w:tcPr>
          <w:p>
            <w:pPr>
              <w:spacing w:after="0"/>
              <w:rPr>
                <w:sz w:val="12"/>
                <w:szCs w:val="12"/>
                <w:color w:val="auto"/>
              </w:rPr>
            </w:pP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167,166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89,863</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8,801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5,157</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21,528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14,968</w:t>
            </w:r>
          </w:p>
        </w:tc>
        <w:tc>
          <w:tcPr>
            <w:tcW w:w="120" w:type="dxa"/>
            <w:vAlign w:val="bottom"/>
          </w:tcPr>
          <w:p>
            <w:pPr>
              <w:spacing w:after="0"/>
              <w:rPr>
                <w:sz w:val="12"/>
                <w:szCs w:val="12"/>
                <w:color w:val="auto"/>
              </w:rPr>
            </w:pP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24,261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18,089</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120"/>
              <w:spacing w:after="0"/>
              <w:rPr>
                <w:sz w:val="20"/>
                <w:szCs w:val="20"/>
                <w:color w:val="auto"/>
              </w:rPr>
            </w:pPr>
            <w:r>
              <w:rPr>
                <w:rFonts w:ascii="Arial" w:cs="Arial" w:eastAsia="Arial" w:hAnsi="Arial"/>
                <w:sz w:val="14"/>
                <w:szCs w:val="14"/>
                <w:color w:val="auto"/>
              </w:rPr>
              <w:t>Consumer installment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220"/>
              <w:spacing w:after="0" w:line="149" w:lineRule="exact"/>
              <w:rPr>
                <w:sz w:val="20"/>
                <w:szCs w:val="20"/>
                <w:color w:val="auto"/>
              </w:rPr>
            </w:pPr>
            <w:r>
              <w:rPr>
                <w:rFonts w:ascii="Arial" w:cs="Arial" w:eastAsia="Arial" w:hAnsi="Arial"/>
                <w:sz w:val="14"/>
                <w:szCs w:val="14"/>
                <w:color w:val="auto"/>
              </w:rPr>
              <w:t>Total with no related allowance recorded</w:t>
            </w: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90,177</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48,602</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185,281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115,338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255,780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158,559</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3160" w:type="dxa"/>
            <w:vAlign w:val="bottom"/>
          </w:tcPr>
          <w:p>
            <w:pPr>
              <w:spacing w:after="0"/>
              <w:rPr>
                <w:sz w:val="20"/>
                <w:szCs w:val="20"/>
                <w:color w:val="auto"/>
              </w:rPr>
            </w:pPr>
            <w:r>
              <w:rPr>
                <w:rFonts w:ascii="Arial" w:cs="Arial" w:eastAsia="Arial" w:hAnsi="Arial"/>
                <w:sz w:val="14"/>
                <w:szCs w:val="14"/>
                <w:color w:val="auto"/>
              </w:rPr>
              <w:t>With an allowance recorded: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Commercial (secured by real estate)</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2,230</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3,930</w:t>
            </w: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Commercial construction</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6,250</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120"/>
              <w:spacing w:after="0"/>
              <w:rPr>
                <w:sz w:val="20"/>
                <w:szCs w:val="20"/>
                <w:color w:val="auto"/>
              </w:rPr>
            </w:pPr>
            <w:r>
              <w:rPr>
                <w:rFonts w:ascii="Arial" w:cs="Arial" w:eastAsia="Arial" w:hAnsi="Arial"/>
                <w:sz w:val="14"/>
                <w:szCs w:val="14"/>
                <w:color w:val="auto"/>
              </w:rPr>
              <w:t>Commercial (commercial and industrial)</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60" w:type="dxa"/>
            <w:vAlign w:val="bottom"/>
          </w:tcPr>
          <w:p>
            <w:pPr>
              <w:ind w:left="220"/>
              <w:spacing w:after="0" w:line="130" w:lineRule="exact"/>
              <w:rPr>
                <w:sz w:val="20"/>
                <w:szCs w:val="20"/>
                <w:color w:val="auto"/>
              </w:rPr>
            </w:pPr>
            <w:r>
              <w:rPr>
                <w:rFonts w:ascii="Arial" w:cs="Arial" w:eastAsia="Arial" w:hAnsi="Arial"/>
                <w:sz w:val="14"/>
                <w:szCs w:val="14"/>
                <w:color w:val="auto"/>
              </w:rPr>
              <w:t>Total commercial</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2,230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2,230</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268</w:t>
            </w: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12,600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10,180</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1,899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Residential construction</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14,480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4,908</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53,971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41,386</w:t>
            </w: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4,398</w:t>
            </w:r>
          </w:p>
        </w:tc>
        <w:tc>
          <w:tcPr>
            <w:tcW w:w="0" w:type="dxa"/>
            <w:vAlign w:val="bottom"/>
          </w:tcPr>
          <w:p>
            <w:pPr>
              <w:spacing w:after="0"/>
              <w:rPr>
                <w:sz w:val="1"/>
                <w:szCs w:val="1"/>
                <w:color w:val="auto"/>
              </w:rPr>
            </w:pPr>
          </w:p>
        </w:tc>
      </w:tr>
      <w:tr>
        <w:trPr>
          <w:trHeight w:val="149"/>
        </w:trPr>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Residential mortgage</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3,967</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tcPr>
          <w:p>
            <w:pPr>
              <w:ind w:left="120"/>
              <w:spacing w:after="0"/>
              <w:rPr>
                <w:sz w:val="20"/>
                <w:szCs w:val="20"/>
                <w:color w:val="auto"/>
              </w:rPr>
            </w:pPr>
            <w:r>
              <w:rPr>
                <w:rFonts w:ascii="Arial" w:cs="Arial" w:eastAsia="Arial" w:hAnsi="Arial"/>
                <w:sz w:val="14"/>
                <w:szCs w:val="14"/>
                <w:color w:val="auto"/>
              </w:rPr>
              <w:t>Consumer installment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1,111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Pr>
          <w:p>
            <w:pPr>
              <w:ind w:left="220"/>
              <w:spacing w:after="0" w:line="149" w:lineRule="exact"/>
              <w:rPr>
                <w:sz w:val="20"/>
                <w:szCs w:val="20"/>
                <w:color w:val="auto"/>
              </w:rPr>
            </w:pPr>
            <w:r>
              <w:rPr>
                <w:rFonts w:ascii="Arial" w:cs="Arial" w:eastAsia="Arial" w:hAnsi="Arial"/>
                <w:sz w:val="14"/>
                <w:szCs w:val="14"/>
                <w:color w:val="auto"/>
              </w:rPr>
              <w:t>Total with an allowance recorded</w:t>
            </w: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17,210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7,638</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1,049</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73,170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56,474</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90,177</w:t>
            </w:r>
          </w:p>
        </w:tc>
        <w:tc>
          <w:tcPr>
            <w:tcW w:w="4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48,602</w:t>
            </w:r>
          </w:p>
        </w:tc>
        <w:tc>
          <w:tcPr>
            <w:tcW w:w="6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202,491</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122,976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r>
              <w:rPr>
                <w:rFonts w:ascii="Arial" w:cs="Arial" w:eastAsia="Arial" w:hAnsi="Arial"/>
                <w:sz w:val="18"/>
                <w:szCs w:val="18"/>
                <w:color w:val="auto"/>
              </w:rPr>
              <w:t>049</w:t>
            </w:r>
          </w:p>
        </w:tc>
        <w:tc>
          <w:tcPr>
            <w:tcW w:w="2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328,950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215,033</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loans more than 90 days past due and still accruing interest at March 31, 2011, December 31, 2010 or March 31, 2010. Nonaccrual loans at March 31, 2011, December 31, 2010 and March 31, 2010 were $83.8 million, $179 million and $281 million, respectively. Nonaccrual loans include both smaller balance homogeneous loans that are collectively evaluated for impairment and individually evaluated impaired loans with larger balances.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recorded investment in nonaccrual loans by loan class as of March 31, 2011, December 31, 2010 and March 31,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ind w:right="97"/>
              <w:spacing w:after="0"/>
              <w:rPr>
                <w:sz w:val="20"/>
                <w:szCs w:val="20"/>
                <w:color w:val="auto"/>
              </w:rPr>
            </w:pPr>
            <w:r>
              <w:rPr>
                <w:rFonts w:ascii="Arial" w:cs="Arial" w:eastAsia="Arial" w:hAnsi="Arial"/>
                <w:sz w:val="18"/>
                <w:szCs w:val="18"/>
                <w:b w:val="1"/>
                <w:bCs w:val="1"/>
                <w:color w:val="auto"/>
              </w:rPr>
              <w:t>Nonaccrual Loans</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December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March 31,</w:t>
            </w:r>
          </w:p>
        </w:tc>
      </w:tr>
      <w:tr>
        <w:trPr>
          <w:trHeight w:val="241"/>
        </w:trPr>
        <w:tc>
          <w:tcPr>
            <w:tcW w:w="4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r>
      <w:tr>
        <w:trPr>
          <w:trHeight w:val="418"/>
        </w:trPr>
        <w:tc>
          <w:tcPr>
            <w:tcW w:w="44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4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20,648</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44,927</w:t>
            </w:r>
          </w:p>
        </w:tc>
        <w:tc>
          <w:tcPr>
            <w:tcW w:w="180" w:type="dxa"/>
            <w:vAlign w:val="bottom"/>
          </w:tcPr>
          <w:p>
            <w:pPr>
              <w:spacing w:after="0"/>
              <w:rPr>
                <w:sz w:val="24"/>
                <w:szCs w:val="24"/>
                <w:color w:val="auto"/>
              </w:rPr>
            </w:pP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45,918</w:t>
            </w:r>
          </w:p>
        </w:tc>
        <w:tc>
          <w:tcPr>
            <w:tcW w:w="140" w:type="dxa"/>
            <w:vAlign w:val="bottom"/>
          </w:tcPr>
          <w:p>
            <w:pPr>
              <w:spacing w:after="0"/>
              <w:rPr>
                <w:sz w:val="24"/>
                <w:szCs w:val="24"/>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23,556</w:t>
            </w:r>
          </w:p>
        </w:tc>
        <w:tc>
          <w:tcPr>
            <w:tcW w:w="140" w:type="dxa"/>
            <w:vAlign w:val="bottom"/>
          </w:tcPr>
          <w:p>
            <w:pPr>
              <w:spacing w:after="0"/>
              <w:rPr>
                <w:sz w:val="18"/>
                <w:szCs w:val="18"/>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40" w:type="dxa"/>
            <w:vAlign w:val="bottom"/>
          </w:tcPr>
          <w:p>
            <w:pPr>
              <w:spacing w:after="0"/>
              <w:rPr>
                <w:sz w:val="20"/>
                <w:szCs w:val="20"/>
                <w:color w:val="auto"/>
              </w:rPr>
            </w:pPr>
          </w:p>
        </w:tc>
      </w:tr>
      <w:tr>
        <w:trPr>
          <w:trHeight w:val="202"/>
        </w:trPr>
        <w:tc>
          <w:tcPr>
            <w:tcW w:w="4480" w:type="dxa"/>
            <w:vAlign w:val="bottom"/>
          </w:tcPr>
          <w:p>
            <w:pPr>
              <w:ind w:left="240"/>
              <w:spacing w:after="0" w:line="201" w:lineRule="exact"/>
              <w:rPr>
                <w:sz w:val="20"/>
                <w:szCs w:val="20"/>
                <w:color w:val="auto"/>
              </w:rPr>
            </w:pPr>
            <w:r>
              <w:rPr>
                <w:rFonts w:ascii="Arial" w:cs="Arial" w:eastAsia="Arial" w:hAnsi="Arial"/>
                <w:sz w:val="18"/>
                <w:szCs w:val="18"/>
                <w:color w:val="auto"/>
              </w:rPr>
              <w:t>Total commercial</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26,547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71,912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73,084</w:t>
            </w:r>
          </w:p>
        </w:tc>
        <w:tc>
          <w:tcPr>
            <w:tcW w:w="140" w:type="dxa"/>
            <w:vAlign w:val="bottom"/>
          </w:tcPr>
          <w:p>
            <w:pPr>
              <w:spacing w:after="0"/>
              <w:rPr>
                <w:sz w:val="17"/>
                <w:szCs w:val="17"/>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32,038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147,326</w:t>
            </w:r>
          </w:p>
        </w:tc>
        <w:tc>
          <w:tcPr>
            <w:tcW w:w="14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Residential mortgage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51,083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57,920</w:t>
            </w:r>
          </w:p>
        </w:tc>
        <w:tc>
          <w:tcPr>
            <w:tcW w:w="140" w:type="dxa"/>
            <w:vAlign w:val="bottom"/>
          </w:tcPr>
          <w:p>
            <w:pPr>
              <w:spacing w:after="0"/>
              <w:rPr>
                <w:sz w:val="18"/>
                <w:szCs w:val="18"/>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Consumer installment</w:t>
            </w: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20"/>
                <w:szCs w:val="20"/>
                <w:color w:val="auto"/>
              </w:rPr>
            </w:pPr>
          </w:p>
        </w:tc>
      </w:tr>
      <w:tr>
        <w:trPr>
          <w:trHeight w:val="216"/>
        </w:trPr>
        <w:tc>
          <w:tcPr>
            <w:tcW w:w="4480" w:type="dxa"/>
            <w:vAlign w:val="bottom"/>
          </w:tcPr>
          <w:p>
            <w:pPr>
              <w:ind w:left="28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179,094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280,802</w:t>
            </w:r>
          </w:p>
        </w:tc>
        <w:tc>
          <w:tcPr>
            <w:tcW w:w="140" w:type="dxa"/>
            <w:vAlign w:val="bottom"/>
          </w:tcPr>
          <w:p>
            <w:pPr>
              <w:spacing w:after="0"/>
              <w:rPr>
                <w:sz w:val="18"/>
                <w:szCs w:val="18"/>
                <w:color w:val="auto"/>
              </w:rPr>
            </w:pPr>
          </w:p>
        </w:tc>
      </w:tr>
      <w:tr>
        <w:trPr>
          <w:trHeight w:val="21"/>
        </w:trPr>
        <w:tc>
          <w:tcPr>
            <w:tcW w:w="4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4480" w:type="dxa"/>
            <w:vAlign w:val="bottom"/>
          </w:tcPr>
          <w:p>
            <w:pPr>
              <w:ind w:left="60"/>
              <w:spacing w:after="0"/>
              <w:rPr>
                <w:sz w:val="20"/>
                <w:szCs w:val="20"/>
                <w:color w:val="auto"/>
              </w:rPr>
            </w:pPr>
            <w:r>
              <w:rPr>
                <w:rFonts w:ascii="Arial" w:cs="Arial" w:eastAsia="Arial" w:hAnsi="Arial"/>
                <w:sz w:val="18"/>
                <w:szCs w:val="18"/>
                <w:color w:val="auto"/>
              </w:rPr>
              <w:t>Balance as a percentage of unpaid principal</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March 31, 2011, December 31, 2010 and March 31, 2010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Greater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Than 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30 - 59 Days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60 - 89 Days</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Days Past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Total Past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Loans Not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As of March 31, 2011</w:t>
            </w:r>
          </w:p>
        </w:tc>
        <w:tc>
          <w:tcPr>
            <w:tcW w:w="80" w:type="dxa"/>
            <w:vAlign w:val="bottom"/>
          </w:tcPr>
          <w:p>
            <w:pPr>
              <w:spacing w:after="0"/>
              <w:rPr>
                <w:sz w:val="16"/>
                <w:szCs w:val="16"/>
                <w:color w:val="auto"/>
              </w:rPr>
            </w:pPr>
          </w:p>
        </w:tc>
        <w:tc>
          <w:tcPr>
            <w:tcW w:w="110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Past Due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ind w:left="160"/>
              <w:spacing w:after="0" w:line="194" w:lineRule="exact"/>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Due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3"/>
              </w:rPr>
              <w:t>Due</w:t>
            </w:r>
          </w:p>
        </w:tc>
        <w:tc>
          <w:tcPr>
            <w:tcW w:w="120" w:type="dxa"/>
            <w:vAlign w:val="bottom"/>
          </w:tcPr>
          <w:p>
            <w:pPr>
              <w:spacing w:after="0"/>
              <w:rPr>
                <w:sz w:val="16"/>
                <w:szCs w:val="16"/>
                <w:color w:val="auto"/>
              </w:rPr>
            </w:pPr>
          </w:p>
        </w:tc>
        <w:tc>
          <w:tcPr>
            <w:tcW w:w="1120" w:type="dxa"/>
            <w:vAlign w:val="bottom"/>
            <w:gridSpan w:val="2"/>
          </w:tcPr>
          <w:p>
            <w:pPr>
              <w:jc w:val="right"/>
              <w:ind w:right="320"/>
              <w:spacing w:after="0" w:line="194" w:lineRule="exact"/>
              <w:rPr>
                <w:sz w:val="20"/>
                <w:szCs w:val="20"/>
                <w:color w:val="auto"/>
              </w:rPr>
            </w:pPr>
            <w:r>
              <w:rPr>
                <w:rFonts w:ascii="Arial" w:cs="Arial" w:eastAsia="Arial" w:hAnsi="Arial"/>
                <w:sz w:val="18"/>
                <w:szCs w:val="18"/>
                <w:b w:val="1"/>
                <w:bCs w:val="1"/>
                <w:color w:val="auto"/>
              </w:rPr>
              <w:t>Past Due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1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11,522</w:t>
            </w: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9,244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1,661,729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1,692,154</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204,602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213,177</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428,258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431,473</w:t>
            </w:r>
          </w:p>
        </w:tc>
        <w:tc>
          <w:tcPr>
            <w:tcW w:w="0" w:type="dxa"/>
            <w:vAlign w:val="bottom"/>
          </w:tcPr>
          <w:p>
            <w:pPr>
              <w:spacing w:after="0"/>
              <w:rPr>
                <w:sz w:val="1"/>
                <w:szCs w:val="1"/>
                <w:color w:val="auto"/>
              </w:rPr>
            </w:pPr>
          </w:p>
        </w:tc>
      </w:tr>
      <w:tr>
        <w:trPr>
          <w:trHeight w:val="202"/>
        </w:trPr>
        <w:tc>
          <w:tcPr>
            <w:tcW w:w="334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18,465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11,978</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42,215</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2,294,589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2,336,804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36,268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513,350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549,618</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16,439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33,886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1,152,645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1,186,531</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121,419</w:t>
            </w:r>
          </w:p>
        </w:tc>
        <w:tc>
          <w:tcPr>
            <w:tcW w:w="0" w:type="dxa"/>
            <w:vAlign w:val="bottom"/>
          </w:tcPr>
          <w:p>
            <w:pPr>
              <w:spacing w:after="0"/>
              <w:rPr>
                <w:sz w:val="1"/>
                <w:szCs w:val="1"/>
                <w:color w:val="auto"/>
              </w:rPr>
            </w:pPr>
          </w:p>
        </w:tc>
      </w:tr>
      <w:tr>
        <w:trPr>
          <w:trHeight w:val="216"/>
        </w:trPr>
        <w:tc>
          <w:tcPr>
            <w:tcW w:w="334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10,697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33,826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1,727,598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1,761,424</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16,722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279,860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296,582</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7,728</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433,790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441,518</w:t>
            </w:r>
          </w:p>
        </w:tc>
        <w:tc>
          <w:tcPr>
            <w:tcW w:w="0" w:type="dxa"/>
            <w:vAlign w:val="bottom"/>
          </w:tcPr>
          <w:p>
            <w:pPr>
              <w:spacing w:after="0"/>
              <w:rPr>
                <w:sz w:val="1"/>
                <w:szCs w:val="1"/>
                <w:color w:val="auto"/>
              </w:rPr>
            </w:pPr>
          </w:p>
        </w:tc>
      </w:tr>
      <w:tr>
        <w:trPr>
          <w:trHeight w:val="202"/>
        </w:trPr>
        <w:tc>
          <w:tcPr>
            <w:tcW w:w="334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17,329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9,209</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31,738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58,276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2,441,248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2,499,524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13,599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53,430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641,736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695,166</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24,375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70,364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1,208,416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1,278,780</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130,656</w:t>
            </w:r>
          </w:p>
        </w:tc>
        <w:tc>
          <w:tcPr>
            <w:tcW w:w="0" w:type="dxa"/>
            <w:vAlign w:val="bottom"/>
          </w:tcPr>
          <w:p>
            <w:pPr>
              <w:spacing w:after="0"/>
              <w:rPr>
                <w:sz w:val="1"/>
                <w:szCs w:val="1"/>
                <w:color w:val="auto"/>
              </w:rPr>
            </w:pPr>
          </w:p>
        </w:tc>
      </w:tr>
      <w:tr>
        <w:trPr>
          <w:trHeight w:val="216"/>
        </w:trPr>
        <w:tc>
          <w:tcPr>
            <w:tcW w:w="334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185,444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As of March 31, 2010</w:t>
            </w:r>
          </w:p>
        </w:tc>
        <w:tc>
          <w:tcPr>
            <w:tcW w:w="170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640" w:type="dxa"/>
            <w:vAlign w:val="bottom"/>
            <w:tcBorders>
              <w:bottom w:val="single" w:sz="8" w:color="auto"/>
            </w:tcBorders>
            <w:gridSpan w:val="2"/>
            <w:vMerge w:val="continue"/>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21,315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16,281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73,930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1,691,274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1,765,204</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7,524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24,066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357,188</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373,319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380,331</w:t>
            </w:r>
          </w:p>
        </w:tc>
        <w:tc>
          <w:tcPr>
            <w:tcW w:w="0" w:type="dxa"/>
            <w:vAlign w:val="bottom"/>
          </w:tcPr>
          <w:p>
            <w:pPr>
              <w:spacing w:after="0"/>
              <w:rPr>
                <w:sz w:val="1"/>
                <w:szCs w:val="1"/>
                <w:color w:val="auto"/>
              </w:rPr>
            </w:pPr>
          </w:p>
        </w:tc>
      </w:tr>
      <w:tr>
        <w:trPr>
          <w:trHeight w:val="202"/>
        </w:trPr>
        <w:tc>
          <w:tcPr>
            <w:tcW w:w="334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26,308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25,810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105,008</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2,397,715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2,502,723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26,354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22,284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150,831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809,541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960,372</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33,570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17,181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98,687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1,291,583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1,390,270</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134,433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138,680</w:t>
            </w:r>
          </w:p>
        </w:tc>
        <w:tc>
          <w:tcPr>
            <w:tcW w:w="0" w:type="dxa"/>
            <w:vAlign w:val="bottom"/>
          </w:tcPr>
          <w:p>
            <w:pPr>
              <w:spacing w:after="0"/>
              <w:rPr>
                <w:sz w:val="1"/>
                <w:szCs w:val="1"/>
                <w:color w:val="auto"/>
              </w:rPr>
            </w:pPr>
          </w:p>
        </w:tc>
      </w:tr>
      <w:tr>
        <w:trPr>
          <w:trHeight w:val="216"/>
        </w:trPr>
        <w:tc>
          <w:tcPr>
            <w:tcW w:w="334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88,173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358,773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4,633,272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specific reserves established for loans considered to be troubled debt restructurings at March 31, 2011. As of December 31, 2010, $173,000 of specific reserves were allocated to customers whose loan terms have been modified in troubled debt restructurings. United has committed to lend additional amounts totaling up to $519,000 and $1.17 million as of March 31, 2011 and December 31, 2010, respectively, to customers with outstanding loans that are classified as troubled debt restructurings.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table presents additional information on troubled debt restructurings including the number of loan contracts restructured and the pre and post modification recorded investment. Also included in the table are the number of contracts and the recorded investment for those trouble debt restructurings that have subsequently defaulted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2520" w:type="dxa"/>
            <w:vAlign w:val="bottom"/>
            <w:gridSpan w:val="6"/>
          </w:tcPr>
          <w:p>
            <w:pPr>
              <w:ind w:left="660"/>
              <w:spacing w:after="0"/>
              <w:rPr>
                <w:sz w:val="20"/>
                <w:szCs w:val="20"/>
                <w:color w:val="auto"/>
              </w:rPr>
            </w:pPr>
            <w:r>
              <w:rPr>
                <w:rFonts w:ascii="Arial" w:cs="Arial" w:eastAsia="Arial" w:hAnsi="Arial"/>
                <w:sz w:val="18"/>
                <w:szCs w:val="18"/>
                <w:b w:val="1"/>
                <w:bCs w:val="1"/>
                <w:color w:val="auto"/>
              </w:rPr>
              <w:t>Troubled Debt</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Modification</w:t>
            </w:r>
          </w:p>
        </w:tc>
        <w:tc>
          <w:tcPr>
            <w:tcW w:w="25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Restructurings That Have</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25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Subsequently Defaulted</w:t>
            </w: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1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rPr>
              <w:t>Recorded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Recorded</w:t>
            </w:r>
          </w:p>
        </w:tc>
        <w:tc>
          <w:tcPr>
            <w:tcW w:w="124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Recorded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0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As of March 31, 2011</w:t>
            </w:r>
          </w:p>
        </w:tc>
        <w:tc>
          <w:tcPr>
            <w:tcW w:w="11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rPr>
              <w:t>Contracts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90"/>
              </w:rPr>
              <w:t>Investment</w:t>
            </w:r>
          </w:p>
        </w:tc>
        <w:tc>
          <w:tcPr>
            <w:tcW w:w="1240" w:type="dxa"/>
            <w:vAlign w:val="bottom"/>
            <w:gridSpan w:val="2"/>
          </w:tcPr>
          <w:p>
            <w:pPr>
              <w:jc w:val="right"/>
              <w:ind w:right="280"/>
              <w:spacing w:after="0" w:line="194" w:lineRule="exact"/>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8"/>
        </w:trPr>
        <w:tc>
          <w:tcPr>
            <w:tcW w:w="1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22,211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9,622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31,988</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13,759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49,746</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700" w:type="dxa"/>
            <w:vAlign w:val="bottom"/>
            <w:gridSpan w:val="4"/>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36,759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37,067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47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74,190</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20,782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101,381</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As of March 31, 2010</w:t>
            </w:r>
          </w:p>
        </w:tc>
        <w:tc>
          <w:tcPr>
            <w:tcW w:w="3060" w:type="dxa"/>
            <w:vAlign w:val="bottom"/>
            <w:gridSpan w:val="2"/>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640" w:type="dxa"/>
            <w:vAlign w:val="bottom"/>
            <w:tcBorders>
              <w:bottom w:val="single" w:sz="8" w:color="auto"/>
            </w:tcBorders>
            <w:gridSpan w:val="2"/>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30,264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18,008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0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50,408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48,520</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14,955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470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70,666</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economic trends, among other factors. United analyzes loans individually by classifying the loans as to credit risk. This analysis is performed on a continuous basis. United uses the following definitions for its risk ratings: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Weakness exists that could cause future impairment, including the deterioration of financial ratios, past due status and questionable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Collateral values generally afford adequate coverage, but may not be immediately marketable.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Specific and well-defined weaknesses exist that may include poor liquidity and deterioration of financial ratios. The loan may be past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deposit accounts experiencing overdrafts. Immediate corrective action is necessary.</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unlikely. There is no reliable secondary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of full repayment.</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such are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charged-off.</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Loans not meeting the criteria above that are analyzed individually as part of the above described process are considered to be pass rated loans. Loans listed as not rated are generally new loans that have not yet been assigned a grade or loan payments that have not yet been posted to the loan accounting system.</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of March 31, 2011, December 31, 2010 and March 31, 2010,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Doubtful /</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As of March 31, 2011</w:t>
            </w:r>
          </w:p>
        </w:tc>
        <w:tc>
          <w:tcPr>
            <w:tcW w:w="240" w:type="dxa"/>
            <w:vAlign w:val="bottom"/>
          </w:tcPr>
          <w:p>
            <w:pPr>
              <w:spacing w:after="0"/>
              <w:rPr>
                <w:sz w:val="16"/>
                <w:szCs w:val="16"/>
                <w:color w:val="auto"/>
              </w:rPr>
            </w:pPr>
          </w:p>
        </w:tc>
        <w:tc>
          <w:tcPr>
            <w:tcW w:w="1040" w:type="dxa"/>
            <w:vAlign w:val="bottom"/>
            <w:gridSpan w:val="2"/>
          </w:tcPr>
          <w:p>
            <w:pPr>
              <w:ind w:left="160"/>
              <w:spacing w:after="0" w:line="194" w:lineRule="exact"/>
              <w:rPr>
                <w:sz w:val="20"/>
                <w:szCs w:val="20"/>
                <w:color w:val="auto"/>
              </w:rPr>
            </w:pPr>
            <w:r>
              <w:rPr>
                <w:rFonts w:ascii="Arial" w:cs="Arial" w:eastAsia="Arial" w:hAnsi="Arial"/>
                <w:sz w:val="18"/>
                <w:szCs w:val="18"/>
                <w:b w:val="1"/>
                <w:bCs w:val="1"/>
                <w:color w:val="auto"/>
              </w:rPr>
              <w:t>Pass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Watch</w:t>
            </w:r>
          </w:p>
        </w:tc>
        <w:tc>
          <w:tcPr>
            <w:tcW w:w="1240" w:type="dxa"/>
            <w:vAlign w:val="bottom"/>
            <w:gridSpan w:val="3"/>
          </w:tcPr>
          <w:p>
            <w:pPr>
              <w:jc w:val="right"/>
              <w:ind w:right="180"/>
              <w:spacing w:after="0" w:line="194" w:lineRule="exact"/>
              <w:rPr>
                <w:sz w:val="20"/>
                <w:szCs w:val="20"/>
                <w:color w:val="auto"/>
              </w:rPr>
            </w:pPr>
            <w:r>
              <w:rPr>
                <w:rFonts w:ascii="Arial" w:cs="Arial" w:eastAsia="Arial" w:hAnsi="Arial"/>
                <w:sz w:val="18"/>
                <w:szCs w:val="18"/>
                <w:b w:val="1"/>
                <w:bCs w:val="1"/>
                <w:color w:val="auto"/>
                <w:w w:val="94"/>
              </w:rPr>
              <w:t>Substandard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right"/>
              <w:ind w:right="320"/>
              <w:spacing w:after="0" w:line="194" w:lineRule="exact"/>
              <w:rPr>
                <w:sz w:val="20"/>
                <w:szCs w:val="20"/>
                <w:color w:val="auto"/>
              </w:rPr>
            </w:pPr>
            <w:r>
              <w:rPr>
                <w:rFonts w:ascii="Arial" w:cs="Arial" w:eastAsia="Arial" w:hAnsi="Arial"/>
                <w:sz w:val="18"/>
                <w:szCs w:val="18"/>
                <w:b w:val="1"/>
                <w:bCs w:val="1"/>
                <w:color w:val="auto"/>
                <w:w w:val="94"/>
              </w:rPr>
              <w:t>Not Rated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1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1,466,583</w:t>
            </w:r>
          </w:p>
        </w:tc>
        <w:tc>
          <w:tcPr>
            <w:tcW w:w="120" w:type="dxa"/>
            <w:vAlign w:val="bottom"/>
          </w:tcPr>
          <w:p>
            <w:pPr>
              <w:spacing w:after="0"/>
              <w:rPr>
                <w:sz w:val="24"/>
                <w:szCs w:val="24"/>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82,715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140,299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1,692,154</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8,205</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213,177</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410,133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6,824</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18,608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431,473</w:t>
            </w:r>
          </w:p>
        </w:tc>
        <w:tc>
          <w:tcPr>
            <w:tcW w:w="0" w:type="dxa"/>
            <w:vAlign w:val="bottom"/>
          </w:tcPr>
          <w:p>
            <w:pPr>
              <w:spacing w:after="0"/>
              <w:rPr>
                <w:sz w:val="1"/>
                <w:szCs w:val="1"/>
                <w:color w:val="auto"/>
              </w:rPr>
            </w:pPr>
          </w:p>
        </w:tc>
      </w:tr>
      <w:tr>
        <w:trPr>
          <w:trHeight w:val="202"/>
        </w:trPr>
        <w:tc>
          <w:tcPr>
            <w:tcW w:w="334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2,043,496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97,744</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197,493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2,336,804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60,463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549,618</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40,779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1,186,531</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114,401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121,419</w:t>
            </w:r>
          </w:p>
        </w:tc>
        <w:tc>
          <w:tcPr>
            <w:tcW w:w="0" w:type="dxa"/>
            <w:vAlign w:val="bottom"/>
          </w:tcPr>
          <w:p>
            <w:pPr>
              <w:spacing w:after="0"/>
              <w:rPr>
                <w:sz w:val="1"/>
                <w:szCs w:val="1"/>
                <w:color w:val="auto"/>
              </w:rPr>
            </w:pPr>
          </w:p>
        </w:tc>
      </w:tr>
      <w:tr>
        <w:trPr>
          <w:trHeight w:val="216"/>
        </w:trPr>
        <w:tc>
          <w:tcPr>
            <w:tcW w:w="334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3,588,091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199,612</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1,475,992</w:t>
            </w:r>
          </w:p>
        </w:tc>
        <w:tc>
          <w:tcPr>
            <w:tcW w:w="120" w:type="dxa"/>
            <w:vAlign w:val="bottom"/>
          </w:tcPr>
          <w:p>
            <w:pPr>
              <w:spacing w:after="0"/>
              <w:rPr>
                <w:sz w:val="24"/>
                <w:szCs w:val="24"/>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82,762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982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1,761,424</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10,413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296,582</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15,153</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441,518</w:t>
            </w:r>
          </w:p>
        </w:tc>
        <w:tc>
          <w:tcPr>
            <w:tcW w:w="0" w:type="dxa"/>
            <w:vAlign w:val="bottom"/>
          </w:tcPr>
          <w:p>
            <w:pPr>
              <w:spacing w:after="0"/>
              <w:rPr>
                <w:sz w:val="1"/>
                <w:szCs w:val="1"/>
                <w:color w:val="auto"/>
              </w:rPr>
            </w:pPr>
          </w:p>
        </w:tc>
      </w:tr>
      <w:tr>
        <w:trPr>
          <w:trHeight w:val="202"/>
        </w:trPr>
        <w:tc>
          <w:tcPr>
            <w:tcW w:w="334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2,054,027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108,328</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336,187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2,499,524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82,973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695,166</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38,378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136,915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1,278,780</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130,656</w:t>
            </w:r>
          </w:p>
        </w:tc>
        <w:tc>
          <w:tcPr>
            <w:tcW w:w="0" w:type="dxa"/>
            <w:vAlign w:val="bottom"/>
          </w:tcPr>
          <w:p>
            <w:pPr>
              <w:spacing w:after="0"/>
              <w:rPr>
                <w:sz w:val="1"/>
                <w:szCs w:val="1"/>
                <w:color w:val="auto"/>
              </w:rPr>
            </w:pPr>
          </w:p>
        </w:tc>
      </w:tr>
      <w:tr>
        <w:trPr>
          <w:trHeight w:val="216"/>
        </w:trPr>
        <w:tc>
          <w:tcPr>
            <w:tcW w:w="334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230,329</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As of March 31, 2010</w:t>
            </w:r>
          </w:p>
        </w:tc>
        <w:tc>
          <w:tcPr>
            <w:tcW w:w="1700" w:type="dxa"/>
            <w:vAlign w:val="bottom"/>
            <w:gridSpan w:val="2"/>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1640" w:type="dxa"/>
            <w:vAlign w:val="bottom"/>
            <w:tcBorders>
              <w:bottom w:val="single" w:sz="8" w:color="auto"/>
            </w:tcBorders>
            <w:gridSpan w:val="2"/>
            <w:vMerge w:val="continue"/>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1,492,357</w:t>
            </w:r>
          </w:p>
        </w:tc>
        <w:tc>
          <w:tcPr>
            <w:tcW w:w="120" w:type="dxa"/>
            <w:vAlign w:val="bottom"/>
          </w:tcPr>
          <w:p>
            <w:pPr>
              <w:spacing w:after="0"/>
              <w:rPr>
                <w:sz w:val="24"/>
                <w:szCs w:val="24"/>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74,964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196,711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1,765,204</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11,833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98,862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357,188</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331,798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6,711</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39,671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380,331</w:t>
            </w:r>
          </w:p>
        </w:tc>
        <w:tc>
          <w:tcPr>
            <w:tcW w:w="0" w:type="dxa"/>
            <w:vAlign w:val="bottom"/>
          </w:tcPr>
          <w:p>
            <w:pPr>
              <w:spacing w:after="0"/>
              <w:rPr>
                <w:sz w:val="1"/>
                <w:szCs w:val="1"/>
                <w:color w:val="auto"/>
              </w:rPr>
            </w:pPr>
          </w:p>
        </w:tc>
      </w:tr>
      <w:tr>
        <w:trPr>
          <w:trHeight w:val="202"/>
        </w:trPr>
        <w:tc>
          <w:tcPr>
            <w:tcW w:w="334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2,069,950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93,508</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335,244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2,502,723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114,747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960,372</w:t>
            </w:r>
          </w:p>
        </w:tc>
        <w:tc>
          <w:tcPr>
            <w:tcW w:w="0" w:type="dxa"/>
            <w:vAlign w:val="bottom"/>
          </w:tcPr>
          <w:p>
            <w:pPr>
              <w:spacing w:after="0"/>
              <w:rPr>
                <w:sz w:val="1"/>
                <w:szCs w:val="1"/>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45,996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1,390,270</w:t>
            </w:r>
          </w:p>
        </w:tc>
        <w:tc>
          <w:tcPr>
            <w:tcW w:w="0" w:type="dxa"/>
            <w:vAlign w:val="bottom"/>
          </w:tcPr>
          <w:p>
            <w:pPr>
              <w:spacing w:after="0"/>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138,680</w:t>
            </w:r>
          </w:p>
        </w:tc>
        <w:tc>
          <w:tcPr>
            <w:tcW w:w="0" w:type="dxa"/>
            <w:vAlign w:val="bottom"/>
          </w:tcPr>
          <w:p>
            <w:pPr>
              <w:spacing w:after="0"/>
              <w:rPr>
                <w:sz w:val="1"/>
                <w:szCs w:val="1"/>
                <w:color w:val="auto"/>
              </w:rPr>
            </w:pPr>
          </w:p>
        </w:tc>
      </w:tr>
      <w:tr>
        <w:trPr>
          <w:trHeight w:val="216"/>
        </w:trPr>
        <w:tc>
          <w:tcPr>
            <w:tcW w:w="3340" w:type="dxa"/>
            <w:vAlign w:val="bottom"/>
            <w:gridSpan w:val="4"/>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254,584</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Foreclosed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foreclosed properties at March 31, 2011, December 31, 2010 and March 31, 2010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9"/>
              </w:rPr>
              <w:t>December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center"/>
              <w:ind w:right="217"/>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00" w:type="dxa"/>
            <w:vAlign w:val="bottom"/>
          </w:tcPr>
          <w:p>
            <w:pPr>
              <w:ind w:left="580"/>
              <w:spacing w:after="0"/>
              <w:rPr>
                <w:sz w:val="20"/>
                <w:szCs w:val="20"/>
                <w:color w:val="auto"/>
              </w:rPr>
            </w:pPr>
            <w:r>
              <w:rPr>
                <w:rFonts w:ascii="Arial" w:cs="Arial" w:eastAsia="Arial" w:hAnsi="Arial"/>
                <w:sz w:val="18"/>
                <w:szCs w:val="18"/>
                <w:color w:val="auto"/>
              </w:rPr>
              <w:t>Commercial (secured by real estate)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25,893</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22,694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580"/>
              <w:spacing w:after="0"/>
              <w:rPr>
                <w:sz w:val="20"/>
                <w:szCs w:val="20"/>
                <w:color w:val="auto"/>
              </w:rPr>
            </w:pPr>
            <w:r>
              <w:rPr>
                <w:rFonts w:ascii="Arial" w:cs="Arial" w:eastAsia="Arial" w:hAnsi="Arial"/>
                <w:sz w:val="18"/>
                <w:szCs w:val="18"/>
                <w:color w:val="auto"/>
              </w:rPr>
              <w:t>Commercial construction</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11,568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17,808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tcPr>
          <w:p>
            <w:pPr>
              <w:ind w:left="800"/>
              <w:spacing w:after="0" w:line="201" w:lineRule="exact"/>
              <w:rPr>
                <w:sz w:val="20"/>
                <w:szCs w:val="20"/>
                <w:color w:val="auto"/>
              </w:rPr>
            </w:pPr>
            <w:r>
              <w:rPr>
                <w:rFonts w:ascii="Arial" w:cs="Arial" w:eastAsia="Arial" w:hAnsi="Arial"/>
                <w:sz w:val="18"/>
                <w:szCs w:val="18"/>
                <w:color w:val="auto"/>
              </w:rPr>
              <w:t>Total commercial</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27,068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5"/>
          </w:tcPr>
          <w:p>
            <w:pPr>
              <w:jc w:val="right"/>
              <w:spacing w:after="0" w:line="201" w:lineRule="exact"/>
              <w:rPr>
                <w:sz w:val="20"/>
                <w:szCs w:val="20"/>
                <w:color w:val="auto"/>
              </w:rPr>
            </w:pPr>
            <w:r>
              <w:rPr>
                <w:rFonts w:ascii="Arial" w:cs="Arial" w:eastAsia="Arial" w:hAnsi="Arial"/>
                <w:sz w:val="18"/>
                <w:szCs w:val="18"/>
                <w:color w:val="auto"/>
              </w:rPr>
              <w:t>43,701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37,129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580"/>
              <w:spacing w:after="0"/>
              <w:rPr>
                <w:sz w:val="20"/>
                <w:szCs w:val="20"/>
                <w:color w:val="auto"/>
              </w:rPr>
            </w:pPr>
            <w:r>
              <w:rPr>
                <w:rFonts w:ascii="Arial" w:cs="Arial" w:eastAsia="Arial" w:hAnsi="Arial"/>
                <w:sz w:val="18"/>
                <w:szCs w:val="18"/>
                <w:color w:val="auto"/>
              </w:rPr>
              <w:t>Residential construction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67,406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91,385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82,095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580"/>
              <w:spacing w:after="0"/>
              <w:rPr>
                <w:sz w:val="20"/>
                <w:szCs w:val="20"/>
                <w:color w:val="auto"/>
              </w:rPr>
            </w:pPr>
            <w:r>
              <w:rPr>
                <w:rFonts w:ascii="Arial" w:cs="Arial" w:eastAsia="Arial" w:hAnsi="Arial"/>
                <w:sz w:val="18"/>
                <w:szCs w:val="18"/>
                <w:color w:val="auto"/>
              </w:rPr>
              <w:t>Residential mortgage</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12,927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23,687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tcPr>
          <w:p>
            <w:pPr>
              <w:ind w:left="720"/>
              <w:spacing w:after="0" w:line="201" w:lineRule="exact"/>
              <w:rPr>
                <w:sz w:val="20"/>
                <w:szCs w:val="20"/>
                <w:color w:val="auto"/>
              </w:rPr>
            </w:pPr>
            <w:r>
              <w:rPr>
                <w:rFonts w:ascii="Arial" w:cs="Arial" w:eastAsia="Arial" w:hAnsi="Arial"/>
                <w:sz w:val="18"/>
                <w:szCs w:val="18"/>
                <w:color w:val="auto"/>
              </w:rPr>
              <w:t>Total foreclosed property</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107,401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5"/>
          </w:tcPr>
          <w:p>
            <w:pPr>
              <w:jc w:val="right"/>
              <w:spacing w:after="0" w:line="201" w:lineRule="exact"/>
              <w:rPr>
                <w:sz w:val="20"/>
                <w:szCs w:val="20"/>
                <w:color w:val="auto"/>
              </w:rPr>
            </w:pPr>
            <w:r>
              <w:rPr>
                <w:rFonts w:ascii="Arial" w:cs="Arial" w:eastAsia="Arial" w:hAnsi="Arial"/>
                <w:sz w:val="18"/>
                <w:szCs w:val="18"/>
                <w:color w:val="auto"/>
              </w:rPr>
              <w:t>158,773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146,267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580"/>
              <w:spacing w:after="0"/>
              <w:rPr>
                <w:sz w:val="20"/>
                <w:szCs w:val="20"/>
                <w:color w:val="auto"/>
              </w:rPr>
            </w:pPr>
            <w:r>
              <w:rPr>
                <w:rFonts w:ascii="Arial" w:cs="Arial" w:eastAsia="Arial" w:hAnsi="Arial"/>
                <w:sz w:val="18"/>
                <w:szCs w:val="18"/>
                <w:color w:val="auto"/>
              </w:rPr>
              <w:t>Less valuation allowance</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53,023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16,565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720"/>
              <w:spacing w:after="0"/>
              <w:rPr>
                <w:sz w:val="20"/>
                <w:szCs w:val="20"/>
                <w:color w:val="auto"/>
              </w:rPr>
            </w:pPr>
            <w:r>
              <w:rPr>
                <w:rFonts w:ascii="Arial" w:cs="Arial" w:eastAsia="Arial" w:hAnsi="Arial"/>
                <w:sz w:val="18"/>
                <w:szCs w:val="18"/>
                <w:color w:val="auto"/>
              </w:rPr>
              <w:t>Foreclosed property, net</w:t>
            </w:r>
          </w:p>
        </w:tc>
        <w:tc>
          <w:tcPr>
            <w:tcW w:w="1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54,378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142,208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00" w:type="dxa"/>
            <w:vAlign w:val="bottom"/>
          </w:tcPr>
          <w:p>
            <w:pPr>
              <w:ind w:left="580"/>
              <w:spacing w:after="0"/>
              <w:rPr>
                <w:sz w:val="20"/>
                <w:szCs w:val="20"/>
                <w:color w:val="auto"/>
              </w:rPr>
            </w:pPr>
            <w:r>
              <w:rPr>
                <w:rFonts w:ascii="Arial" w:cs="Arial" w:eastAsia="Arial" w:hAnsi="Arial"/>
                <w:sz w:val="18"/>
                <w:szCs w:val="18"/>
                <w:color w:val="auto"/>
              </w:rPr>
              <w:t>Balance as a percentage of original loan unpaid principal</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675"/>
        </w:trPr>
        <w:tc>
          <w:tcPr>
            <w:tcW w:w="8340" w:type="dxa"/>
            <w:vAlign w:val="bottom"/>
            <w:gridSpan w:val="8"/>
          </w:tcPr>
          <w:p>
            <w:pPr>
              <w:spacing w:after="0"/>
              <w:rPr>
                <w:sz w:val="20"/>
                <w:szCs w:val="20"/>
                <w:color w:val="auto"/>
              </w:rPr>
            </w:pPr>
            <w:r>
              <w:rPr>
                <w:rFonts w:ascii="Arial" w:cs="Arial" w:eastAsia="Arial" w:hAnsi="Arial"/>
                <w:sz w:val="18"/>
                <w:szCs w:val="18"/>
                <w:color w:val="auto"/>
                <w:w w:val="98"/>
              </w:rPr>
              <w:t xml:space="preserve">Activity in the valuation allowance for foreclosed property is presented in the following table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14"/>
          </w:tcPr>
          <w:p>
            <w:pPr>
              <w:jc w:val="right"/>
              <w:ind w:right="96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00" w:type="dxa"/>
            <w:vAlign w:val="bottom"/>
          </w:tcPr>
          <w:p>
            <w:pPr>
              <w:ind w:left="1140"/>
              <w:spacing w:after="0"/>
              <w:rPr>
                <w:sz w:val="20"/>
                <w:szCs w:val="20"/>
                <w:color w:val="auto"/>
              </w:rPr>
            </w:pPr>
            <w:r>
              <w:rPr>
                <w:rFonts w:ascii="Arial" w:cs="Arial" w:eastAsia="Arial" w:hAnsi="Arial"/>
                <w:sz w:val="18"/>
                <w:szCs w:val="18"/>
                <w:color w:val="auto"/>
              </w:rPr>
              <w:t>Balance at beginning of year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16,565</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7,433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140"/>
              <w:spacing w:after="0"/>
              <w:rPr>
                <w:sz w:val="20"/>
                <w:szCs w:val="20"/>
                <w:color w:val="auto"/>
              </w:rPr>
            </w:pPr>
            <w:r>
              <w:rPr>
                <w:rFonts w:ascii="Arial" w:cs="Arial" w:eastAsia="Arial" w:hAnsi="Arial"/>
                <w:sz w:val="18"/>
                <w:szCs w:val="18"/>
                <w:color w:val="auto"/>
              </w:rPr>
              <w:t>Additions charged to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48,585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4,579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140"/>
              <w:spacing w:after="0"/>
              <w:rPr>
                <w:sz w:val="20"/>
                <w:szCs w:val="20"/>
                <w:color w:val="auto"/>
              </w:rPr>
            </w:pPr>
            <w:r>
              <w:rPr>
                <w:rFonts w:ascii="Arial" w:cs="Arial" w:eastAsia="Arial" w:hAnsi="Arial"/>
                <w:sz w:val="18"/>
                <w:szCs w:val="18"/>
                <w:color w:val="auto"/>
              </w:rPr>
              <w:t>Direct write downs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(12,127)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80"/>
              <w:spacing w:after="0"/>
              <w:rPr>
                <w:sz w:val="20"/>
                <w:szCs w:val="20"/>
                <w:color w:val="auto"/>
              </w:rPr>
            </w:pPr>
            <w:r>
              <w:rPr>
                <w:rFonts w:ascii="Arial" w:cs="Arial" w:eastAsia="Arial" w:hAnsi="Arial"/>
                <w:sz w:val="18"/>
                <w:szCs w:val="18"/>
                <w:color w:val="auto"/>
              </w:rPr>
              <w:t>Balance at end of year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53,023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9,992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Arial" w:cs="Arial" w:eastAsia="Arial" w:hAnsi="Arial"/>
                <w:sz w:val="18"/>
                <w:szCs w:val="18"/>
                <w:color w:val="auto"/>
              </w:rPr>
              <w:t xml:space="preserve">Expenses related to foreclosed assets include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9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13"/>
          </w:tcPr>
          <w:p>
            <w:pPr>
              <w:jc w:val="right"/>
              <w:ind w:right="82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8"/>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84"/>
              </w:rPr>
              <w:t>2010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900" w:type="dxa"/>
            <w:vAlign w:val="bottom"/>
          </w:tcPr>
          <w:p>
            <w:pPr>
              <w:ind w:left="1140"/>
              <w:spacing w:after="0"/>
              <w:rPr>
                <w:sz w:val="20"/>
                <w:szCs w:val="20"/>
                <w:color w:val="auto"/>
              </w:rPr>
            </w:pPr>
            <w:r>
              <w:rPr>
                <w:rFonts w:ascii="Arial" w:cs="Arial" w:eastAsia="Arial" w:hAnsi="Arial"/>
                <w:sz w:val="18"/>
                <w:szCs w:val="18"/>
                <w:color w:val="auto"/>
              </w:rPr>
              <w:t>Net loss on sales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12,020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3,518</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140"/>
              <w:spacing w:after="0"/>
              <w:rPr>
                <w:sz w:val="20"/>
                <w:szCs w:val="20"/>
                <w:color w:val="auto"/>
              </w:rPr>
            </w:pPr>
            <w:r>
              <w:rPr>
                <w:rFonts w:ascii="Arial" w:cs="Arial" w:eastAsia="Arial" w:hAnsi="Arial"/>
                <w:sz w:val="18"/>
                <w:szCs w:val="18"/>
                <w:color w:val="auto"/>
              </w:rPr>
              <w:t>Provision for unrealized losses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48,585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4,579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140"/>
              <w:spacing w:after="0"/>
              <w:rPr>
                <w:sz w:val="20"/>
                <w:szCs w:val="20"/>
                <w:color w:val="auto"/>
              </w:rPr>
            </w:pPr>
            <w:r>
              <w:rPr>
                <w:rFonts w:ascii="Arial" w:cs="Arial" w:eastAsia="Arial" w:hAnsi="Arial"/>
                <w:sz w:val="18"/>
                <w:szCs w:val="18"/>
                <w:color w:val="auto"/>
              </w:rPr>
              <w:t>Operating expenses, net of rental income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4,294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2,716</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80"/>
              <w:spacing w:after="0"/>
              <w:rPr>
                <w:sz w:val="20"/>
                <w:szCs w:val="20"/>
                <w:color w:val="auto"/>
              </w:rPr>
            </w:pPr>
            <w:r>
              <w:rPr>
                <w:rFonts w:ascii="Arial" w:cs="Arial" w:eastAsia="Arial" w:hAnsi="Arial"/>
                <w:sz w:val="18"/>
                <w:szCs w:val="18"/>
                <w:color w:val="auto"/>
              </w:rPr>
              <w:t>Total foreclosed property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64,899</w:t>
            </w:r>
          </w:p>
        </w:tc>
        <w:tc>
          <w:tcPr>
            <w:tcW w:w="18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10,813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 is required to report on the face of the statement of operations, loss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the three months ended March 31, 2011 and 2010, United accrued dividends on Series A preferred stock totaling $3,000. In the first quarter of 2011 and 2010, United accrued dividends of $2.60 million and $2.57 million on Series B preferred stock. Additionally, in the first quarter of 2011, United accrued $173,000 of dividends on Series D preferred stock. The preferred stock dividends were subtracted from net loss in order to arrive at net loss available to common shareholders. There is no dilution from potentially dilutive securities for the three months ended March 31, 2011 and 2010, due to the antidilutive effect of the net loss for those periods.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loss per share for the three months ended March 31, 2011 and 2010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 data)</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82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4"/>
              </w:rPr>
              <w:t>Three Months Ended</w:t>
            </w:r>
          </w:p>
        </w:tc>
        <w:tc>
          <w:tcPr>
            <w:tcW w:w="0" w:type="dxa"/>
            <w:vAlign w:val="bottom"/>
          </w:tcPr>
          <w:p>
            <w:pPr>
              <w:spacing w:after="0"/>
              <w:rPr>
                <w:sz w:val="1"/>
                <w:szCs w:val="1"/>
                <w:color w:val="auto"/>
              </w:rPr>
            </w:pPr>
          </w:p>
        </w:tc>
      </w:tr>
      <w:tr>
        <w:trPr>
          <w:trHeight w:val="241"/>
        </w:trPr>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120" w:type="dxa"/>
            <w:vAlign w:val="bottom"/>
          </w:tcPr>
          <w:p>
            <w:pPr>
              <w:spacing w:after="0"/>
              <w:rPr>
                <w:sz w:val="20"/>
                <w:szCs w:val="20"/>
                <w:color w:val="auto"/>
              </w:rPr>
            </w:pPr>
            <w:r>
              <w:rPr>
                <w:rFonts w:ascii="Arial" w:cs="Arial" w:eastAsia="Arial" w:hAnsi="Arial"/>
                <w:sz w:val="18"/>
                <w:szCs w:val="18"/>
                <w:color w:val="auto"/>
              </w:rPr>
              <w:t>Net loss available to common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w w:val="97"/>
              </w:rPr>
              <w:t>(145,264)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(35,865)</w:t>
            </w:r>
          </w:p>
        </w:tc>
        <w:tc>
          <w:tcPr>
            <w:tcW w:w="0" w:type="dxa"/>
            <w:vAlign w:val="bottom"/>
          </w:tcPr>
          <w:p>
            <w:pPr>
              <w:spacing w:after="0"/>
              <w:rPr>
                <w:sz w:val="1"/>
                <w:szCs w:val="1"/>
                <w:color w:val="auto"/>
              </w:rPr>
            </w:pPr>
          </w:p>
        </w:tc>
      </w:tr>
      <w:tr>
        <w:trPr>
          <w:trHeight w:val="21"/>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7"/>
        </w:trPr>
        <w:tc>
          <w:tcPr>
            <w:tcW w:w="6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94,390</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420"/>
              <w:spacing w:after="0"/>
              <w:rPr>
                <w:sz w:val="20"/>
                <w:szCs w:val="20"/>
                <w:color w:val="auto"/>
              </w:rPr>
            </w:pPr>
            <w:r>
              <w:rPr>
                <w:rFonts w:ascii="Arial" w:cs="Arial" w:eastAsia="Arial" w:hAnsi="Arial"/>
                <w:sz w:val="18"/>
                <w:szCs w:val="18"/>
                <w:color w:val="auto"/>
              </w:rPr>
              <w:t>Warrants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61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March 31, 2011, United had a number of potentially dilutive securities outstanding including 182,661,503 shares issuable upon the expected conversion of Series F and Series G preferred stock. Such securities are mandatorily convertible to common stock upon shareholder approval. United is requesting shareholder approval at its annual shareholders’ meeting on June 16, 2011. Other potentially dilutive securities include a warrant to purchase 1,099,542 common shares at $12.28 per share issued to the U.S. Treasury in connection with the issuance of United’s Series B preferred stock; 648,350 shares issuable upon exercise of warrants attached to trust preferred securities with an exercise price of $20.00 per share; 3,326,543 shares issuable upon exercise of stock options granted to employees with a weighted average exercise price of $18.71; 77,075 shares issuable upon completion of vesting of restricted stock awards; 7,058,824 shares issuable upon exercise of warrants exercisable at $4.25 per share, granted to Fletcher International in connection with the 2010 asset purchase and sale agreement; 12,380,952 shares issuable upon conversion of preferred stock if Fletcher International exercises its option to purchase $65 million in convertible preferred stock, convertible at $5.25 per share; 5,813,953 shares issuable upon exercise of warrants, exercisable at $6.02 per share to be granted to Fletcher International upon exercise of its option to acquire preferred stock; and 7,755,631 shares issuable upon exercise of warrants owned by Elm Ridge Off Shore Fund and Elm Ridge Value Fund, exercisable at $2.50 per share. Additionally, there were 48,000,000 shares potentially issuable under the indemnification provisions of United’s first quarter private equity transaction if a change of ownership is deemed to have occurred under Section 382 of the Internal Revenue Code. Management does not believe there was an ownership change prior to, or in connection with, the private equity transaction completed in the first quarter. Therefore management does not expect the indemnity shares to be issued. A final determination on whether a change of ownership occurred and whether the indemnity shares will be issued as a result, is expected to be completed by June 30,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consolidated balance sheet as of March 31, 2011, December 31, 2010 and March 31,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Derivatives designated as hedging instruments under ASC 815 </w:t>
      </w:r>
      <w:r>
        <w:rPr>
          <w:rFonts w:ascii="Arial" w:cs="Arial" w:eastAsia="Arial" w:hAnsi="Arial"/>
          <w:sz w:val="18"/>
          <w:szCs w:val="18"/>
          <w:i w:val="1"/>
          <w:iCs w:val="1"/>
          <w:color w:val="auto"/>
        </w:rPr>
        <w:t>Hedge Accounting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335"/>
              <w:spacing w:after="0"/>
              <w:rPr>
                <w:sz w:val="20"/>
                <w:szCs w:val="20"/>
                <w:color w:val="auto"/>
              </w:rPr>
            </w:pPr>
            <w:r>
              <w:rPr>
                <w:rFonts w:ascii="Arial" w:cs="Arial" w:eastAsia="Arial" w:hAnsi="Arial"/>
                <w:sz w:val="18"/>
                <w:szCs w:val="18"/>
                <w:b w:val="1"/>
                <w:bCs w:val="1"/>
                <w:color w:val="auto"/>
              </w:rPr>
              <w:t>Fair Value</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7"/>
                <w:szCs w:val="17"/>
                <w:color w:val="auto"/>
              </w:rPr>
            </w:pPr>
          </w:p>
        </w:tc>
        <w:tc>
          <w:tcPr>
            <w:tcW w:w="1740" w:type="dxa"/>
            <w:vAlign w:val="bottom"/>
          </w:tcPr>
          <w:p>
            <w:pPr>
              <w:jc w:val="center"/>
              <w:ind w:left="290"/>
              <w:spacing w:after="0" w:line="198" w:lineRule="exact"/>
              <w:rPr>
                <w:sz w:val="20"/>
                <w:szCs w:val="20"/>
                <w:color w:val="auto"/>
              </w:rPr>
            </w:pPr>
            <w:r>
              <w:rPr>
                <w:rFonts w:ascii="Arial" w:cs="Arial" w:eastAsia="Arial" w:hAnsi="Arial"/>
                <w:sz w:val="18"/>
                <w:szCs w:val="18"/>
                <w:b w:val="1"/>
                <w:bCs w:val="1"/>
                <w:color w:val="auto"/>
                <w:w w:val="96"/>
              </w:rPr>
              <w:t>March 31,</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jc w:val="center"/>
              <w:ind w:left="215"/>
              <w:spacing w:after="0" w:line="198" w:lineRule="exact"/>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jc w:val="center"/>
              <w:ind w:right="310"/>
              <w:spacing w:after="0" w:line="198" w:lineRule="exact"/>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7"/>
                <w:szCs w:val="17"/>
                <w:color w:val="auto"/>
              </w:rPr>
            </w:pPr>
          </w:p>
        </w:tc>
      </w:tr>
      <w:tr>
        <w:trPr>
          <w:trHeight w:val="241"/>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Products</w:t>
            </w:r>
          </w:p>
        </w:tc>
        <w:tc>
          <w:tcPr>
            <w:tcW w:w="1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Pr>
          <w:p>
            <w:pPr>
              <w:spacing w:after="0"/>
              <w:rPr>
                <w:sz w:val="20"/>
                <w:szCs w:val="20"/>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Asset derivatives</w:t>
            </w: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880" w:type="dxa"/>
            <w:vAlign w:val="bottom"/>
            <w:gridSpan w:val="2"/>
          </w:tcPr>
          <w:p>
            <w:pPr>
              <w:jc w:val="right"/>
              <w:ind w:right="15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167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6,113</w:t>
            </w:r>
          </w:p>
        </w:tc>
      </w:tr>
      <w:tr>
        <w:trPr>
          <w:trHeight w:val="21"/>
        </w:trPr>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December 31, 2010 and March 31, 2010, United did not have any derivatives in a net liability position.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United had no active derivative contracts outstanding at March 31, 2011 or December 31, 2010 that were designated as cash flow hedges of interest rate risk.</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2010, such derivatives were used to hedge the variable cash flows associated with existing prime-based, variable-rate loans. The ineffective portion of the change in fair value of the derivatives is recognized directly in earnings. During the three months ended March 31, 2011 and 2010, $1.30 million and $522,000, respectively, in hedge ineffectiveness was recognized in other fee revenue.</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Amounts reported in accumulated other comprehensive income related to derivatives will be reclassified to interest revenue as interest payments are received on United’s prime-based, variable-rate loans. At March 31, 2011,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contract on a straight line basis. During the three months ended March 31, 2011, United accelerated the reclassification of $1.30 million in gains from terminated positions as a result of forecasted transactions becoming probable not to occur. During the next twelve months, United estimates that an additional $10.2 million of the deferred gains on terminated cash flow hedging positions will be reclassified as an increase to interest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March 31, 2011 and December 31, 2010, United had no active derivatives designated as fair value hedges of interest rate risk.</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months ended March 31, 2010, United recognized net gains of $88,000 related to ineffectiveness of the fair value hedging relationships. United also recognized a net reduction of interest expense of $1.39 million for the three months ended March 31, 2010 related to United’s fair value hedges, which includes net settlements on the derivatives. There were no active fair value hedges during the first quarter of 2011.</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months ended March 31, 2011 and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90"/>
              </w:rPr>
              <w:t>Amount of Gain (Loss) Recognized in</w:t>
            </w:r>
          </w:p>
        </w:tc>
        <w:tc>
          <w:tcPr>
            <w:tcW w:w="440" w:type="dxa"/>
            <w:vAlign w:val="bottom"/>
          </w:tcPr>
          <w:p>
            <w:pPr>
              <w:spacing w:after="0"/>
              <w:rPr>
                <w:sz w:val="18"/>
                <w:szCs w:val="18"/>
                <w:color w:val="auto"/>
              </w:rPr>
            </w:pPr>
          </w:p>
        </w:tc>
        <w:tc>
          <w:tcPr>
            <w:tcW w:w="40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Amount of Gain (Loss) Recognized in</w:t>
            </w:r>
          </w:p>
        </w:tc>
      </w:tr>
      <w:tr>
        <w:trPr>
          <w:trHeight w:val="241"/>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1"/>
              </w:rPr>
              <w:t>Income on Derivative</w:t>
            </w:r>
          </w:p>
        </w:tc>
        <w:tc>
          <w:tcPr>
            <w:tcW w:w="1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left="750"/>
              <w:spacing w:after="0"/>
              <w:rPr>
                <w:sz w:val="20"/>
                <w:szCs w:val="20"/>
                <w:color w:val="auto"/>
              </w:rPr>
            </w:pPr>
            <w:r>
              <w:rPr>
                <w:rFonts w:ascii="Arial" w:cs="Arial" w:eastAsia="Arial" w:hAnsi="Arial"/>
                <w:sz w:val="18"/>
                <w:szCs w:val="18"/>
                <w:b w:val="1"/>
                <w:bCs w:val="1"/>
                <w:color w:val="auto"/>
                <w:w w:val="90"/>
              </w:rPr>
              <w:t>Income on Hedged Item</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Derivative</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4"/>
              </w:rPr>
              <w:t>2010</w:t>
            </w:r>
          </w:p>
        </w:tc>
        <w:tc>
          <w:tcPr>
            <w:tcW w:w="20" w:type="dxa"/>
            <w:vAlign w:val="bottom"/>
          </w:tcPr>
          <w:p>
            <w:pPr>
              <w:spacing w:after="0"/>
              <w:rPr>
                <w:sz w:val="19"/>
                <w:szCs w:val="19"/>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Other fee revenue</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(1,195)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1,283</w:t>
            </w:r>
          </w:p>
        </w:tc>
      </w:tr>
      <w:tr>
        <w:trPr>
          <w:trHeight w:val="21"/>
        </w:trPr>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Amount of Gain (Loss)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Recognized in Other</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Comprehensive Income on</w:t>
            </w:r>
          </w:p>
        </w:tc>
        <w:tc>
          <w:tcPr>
            <w:tcW w:w="466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0"/>
              </w:rPr>
              <w:t>Gain (Loss) Reclassified from Accumulated Other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Derivative (Effective Portion)</w:t>
            </w:r>
          </w:p>
        </w:tc>
        <w:tc>
          <w:tcPr>
            <w:tcW w:w="54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Comprehensive Income into Income (Effective Portion)</w:t>
            </w:r>
          </w:p>
        </w:tc>
      </w:tr>
      <w:tr>
        <w:trPr>
          <w:trHeight w:val="223"/>
        </w:trPr>
        <w:tc>
          <w:tcPr>
            <w:tcW w:w="2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28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b w:val="1"/>
                <w:bCs w:val="1"/>
                <w:color w:val="auto"/>
              </w:rPr>
              <w:t>Location</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2010</w:t>
            </w:r>
          </w:p>
        </w:tc>
        <w:tc>
          <w:tcPr>
            <w:tcW w:w="20" w:type="dxa"/>
            <w:vAlign w:val="bottom"/>
          </w:tcPr>
          <w:p>
            <w:pPr>
              <w:spacing w:after="0"/>
              <w:rPr>
                <w:sz w:val="19"/>
                <w:szCs w:val="19"/>
                <w:color w:val="auto"/>
              </w:rPr>
            </w:pPr>
          </w:p>
        </w:tc>
      </w:tr>
      <w:tr>
        <w:trPr>
          <w:trHeight w:val="418"/>
        </w:trPr>
        <w:tc>
          <w:tcPr>
            <w:tcW w:w="2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revenue</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2,923</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6,012</w:t>
            </w:r>
          </w:p>
        </w:tc>
      </w:tr>
      <w:tr>
        <w:trPr>
          <w:trHeight w:val="237"/>
        </w:trPr>
        <w:tc>
          <w:tcPr>
            <w:tcW w:w="2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7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20" w:type="dxa"/>
            <w:vAlign w:val="bottom"/>
          </w:tcPr>
          <w:p>
            <w:pPr>
              <w:spacing w:after="0"/>
              <w:rPr>
                <w:sz w:val="18"/>
                <w:szCs w:val="18"/>
                <w:color w:val="auto"/>
              </w:rPr>
            </w:pPr>
          </w:p>
        </w:tc>
      </w:tr>
      <w:tr>
        <w:trPr>
          <w:trHeight w:val="21"/>
        </w:trPr>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At March 31, 2011, United had no active derivative positions and therefore no credit support agreements remained in effect.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March 31, 2011, approximately 1,276,000 additional awards could be granted under the plan. Through March 31, 2011, only incentive stock options, nonqualified stock options and restricted stock awards and units had been granted under the plan.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3"/>
              </w:rPr>
              <w:t>The following table shows stock option activity for the first three months of 2011.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Intrinisic</w:t>
            </w:r>
          </w:p>
        </w:tc>
      </w:tr>
      <w:tr>
        <w:trPr>
          <w:trHeight w:val="241"/>
        </w:trPr>
        <w:tc>
          <w:tcPr>
            <w:tcW w:w="596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 ($000)</w:t>
            </w:r>
          </w:p>
        </w:tc>
      </w:tr>
      <w:tr>
        <w:trPr>
          <w:trHeight w:val="418"/>
        </w:trPr>
        <w:tc>
          <w:tcPr>
            <w:tcW w:w="5960" w:type="dxa"/>
            <w:vAlign w:val="bottom"/>
          </w:tcPr>
          <w:p>
            <w:pPr>
              <w:spacing w:after="0"/>
              <w:rPr>
                <w:sz w:val="20"/>
                <w:szCs w:val="20"/>
                <w:color w:val="auto"/>
              </w:rPr>
            </w:pPr>
            <w:r>
              <w:rPr>
                <w:rFonts w:ascii="Arial" w:cs="Arial" w:eastAsia="Arial" w:hAnsi="Arial"/>
                <w:sz w:val="18"/>
                <w:szCs w:val="18"/>
                <w:color w:val="auto"/>
              </w:rPr>
              <w:t>Outstanding at December 31, 2010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3,391,577</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18.60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Expired</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(65,034)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12.98</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5960" w:type="dxa"/>
            <w:vAlign w:val="bottom"/>
          </w:tcPr>
          <w:p>
            <w:pPr>
              <w:spacing w:after="0" w:line="196" w:lineRule="exact"/>
              <w:rPr>
                <w:sz w:val="20"/>
                <w:szCs w:val="20"/>
                <w:color w:val="auto"/>
              </w:rPr>
            </w:pPr>
            <w:r>
              <w:rPr>
                <w:rFonts w:ascii="Arial" w:cs="Arial" w:eastAsia="Arial" w:hAnsi="Arial"/>
                <w:sz w:val="18"/>
                <w:szCs w:val="18"/>
                <w:color w:val="auto"/>
              </w:rPr>
              <w:t>Outstanding at March 31, 2011</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3,326,543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18.71</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4.5</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6"/>
        </w:trPr>
        <w:tc>
          <w:tcPr>
            <w:tcW w:w="5960" w:type="dxa"/>
            <w:vAlign w:val="bottom"/>
          </w:tcPr>
          <w:p>
            <w:pPr>
              <w:spacing w:after="0"/>
              <w:rPr>
                <w:sz w:val="20"/>
                <w:szCs w:val="20"/>
                <w:color w:val="auto"/>
              </w:rPr>
            </w:pPr>
            <w:r>
              <w:rPr>
                <w:rFonts w:ascii="Arial" w:cs="Arial" w:eastAsia="Arial" w:hAnsi="Arial"/>
                <w:sz w:val="18"/>
                <w:szCs w:val="18"/>
                <w:color w:val="auto"/>
              </w:rPr>
              <w:t>Exercisable at March 31, 2011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2,681,281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options were granted during the first three months of 2011. The fair value of each option is estimated on the date of grant using the Black-Scholes model. Because United’s option plan has not been in place long enough to gather sufficient information about exercise patterns to establish an expected life, United uses the formula provided by the SEC in SAB No. 107 to determine the expected life of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to determine the fair value of stock options are presented in the table below.</w:t>
      </w: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1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7540" w:type="dxa"/>
            <w:vAlign w:val="bottom"/>
          </w:tcPr>
          <w:p>
            <w:pPr>
              <w:spacing w:after="0"/>
              <w:rPr>
                <w:sz w:val="20"/>
                <w:szCs w:val="20"/>
                <w:color w:val="auto"/>
              </w:rPr>
            </w:pPr>
          </w:p>
        </w:tc>
        <w:tc>
          <w:tcPr>
            <w:tcW w:w="21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7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418"/>
        </w:trPr>
        <w:tc>
          <w:tcPr>
            <w:tcW w:w="754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55.00%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Risk-free rate</w:t>
            </w:r>
          </w:p>
        </w:tc>
        <w:tc>
          <w:tcPr>
            <w:tcW w:w="960" w:type="dxa"/>
            <w:vAlign w:val="bottom"/>
          </w:tcPr>
          <w:p>
            <w:pPr>
              <w:jc w:val="center"/>
              <w:spacing w:after="0"/>
              <w:rPr>
                <w:sz w:val="20"/>
                <w:szCs w:val="20"/>
                <w:color w:val="auto"/>
              </w:rPr>
            </w:pPr>
            <w:r>
              <w:rPr>
                <w:rFonts w:ascii="Arial" w:cs="Arial" w:eastAsia="Arial" w:hAnsi="Arial"/>
                <w:sz w:val="18"/>
                <w:szCs w:val="18"/>
                <w:color w:val="auto"/>
              </w:rPr>
              <w:t>NA</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3.12%</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2010, expected volatility was determined using United’s historical monthly volatility for over a period of 25 quarters ending December 31, 2009. Compensation expense relating to stock options of $441,000 and $662,000, was included in earnings for the three months ended March 31, 2011 and 2010, respectively. Deferred tax benefits of $172,000 and $266,000, respectively, were included in the determination of income tax benefit for the three-month periods ended March 31, 2011 and 2010.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three months of 2011 or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w w:val="95"/>
              </w:rPr>
              <w:t>The table below presents the activity in restricted stock awards for the first three months of 2011.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17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1720" w:type="dxa"/>
            <w:vAlign w:val="bottom"/>
          </w:tcPr>
          <w:p>
            <w:pPr>
              <w:spacing w:after="0"/>
              <w:rPr>
                <w:sz w:val="20"/>
                <w:szCs w:val="20"/>
                <w:color w:val="auto"/>
              </w:rPr>
            </w:pPr>
          </w:p>
        </w:tc>
        <w:tc>
          <w:tcPr>
            <w:tcW w:w="56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r>
      <w:tr>
        <w:trPr>
          <w:trHeight w:val="418"/>
        </w:trPr>
        <w:tc>
          <w:tcPr>
            <w:tcW w:w="7340" w:type="dxa"/>
            <w:vAlign w:val="bottom"/>
            <w:gridSpan w:val="2"/>
          </w:tcPr>
          <w:p>
            <w:pPr>
              <w:ind w:left="1720"/>
              <w:spacing w:after="0"/>
              <w:rPr>
                <w:sz w:val="20"/>
                <w:szCs w:val="20"/>
                <w:color w:val="auto"/>
              </w:rPr>
            </w:pPr>
            <w:r>
              <w:rPr>
                <w:rFonts w:ascii="Arial" w:cs="Arial" w:eastAsia="Arial" w:hAnsi="Arial"/>
                <w:sz w:val="18"/>
                <w:szCs w:val="18"/>
                <w:color w:val="auto"/>
              </w:rPr>
              <w:t>Outstanding at December 31, 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116,082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37"/>
        </w:trPr>
        <w:tc>
          <w:tcPr>
            <w:tcW w:w="7340" w:type="dxa"/>
            <w:vAlign w:val="bottom"/>
            <w:gridSpan w:val="2"/>
          </w:tcPr>
          <w:p>
            <w:pPr>
              <w:ind w:left="1720"/>
              <w:spacing w:after="0"/>
              <w:rPr>
                <w:sz w:val="20"/>
                <w:szCs w:val="20"/>
                <w:color w:val="auto"/>
              </w:rPr>
            </w:pPr>
            <w:r>
              <w:rPr>
                <w:rFonts w:ascii="Arial" w:cs="Arial" w:eastAsia="Arial" w:hAnsi="Arial"/>
                <w:sz w:val="18"/>
                <w:szCs w:val="18"/>
                <w:color w:val="auto"/>
              </w:rPr>
              <w:t>Vested</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(39,007)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7340" w:type="dxa"/>
            <w:vAlign w:val="bottom"/>
            <w:gridSpan w:val="2"/>
          </w:tcPr>
          <w:p>
            <w:pPr>
              <w:ind w:left="1720"/>
              <w:spacing w:after="0"/>
              <w:rPr>
                <w:sz w:val="20"/>
                <w:szCs w:val="20"/>
                <w:color w:val="auto"/>
              </w:rPr>
            </w:pPr>
            <w:r>
              <w:rPr>
                <w:rFonts w:ascii="Arial" w:cs="Arial" w:eastAsia="Arial" w:hAnsi="Arial"/>
                <w:sz w:val="18"/>
                <w:szCs w:val="18"/>
                <w:color w:val="auto"/>
              </w:rPr>
              <w:t>Outstanding at March 31, 2011</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
        </w:trPr>
        <w:tc>
          <w:tcPr>
            <w:tcW w:w="17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three months ended March 31, 2011 and 2010, compensation expense of $107,000 and $170,000, respectively, was recognized related to restricted stock awards. The total intrinsic value of the restricted stock was $180,000 at March 31, 2011.</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2011, there was $1.73 million of unrecognized compensation cost related to non-vested stock options and restricted stock awards granted under the plan. That cost is expected to be recognized over a weighted-average period of 1.6 years. The aggregate grant date fair value of options and restricted stock awards that vested during the three months ended March 31, 2011, was $423,000.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and Preferred Stock Issued / Common Stock Issuable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three months ended March 31, 2011 and 2010, United issued 230,096 and 125,021 shares, respectively, and increased capital by $375,000 and $511,000, respectively, through these programs. The DRIP program has been suspended until 2012 when United expects to regain its S-3 filing status.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March 31, 2011 and 2010, 397,138 and 262,002 shares, respectively, were issuable under the deferred compensation plan.</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22, 2011, United entered into a share exchange agreement (the “Share Exchange Agreement”) with Elm Ridge Offshore Master Fund, Ltd. and Elm Ridge Value Partners, L.P. (collectively referred to as “Elm Ridge Parties”). Under the Share Exchange Agreement, the Elm Ridge Parties agreed to transfer to the Company 7,755,631 shares of the Company’s common stock in exchange for 16,613 shares of the Company’s cumulative perpetual preferred stock, Series D and warrants to purchase 7,755,631 common shares with an exercise price of $2.50 per share that expires on August 22, 2013. This exchange transaction did not result in a net increase or decrease to total shareholder’s equity for the quarter ended March 31, 2011.</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2011, United entered into investment agreements (the “Investment Agreements”) with Corsair Georgia, L.P. (“Corsair”) and a group of institutional investors (the “Additional Investors”). United issued 17,338,497 of the Company’s common stock for $1.90 per share, 195,872 shares of mandatorily convertible cumulative non-voting perpetual preferred stock, Series F (the “Series F Preferred Stock”), and 151,185 shares of mandatorily convertible cumulative non-voting perpetual preferred stock, Series G (the “Series G Preferred Stock”). Under the terms of the Investment Agreements and following receipt of required shareholder approvals, the Series F Preferred Stock will be mandatorily convertible into 103,090,506 shares of voting common stock and the Series G Preferred Stock will be mandatorily convertible into 79,570,997 shares of non-voting common stock. This private placement transaction resulted in an increase to shareholders’ equity of $363 million, net of $17.5 million in issuance costs. Upon the conversion of the convertible preferred sock, Corsair will own approximately 22.5% of United’s pro forma outstanding common stock. The Additional Investors will own approximately 47.2% of United’s pro forma outstanding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Reclassifications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Certain 2010 amounts have been reclassified to conform to the 2011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Discontinued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31, 2010, United completed the sale of its consulting subsidiary, Brintech, Inc. (“Brintech”). The sales price was $2.9 million with United covering certain costs related to the sale transaction resulting in a net, pre-tax gain of $2.1 million. As a result of the sale, Brintech is presented in the consolidated financial statements as a discontinued operation with all revenue and expenses related to the sold operations deconsolidated from the consolidated statement of operations for all periods presented. The net results of operations from Brintech are reported on a separate line on the consolidated statement of operations titled “Loss from discontinued operations, net of income taxes.” The gain from the sale, net of income taxes and selling costs, is presented on a separate line titled “Gain from sale of subsidiary, net of income taxes and selling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Transaction with Fletcher International</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 nominal aggregate sales price equal to the Bank’s carrying amount. The nonperforming assets sale transaction closed on April 30, 2010. The consideration for the sale consisted of $20.6 million in cash and a loan for $82.4 million. As part of the agreement, Fletcher received a warrant to acquire 7,058,824 shares of United’s common stock at a price of $4.25 per share. In accordance with the terms of the securities purchase agreement, Fletcher has the right during the next two years to purchase up to $65 million in United’s Series C Convertible Preferred Stock. The Series C Convertible Preferred Stock pays a dividend equal to the lesser of 8% or LIBOR plus 4%. The Series C Convertible Preferred Stock is convertible by Fletcher into common stock at $5.25 per share (12,380,952 shares). If Fletcher has not purchased all of the Series C Convertible Preferred Stock by May 31, 2011, it must pay United 5% of the commitment amount not purchased by such date, and it must pay United an additional 5% of the commitment amount not purchased by May 31, 2012. In addition, Fletcher will receive an additional warrant to purchase $35 million in common stock at $6.02 per share (5,813,953 shares) when it purchases the last $35 million of Series C Convertible Preferred Stock. All of the warrants settle on a cashless exercise basis and the net shares to be delivered upon cashless exercise will be less than what would have been issuable if the warrant had been exercised for cash.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 thousands, except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amounts)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6060" w:type="dxa"/>
            <w:vAlign w:val="bottom"/>
          </w:tcPr>
          <w:p>
            <w:pPr>
              <w:spacing w:after="0"/>
              <w:rPr>
                <w:sz w:val="20"/>
                <w:szCs w:val="20"/>
                <w:color w:val="auto"/>
              </w:rPr>
            </w:pPr>
          </w:p>
        </w:tc>
        <w:tc>
          <w:tcPr>
            <w:tcW w:w="25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Valuation Approach</w:t>
            </w: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Heirarchy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b w:val="1"/>
                <w:bCs w:val="1"/>
                <w:color w:val="auto"/>
              </w:rPr>
              <w:t>Warrants Issued / Assets Transferred to Fletcher at Fair Value:</w:t>
            </w:r>
          </w:p>
        </w:tc>
        <w:tc>
          <w:tcPr>
            <w:tcW w:w="2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Warrant to purchase $30 million in common stock at $4.25 per share</w:t>
            </w:r>
          </w:p>
        </w:tc>
        <w:tc>
          <w:tcPr>
            <w:tcW w:w="2520" w:type="dxa"/>
            <w:vAlign w:val="bottom"/>
          </w:tcPr>
          <w:p>
            <w:pPr>
              <w:ind w:left="40"/>
              <w:spacing w:after="0"/>
              <w:rPr>
                <w:sz w:val="20"/>
                <w:szCs w:val="20"/>
                <w:color w:val="auto"/>
              </w:rPr>
            </w:pPr>
            <w:r>
              <w:rPr>
                <w:rFonts w:ascii="Arial" w:cs="Arial" w:eastAsia="Arial" w:hAnsi="Arial"/>
                <w:sz w:val="18"/>
                <w:szCs w:val="18"/>
                <w:color w:val="auto"/>
              </w:rPr>
              <w:t>Black-Scholes</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17,577</w:t>
            </w: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Option to purchase convertible preferred stock and warrant</w:t>
            </w:r>
          </w:p>
        </w:tc>
        <w:tc>
          <w:tcPr>
            <w:tcW w:w="2520" w:type="dxa"/>
            <w:vAlign w:val="bottom"/>
          </w:tcPr>
          <w:p>
            <w:pPr>
              <w:ind w:left="40"/>
              <w:spacing w:after="0"/>
              <w:rPr>
                <w:sz w:val="20"/>
                <w:szCs w:val="20"/>
                <w:color w:val="auto"/>
              </w:rPr>
            </w:pPr>
            <w:r>
              <w:rPr>
                <w:rFonts w:ascii="Arial" w:cs="Arial" w:eastAsia="Arial" w:hAnsi="Arial"/>
                <w:sz w:val="18"/>
                <w:szCs w:val="18"/>
                <w:color w:val="auto"/>
              </w:rPr>
              <w:t>Monte-Carlo Simulation</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22,236</w:t>
            </w: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Fair value of equity instruments recognized in capital surplus</w:t>
            </w: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w:t>
            </w: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rPr>
              <w:t>Foreclosed properties transferred under Asset Purchase Agreement</w:t>
            </w:r>
          </w:p>
        </w:tc>
        <w:tc>
          <w:tcPr>
            <w:tcW w:w="2520" w:type="dxa"/>
            <w:vAlign w:val="bottom"/>
          </w:tcPr>
          <w:p>
            <w:pPr>
              <w:ind w:left="40"/>
              <w:spacing w:after="0" w:line="201" w:lineRule="exact"/>
              <w:rPr>
                <w:sz w:val="20"/>
                <w:szCs w:val="20"/>
                <w:color w:val="auto"/>
              </w:rPr>
            </w:pPr>
            <w:r>
              <w:rPr>
                <w:rFonts w:ascii="Arial" w:cs="Arial" w:eastAsia="Arial" w:hAnsi="Arial"/>
                <w:sz w:val="18"/>
                <w:szCs w:val="18"/>
                <w:color w:val="auto"/>
              </w:rPr>
              <w:t>Appraised Value</w:t>
            </w:r>
          </w:p>
        </w:tc>
        <w:tc>
          <w:tcPr>
            <w:tcW w:w="14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33,434</w:t>
            </w: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Nonperforming loans transferred under Asset Purchase Agreement</w:t>
            </w:r>
          </w:p>
        </w:tc>
        <w:tc>
          <w:tcPr>
            <w:tcW w:w="2520" w:type="dxa"/>
            <w:vAlign w:val="bottom"/>
          </w:tcPr>
          <w:p>
            <w:pPr>
              <w:ind w:left="40"/>
              <w:spacing w:after="0"/>
              <w:rPr>
                <w:sz w:val="20"/>
                <w:szCs w:val="20"/>
                <w:color w:val="auto"/>
              </w:rPr>
            </w:pPr>
            <w:r>
              <w:rPr>
                <w:rFonts w:ascii="Arial" w:cs="Arial" w:eastAsia="Arial" w:hAnsi="Arial"/>
                <w:sz w:val="18"/>
                <w:szCs w:val="18"/>
                <w:color w:val="auto"/>
              </w:rPr>
              <w:t>Collateral Appraised Value</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69,655</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Total nonperforming assets transferred</w:t>
            </w: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103,089</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Total value of assets and equity instruments transferred</w:t>
            </w: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142,902</w:t>
            </w:r>
          </w:p>
        </w:tc>
      </w:tr>
      <w:tr>
        <w:trPr>
          <w:trHeight w:val="418"/>
        </w:trPr>
        <w:tc>
          <w:tcPr>
            <w:tcW w:w="6060" w:type="dxa"/>
            <w:vAlign w:val="bottom"/>
          </w:tcPr>
          <w:p>
            <w:pPr>
              <w:spacing w:after="0"/>
              <w:rPr>
                <w:sz w:val="20"/>
                <w:szCs w:val="20"/>
                <w:color w:val="auto"/>
              </w:rPr>
            </w:pPr>
            <w:r>
              <w:rPr>
                <w:rFonts w:ascii="Arial" w:cs="Arial" w:eastAsia="Arial" w:hAnsi="Arial"/>
                <w:sz w:val="18"/>
                <w:szCs w:val="18"/>
                <w:b w:val="1"/>
                <w:bCs w:val="1"/>
                <w:color w:val="auto"/>
                <w:w w:val="99"/>
              </w:rPr>
              <w:t>Less - Cash and Notes Receivable Received in Exchange at Fair Value:</w:t>
            </w: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Cash down payment received from asset sale</w:t>
            </w:r>
          </w:p>
        </w:tc>
        <w:tc>
          <w:tcPr>
            <w:tcW w:w="2520" w:type="dxa"/>
            <w:vAlign w:val="bottom"/>
          </w:tcPr>
          <w:p>
            <w:pPr>
              <w:ind w:left="40"/>
              <w:spacing w:after="0"/>
              <w:rPr>
                <w:sz w:val="20"/>
                <w:szCs w:val="20"/>
                <w:color w:val="auto"/>
              </w:rPr>
            </w:pPr>
            <w:r>
              <w:rPr>
                <w:rFonts w:ascii="Arial" w:cs="Arial" w:eastAsia="Arial" w:hAnsi="Arial"/>
                <w:sz w:val="18"/>
                <w:szCs w:val="18"/>
                <w:color w:val="auto"/>
              </w:rPr>
              <w:t>NA</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20,618</w:t>
            </w: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Notes receivable (par value $82,471, net of $4,531 discount)</w:t>
            </w:r>
          </w:p>
        </w:tc>
        <w:tc>
          <w:tcPr>
            <w:tcW w:w="2520" w:type="dxa"/>
            <w:vAlign w:val="bottom"/>
          </w:tcPr>
          <w:p>
            <w:pPr>
              <w:ind w:left="40"/>
              <w:spacing w:after="0"/>
              <w:rPr>
                <w:sz w:val="20"/>
                <w:szCs w:val="20"/>
                <w:color w:val="auto"/>
              </w:rPr>
            </w:pPr>
            <w:r>
              <w:rPr>
                <w:rFonts w:ascii="Arial" w:cs="Arial" w:eastAsia="Arial" w:hAnsi="Arial"/>
                <w:sz w:val="18"/>
                <w:szCs w:val="18"/>
                <w:color w:val="auto"/>
              </w:rPr>
              <w:t>Discounted Cash Flows</w:t>
            </w:r>
          </w:p>
        </w:tc>
        <w:tc>
          <w:tcPr>
            <w:tcW w:w="148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77,940</w:t>
            </w: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Total value of cash and notes receivable received</w:t>
            </w:r>
          </w:p>
        </w:tc>
        <w:tc>
          <w:tcPr>
            <w:tcW w:w="2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98,558</w:t>
            </w:r>
          </w:p>
        </w:tc>
      </w:tr>
      <w:tr>
        <w:trPr>
          <w:trHeight w:val="418"/>
        </w:trPr>
        <w:tc>
          <w:tcPr>
            <w:tcW w:w="8580" w:type="dxa"/>
            <w:vAlign w:val="bottom"/>
            <w:gridSpan w:val="2"/>
          </w:tcPr>
          <w:p>
            <w:pPr>
              <w:spacing w:after="0"/>
              <w:rPr>
                <w:sz w:val="20"/>
                <w:szCs w:val="20"/>
                <w:color w:val="auto"/>
              </w:rPr>
            </w:pPr>
            <w:r>
              <w:rPr>
                <w:rFonts w:ascii="Arial" w:cs="Arial" w:eastAsia="Arial" w:hAnsi="Arial"/>
                <w:sz w:val="18"/>
                <w:szCs w:val="18"/>
                <w:color w:val="auto"/>
              </w:rPr>
              <w:t>Fair value of assets and equity instruments transferred in excess of cash and notes received</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44,344</w:t>
            </w:r>
          </w:p>
        </w:tc>
      </w:tr>
      <w:tr>
        <w:trPr>
          <w:trHeight w:val="237"/>
        </w:trPr>
        <w:tc>
          <w:tcPr>
            <w:tcW w:w="6060" w:type="dxa"/>
            <w:vAlign w:val="bottom"/>
          </w:tcPr>
          <w:p>
            <w:pPr>
              <w:spacing w:after="0"/>
              <w:rPr>
                <w:sz w:val="20"/>
                <w:szCs w:val="20"/>
                <w:color w:val="auto"/>
              </w:rPr>
            </w:pPr>
            <w:r>
              <w:rPr>
                <w:rFonts w:ascii="Arial" w:cs="Arial" w:eastAsia="Arial" w:hAnsi="Arial"/>
                <w:sz w:val="18"/>
                <w:szCs w:val="18"/>
                <w:color w:val="auto"/>
              </w:rPr>
              <w:t>Transaction fees</w:t>
            </w:r>
          </w:p>
        </w:tc>
        <w:tc>
          <w:tcPr>
            <w:tcW w:w="2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6060" w:type="dxa"/>
            <w:vAlign w:val="bottom"/>
          </w:tcPr>
          <w:p>
            <w:pPr>
              <w:ind w:left="240"/>
              <w:spacing w:after="0"/>
              <w:rPr>
                <w:sz w:val="20"/>
                <w:szCs w:val="20"/>
                <w:color w:val="auto"/>
              </w:rPr>
            </w:pPr>
            <w:r>
              <w:rPr>
                <w:rFonts w:ascii="Arial" w:cs="Arial" w:eastAsia="Arial" w:hAnsi="Arial"/>
                <w:sz w:val="18"/>
                <w:szCs w:val="18"/>
                <w:b w:val="1"/>
                <w:bCs w:val="1"/>
                <w:color w:val="auto"/>
              </w:rPr>
              <w:t>Loss recognized on Fletcher transaction</w:t>
            </w:r>
          </w:p>
        </w:tc>
        <w:tc>
          <w:tcPr>
            <w:tcW w:w="2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45,349</w:t>
            </w:r>
          </w:p>
        </w:tc>
      </w:tr>
      <w:tr>
        <w:trPr>
          <w:trHeight w:val="21"/>
        </w:trPr>
        <w:tc>
          <w:tcPr>
            <w:tcW w:w="6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$17.6 million value of the warrant to purchase $30 million in common stock was determined as of April 1, 2010, the date the terms were agreed to. The following modeling assumptions were used: dividend yield - 0%; risk-free interest rate - 3.89%; current stock price - $4.77; term - 9 years; and volatility - 33%. Although most of the modeling assumptions were based on observable data, because of the subjectivity involved in estimating expected volatility, the valuation is considered Level 3.</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$103 million of nonperforming assets sold were transferred at United's carrying amount which had previously been written down to appraised value. Because the appraisals were based on sales of similar assets (observable data), the valuation is considered to be Level 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March 31, 2011, December 31, 2010 and March 31, 2010,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Arial" w:cs="Arial" w:eastAsia="Arial" w:hAnsi="Arial"/>
                <w:sz w:val="18"/>
                <w:szCs w:val="18"/>
                <w:b w:val="1"/>
                <w:bCs w:val="1"/>
                <w:color w:val="auto"/>
              </w:rPr>
              <w:t>March 31, 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U.S. Government agencies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93,778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93,778</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27,833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27,833</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1,410,411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1,414,845</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101,688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102,038</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1,633,710</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4,784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1,641,601</w:t>
            </w: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31, 2010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U.S. Government agencies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98,480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28,442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986,074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106,137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106,487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1,219,133</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1,227,669</w:t>
            </w: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r>
              <w:rPr>
                <w:rFonts w:ascii="Arial" w:cs="Arial" w:eastAsia="Arial" w:hAnsi="Arial"/>
                <w:sz w:val="18"/>
                <w:szCs w:val="18"/>
                <w:b w:val="1"/>
                <w:bCs w:val="1"/>
                <w:color w:val="auto"/>
              </w:rPr>
              <w:t>March 31, 2010</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U.S. Government agencies</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296,578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306,578</w:t>
            </w: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State and political subdivisions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64,544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64,544</w:t>
            </w: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Mortgage-backed securities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1,115,153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1,142,179</w:t>
            </w: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12,238</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13,288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1,494,626</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1,536,122</w:t>
            </w:r>
          </w:p>
        </w:tc>
        <w:tc>
          <w:tcPr>
            <w:tcW w:w="0" w:type="dxa"/>
            <w:vAlign w:val="bottom"/>
          </w:tcPr>
          <w:p>
            <w:pPr>
              <w:spacing w:after="0"/>
              <w:rPr>
                <w:sz w:val="1"/>
                <w:szCs w:val="1"/>
                <w:color w:val="auto"/>
              </w:rPr>
            </w:pPr>
          </w:p>
        </w:tc>
      </w:tr>
      <w:tr>
        <w:trPr>
          <w:trHeight w:val="21"/>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1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Total liabilities</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820" w:type="dxa"/>
            <w:vAlign w:val="bottom"/>
            <w:vMerge w:val="restart"/>
          </w:tcPr>
          <w:p>
            <w:pPr>
              <w:jc w:val="right"/>
              <w:ind w:right="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1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Securities</w:t>
            </w:r>
          </w:p>
        </w:tc>
      </w:tr>
      <w:tr>
        <w:trPr>
          <w:trHeight w:val="237"/>
        </w:trPr>
        <w:tc>
          <w:tcPr>
            <w:tcW w:w="8880" w:type="dxa"/>
            <w:vAlign w:val="bottom"/>
          </w:tcPr>
          <w:p>
            <w:pPr>
              <w:spacing w:after="0"/>
              <w:rPr>
                <w:sz w:val="20"/>
                <w:szCs w:val="20"/>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w w:val="95"/>
              </w:rPr>
              <w:t>Available for Sale</w:t>
            </w:r>
          </w:p>
        </w:tc>
      </w:tr>
      <w:tr>
        <w:trPr>
          <w:trHeight w:val="202"/>
        </w:trPr>
        <w:tc>
          <w:tcPr>
            <w:tcW w:w="8880" w:type="dxa"/>
            <w:vAlign w:val="bottom"/>
          </w:tcPr>
          <w:p>
            <w:pPr>
              <w:spacing w:after="0" w:line="201" w:lineRule="exact"/>
              <w:rPr>
                <w:sz w:val="20"/>
                <w:szCs w:val="20"/>
                <w:color w:val="auto"/>
              </w:rPr>
            </w:pPr>
            <w:r>
              <w:rPr>
                <w:rFonts w:ascii="Arial" w:cs="Arial" w:eastAsia="Arial" w:hAnsi="Arial"/>
                <w:sz w:val="18"/>
                <w:szCs w:val="18"/>
                <w:color w:val="auto"/>
              </w:rPr>
              <w:t>Balance at December 31, 2010</w:t>
            </w:r>
          </w:p>
        </w:tc>
        <w:tc>
          <w:tcPr>
            <w:tcW w:w="2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5,284</w:t>
            </w:r>
          </w:p>
        </w:tc>
        <w:tc>
          <w:tcPr>
            <w:tcW w:w="60" w:type="dxa"/>
            <w:vAlign w:val="bottom"/>
          </w:tcPr>
          <w:p>
            <w:pPr>
              <w:spacing w:after="0"/>
              <w:rPr>
                <w:sz w:val="17"/>
                <w:szCs w:val="17"/>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Amounts included in 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Purchases, sales, issuances, settlements, maturities, paydowns, net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(492)</w:t>
            </w:r>
          </w:p>
        </w:tc>
      </w:tr>
      <w:tr>
        <w:trPr>
          <w:trHeight w:val="27"/>
        </w:trPr>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Balance at March 31, 2011</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60" w:type="dxa"/>
            <w:vAlign w:val="bottom"/>
          </w:tcPr>
          <w:p>
            <w:pPr>
              <w:spacing w:after="0"/>
              <w:rPr>
                <w:sz w:val="24"/>
                <w:szCs w:val="24"/>
                <w:color w:val="auto"/>
              </w:rPr>
            </w:pPr>
          </w:p>
        </w:tc>
      </w:tr>
      <w:tr>
        <w:trPr>
          <w:trHeight w:val="21"/>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March 31, 2011, December 31, 2010 and March 31, 2010,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Arial" w:cs="Arial" w:eastAsia="Arial" w:hAnsi="Arial"/>
                <w:sz w:val="18"/>
                <w:szCs w:val="18"/>
                <w:b w:val="1"/>
                <w:bCs w:val="1"/>
                <w:color w:val="auto"/>
              </w:rPr>
              <w:t>March 31, 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5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34,241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34,241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80,629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80,629</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53,102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167,972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167,972</w:t>
            </w: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96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106,904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106,904</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85,072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191,976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191,976</w:t>
            </w: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March 31, 2010</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96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175,166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175,166</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93,060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93,060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268,226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268,226</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March 31, 2010 the fair value of interest rate contracts used for balance sheet management was an asset of approximately $6.11 million. United did not have any active derivative contracts outstanding at March 31, 2011 or December 31, 2010.</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in United’s balance sheet at March 31, 2011, December 31, 2010, and March 31, 2010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540"/>
              <w:spacing w:after="0"/>
              <w:rPr>
                <w:sz w:val="20"/>
                <w:szCs w:val="20"/>
                <w:color w:val="auto"/>
              </w:rPr>
            </w:pPr>
            <w:r>
              <w:rPr>
                <w:rFonts w:ascii="Arial" w:cs="Arial" w:eastAsia="Arial" w:hAnsi="Arial"/>
                <w:sz w:val="18"/>
                <w:szCs w:val="18"/>
                <w:b w:val="1"/>
                <w:bCs w:val="1"/>
                <w:color w:val="auto"/>
              </w:rPr>
              <w:t>March 31, 2011</w:t>
            </w:r>
          </w:p>
        </w:tc>
        <w:tc>
          <w:tcPr>
            <w:tcW w:w="160" w:type="dxa"/>
            <w:vAlign w:val="bottom"/>
          </w:tcPr>
          <w:p>
            <w:pPr>
              <w:spacing w:after="0"/>
              <w:rPr>
                <w:sz w:val="20"/>
                <w:szCs w:val="20"/>
                <w:color w:val="auto"/>
              </w:rPr>
            </w:pPr>
          </w:p>
        </w:tc>
        <w:tc>
          <w:tcPr>
            <w:tcW w:w="2540" w:type="dxa"/>
            <w:vAlign w:val="bottom"/>
            <w:gridSpan w:val="6"/>
          </w:tcPr>
          <w:p>
            <w:pPr>
              <w:ind w:left="360"/>
              <w:spacing w:after="0"/>
              <w:rPr>
                <w:sz w:val="20"/>
                <w:szCs w:val="20"/>
                <w:color w:val="auto"/>
              </w:rPr>
            </w:pPr>
            <w:r>
              <w:rPr>
                <w:rFonts w:ascii="Arial" w:cs="Arial" w:eastAsia="Arial" w:hAnsi="Arial"/>
                <w:sz w:val="18"/>
                <w:szCs w:val="18"/>
                <w:b w:val="1"/>
                <w:bCs w:val="1"/>
                <w:color w:val="auto"/>
              </w:rPr>
              <w:t>December 31, 2010</w:t>
            </w:r>
          </w:p>
        </w:tc>
        <w:tc>
          <w:tcPr>
            <w:tcW w:w="160" w:type="dxa"/>
            <w:vAlign w:val="bottom"/>
          </w:tcPr>
          <w:p>
            <w:pPr>
              <w:spacing w:after="0"/>
              <w:rPr>
                <w:sz w:val="20"/>
                <w:szCs w:val="20"/>
                <w:color w:val="auto"/>
              </w:rPr>
            </w:pPr>
          </w:p>
        </w:tc>
        <w:tc>
          <w:tcPr>
            <w:tcW w:w="23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2"/>
              </w:rPr>
              <w:t>March 31, 2010</w:t>
            </w:r>
          </w:p>
        </w:tc>
      </w:tr>
      <w:tr>
        <w:trPr>
          <w:trHeight w:val="198"/>
        </w:trPr>
        <w:tc>
          <w:tcPr>
            <w:tcW w:w="3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500"/>
              <w:spacing w:after="0" w:line="198" w:lineRule="exact"/>
              <w:rPr>
                <w:sz w:val="20"/>
                <w:szCs w:val="20"/>
                <w:color w:val="auto"/>
              </w:rPr>
            </w:pPr>
            <w:r>
              <w:rPr>
                <w:rFonts w:ascii="Arial" w:cs="Arial" w:eastAsia="Arial" w:hAnsi="Arial"/>
                <w:sz w:val="18"/>
                <w:szCs w:val="18"/>
                <w:b w:val="1"/>
                <w:bCs w:val="1"/>
                <w:color w:val="auto"/>
                <w:w w:val="94"/>
              </w:rPr>
              <w:t>Carrying</w:t>
            </w:r>
          </w:p>
        </w:tc>
        <w:tc>
          <w:tcPr>
            <w:tcW w:w="1020" w:type="dxa"/>
            <w:vAlign w:val="bottom"/>
            <w:tcBorders>
              <w:top w:val="single" w:sz="8" w:color="auto"/>
            </w:tcBorders>
          </w:tcPr>
          <w:p>
            <w:pPr>
              <w:spacing w:after="0"/>
              <w:rPr>
                <w:sz w:val="17"/>
                <w:szCs w:val="17"/>
                <w:color w:val="auto"/>
              </w:rPr>
            </w:pPr>
          </w:p>
        </w:tc>
      </w:tr>
      <w:tr>
        <w:trPr>
          <w:trHeight w:val="241"/>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245,430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248,361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265,807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267,988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4,061,251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3,933,549</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4,429,431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4,196,142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4,818,111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4,477,941</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6,597,748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6,588,398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6,469,172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6,481,867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6,487,588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6,513,488</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58,965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59,498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114,303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120,422</w:t>
            </w: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150,166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124,603</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150,146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93,536</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150,086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119,400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18, 2011, United completed the bulk sale of $80.6 million of loans that were reported as held for sale at March 31, 2011. The proceeds from the bulk sale were $86.5 million which will result in an allowance for loan loss recovery in the second quarter of 2011.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2010, as well as the following:</w:t>
      </w:r>
    </w:p>
    <w:p>
      <w:pPr>
        <w:spacing w:after="0" w:line="214"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become profitable;</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United States Department of Treasury may change the terms of our Series B Preferred Stock;</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stock market, the public debt market and other capital markets deteriorate;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Dodd-Frank Act and related regulations and other changes in financial services laws and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special assessment that may be imposed by the Federal Deposit Insurance Corporation (“FDIC”) on all FDIC-insured institutions in the future, similar to the assessment in 2009 that decreased our earnings; and</w:t>
      </w:r>
    </w:p>
    <w:p>
      <w:pPr>
        <w:ind w:left="66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occur, or any such proceedings or enforcement actions that is more severe than we anticipate.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supplement are expressly qualified in their entirety by the risk factors and cautionary statements set forth in our Annual Report on Form 10-K for the year ended December 31, 2010.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 Inc.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March 31, 2011, United had total consolidated assets of $7.97 billion, total loans of $4.19 billion, excluding the loans acquired from Southern Community Bank (“SCB”) that are covered by loss sharing agreements and therefore have a different risk profile and loans that were classified as held for sale that have been written down to the expected proceeds from sales based on indicative bids. United also had total deposits of $6.60 billion and stockholders’ equity of $850 million.</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United’s activities are primarily conducted by its wholly owned Georgia banking subsidiary (the “Bank”). The Bank operations are conducted under a community bank model that operates 27 “community banks” with local bank presidents and boards in north Georgia, the Atlanta-Sandy Springs-Marietta, Georgia metropolitan statistical area (the “Atlanta MSA”), the Gainesville, Georgia metropolitan statistical area (the “Gainesville MSA”), coastal Georgia, western North Carolina, and east Tennessee. On March 31, 2010, United sold Brintech, Inc., (“Brintech”) a consulting services firm for the financial services industry, resulting in a pre-tax gain of $2.1 million, net of selling costs. The income statements for all periods presented reflect Brintech as a discontinued operation with revenue, expenses and income taxes related to Brintech removed from revenue, expenses, income taxes and loss from continuing operations. The balance sheet and cash flow statement have not been adjusted to reflect Brintech as a discontinued operation as Brintech’s assets and contribution to cash flows were not material.</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from continuing operations and operating loss from continuing operations per diluted share are non-GAAP performance measures. United’s management believes that operating performance is useful in analyzing United’s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34.</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reported a net operating loss from continuing operations of $142 million for the first quarter of 2011. This compared to a net operating loss from continuing operations of $34.5 million for the first quarter of 2010. Diluted operating loss from continuing operations per common share was $1.57 for the first quarter of 2011, compared to a diluted operating loss from continuing operations per common share of $.39 for the first quarter of 2010. The first quarter of 2011 operating loss reflects the Board of Director’s decision to adopt the Problem Asset Disposition Plan described below under “Recent Developments” to quickly dispose of problem assets following United’s successful Private Placement described below under “Recent Developments.”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United’s operating provision for loan losses was $190 million for the three months ended March 31, 2011, compared to $75.0 million for the same period in 2010. During the first quarter of 2011, performing substandard loans with a pre-charge down carrying amount of $166 million and nonperforming loans with a pre-charge down carrying amount of $101 million were collectively written down to the expected sales proceeds of $80.6 million, in conjunction with the Bulk Loan Sale described below under “Recent Developments.” Net charge-offs for the first quarter of 2011 were $232 million, of which $186 million related to the transfer of loans to the held for sale classification and $26.1 million of charge-offs for other first quarter bulk loan sales and foreclosure write downs for accelerated disposition in accordance with the Problem Asset Disposition Plan. As of March 31, 2011, United’s allowance for loan losses of $133 million, or 3.17% of loans, compared to $174 million, or 3.48% of loans, at March 31, 2010. Nonperforming assets of $138 million, which excludes assets of SCB that are covered by loss sharing agreements with the FDIC, decreased to 1.73% of total assets at March 31, 2011, compared to 4.32% as of December 31, 2010 and 5.32% as of March 31, 2010. The decrease in this ratio was due to the execution of the Problem Asset Disposition Plan and a general improving trend in credit quality indicators.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Taxable equivalent net interest revenue was $56.4 million for the first quarter of 2011, compared to $61.3 million for the same period of 2010. The decrease in net interest revenue was primarily the result of lower levels of loans. Average loans for the quarter declined $574 million from the first quarter of 2010. Net interest margin decreased from 3.49% for the three months ended March 31, 2010 to 3.30% for the same period in 2011. Interest reversals on performing loans that were moved to held for sale accounted for 11 basis points of the 19 basis points decrease. Over the past year, United has maintained above normal levels of liquidity. The level of excess liquidity peaked in the first quarter of 2011 and lowered the margin by approximately 49 basis points. Excess liquidity in the first quarter of 2010 lowered the margin by approximately 18 basis points.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fee revenue increased $172,000, or 1%, from the first quarter of 2010. The increase was primarily attributable to the acceleration of deferred gains related to the ineffectiveness of terminated cash flow hedges. This helped to offset a decline in service charges and fees, which were down $727,000, due to regulatory changes requiring customer consent prior to utilizing United’s overdraft services.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quarter of 2011, operating expenses of $115 million were up $60.5 million from the first quarter of 2010. The increase was primarily due to an increase in foreclosed property costs, in anticipation of the Bulk Loan Sale and other accelerated asset dispositions described below under “Recent Developments.” Foreclosed property costs were up $54.1 million from the first quarter of 2010. Professional fees were $1.39 million higher in the first quarter of 2011 compared to the same period last year, primarily due to fees related to the Private Placement and Bulk Loan Sale. In addition, FDIC assessments and other regulatory charges increased $1.79 million, or 49%, from the prior year as a result of a higher assessment rate and a higher level of insured deposits.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On February 22, 2011, the Company entered into a share exchange agreement with Elm Ridge Offshore Master Fund, Ltd. and Elm Ridge Value Partners, L.P.</w:t>
      </w:r>
    </w:p>
    <w:p>
      <w:pPr>
        <w:spacing w:after="0" w:line="46" w:lineRule="exact"/>
        <w:rPr>
          <w:sz w:val="20"/>
          <w:szCs w:val="20"/>
          <w:color w:val="auto"/>
        </w:rPr>
      </w:pPr>
    </w:p>
    <w:p>
      <w:pPr>
        <w:jc w:val="both"/>
        <w:ind w:right="20" w:firstLine="8"/>
        <w:spacing w:after="0" w:line="277" w:lineRule="auto"/>
        <w:tabs>
          <w:tab w:leader="none" w:pos="1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collectively, the “Elm Ridge Parties”). Under the share exchange agreement, the Elm Ridge Parties agreed to transfer to the Company 7,755,631 shares of the Company’s common stock in exchange for 16,613 shares of the Company’s cumulative perpetual preferred stock, Series D and warrants to purchase 7,755,631 common shares. See Note 10 to the consolidated financial statements for further details of the share exchange agreement.</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2011, United announced its plans to sell $380 million of common stock in a private placement to a group of investors (the “Private Placement”). United entered into investment agreements (the “Investment Agreements”) with Corsair Georgia, L.P. and a group of institutional investors (collectively, the “Investors”) and closed the Private Placement on March 30, 2011. Pursuant to the Private Placement, the Investors purchased and United issued 17,338,497 of the Company’s existing common stock for $1.90 per share, $196 million of mandatorily convertible cumulative non-voting perpetual preferred stock, Series F (the “Series F Preferred Stock”), and $151 million of mandatorily convertible cumulative non-voting perpetual preferred stock, Series G (the “Series G Preferred Stock”). Under the terms of the Private Placement Agreement and following receipt of required shareholder approvals, the Series F Preferred Stock will be mandatorily convertible into 103,090,506 shares of voting common stock and the Series G Preferred Stock will be mandatorily convertible into 79,570,997 shares of non-voting common stock. Following such conversion at $1.90 per common share, the Investors will own an aggregate of 120,429,003 shares of common stock and 79,570,997 shares of non-voting common stock, or 69.7% of the Company’s pro forma outstanding common stock. The Private Placement resulted in an increase to shareholders’ equity of $363 million.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during the first quarter of 2011, the Board of Directors approved a plan to sell approximately $293 million in substandard and nonperforming loans, and to accelerate the disposition of approximately $142 million in foreclosed properties (the “Problem Asset Disposition Plan”). The substandard and nonperforming loans were sold for an aggregate purchase price of approximately $86.5 million by the Bank in a bulk transaction (the “Bulk Loan Sale”) on April 18, 2011 pursuant to an asset purchase and sale agreement (the “Asset Purchase Agreement”) entered into by the Bank, CF Southeast LLC (“CF Southeast”) and CF Southeast Trust 2011-1 (“CF Trust” and together with CF Southeast, the “Purchasers”). United plans to sell substantially all of the foreclosed properties in the second and third quarters of 2011.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Form 10-Q contains non-GAAP financial measures, which are performance measures determined by methods other than in accordance with GAAP. Such non-GAAP financial measures include, among others the following: operating provision for loan losses, operating fee revenue, operating revenue, operating expense, operating (loss) income from continuing operations, operating (loss) income, operating earnings (loss) from continuing operations per share, operating earnings (loss) per share, operating earnings (loss) from continuing operations per diluted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March 31, 2010, United sold its Brintech subsidiary. As a result, the operations of Brintech are being accounted for as a discontinued operation. All revenue, including the gain from the sale, expenses and income taxes relating to Brintech have been deconsolidated from the consolidated statement of operations and are presented on one line titled “Loss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 2010, the Bank entered into an asset purchase and sale agreement (the “Asset Purchase Agreement”) with Fletcher International Inc. (“Fletcher Inc.”) and five affiliated limited liability companies (“LLCs”) formed by Fletcher Inc. for the purpose of acquiring nonperforming assets under the Asset Purchase Agreement. United has no ownership interest in the LLCs. The asset sale transaction was completed on April 30, 2010 with the Bank transferring nonperforming commercial and residential construction loans and foreclosed properties having a carrying value of $103 million in exchange for cash of $20.6 million and notes receivable for $82.5 million. The loans accrue interest at a fixed rate of 3.5% and mature in five years. Principal and interest payments will be made quarterly based on a 30-year amortization schedule. Fletcher Inc. also contributed cash and securities to the LLCs equal to 17.5% of the purchase price to pre-fund the estimated carrying costs of the assets for approximately three years. These funds are held in escrow as additional collateral on the loans and cannot be removed by Fletcher Inc.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Also on April 1, 2010, United and Fletcher International Ltd (“Fletcher Ltd”, together with Fletcher Inc. and their affiliates, “Fletcher”). entered into a securities purchase agreement (the “Securities Purchase Agreement”) pursuant to which Fletcher Ltd. agreed to purchase from United, and United agreed to issue and sell to Fletcher Ltd., 65,000 shares of United’s Series C convertible preferred stock, par value $1.00 per share (the “Convertible Preferred Stock”), at a purchase price of $1,000 per share, for an aggregate purchase price of $65 million. The Convertible Preferred Stock will bear interest at an annual rate equal to the lesser of 8% or LIBOR + 4%. If all conditions precedent to Fletcher Ltd.'s obligations to purchase the Convertible Preferred Stock have been satisfied and Fletcher Ltd. has not purchased all of the Convertible Preferred Stock by May 26, 2011, it must pay United 5% of the commitment amount not purchased by that date, and it must also pay United an additional 5% of any commitment amount not purchased by May 26, 2012.</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Convertible Preferred Stock is redeemable by Fletcher Ltd. at any time into common stock or non-voting Common Stock Equivalent Junior Preferred Stock (“Junior Preferred Stock”) of United, at an equivalent price of $5.25 per share of common stock (equal to 12,380,952 shares of common stock), subject to certain adjustments. After May 26, 2015, if the closing stock price for United's common stock is above $12.04, United has the right to require conversion and it is United’s intent to convert all of the then outstanding Convertible Preferred Stock into an equivalent amount of common stock or Junior Preferred Stock.</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Securities Purchase Agreement provides that United shall not effect any conversion or redemption of the Convertible Preferred Stock, and Fletcher Ltd. shall not have the right to convert or redeem any portion of the Convertible Preferred Stock, into common stock to the extent such conversion or redemption would result in aggregate issuances to Fletcher Ltd. in excess of 9.75% of the number of shares of common stock that would be outstanding after giving effect to such conversion or redemption. In the event that United cannot effect a conversion or redemption of the Convertible Preferred Stock into common stock due to this limit, the conversion or redemption shall be effected into an equal number of shares of Junior Preferred Stock.</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Concurrently with the payment of the $10 million deposit under the Asset Purchase Agreement by Fletcher, United granted a warrant to Fletcher to purchase Junior Preferred Stock. The warrant was initially equal to $15 million and was increased to $30 million upon the completion of the asset sale pursuant to the Asset Purchase Agreement. An additional $35 million warrant will be issued on a dollar for dollar basis by the aggregate dollar amount of the Convertible Preferred Stock purchased under the Securities Purchase Agreement in excess of $30 million. The $30 million warrant price is equivalent to $4.25 per common share (cash exercise equal to 7,058,824 shares of common stock). The $35 million warrant price is equivalent to $6.02 per common share (cash exercise equal to 5,813,953 shares of common stock). The warrants may only be exercised by net share settlement (cashless exercise) and are exercisable for nine years from April 1, 2010, subject to limited extension upon certain events specified in the warrant agreement. All of the warrants settle on a cashless basis and the net shares to be issued to Fletcher Ltd. upon exercise of the warrants will be less than the total shares that would have been issuable if the warrants had been exercised for cash payments.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as part of the transaction, United and Fletcher entered into a servicing agreement whereby United will act as servicer of the nonperforming assets for Fletcher in exchange for a servicing fee of 20 basis points. Because the servicing arrangement is considered a normal servicing arrangement and the fee is appropriate for the services provided, United did not recognize a servicing asset or liability related to the servicing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 Asset Purchase Agreement and the Securities Purchase Agreement are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 thousands, except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amounts)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5880" w:type="dxa"/>
            <w:vAlign w:val="bottom"/>
          </w:tcPr>
          <w:p>
            <w:pPr>
              <w:spacing w:after="0"/>
              <w:rPr>
                <w:sz w:val="20"/>
                <w:szCs w:val="20"/>
                <w:color w:val="auto"/>
              </w:rPr>
            </w:pPr>
          </w:p>
        </w:tc>
        <w:tc>
          <w:tcPr>
            <w:tcW w:w="2500" w:type="dxa"/>
            <w:vAlign w:val="bottom"/>
          </w:tcPr>
          <w:p>
            <w:pPr>
              <w:ind w:left="540"/>
              <w:spacing w:after="0"/>
              <w:rPr>
                <w:sz w:val="20"/>
                <w:szCs w:val="20"/>
                <w:color w:val="auto"/>
              </w:rPr>
            </w:pPr>
            <w:r>
              <w:rPr>
                <w:rFonts w:ascii="Arial" w:cs="Arial" w:eastAsia="Arial" w:hAnsi="Arial"/>
                <w:sz w:val="18"/>
                <w:szCs w:val="18"/>
                <w:b w:val="1"/>
                <w:bCs w:val="1"/>
                <w:color w:val="auto"/>
              </w:rPr>
              <w:t>Valuation Approach</w:t>
            </w:r>
          </w:p>
        </w:tc>
        <w:tc>
          <w:tcPr>
            <w:tcW w:w="1480" w:type="dxa"/>
            <w:vAlign w:val="bottom"/>
          </w:tcPr>
          <w:p>
            <w:pPr>
              <w:ind w:left="400"/>
              <w:spacing w:after="0"/>
              <w:rPr>
                <w:sz w:val="20"/>
                <w:szCs w:val="20"/>
                <w:color w:val="auto"/>
              </w:rPr>
            </w:pPr>
            <w:r>
              <w:rPr>
                <w:rFonts w:ascii="Arial" w:cs="Arial" w:eastAsia="Arial" w:hAnsi="Arial"/>
                <w:sz w:val="18"/>
                <w:szCs w:val="18"/>
                <w:b w:val="1"/>
                <w:bCs w:val="1"/>
                <w:color w:val="auto"/>
              </w:rPr>
              <w:t>Heirarchy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17"/>
              <w:spacing w:after="0"/>
              <w:rPr>
                <w:sz w:val="20"/>
                <w:szCs w:val="20"/>
                <w:color w:val="auto"/>
              </w:rPr>
            </w:pPr>
            <w:r>
              <w:rPr>
                <w:rFonts w:ascii="Arial" w:cs="Arial" w:eastAsia="Arial" w:hAnsi="Arial"/>
                <w:sz w:val="18"/>
                <w:szCs w:val="18"/>
                <w:b w:val="1"/>
                <w:bCs w:val="1"/>
                <w:color w:val="auto"/>
                <w:w w:val="99"/>
              </w:rPr>
              <w:t>Fair Value</w:t>
            </w:r>
          </w:p>
        </w:tc>
      </w:tr>
      <w:tr>
        <w:trPr>
          <w:trHeight w:val="202"/>
        </w:trPr>
        <w:tc>
          <w:tcPr>
            <w:tcW w:w="5880" w:type="dxa"/>
            <w:vAlign w:val="bottom"/>
          </w:tcPr>
          <w:p>
            <w:pPr>
              <w:spacing w:after="0" w:line="201" w:lineRule="exact"/>
              <w:rPr>
                <w:sz w:val="20"/>
                <w:szCs w:val="20"/>
                <w:color w:val="auto"/>
              </w:rPr>
            </w:pPr>
            <w:r>
              <w:rPr>
                <w:rFonts w:ascii="Arial" w:cs="Arial" w:eastAsia="Arial" w:hAnsi="Arial"/>
                <w:sz w:val="18"/>
                <w:szCs w:val="18"/>
                <w:b w:val="1"/>
                <w:bCs w:val="1"/>
                <w:color w:val="auto"/>
              </w:rPr>
              <w:t>Warrants Issued / Assets Transferred to Fletcher at Fair Value:</w:t>
            </w:r>
          </w:p>
        </w:tc>
        <w:tc>
          <w:tcPr>
            <w:tcW w:w="25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8"/>
                <w:szCs w:val="18"/>
                <w:color w:val="auto"/>
              </w:rPr>
              <w:t>Warrant to purchase $30 million in common stock at $4.25 per share</w:t>
            </w:r>
          </w:p>
        </w:tc>
        <w:tc>
          <w:tcPr>
            <w:tcW w:w="2500" w:type="dxa"/>
            <w:vAlign w:val="bottom"/>
          </w:tcPr>
          <w:p>
            <w:pPr>
              <w:ind w:left="40"/>
              <w:spacing w:after="0"/>
              <w:rPr>
                <w:sz w:val="20"/>
                <w:szCs w:val="20"/>
                <w:color w:val="auto"/>
              </w:rPr>
            </w:pPr>
            <w:r>
              <w:rPr>
                <w:rFonts w:ascii="Arial" w:cs="Arial" w:eastAsia="Arial" w:hAnsi="Arial"/>
                <w:sz w:val="18"/>
                <w:szCs w:val="18"/>
                <w:color w:val="auto"/>
              </w:rPr>
              <w:t>Black-Scholes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Level 3</w:t>
            </w: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17,577</w:t>
            </w:r>
            <w:r>
              <w:rPr>
                <w:rFonts w:ascii="Arial" w:cs="Arial" w:eastAsia="Arial" w:hAnsi="Arial"/>
                <w:sz w:val="12"/>
                <w:szCs w:val="12"/>
                <w:color w:val="auto"/>
              </w:rPr>
              <w:t>(1)</w:t>
            </w:r>
          </w:p>
        </w:tc>
      </w:tr>
      <w:tr>
        <w:trPr>
          <w:trHeight w:val="237"/>
        </w:trPr>
        <w:tc>
          <w:tcPr>
            <w:tcW w:w="5880" w:type="dxa"/>
            <w:vAlign w:val="bottom"/>
          </w:tcPr>
          <w:p>
            <w:pPr>
              <w:ind w:left="240"/>
              <w:spacing w:after="0"/>
              <w:rPr>
                <w:sz w:val="20"/>
                <w:szCs w:val="20"/>
                <w:color w:val="auto"/>
              </w:rPr>
            </w:pPr>
            <w:r>
              <w:rPr>
                <w:rFonts w:ascii="Arial" w:cs="Arial" w:eastAsia="Arial" w:hAnsi="Arial"/>
                <w:sz w:val="18"/>
                <w:szCs w:val="18"/>
                <w:color w:val="auto"/>
              </w:rPr>
              <w:t>Option to purchase convertible preferred stock and warrant</w:t>
            </w:r>
          </w:p>
        </w:tc>
        <w:tc>
          <w:tcPr>
            <w:tcW w:w="2500" w:type="dxa"/>
            <w:vAlign w:val="bottom"/>
          </w:tcPr>
          <w:p>
            <w:pPr>
              <w:ind w:left="40"/>
              <w:spacing w:after="0"/>
              <w:rPr>
                <w:sz w:val="20"/>
                <w:szCs w:val="20"/>
                <w:color w:val="auto"/>
              </w:rPr>
            </w:pPr>
            <w:r>
              <w:rPr>
                <w:rFonts w:ascii="Arial" w:cs="Arial" w:eastAsia="Arial" w:hAnsi="Arial"/>
                <w:sz w:val="18"/>
                <w:szCs w:val="18"/>
                <w:color w:val="auto"/>
              </w:rPr>
              <w:t>Monte-Carlo Simulation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22,236</w:t>
            </w:r>
            <w:r>
              <w:rPr>
                <w:rFonts w:ascii="Arial" w:cs="Arial" w:eastAsia="Arial" w:hAnsi="Arial"/>
                <w:sz w:val="12"/>
                <w:szCs w:val="12"/>
                <w:color w:val="auto"/>
              </w:rPr>
              <w:t>(2)</w:t>
            </w:r>
          </w:p>
        </w:tc>
      </w:tr>
      <w:tr>
        <w:trPr>
          <w:trHeight w:val="223"/>
        </w:trPr>
        <w:tc>
          <w:tcPr>
            <w:tcW w:w="5880" w:type="dxa"/>
            <w:vAlign w:val="bottom"/>
          </w:tcPr>
          <w:p>
            <w:pPr>
              <w:ind w:left="460"/>
              <w:spacing w:after="0"/>
              <w:rPr>
                <w:sz w:val="20"/>
                <w:szCs w:val="20"/>
                <w:color w:val="auto"/>
              </w:rPr>
            </w:pPr>
            <w:r>
              <w:rPr>
                <w:rFonts w:ascii="Arial" w:cs="Arial" w:eastAsia="Arial" w:hAnsi="Arial"/>
                <w:sz w:val="18"/>
                <w:szCs w:val="18"/>
                <w:b w:val="1"/>
                <w:bCs w:val="1"/>
                <w:color w:val="auto"/>
              </w:rPr>
              <w:t>Fair value of equity instruments recognized in capital surplus</w:t>
            </w: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39,813</w:t>
            </w:r>
          </w:p>
        </w:tc>
        <w:tc>
          <w:tcPr>
            <w:tcW w:w="140" w:type="dxa"/>
            <w:vAlign w:val="bottom"/>
          </w:tcPr>
          <w:p>
            <w:pPr>
              <w:spacing w:after="0"/>
              <w:rPr>
                <w:sz w:val="19"/>
                <w:szCs w:val="19"/>
                <w:color w:val="auto"/>
              </w:rPr>
            </w:pPr>
          </w:p>
        </w:tc>
      </w:tr>
      <w:tr>
        <w:trPr>
          <w:trHeight w:val="202"/>
        </w:trPr>
        <w:tc>
          <w:tcPr>
            <w:tcW w:w="5880" w:type="dxa"/>
            <w:vAlign w:val="bottom"/>
          </w:tcPr>
          <w:p>
            <w:pPr>
              <w:ind w:left="240"/>
              <w:spacing w:after="0" w:line="201" w:lineRule="exact"/>
              <w:rPr>
                <w:sz w:val="20"/>
                <w:szCs w:val="20"/>
                <w:color w:val="auto"/>
              </w:rPr>
            </w:pPr>
            <w:r>
              <w:rPr>
                <w:rFonts w:ascii="Arial" w:cs="Arial" w:eastAsia="Arial" w:hAnsi="Arial"/>
                <w:sz w:val="18"/>
                <w:szCs w:val="18"/>
                <w:color w:val="auto"/>
              </w:rPr>
              <w:t>Foreclosed properties transferred under Asset Purchase Agreement</w:t>
            </w:r>
          </w:p>
        </w:tc>
        <w:tc>
          <w:tcPr>
            <w:tcW w:w="2500" w:type="dxa"/>
            <w:vAlign w:val="bottom"/>
          </w:tcPr>
          <w:p>
            <w:pPr>
              <w:ind w:left="40"/>
              <w:spacing w:after="0" w:line="201" w:lineRule="exact"/>
              <w:rPr>
                <w:sz w:val="20"/>
                <w:szCs w:val="20"/>
                <w:color w:val="auto"/>
              </w:rPr>
            </w:pPr>
            <w:r>
              <w:rPr>
                <w:rFonts w:ascii="Arial" w:cs="Arial" w:eastAsia="Arial" w:hAnsi="Arial"/>
                <w:sz w:val="18"/>
                <w:szCs w:val="18"/>
                <w:color w:val="auto"/>
              </w:rPr>
              <w:t>Appraised Value</w:t>
            </w:r>
          </w:p>
        </w:tc>
        <w:tc>
          <w:tcPr>
            <w:tcW w:w="148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33,434</w:t>
            </w:r>
          </w:p>
        </w:tc>
        <w:tc>
          <w:tcPr>
            <w:tcW w:w="140" w:type="dxa"/>
            <w:vAlign w:val="bottom"/>
          </w:tcPr>
          <w:p>
            <w:pPr>
              <w:jc w:val="right"/>
              <w:spacing w:after="0"/>
              <w:rPr>
                <w:sz w:val="20"/>
                <w:szCs w:val="20"/>
                <w:color w:val="auto"/>
              </w:rPr>
            </w:pPr>
            <w:r>
              <w:rPr>
                <w:rFonts w:ascii="Arial" w:cs="Arial" w:eastAsia="Arial" w:hAnsi="Arial"/>
                <w:sz w:val="13"/>
                <w:szCs w:val="13"/>
                <w:color w:val="auto"/>
                <w:w w:val="75"/>
              </w:rPr>
              <w:t>(3)</w:t>
            </w:r>
          </w:p>
        </w:tc>
      </w:tr>
      <w:tr>
        <w:trPr>
          <w:trHeight w:val="237"/>
        </w:trPr>
        <w:tc>
          <w:tcPr>
            <w:tcW w:w="5880" w:type="dxa"/>
            <w:vAlign w:val="bottom"/>
          </w:tcPr>
          <w:p>
            <w:pPr>
              <w:ind w:left="240"/>
              <w:spacing w:after="0"/>
              <w:rPr>
                <w:sz w:val="20"/>
                <w:szCs w:val="20"/>
                <w:color w:val="auto"/>
              </w:rPr>
            </w:pPr>
            <w:r>
              <w:rPr>
                <w:rFonts w:ascii="Arial" w:cs="Arial" w:eastAsia="Arial" w:hAnsi="Arial"/>
                <w:sz w:val="18"/>
                <w:szCs w:val="18"/>
                <w:color w:val="auto"/>
              </w:rPr>
              <w:t>Nonperforming loans transferred under Asset Purchase Agreement</w:t>
            </w:r>
          </w:p>
        </w:tc>
        <w:tc>
          <w:tcPr>
            <w:tcW w:w="2500" w:type="dxa"/>
            <w:vAlign w:val="bottom"/>
          </w:tcPr>
          <w:p>
            <w:pPr>
              <w:ind w:left="40"/>
              <w:spacing w:after="0"/>
              <w:rPr>
                <w:sz w:val="20"/>
                <w:szCs w:val="20"/>
                <w:color w:val="auto"/>
              </w:rPr>
            </w:pPr>
            <w:r>
              <w:rPr>
                <w:rFonts w:ascii="Arial" w:cs="Arial" w:eastAsia="Arial" w:hAnsi="Arial"/>
                <w:sz w:val="18"/>
                <w:szCs w:val="18"/>
                <w:color w:val="auto"/>
              </w:rPr>
              <w:t>Collateral Appraised Value</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69,655</w:t>
            </w:r>
            <w:r>
              <w:rPr>
                <w:rFonts w:ascii="Arial" w:cs="Arial" w:eastAsia="Arial" w:hAnsi="Arial"/>
                <w:sz w:val="12"/>
                <w:szCs w:val="12"/>
                <w:color w:val="auto"/>
              </w:rPr>
              <w:t>(3)</w:t>
            </w:r>
          </w:p>
        </w:tc>
      </w:tr>
      <w:tr>
        <w:trPr>
          <w:trHeight w:val="202"/>
        </w:trPr>
        <w:tc>
          <w:tcPr>
            <w:tcW w:w="5880" w:type="dxa"/>
            <w:vAlign w:val="bottom"/>
          </w:tcPr>
          <w:p>
            <w:pPr>
              <w:ind w:left="460"/>
              <w:spacing w:after="0" w:line="201" w:lineRule="exact"/>
              <w:rPr>
                <w:sz w:val="20"/>
                <w:szCs w:val="20"/>
                <w:color w:val="auto"/>
              </w:rPr>
            </w:pPr>
            <w:r>
              <w:rPr>
                <w:rFonts w:ascii="Arial" w:cs="Arial" w:eastAsia="Arial" w:hAnsi="Arial"/>
                <w:sz w:val="18"/>
                <w:szCs w:val="18"/>
                <w:color w:val="auto"/>
              </w:rPr>
              <w:t>Total nonperforming assets transferred</w:t>
            </w:r>
          </w:p>
        </w:tc>
        <w:tc>
          <w:tcPr>
            <w:tcW w:w="2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103,089</w:t>
            </w:r>
          </w:p>
        </w:tc>
        <w:tc>
          <w:tcPr>
            <w:tcW w:w="140" w:type="dxa"/>
            <w:vAlign w:val="bottom"/>
          </w:tcPr>
          <w:p>
            <w:pPr>
              <w:spacing w:after="0"/>
              <w:rPr>
                <w:sz w:val="17"/>
                <w:szCs w:val="17"/>
                <w:color w:val="auto"/>
              </w:rPr>
            </w:pPr>
          </w:p>
        </w:tc>
      </w:tr>
      <w:tr>
        <w:trPr>
          <w:trHeight w:val="237"/>
        </w:trPr>
        <w:tc>
          <w:tcPr>
            <w:tcW w:w="5880" w:type="dxa"/>
            <w:vAlign w:val="bottom"/>
          </w:tcPr>
          <w:p>
            <w:pPr>
              <w:ind w:left="460"/>
              <w:spacing w:after="0"/>
              <w:rPr>
                <w:sz w:val="20"/>
                <w:szCs w:val="20"/>
                <w:color w:val="auto"/>
              </w:rPr>
            </w:pPr>
            <w:r>
              <w:rPr>
                <w:rFonts w:ascii="Arial" w:cs="Arial" w:eastAsia="Arial" w:hAnsi="Arial"/>
                <w:sz w:val="18"/>
                <w:szCs w:val="18"/>
                <w:color w:val="auto"/>
              </w:rPr>
              <w:t>Total value of assets and equity instruments transferred</w:t>
            </w:r>
          </w:p>
        </w:tc>
        <w:tc>
          <w:tcPr>
            <w:tcW w:w="2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140" w:type="dxa"/>
            <w:vAlign w:val="bottom"/>
          </w:tcPr>
          <w:p>
            <w:pPr>
              <w:spacing w:after="0"/>
              <w:rPr>
                <w:sz w:val="20"/>
                <w:szCs w:val="20"/>
                <w:color w:val="auto"/>
              </w:rPr>
            </w:pPr>
          </w:p>
        </w:tc>
      </w:tr>
      <w:tr>
        <w:trPr>
          <w:trHeight w:val="418"/>
        </w:trPr>
        <w:tc>
          <w:tcPr>
            <w:tcW w:w="5880" w:type="dxa"/>
            <w:vAlign w:val="bottom"/>
          </w:tcPr>
          <w:p>
            <w:pPr>
              <w:spacing w:after="0"/>
              <w:rPr>
                <w:sz w:val="20"/>
                <w:szCs w:val="20"/>
                <w:color w:val="auto"/>
              </w:rPr>
            </w:pPr>
            <w:r>
              <w:rPr>
                <w:rFonts w:ascii="Arial" w:cs="Arial" w:eastAsia="Arial" w:hAnsi="Arial"/>
                <w:sz w:val="18"/>
                <w:szCs w:val="18"/>
                <w:b w:val="1"/>
                <w:bCs w:val="1"/>
                <w:color w:val="auto"/>
              </w:rPr>
              <w:t>Cash and Notes Receivable Received in Exchange at Fair Value:</w:t>
            </w: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8"/>
                <w:szCs w:val="18"/>
                <w:color w:val="auto"/>
              </w:rPr>
              <w:t>Cash down payment received from asset sale</w:t>
            </w:r>
          </w:p>
        </w:tc>
        <w:tc>
          <w:tcPr>
            <w:tcW w:w="2500" w:type="dxa"/>
            <w:vAlign w:val="bottom"/>
          </w:tcPr>
          <w:p>
            <w:pPr>
              <w:ind w:left="40"/>
              <w:spacing w:after="0"/>
              <w:rPr>
                <w:sz w:val="20"/>
                <w:szCs w:val="20"/>
                <w:color w:val="auto"/>
              </w:rPr>
            </w:pPr>
            <w:r>
              <w:rPr>
                <w:rFonts w:ascii="Arial" w:cs="Arial" w:eastAsia="Arial" w:hAnsi="Arial"/>
                <w:sz w:val="18"/>
                <w:szCs w:val="18"/>
                <w:color w:val="auto"/>
              </w:rPr>
              <w:t>NA</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20,618</w:t>
            </w:r>
          </w:p>
        </w:tc>
        <w:tc>
          <w:tcPr>
            <w:tcW w:w="140" w:type="dxa"/>
            <w:vAlign w:val="bottom"/>
          </w:tcPr>
          <w:p>
            <w:pPr>
              <w:spacing w:after="0"/>
              <w:rPr>
                <w:sz w:val="18"/>
                <w:szCs w:val="18"/>
                <w:color w:val="auto"/>
              </w:rPr>
            </w:pPr>
          </w:p>
        </w:tc>
      </w:tr>
      <w:tr>
        <w:trPr>
          <w:trHeight w:val="237"/>
        </w:trPr>
        <w:tc>
          <w:tcPr>
            <w:tcW w:w="5880" w:type="dxa"/>
            <w:vAlign w:val="bottom"/>
          </w:tcPr>
          <w:p>
            <w:pPr>
              <w:ind w:left="240"/>
              <w:spacing w:after="0"/>
              <w:rPr>
                <w:sz w:val="20"/>
                <w:szCs w:val="20"/>
                <w:color w:val="auto"/>
              </w:rPr>
            </w:pPr>
            <w:r>
              <w:rPr>
                <w:rFonts w:ascii="Arial" w:cs="Arial" w:eastAsia="Arial" w:hAnsi="Arial"/>
                <w:sz w:val="18"/>
                <w:szCs w:val="18"/>
                <w:color w:val="auto"/>
              </w:rPr>
              <w:t>Notes receivable (par value $82,471, net of $4,531 discount)</w:t>
            </w:r>
          </w:p>
        </w:tc>
        <w:tc>
          <w:tcPr>
            <w:tcW w:w="2500" w:type="dxa"/>
            <w:vAlign w:val="bottom"/>
          </w:tcPr>
          <w:p>
            <w:pPr>
              <w:ind w:left="40"/>
              <w:spacing w:after="0"/>
              <w:rPr>
                <w:sz w:val="20"/>
                <w:szCs w:val="20"/>
                <w:color w:val="auto"/>
              </w:rPr>
            </w:pPr>
            <w:r>
              <w:rPr>
                <w:rFonts w:ascii="Arial" w:cs="Arial" w:eastAsia="Arial" w:hAnsi="Arial"/>
                <w:sz w:val="18"/>
                <w:szCs w:val="18"/>
                <w:color w:val="auto"/>
              </w:rPr>
              <w:t>Discounted Cash Flows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77,940</w:t>
            </w:r>
            <w:r>
              <w:rPr>
                <w:rFonts w:ascii="Arial" w:cs="Arial" w:eastAsia="Arial" w:hAnsi="Arial"/>
                <w:sz w:val="12"/>
                <w:szCs w:val="12"/>
                <w:color w:val="auto"/>
              </w:rPr>
              <w:t>(4)</w:t>
            </w:r>
          </w:p>
        </w:tc>
      </w:tr>
      <w:tr>
        <w:trPr>
          <w:trHeight w:val="223"/>
        </w:trPr>
        <w:tc>
          <w:tcPr>
            <w:tcW w:w="5880" w:type="dxa"/>
            <w:vAlign w:val="bottom"/>
          </w:tcPr>
          <w:p>
            <w:pPr>
              <w:ind w:left="460"/>
              <w:spacing w:after="0"/>
              <w:rPr>
                <w:sz w:val="20"/>
                <w:szCs w:val="20"/>
                <w:color w:val="auto"/>
              </w:rPr>
            </w:pPr>
            <w:r>
              <w:rPr>
                <w:rFonts w:ascii="Arial" w:cs="Arial" w:eastAsia="Arial" w:hAnsi="Arial"/>
                <w:sz w:val="18"/>
                <w:szCs w:val="18"/>
                <w:color w:val="auto"/>
              </w:rPr>
              <w:t>Total value of cash and notes receivable received</w:t>
            </w: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140" w:type="dxa"/>
            <w:vAlign w:val="bottom"/>
          </w:tcPr>
          <w:p>
            <w:pPr>
              <w:spacing w:after="0"/>
              <w:rPr>
                <w:sz w:val="19"/>
                <w:szCs w:val="19"/>
                <w:color w:val="auto"/>
              </w:rPr>
            </w:pPr>
          </w:p>
        </w:tc>
      </w:tr>
      <w:tr>
        <w:trPr>
          <w:trHeight w:val="418"/>
        </w:trPr>
        <w:tc>
          <w:tcPr>
            <w:tcW w:w="5880" w:type="dxa"/>
            <w:vAlign w:val="bottom"/>
          </w:tcPr>
          <w:p>
            <w:pPr>
              <w:spacing w:after="0"/>
              <w:rPr>
                <w:sz w:val="20"/>
                <w:szCs w:val="20"/>
                <w:color w:val="auto"/>
              </w:rPr>
            </w:pPr>
            <w:r>
              <w:rPr>
                <w:rFonts w:ascii="Arial" w:cs="Arial" w:eastAsia="Arial" w:hAnsi="Arial"/>
                <w:sz w:val="18"/>
                <w:szCs w:val="18"/>
                <w:color w:val="auto"/>
                <w:w w:val="95"/>
              </w:rPr>
              <w:t>Fair value of assets and equity instruments transferred in excess of cash and</w:t>
            </w: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notes received</w:t>
            </w:r>
          </w:p>
        </w:tc>
        <w:tc>
          <w:tcPr>
            <w:tcW w:w="2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44,344</w:t>
            </w:r>
          </w:p>
        </w:tc>
        <w:tc>
          <w:tcPr>
            <w:tcW w:w="140" w:type="dxa"/>
            <w:vAlign w:val="bottom"/>
          </w:tcPr>
          <w:p>
            <w:pPr>
              <w:spacing w:after="0"/>
              <w:rPr>
                <w:sz w:val="18"/>
                <w:szCs w:val="18"/>
                <w:color w:val="auto"/>
              </w:rPr>
            </w:pPr>
          </w:p>
        </w:tc>
      </w:tr>
      <w:tr>
        <w:trPr>
          <w:trHeight w:val="237"/>
        </w:trPr>
        <w:tc>
          <w:tcPr>
            <w:tcW w:w="5880" w:type="dxa"/>
            <w:vAlign w:val="bottom"/>
          </w:tcPr>
          <w:p>
            <w:pPr>
              <w:spacing w:after="0"/>
              <w:rPr>
                <w:sz w:val="20"/>
                <w:szCs w:val="20"/>
                <w:color w:val="auto"/>
              </w:rPr>
            </w:pPr>
            <w:r>
              <w:rPr>
                <w:rFonts w:ascii="Arial" w:cs="Arial" w:eastAsia="Arial" w:hAnsi="Arial"/>
                <w:sz w:val="18"/>
                <w:szCs w:val="18"/>
                <w:color w:val="auto"/>
              </w:rPr>
              <w:t>Transaction fees</w:t>
            </w:r>
          </w:p>
        </w:tc>
        <w:tc>
          <w:tcPr>
            <w:tcW w:w="2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20"/>
                <w:szCs w:val="20"/>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b w:val="1"/>
                <w:bCs w:val="1"/>
                <w:color w:val="auto"/>
              </w:rPr>
              <w:t>Loss recognized on Fletcher transaction</w:t>
            </w:r>
          </w:p>
        </w:tc>
        <w:tc>
          <w:tcPr>
            <w:tcW w:w="2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45,349</w:t>
            </w:r>
          </w:p>
        </w:tc>
        <w:tc>
          <w:tcPr>
            <w:tcW w:w="140" w:type="dxa"/>
            <w:vAlign w:val="bottom"/>
          </w:tcPr>
          <w:p>
            <w:pPr>
              <w:spacing w:after="0"/>
              <w:rPr>
                <w:sz w:val="20"/>
                <w:szCs w:val="20"/>
                <w:color w:val="auto"/>
              </w:rPr>
            </w:pPr>
          </w:p>
        </w:tc>
      </w:tr>
      <w:tr>
        <w:trPr>
          <w:trHeight w:val="425"/>
        </w:trPr>
        <w:tc>
          <w:tcPr>
            <w:tcW w:w="5880" w:type="dxa"/>
            <w:vAlign w:val="bottom"/>
          </w:tcPr>
          <w:p>
            <w:pPr>
              <w:spacing w:after="0"/>
              <w:rPr>
                <w:sz w:val="20"/>
                <w:szCs w:val="20"/>
                <w:color w:val="auto"/>
              </w:rPr>
            </w:pPr>
            <w:r>
              <w:rPr>
                <w:rFonts w:ascii="Arial" w:cs="Arial" w:eastAsia="Arial" w:hAnsi="Arial"/>
                <w:sz w:val="18"/>
                <w:szCs w:val="18"/>
                <w:color w:val="auto"/>
              </w:rPr>
              <w:t>Tax benefit</w:t>
            </w: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(15,367</w:t>
            </w:r>
          </w:p>
        </w:tc>
        <w:tc>
          <w:tcPr>
            <w:tcW w:w="140" w:type="dxa"/>
            <w:vAlign w:val="bottom"/>
          </w:tcPr>
          <w:p>
            <w:pPr>
              <w:spacing w:after="0"/>
              <w:rPr>
                <w:sz w:val="24"/>
                <w:szCs w:val="24"/>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8"/>
                <w:szCs w:val="18"/>
                <w:b w:val="1"/>
                <w:bCs w:val="1"/>
                <w:color w:val="auto"/>
              </w:rPr>
              <w:t>After tax loss</w:t>
            </w:r>
          </w:p>
        </w:tc>
        <w:tc>
          <w:tcPr>
            <w:tcW w:w="2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29,982</w:t>
            </w:r>
          </w:p>
        </w:tc>
        <w:tc>
          <w:tcPr>
            <w:tcW w:w="140" w:type="dxa"/>
            <w:vAlign w:val="bottom"/>
          </w:tcPr>
          <w:p>
            <w:pPr>
              <w:spacing w:after="0"/>
              <w:rPr>
                <w:sz w:val="18"/>
                <w:szCs w:val="18"/>
                <w:color w:val="auto"/>
              </w:rPr>
            </w:pPr>
          </w:p>
        </w:tc>
      </w:tr>
      <w:tr>
        <w:trPr>
          <w:trHeight w:val="21"/>
        </w:trPr>
        <w:tc>
          <w:tcPr>
            <w:tcW w:w="5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3812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81250" cy="8890"/>
                    </a:xfrm>
                    <a:prstGeom prst="rect">
                      <a:avLst/>
                    </a:prstGeom>
                    <a:noFill/>
                  </pic:spPr>
                </pic:pic>
              </a:graphicData>
            </a:graphic>
          </wp:anchor>
        </w:drawing>
      </w:r>
    </w:p>
    <w:p>
      <w:pPr>
        <w:spacing w:after="0" w:line="232" w:lineRule="exact"/>
        <w:rPr>
          <w:sz w:val="20"/>
          <w:szCs w:val="20"/>
          <w:color w:val="auto"/>
        </w:rPr>
      </w:pPr>
    </w:p>
    <w:p>
      <w:pPr>
        <w:jc w:val="both"/>
        <w:ind w:left="340" w:hanging="245"/>
        <w:spacing w:after="0" w:line="232"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$17.6 million value of the $30 million warrant was determined as of April 1, 2010, the date the terms were agreed to and signed. The following modeling assumptions were used: dividend yield - 0%; risk-free interest rate - 3.89%; current stock price - $4.77; term - 9 years; and volatility - 33%. Although most of the modeling assumptions were based on observable data, because of the subjectivity involved in estimating expected volatility, the valuation is considered Level 3.</w:t>
      </w:r>
    </w:p>
    <w:p>
      <w:pPr>
        <w:spacing w:after="0" w:line="229" w:lineRule="exact"/>
        <w:rPr>
          <w:rFonts w:ascii="Arial" w:cs="Arial" w:eastAsia="Arial" w:hAnsi="Arial"/>
          <w:sz w:val="25"/>
          <w:szCs w:val="25"/>
          <w:color w:val="auto"/>
          <w:vertAlign w:val="superscript"/>
        </w:rPr>
      </w:pPr>
    </w:p>
    <w:p>
      <w:pPr>
        <w:jc w:val="both"/>
        <w:ind w:left="340" w:hanging="245"/>
        <w:spacing w:after="0" w:line="245" w:lineRule="auto"/>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227" w:lineRule="exact"/>
        <w:rPr>
          <w:rFonts w:ascii="Arial" w:cs="Arial" w:eastAsia="Arial" w:hAnsi="Arial"/>
          <w:sz w:val="24"/>
          <w:szCs w:val="24"/>
          <w:color w:val="auto"/>
          <w:vertAlign w:val="superscript"/>
        </w:rPr>
      </w:pPr>
    </w:p>
    <w:p>
      <w:pPr>
        <w:ind w:left="340" w:hanging="245"/>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230" w:lineRule="exact"/>
        <w:rPr>
          <w:rFonts w:ascii="Arial" w:cs="Arial" w:eastAsia="Arial" w:hAnsi="Arial"/>
          <w:sz w:val="25"/>
          <w:szCs w:val="25"/>
          <w:color w:val="auto"/>
          <w:vertAlign w:val="superscript"/>
        </w:rPr>
      </w:pPr>
    </w:p>
    <w:p>
      <w:pPr>
        <w:jc w:val="both"/>
        <w:ind w:left="340" w:hanging="245"/>
        <w:spacing w:after="0" w:line="253" w:lineRule="auto"/>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times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Table 1 - Financial Highlights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005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26"/>
        </w:trPr>
        <w:tc>
          <w:tcPr>
            <w:tcW w:w="3900" w:type="dxa"/>
            <w:vAlign w:val="bottom"/>
          </w:tcPr>
          <w:p>
            <w:pPr>
              <w:spacing w:after="0" w:line="126" w:lineRule="exact"/>
              <w:rPr>
                <w:sz w:val="20"/>
                <w:szCs w:val="20"/>
                <w:color w:val="auto"/>
              </w:rPr>
            </w:pPr>
            <w:r>
              <w:rPr>
                <w:rFonts w:ascii="Arial" w:cs="Arial" w:eastAsia="Arial" w:hAnsi="Arial"/>
                <w:sz w:val="14"/>
                <w:szCs w:val="14"/>
                <w:i w:val="1"/>
                <w:iCs w:val="1"/>
                <w:color w:val="auto"/>
              </w:rPr>
              <w:t>(in thousands, except per share</w:t>
            </w:r>
          </w:p>
        </w:tc>
        <w:tc>
          <w:tcPr>
            <w:tcW w:w="140" w:type="dxa"/>
            <w:vAlign w:val="bottom"/>
          </w:tcPr>
          <w:p>
            <w:pPr>
              <w:spacing w:after="0"/>
              <w:rPr>
                <w:sz w:val="10"/>
                <w:szCs w:val="10"/>
                <w:color w:val="auto"/>
              </w:rPr>
            </w:pPr>
          </w:p>
        </w:tc>
        <w:tc>
          <w:tcPr>
            <w:tcW w:w="78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8"/>
              </w:rPr>
              <w:t>First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right"/>
              <w:ind w:right="560"/>
              <w:spacing w:after="0" w:line="126" w:lineRule="exact"/>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10"/>
                <w:szCs w:val="10"/>
                <w:color w:val="auto"/>
              </w:rPr>
            </w:pPr>
          </w:p>
        </w:tc>
        <w:tc>
          <w:tcPr>
            <w:tcW w:w="1100" w:type="dxa"/>
            <w:vAlign w:val="bottom"/>
            <w:gridSpan w:val="2"/>
          </w:tcPr>
          <w:p>
            <w:pPr>
              <w:jc w:val="right"/>
              <w:ind w:right="600"/>
              <w:spacing w:after="0" w:line="126"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0"/>
                <w:szCs w:val="10"/>
                <w:color w:val="auto"/>
              </w:rPr>
            </w:pPr>
          </w:p>
        </w:tc>
        <w:tc>
          <w:tcPr>
            <w:tcW w:w="1120" w:type="dxa"/>
            <w:vAlign w:val="bottom"/>
            <w:gridSpan w:val="2"/>
          </w:tcPr>
          <w:p>
            <w:pPr>
              <w:jc w:val="right"/>
              <w:ind w:right="580"/>
              <w:spacing w:after="0" w:line="126"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0"/>
                <w:szCs w:val="10"/>
                <w:color w:val="auto"/>
              </w:rPr>
            </w:pPr>
          </w:p>
        </w:tc>
        <w:tc>
          <w:tcPr>
            <w:tcW w:w="800" w:type="dxa"/>
            <w:vAlign w:val="bottom"/>
          </w:tcPr>
          <w:p>
            <w:pPr>
              <w:jc w:val="right"/>
              <w:ind w:right="248"/>
              <w:spacing w:after="0" w:line="126" w:lineRule="exact"/>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2011-2010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20"/>
                <w:szCs w:val="20"/>
                <w:color w:val="auto"/>
              </w:rPr>
            </w:pPr>
            <w:r>
              <w:rPr>
                <w:rFonts w:ascii="Arial" w:cs="Arial" w:eastAsia="Arial" w:hAnsi="Arial"/>
                <w:sz w:val="14"/>
                <w:szCs w:val="14"/>
                <w:i w:val="1"/>
                <w:iCs w:val="1"/>
                <w:color w:val="auto"/>
              </w:rPr>
              <w:t>data; taxable equivalent)</w:t>
            </w:r>
          </w:p>
        </w:tc>
        <w:tc>
          <w:tcPr>
            <w:tcW w:w="14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6"/>
        </w:trPr>
        <w:tc>
          <w:tcPr>
            <w:tcW w:w="39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INCOME SUMMARY</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20"/>
                <w:szCs w:val="20"/>
                <w:color w:val="auto"/>
              </w:rPr>
            </w:pPr>
            <w:r>
              <w:rPr>
                <w:rFonts w:ascii="Arial" w:cs="Arial" w:eastAsia="Arial" w:hAnsi="Arial"/>
                <w:sz w:val="14"/>
                <w:szCs w:val="14"/>
                <w:color w:val="auto"/>
              </w:rPr>
              <w:t>Interest revenue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75,965</w:t>
            </w:r>
          </w:p>
        </w:tc>
        <w:tc>
          <w:tcPr>
            <w:tcW w:w="320" w:type="dxa"/>
            <w:vAlign w:val="bottom"/>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81,215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84,360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87,699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89,849</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21,083</w:t>
            </w: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24,346</w:t>
            </w: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26,072</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28,570</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160"/>
              <w:spacing w:after="0"/>
              <w:rPr>
                <w:sz w:val="20"/>
                <w:szCs w:val="20"/>
                <w:color w:val="auto"/>
              </w:rPr>
            </w:pPr>
            <w:r>
              <w:rPr>
                <w:rFonts w:ascii="Arial" w:cs="Arial" w:eastAsia="Arial" w:hAnsi="Arial"/>
                <w:sz w:val="14"/>
                <w:szCs w:val="14"/>
                <w:color w:val="auto"/>
              </w:rPr>
              <w:t>Net interest revenue</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56,392</w:t>
            </w: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60,132</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60,014</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61,627</w:t>
            </w: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61,279</w:t>
            </w:r>
          </w:p>
        </w:tc>
        <w:tc>
          <w:tcPr>
            <w:tcW w:w="3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 xml:space="preserve">Operating provision for loan losses </w:t>
            </w:r>
            <w:r>
              <w:rPr>
                <w:rFonts w:ascii="Arial" w:cs="Arial" w:eastAsia="Arial" w:hAnsi="Arial"/>
                <w:sz w:val="10"/>
                <w:szCs w:val="10"/>
                <w:color w:val="auto"/>
              </w:rPr>
              <w:t>(1)</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190,000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47,750</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50,500</w:t>
            </w:r>
          </w:p>
        </w:tc>
        <w:tc>
          <w:tcPr>
            <w:tcW w:w="16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61,500</w:t>
            </w:r>
          </w:p>
        </w:tc>
        <w:tc>
          <w:tcPr>
            <w:tcW w:w="1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75,000</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20"/>
                <w:szCs w:val="20"/>
                <w:color w:val="auto"/>
              </w:rPr>
            </w:pPr>
            <w:r>
              <w:rPr>
                <w:rFonts w:ascii="Arial" w:cs="Arial" w:eastAsia="Arial" w:hAnsi="Arial"/>
                <w:sz w:val="14"/>
                <w:szCs w:val="14"/>
                <w:color w:val="auto"/>
              </w:rPr>
              <w:t xml:space="preserve">Operating fee revenue </w:t>
            </w:r>
            <w:r>
              <w:rPr>
                <w:rFonts w:ascii="Arial" w:cs="Arial" w:eastAsia="Arial" w:hAnsi="Arial"/>
                <w:sz w:val="10"/>
                <w:szCs w:val="10"/>
                <w:color w:val="auto"/>
              </w:rPr>
              <w:t>(2)</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11,838</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12,442</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12,861</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11,579</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11,666</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3900" w:type="dxa"/>
            <w:vAlign w:val="bottom"/>
          </w:tcPr>
          <w:p>
            <w:pPr>
              <w:ind w:left="120"/>
              <w:spacing w:after="0" w:line="130" w:lineRule="exact"/>
              <w:rPr>
                <w:sz w:val="20"/>
                <w:szCs w:val="20"/>
                <w:color w:val="auto"/>
              </w:rPr>
            </w:pPr>
            <w:r>
              <w:rPr>
                <w:rFonts w:ascii="Arial" w:cs="Arial" w:eastAsia="Arial" w:hAnsi="Arial"/>
                <w:sz w:val="14"/>
                <w:szCs w:val="14"/>
                <w:b w:val="1"/>
                <w:bCs w:val="1"/>
                <w:color w:val="auto"/>
              </w:rPr>
              <w:t xml:space="preserve">Total operating revenue </w:t>
            </w:r>
            <w:r>
              <w:rPr>
                <w:rFonts w:ascii="Arial" w:cs="Arial" w:eastAsia="Arial" w:hAnsi="Arial"/>
                <w:sz w:val="10"/>
                <w:szCs w:val="10"/>
                <w:color w:val="auto"/>
              </w:rPr>
              <w:t>(1)(2)</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(121,770)</w:t>
            </w:r>
          </w:p>
        </w:tc>
        <w:tc>
          <w:tcPr>
            <w:tcW w:w="34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24,824</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22,375</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11,706</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(2,055)</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10"/>
                <w:szCs w:val="10"/>
                <w:color w:val="auto"/>
              </w:rPr>
              <w:t>(3)</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115,271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64,918</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64,906</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58,308</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54,820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20"/>
                <w:szCs w:val="20"/>
                <w:color w:val="auto"/>
              </w:rPr>
            </w:pPr>
            <w:r>
              <w:rPr>
                <w:rFonts w:ascii="Arial" w:cs="Arial" w:eastAsia="Arial" w:hAnsi="Arial"/>
                <w:sz w:val="14"/>
                <w:szCs w:val="14"/>
                <w:color w:val="auto"/>
              </w:rPr>
              <w:t>Loss on sale of nonperforming assets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45,349</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900" w:type="dxa"/>
            <w:vAlign w:val="bottom"/>
          </w:tcPr>
          <w:p>
            <w:pPr>
              <w:ind w:left="120"/>
              <w:spacing w:after="0" w:line="130" w:lineRule="exact"/>
              <w:rPr>
                <w:sz w:val="20"/>
                <w:szCs w:val="20"/>
                <w:color w:val="auto"/>
              </w:rPr>
            </w:pPr>
            <w:r>
              <w:rPr>
                <w:rFonts w:ascii="Arial" w:cs="Arial" w:eastAsia="Arial" w:hAnsi="Arial"/>
                <w:sz w:val="14"/>
                <w:szCs w:val="14"/>
                <w:color w:val="auto"/>
              </w:rPr>
              <w:t>Operating loss from continuing operations before taxes</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(237,041)</w:t>
            </w:r>
          </w:p>
        </w:tc>
        <w:tc>
          <w:tcPr>
            <w:tcW w:w="34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(40,094)</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(42,531)</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(91,951)</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(56,875)</w:t>
            </w:r>
          </w:p>
        </w:tc>
        <w:tc>
          <w:tcPr>
            <w:tcW w:w="360" w:type="dxa"/>
            <w:vAlign w:val="bottom"/>
          </w:tcPr>
          <w:p>
            <w:pPr>
              <w:spacing w:after="0"/>
              <w:rPr>
                <w:sz w:val="11"/>
                <w:szCs w:val="11"/>
                <w:color w:val="auto"/>
              </w:rPr>
            </w:pPr>
          </w:p>
        </w:tc>
        <w:tc>
          <w:tcPr>
            <w:tcW w:w="11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20"/>
                <w:szCs w:val="20"/>
                <w:color w:val="auto"/>
              </w:rPr>
            </w:pPr>
            <w:r>
              <w:rPr>
                <w:rFonts w:ascii="Arial" w:cs="Arial" w:eastAsia="Arial" w:hAnsi="Arial"/>
                <w:sz w:val="14"/>
                <w:szCs w:val="14"/>
                <w:color w:val="auto"/>
              </w:rPr>
              <w:t>Operating income tax benefit</w:t>
            </w:r>
          </w:p>
        </w:tc>
        <w:tc>
          <w:tcPr>
            <w:tcW w:w="14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color w:val="auto"/>
              </w:rPr>
              <w:t>(94,555)</w:t>
            </w:r>
          </w:p>
        </w:tc>
        <w:tc>
          <w:tcPr>
            <w:tcW w:w="14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(16,520)</w:t>
            </w:r>
          </w:p>
        </w:tc>
        <w:tc>
          <w:tcPr>
            <w:tcW w:w="16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(16,706)</w:t>
            </w:r>
          </w:p>
        </w:tc>
        <w:tc>
          <w:tcPr>
            <w:tcW w:w="1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(32,419)</w:t>
            </w:r>
          </w:p>
        </w:tc>
        <w:tc>
          <w:tcPr>
            <w:tcW w:w="14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(22,417)</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120"/>
              <w:spacing w:after="0"/>
              <w:rPr>
                <w:sz w:val="20"/>
                <w:szCs w:val="20"/>
                <w:color w:val="auto"/>
              </w:rPr>
            </w:pPr>
            <w:r>
              <w:rPr>
                <w:rFonts w:ascii="Arial" w:cs="Arial" w:eastAsia="Arial" w:hAnsi="Arial"/>
                <w:sz w:val="14"/>
                <w:szCs w:val="14"/>
                <w:b w:val="1"/>
                <w:bCs w:val="1"/>
                <w:color w:val="auto"/>
              </w:rPr>
              <w:t xml:space="preserve">Net operating loss from continuing operations </w:t>
            </w:r>
            <w:r>
              <w:rPr>
                <w:rFonts w:ascii="Arial" w:cs="Arial" w:eastAsia="Arial" w:hAnsi="Arial"/>
                <w:sz w:val="10"/>
                <w:szCs w:val="10"/>
                <w:color w:val="auto"/>
              </w:rPr>
              <w:t>(1)(2)(3)</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(142,486)</w:t>
            </w:r>
          </w:p>
        </w:tc>
        <w:tc>
          <w:tcPr>
            <w:tcW w:w="340" w:type="dxa"/>
            <w:vAlign w:val="bottom"/>
            <w:gridSpan w:val="2"/>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(23,574)</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(25,825)</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(59,532)</w:t>
            </w: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(34,458)</w:t>
            </w:r>
          </w:p>
        </w:tc>
        <w:tc>
          <w:tcPr>
            <w:tcW w:w="36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Noncash goodwill impairment charges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(210,590)</w:t>
            </w:r>
          </w:p>
        </w:tc>
        <w:tc>
          <w:tcPr>
            <w:tcW w:w="16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Partial reversal of fraud loss provision, net of tax expense</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7,179</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(101)</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Gain from sale of subsidiary, net of income taxes and selling</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1,266</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900" w:type="dxa"/>
            <w:vAlign w:val="bottom"/>
          </w:tcPr>
          <w:p>
            <w:pPr>
              <w:ind w:left="120"/>
              <w:spacing w:after="0" w:line="130" w:lineRule="exact"/>
              <w:rPr>
                <w:sz w:val="20"/>
                <w:szCs w:val="20"/>
                <w:color w:val="auto"/>
              </w:rPr>
            </w:pPr>
            <w:r>
              <w:rPr>
                <w:rFonts w:ascii="Arial" w:cs="Arial" w:eastAsia="Arial" w:hAnsi="Arial"/>
                <w:sz w:val="14"/>
                <w:szCs w:val="14"/>
                <w:b w:val="1"/>
                <w:bCs w:val="1"/>
                <w:color w:val="auto"/>
              </w:rPr>
              <w:t>Net loss</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(142,486)</w:t>
            </w:r>
          </w:p>
        </w:tc>
        <w:tc>
          <w:tcPr>
            <w:tcW w:w="34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(16,395)</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(236,415)</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(59,532)</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(33,293)</w:t>
            </w:r>
          </w:p>
        </w:tc>
        <w:tc>
          <w:tcPr>
            <w:tcW w:w="360" w:type="dxa"/>
            <w:vAlign w:val="bottom"/>
          </w:tcPr>
          <w:p>
            <w:pPr>
              <w:spacing w:after="0"/>
              <w:rPr>
                <w:sz w:val="11"/>
                <w:szCs w:val="11"/>
                <w:color w:val="auto"/>
              </w:rPr>
            </w:pPr>
          </w:p>
        </w:tc>
        <w:tc>
          <w:tcPr>
            <w:tcW w:w="11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20"/>
                <w:szCs w:val="20"/>
                <w:color w:val="auto"/>
              </w:rPr>
            </w:pPr>
            <w:r>
              <w:rPr>
                <w:rFonts w:ascii="Arial" w:cs="Arial" w:eastAsia="Arial" w:hAnsi="Arial"/>
                <w:sz w:val="14"/>
                <w:szCs w:val="14"/>
                <w:color w:val="auto"/>
              </w:rPr>
              <w:t>Preferred dividends and discount accretion</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2,778</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2,586</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2,581</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2,577</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2,572</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b w:val="1"/>
                <w:bCs w:val="1"/>
                <w:color w:val="auto"/>
              </w:rPr>
              <w:t>Net loss available to common shareholders</w:t>
            </w: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(145,264)</w:t>
            </w:r>
          </w:p>
        </w:tc>
        <w:tc>
          <w:tcPr>
            <w:tcW w:w="32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(18,981)</w:t>
            </w:r>
          </w:p>
        </w:tc>
        <w:tc>
          <w:tcPr>
            <w:tcW w:w="32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(238,996)</w:t>
            </w:r>
          </w:p>
        </w:tc>
        <w:tc>
          <w:tcPr>
            <w:tcW w:w="32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(62,109)</w:t>
            </w:r>
          </w:p>
        </w:tc>
        <w:tc>
          <w:tcPr>
            <w:tcW w:w="32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(35,865)</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PERFORMANCE MEASURES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3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Per common share: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Diluted operating loss from continuing operations </w:t>
            </w:r>
            <w:r>
              <w:rPr>
                <w:rFonts w:ascii="Arial" w:cs="Arial" w:eastAsia="Arial" w:hAnsi="Arial"/>
                <w:sz w:val="10"/>
                <w:szCs w:val="10"/>
                <w:color w:val="auto"/>
              </w:rPr>
              <w:t>(1)(2)(3)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(.39)</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Diluted loss from continuing operations</w:t>
            </w:r>
          </w:p>
        </w:tc>
        <w:tc>
          <w:tcPr>
            <w:tcW w:w="14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(1.57)</w:t>
            </w:r>
          </w:p>
        </w:tc>
        <w:tc>
          <w:tcPr>
            <w:tcW w:w="1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(2.52)</w:t>
            </w:r>
          </w:p>
        </w:tc>
        <w:tc>
          <w:tcPr>
            <w:tcW w:w="1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(.39)</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Diluted loss</w:t>
            </w:r>
          </w:p>
        </w:tc>
        <w:tc>
          <w:tcPr>
            <w:tcW w:w="14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(1.57)</w:t>
            </w:r>
          </w:p>
        </w:tc>
        <w:tc>
          <w:tcPr>
            <w:tcW w:w="1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(2.52)</w:t>
            </w:r>
          </w:p>
        </w:tc>
        <w:tc>
          <w:tcPr>
            <w:tcW w:w="1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Book value</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4.84</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5.14</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7.71</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7.95</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2"/>
        </w:trPr>
        <w:tc>
          <w:tcPr>
            <w:tcW w:w="3900" w:type="dxa"/>
            <w:vAlign w:val="bottom"/>
          </w:tcPr>
          <w:p>
            <w:pPr>
              <w:ind w:left="140"/>
              <w:spacing w:after="0"/>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0"/>
                <w:szCs w:val="10"/>
                <w:color w:val="auto"/>
              </w:rPr>
              <w:t>(5)</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2.89</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4.76</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5.05</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5.39</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5.62</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63"/>
        </w:trPr>
        <w:tc>
          <w:tcPr>
            <w:tcW w:w="3900" w:type="dxa"/>
            <w:vAlign w:val="bottom"/>
          </w:tcPr>
          <w:p>
            <w:pPr>
              <w:ind w:left="80"/>
              <w:spacing w:after="0"/>
              <w:rPr>
                <w:sz w:val="20"/>
                <w:szCs w:val="20"/>
                <w:color w:val="auto"/>
              </w:rPr>
            </w:pPr>
            <w:r>
              <w:rPr>
                <w:rFonts w:ascii="Arial" w:cs="Arial" w:eastAsia="Arial" w:hAnsi="Arial"/>
                <w:sz w:val="14"/>
                <w:szCs w:val="14"/>
                <w:color w:val="auto"/>
              </w:rPr>
              <w:t>Key performance ratios: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Return on equity </w:t>
            </w:r>
            <w:r>
              <w:rPr>
                <w:rFonts w:ascii="Arial" w:cs="Arial" w:eastAsia="Arial" w:hAnsi="Arial"/>
                <w:sz w:val="10"/>
                <w:szCs w:val="10"/>
                <w:color w:val="auto"/>
              </w:rPr>
              <w:t>(4)(6)</w:t>
            </w:r>
          </w:p>
        </w:tc>
        <w:tc>
          <w:tcPr>
            <w:tcW w:w="140" w:type="dxa"/>
            <w:vAlign w:val="bottom"/>
          </w:tcPr>
          <w:p>
            <w:pPr>
              <w:spacing w:after="0"/>
              <w:rPr>
                <w:sz w:val="12"/>
                <w:szCs w:val="12"/>
                <w:color w:val="auto"/>
              </w:rPr>
            </w:pP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(147.11) %</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(17.16) %</w:t>
            </w:r>
          </w:p>
        </w:tc>
        <w:tc>
          <w:tcPr>
            <w:tcW w:w="16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(148.04) %</w:t>
            </w: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(35.89) %</w:t>
            </w:r>
          </w:p>
        </w:tc>
        <w:tc>
          <w:tcPr>
            <w:tcW w:w="14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(20.10) %</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10"/>
                <w:szCs w:val="10"/>
                <w:color w:val="auto"/>
              </w:rPr>
              <w:t>(6)</w:t>
            </w:r>
          </w:p>
        </w:tc>
        <w:tc>
          <w:tcPr>
            <w:tcW w:w="14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(7.61)</w:t>
            </w:r>
          </w:p>
        </w:tc>
        <w:tc>
          <w:tcPr>
            <w:tcW w:w="1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(12.47)</w:t>
            </w:r>
          </w:p>
        </w:tc>
        <w:tc>
          <w:tcPr>
            <w:tcW w:w="1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(3.10)</w:t>
            </w:r>
          </w:p>
        </w:tc>
        <w:tc>
          <w:tcPr>
            <w:tcW w:w="1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(1.70)</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0"/>
                <w:szCs w:val="10"/>
                <w:color w:val="auto"/>
              </w:rPr>
              <w:t>(6)</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3.58</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3.57</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3.60</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3.49</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 xml:space="preserve">Operating efficiency ratio from continuing operations </w:t>
            </w:r>
            <w:r>
              <w:rPr>
                <w:rFonts w:ascii="Arial" w:cs="Arial" w:eastAsia="Arial" w:hAnsi="Arial"/>
                <w:sz w:val="10"/>
                <w:szCs w:val="10"/>
                <w:color w:val="auto"/>
              </w:rPr>
              <w:t>(2)(3)</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169.08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89.45</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89.38</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141.60</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75.22</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Equity to assets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8.85</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11.37</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11.84</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11.90</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Tangible equity to assets </w:t>
            </w:r>
            <w:r>
              <w:rPr>
                <w:rFonts w:ascii="Arial" w:cs="Arial" w:eastAsia="Arial" w:hAnsi="Arial"/>
                <w:sz w:val="10"/>
                <w:szCs w:val="10"/>
                <w:color w:val="auto"/>
              </w:rPr>
              <w:t>(5)</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8.75</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9.19</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9.26</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9.39</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Tangible common equity to assets </w:t>
            </w:r>
            <w:r>
              <w:rPr>
                <w:rFonts w:ascii="Arial" w:cs="Arial" w:eastAsia="Arial" w:hAnsi="Arial"/>
                <w:sz w:val="10"/>
                <w:szCs w:val="10"/>
                <w:color w:val="auto"/>
              </w:rPr>
              <w:t>(5)</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6.35</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6.78</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6.91</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7.13</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1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10"/>
                <w:szCs w:val="10"/>
                <w:color w:val="auto"/>
              </w:rPr>
              <w:t>(5)</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6.40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9.05</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9.60</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9.97</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10.03</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0"/>
                <w:szCs w:val="20"/>
                <w:color w:val="auto"/>
              </w:rPr>
            </w:pPr>
            <w:r>
              <w:rPr>
                <w:rFonts w:ascii="Arial" w:cs="Arial" w:eastAsia="Arial" w:hAnsi="Arial"/>
                <w:sz w:val="14"/>
                <w:szCs w:val="14"/>
                <w:b w:val="1"/>
                <w:bCs w:val="1"/>
                <w:color w:val="auto"/>
              </w:rPr>
              <w:t>ASSET QUALITY *</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Non-performing loans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83,769</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179,094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217,766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224,335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280,802</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80"/>
              <w:spacing w:after="0"/>
              <w:rPr>
                <w:sz w:val="20"/>
                <w:szCs w:val="20"/>
                <w:color w:val="auto"/>
              </w:rPr>
            </w:pPr>
            <w:r>
              <w:rPr>
                <w:rFonts w:ascii="Arial" w:cs="Arial" w:eastAsia="Arial" w:hAnsi="Arial"/>
                <w:sz w:val="14"/>
                <w:szCs w:val="14"/>
                <w:color w:val="auto"/>
              </w:rPr>
              <w:t>Foreclosed properties</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54,378</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142,208</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129,964</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123,910</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136,275</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900" w:type="dxa"/>
            <w:vAlign w:val="bottom"/>
          </w:tcPr>
          <w:p>
            <w:pPr>
              <w:ind w:left="140"/>
              <w:spacing w:after="0" w:line="130" w:lineRule="exact"/>
              <w:rPr>
                <w:sz w:val="20"/>
                <w:szCs w:val="20"/>
                <w:color w:val="auto"/>
              </w:rPr>
            </w:pPr>
            <w:r>
              <w:rPr>
                <w:rFonts w:ascii="Arial" w:cs="Arial" w:eastAsia="Arial" w:hAnsi="Arial"/>
                <w:sz w:val="14"/>
                <w:szCs w:val="14"/>
                <w:color w:val="auto"/>
              </w:rPr>
              <w:t>Total non-performing assets (NPAs)</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138,147</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321,302</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347,730</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348,245</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417,077</w:t>
            </w: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133,121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174,695</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174,613</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174,111</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173,934</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80"/>
              <w:spacing w:after="0"/>
              <w:rPr>
                <w:sz w:val="20"/>
                <w:szCs w:val="20"/>
                <w:color w:val="auto"/>
              </w:rPr>
            </w:pPr>
            <w:r>
              <w:rPr>
                <w:rFonts w:ascii="Arial" w:cs="Arial" w:eastAsia="Arial" w:hAnsi="Arial"/>
                <w:sz w:val="14"/>
                <w:szCs w:val="14"/>
                <w:color w:val="auto"/>
              </w:rPr>
              <w:t xml:space="preserve">Operating net charge-offs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231,574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47,668</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49,998</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61,323</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56,668</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80"/>
              <w:spacing w:after="0"/>
              <w:rPr>
                <w:sz w:val="20"/>
                <w:szCs w:val="20"/>
                <w:color w:val="auto"/>
              </w:rPr>
            </w:pPr>
            <w:r>
              <w:rPr>
                <w:rFonts w:ascii="Arial" w:cs="Arial" w:eastAsia="Arial" w:hAnsi="Arial"/>
                <w:sz w:val="14"/>
                <w:szCs w:val="14"/>
                <w:color w:val="auto"/>
              </w:rPr>
              <w:t>Allowance for loan losses to loans</w:t>
            </w:r>
          </w:p>
        </w:tc>
        <w:tc>
          <w:tcPr>
            <w:tcW w:w="14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3.17%</w:t>
            </w:r>
          </w:p>
        </w:tc>
        <w:tc>
          <w:tcPr>
            <w:tcW w:w="1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3.79%</w:t>
            </w:r>
          </w:p>
        </w:tc>
        <w:tc>
          <w:tcPr>
            <w:tcW w:w="16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3.67%</w:t>
            </w:r>
          </w:p>
        </w:tc>
        <w:tc>
          <w:tcPr>
            <w:tcW w:w="16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3.57%</w:t>
            </w: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3.48 %</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 xml:space="preserve">Operating net charge-offs to average loans </w:t>
            </w:r>
            <w:r>
              <w:rPr>
                <w:rFonts w:ascii="Arial" w:cs="Arial" w:eastAsia="Arial" w:hAnsi="Arial"/>
                <w:sz w:val="10"/>
                <w:szCs w:val="10"/>
                <w:color w:val="auto"/>
              </w:rPr>
              <w:t>(1)(6)</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20.71</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4.03</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4.12</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4.98</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4.51</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NPAs to loans and foreclosed properties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6.77</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7.11</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6.97</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8.13</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80"/>
              <w:spacing w:after="0"/>
              <w:rPr>
                <w:sz w:val="20"/>
                <w:szCs w:val="20"/>
                <w:color w:val="auto"/>
              </w:rPr>
            </w:pPr>
            <w:r>
              <w:rPr>
                <w:rFonts w:ascii="Arial" w:cs="Arial" w:eastAsia="Arial" w:hAnsi="Arial"/>
                <w:sz w:val="14"/>
                <w:szCs w:val="14"/>
                <w:color w:val="auto"/>
              </w:rPr>
              <w:t>NPAs to total assets</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1.73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4.32</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4.96</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4.55</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5.32</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 millions)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Loans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4,599</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4,768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4,896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5,011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5,173</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1,625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1,354</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1,411</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1,532</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1,518</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Earning assets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6,902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6,680</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6,676</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6,854</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7,085</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7,595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7,338</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7,522</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7,704</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7,946</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Deposits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6,560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6,294</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6,257</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6,375</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6,570</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649</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945</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 xml:space="preserve">Common shares - basic </w:t>
            </w:r>
            <w:r>
              <w:rPr>
                <w:rFonts w:ascii="Arial" w:cs="Arial" w:eastAsia="Arial" w:hAnsi="Arial"/>
                <w:sz w:val="14"/>
                <w:szCs w:val="14"/>
                <w:i w:val="1"/>
                <w:iCs w:val="1"/>
                <w:color w:val="auto"/>
              </w:rPr>
              <w:t>(thousands)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92,330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94,918</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94,679</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94,524</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94,390</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80"/>
              <w:spacing w:after="0"/>
              <w:rPr>
                <w:sz w:val="20"/>
                <w:szCs w:val="20"/>
                <w:color w:val="auto"/>
              </w:rPr>
            </w:pPr>
            <w:r>
              <w:rPr>
                <w:rFonts w:ascii="Arial" w:cs="Arial" w:eastAsia="Arial" w:hAnsi="Arial"/>
                <w:sz w:val="14"/>
                <w:szCs w:val="14"/>
                <w:color w:val="auto"/>
              </w:rPr>
              <w:t xml:space="preserve">Common shares - diluted </w:t>
            </w:r>
            <w:r>
              <w:rPr>
                <w:rFonts w:ascii="Arial" w:cs="Arial" w:eastAsia="Arial" w:hAnsi="Arial"/>
                <w:sz w:val="14"/>
                <w:szCs w:val="14"/>
                <w:i w:val="1"/>
                <w:iCs w:val="1"/>
                <w:color w:val="auto"/>
              </w:rPr>
              <w:t>(thousands)</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92,330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94,918</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94,679</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94,524</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94,390</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900" w:type="dxa"/>
            <w:vAlign w:val="bottom"/>
          </w:tcPr>
          <w:p>
            <w:pPr>
              <w:spacing w:after="0"/>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Loans *</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4,194</w:t>
            </w:r>
          </w:p>
        </w:tc>
        <w:tc>
          <w:tcPr>
            <w:tcW w:w="3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4,604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4,760</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4,873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4,992</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1,490</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1,310</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1,488</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1,527</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7,974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7,443</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7,013</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7,652</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7,837</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Deposits</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6,598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6,469</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5,999</w:t>
            </w:r>
          </w:p>
        </w:tc>
        <w:tc>
          <w:tcPr>
            <w:tcW w:w="16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6,330</w:t>
            </w: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6,488</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900" w:type="dxa"/>
            <w:vAlign w:val="bottom"/>
          </w:tcPr>
          <w:p>
            <w:pPr>
              <w:ind w:left="80"/>
              <w:spacing w:after="0" w:line="149" w:lineRule="exact"/>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636</w:t>
            </w:r>
          </w:p>
        </w:tc>
        <w:tc>
          <w:tcPr>
            <w:tcW w:w="16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662</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926</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2"/>
        </w:trPr>
        <w:tc>
          <w:tcPr>
            <w:tcW w:w="3900" w:type="dxa"/>
            <w:vAlign w:val="bottom"/>
          </w:tcPr>
          <w:p>
            <w:pPr>
              <w:ind w:left="80"/>
              <w:spacing w:after="0"/>
              <w:rPr>
                <w:sz w:val="20"/>
                <w:szCs w:val="20"/>
                <w:color w:val="auto"/>
              </w:rPr>
            </w:pPr>
            <w:r>
              <w:rPr>
                <w:rFonts w:ascii="Arial" w:cs="Arial" w:eastAsia="Arial" w:hAnsi="Arial"/>
                <w:sz w:val="14"/>
                <w:szCs w:val="14"/>
                <w:color w:val="auto"/>
              </w:rPr>
              <w:t xml:space="preserve">Common shares outstanding </w:t>
            </w:r>
            <w:r>
              <w:rPr>
                <w:rFonts w:ascii="Arial" w:cs="Arial" w:eastAsia="Arial" w:hAnsi="Arial"/>
                <w:sz w:val="14"/>
                <w:szCs w:val="14"/>
                <w:i w:val="1"/>
                <w:iCs w:val="1"/>
                <w:color w:val="auto"/>
              </w:rPr>
              <w:t>(thousands)</w:t>
            </w:r>
          </w:p>
        </w:tc>
        <w:tc>
          <w:tcPr>
            <w:tcW w:w="14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104,516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94,685</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94,433</w:t>
            </w:r>
          </w:p>
        </w:tc>
        <w:tc>
          <w:tcPr>
            <w:tcW w:w="16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94,281</w:t>
            </w:r>
          </w:p>
        </w:tc>
        <w:tc>
          <w:tcPr>
            <w:tcW w:w="14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94,176</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the partial reversal of a previously established provision for fraud-related loan losses of $11.8 million, net of tax expense of $4.6 million in the fourth quarter of 2010. Operating charge-offs also exclude the $11.8 million related partial recovery of the previously charged off amount. (2) Excludes revenue generated by discontinued operations in the first quarter of 2010. (3) Excludes the goodwill impairment charge of $211 million in the third quarter of 2010 and expenses relating to discontinued operations in the first quarter of 2010. (4) Net loss available to common shareholders, which is net of preferred stock dividends, divided by average realized common equity, which excludes accumulated other comprehensive income (loss). (5) Excludes effect of acquisition related intangibles and associated amortization. (6) Annualized.</w:t>
      </w:r>
    </w:p>
    <w:p>
      <w:pPr>
        <w:spacing w:after="0" w:line="220" w:lineRule="exact"/>
        <w:rPr>
          <w:sz w:val="20"/>
          <w:szCs w:val="20"/>
          <w:color w:val="auto"/>
        </w:rPr>
      </w:pPr>
    </w:p>
    <w:p>
      <w:pPr>
        <w:ind w:left="5620" w:right="4580" w:hanging="5612"/>
        <w:spacing w:after="0" w:line="731" w:lineRule="auto"/>
        <w:tabs>
          <w:tab w:leader="none" w:pos="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99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w w:val="93"/>
              </w:rPr>
              <w:t>Table 1 Continued - Operating Earnings to GAAP Earnings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Reconciliation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Selected Financial Information</w:t>
            </w:r>
          </w:p>
        </w:tc>
        <w:tc>
          <w:tcPr>
            <w:tcW w:w="180" w:type="dxa"/>
            <w:vAlign w:val="bottom"/>
          </w:tcPr>
          <w:p>
            <w:pPr>
              <w:spacing w:after="0"/>
              <w:rPr>
                <w:sz w:val="20"/>
                <w:szCs w:val="20"/>
                <w:color w:val="auto"/>
              </w:rPr>
            </w:pPr>
          </w:p>
        </w:tc>
        <w:tc>
          <w:tcPr>
            <w:tcW w:w="9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4"/>
            <w:vMerge w:val="restart"/>
          </w:tcPr>
          <w:p>
            <w:pPr>
              <w:jc w:val="right"/>
              <w:ind w:right="45"/>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vMerge w:val="continue"/>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80" w:type="dxa"/>
            <w:vAlign w:val="bottom"/>
          </w:tcPr>
          <w:p>
            <w:pPr>
              <w:spacing w:after="0"/>
              <w:rPr>
                <w:sz w:val="17"/>
                <w:szCs w:val="17"/>
                <w:color w:val="auto"/>
              </w:rPr>
            </w:pPr>
          </w:p>
        </w:tc>
        <w:tc>
          <w:tcPr>
            <w:tcW w:w="94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7"/>
              </w:rPr>
              <w:t>First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Fourth</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Third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Second</w:t>
            </w:r>
          </w:p>
        </w:tc>
        <w:tc>
          <w:tcPr>
            <w:tcW w:w="160" w:type="dxa"/>
            <w:vAlign w:val="bottom"/>
          </w:tcPr>
          <w:p>
            <w:pPr>
              <w:spacing w:after="0"/>
              <w:rPr>
                <w:sz w:val="17"/>
                <w:szCs w:val="17"/>
                <w:color w:val="auto"/>
              </w:rPr>
            </w:pPr>
          </w:p>
        </w:tc>
        <w:tc>
          <w:tcPr>
            <w:tcW w:w="96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180" w:type="dxa"/>
            <w:vAlign w:val="bottom"/>
          </w:tcPr>
          <w:p>
            <w:pPr>
              <w:spacing w:after="0"/>
              <w:rPr>
                <w:sz w:val="20"/>
                <w:szCs w:val="20"/>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5"/>
              </w:rPr>
              <w:t>Quarter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02"/>
        </w:trPr>
        <w:tc>
          <w:tcPr>
            <w:tcW w:w="4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Interest revenue reconciliation</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revenue - taxable equivalent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75,965</w:t>
            </w: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81,215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84,360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87,699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89,849</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tcPr>
          <w:p>
            <w:pPr>
              <w:spacing w:after="0"/>
              <w:rPr>
                <w:sz w:val="20"/>
                <w:szCs w:val="20"/>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Interest revenue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75,530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83,849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87,199</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interest revenue - taxable equivalent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56,392</w:t>
            </w: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60,132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60,014</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61,627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tcPr>
          <w:p>
            <w:pPr>
              <w:spacing w:after="0"/>
              <w:rPr>
                <w:sz w:val="20"/>
                <w:szCs w:val="20"/>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Net interest revenue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55,957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61,127</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loan losses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provision for loan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47,750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50,500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61,500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Partial reversal of special fraud-related provision for loan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Provision for loan losses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61,500</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(121,770)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22,375</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11,706</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Partial reversal of special fraud-related provision for loan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Total revenue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(122,205)</w:t>
            </w: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11,206</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115,271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64,918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64,906</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103,657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54,820</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210,590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Operating expense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115,271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275,496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103,657</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Loss from continuing operations before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8"/>
                <w:szCs w:val="18"/>
                <w:b w:val="1"/>
                <w:bCs w:val="1"/>
                <w:color w:val="auto"/>
              </w:rPr>
              <w:t>reconciliation</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loss from continuing operations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(237,041)</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(40,094)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(42,531)</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(91,951)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(56,875)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(210,590)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Partial reversal of special fraud-related provision for loan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taxes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(237,476)</w:t>
            </w: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(253,632)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(92,451)</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income tax benefit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(94,555)</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(16,520)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(16,706)</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(32,419)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(22,417)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tcPr>
          <w:p>
            <w:pPr>
              <w:spacing w:after="0"/>
              <w:rPr>
                <w:sz w:val="18"/>
                <w:szCs w:val="18"/>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Partial reversal of special fraud-related provision for loan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4,571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Income tax benefit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(94,990)</w:t>
            </w: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(32,919)</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w w:val="99"/>
              </w:rPr>
              <w:t>Diluted loss from continuing operations per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8"/>
                <w:szCs w:val="18"/>
                <w:b w:val="1"/>
                <w:bCs w:val="1"/>
                <w:color w:val="auto"/>
              </w:rPr>
              <w:t>share reconciliation</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Diluted operating loss from continuing operations per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Partial reversal of special fraud-related provision for loan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40" w:type="dxa"/>
            <w:vAlign w:val="bottom"/>
          </w:tcPr>
          <w:p>
            <w:pPr>
              <w:ind w:left="180"/>
              <w:spacing w:after="0" w:line="201" w:lineRule="exact"/>
              <w:rPr>
                <w:sz w:val="20"/>
                <w:szCs w:val="20"/>
                <w:color w:val="auto"/>
              </w:rPr>
            </w:pPr>
            <w:r>
              <w:rPr>
                <w:rFonts w:ascii="Arial" w:cs="Arial" w:eastAsia="Arial" w:hAnsi="Arial"/>
                <w:sz w:val="18"/>
                <w:szCs w:val="18"/>
                <w:color w:val="auto"/>
                <w:w w:val="93"/>
              </w:rPr>
              <w:t>Diluted loss from continuing operations per common share</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Tangible book value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8"/>
                <w:szCs w:val="18"/>
                <w:color w:val="auto"/>
              </w:rPr>
              <w:t>Book value per common share (GAAP)</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w w:val="92"/>
              </w:rPr>
              <w:t>Efficiency ratio from continuing operations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efficiency ratio from continuing operations</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169.08%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141.60%</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Efficiency ratio from continuing operations (GAAP)</w:t>
            </w:r>
          </w:p>
        </w:tc>
        <w:tc>
          <w:tcPr>
            <w:tcW w:w="18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169.08%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379.38%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141.60%</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Tangible common equity to assets</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1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2"/>
        </w:trPr>
        <w:tc>
          <w:tcPr>
            <w:tcW w:w="4540" w:type="dxa"/>
            <w:vAlign w:val="bottom"/>
          </w:tcPr>
          <w:p>
            <w:pPr>
              <w:ind w:left="180"/>
              <w:spacing w:after="0" w:line="201" w:lineRule="exact"/>
              <w:rPr>
                <w:sz w:val="20"/>
                <w:szCs w:val="20"/>
                <w:color w:val="auto"/>
              </w:rPr>
            </w:pPr>
            <w:r>
              <w:rPr>
                <w:rFonts w:ascii="Arial" w:cs="Arial" w:eastAsia="Arial" w:hAnsi="Arial"/>
                <w:sz w:val="18"/>
                <w:szCs w:val="18"/>
                <w:color w:val="auto"/>
              </w:rPr>
              <w:t>Tangible equity to assets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8.73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8.75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9.19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9.26</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Equity to assets (GAAP)</w:t>
            </w:r>
          </w:p>
        </w:tc>
        <w:tc>
          <w:tcPr>
            <w:tcW w:w="18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8.82%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11.84%</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w w:val="95"/>
              </w:rPr>
              <w:t>Actual tangible common equity to risk-weighted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8"/>
                <w:szCs w:val="18"/>
                <w:b w:val="1"/>
                <w:bCs w:val="1"/>
                <w:color w:val="auto"/>
              </w:rPr>
              <w:t>reconciliation</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1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Effect of other comprehensive income</w:t>
            </w:r>
          </w:p>
        </w:tc>
        <w:tc>
          <w:tcPr>
            <w:tcW w:w="180" w:type="dxa"/>
            <w:vAlign w:val="bottom"/>
          </w:tcPr>
          <w:p>
            <w:pPr>
              <w:spacing w:after="0"/>
              <w:rPr>
                <w:sz w:val="20"/>
                <w:szCs w:val="20"/>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400"/>
          </w:cols>
          <w:pgMar w:left="240" w:top="513" w:right="25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3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Tier I capital ratio (Regulatory)</w:t>
            </w: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11.07%</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reconciliation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net charge-offs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231,574</w:t>
            </w:r>
          </w:p>
        </w:tc>
        <w:tc>
          <w:tcPr>
            <w:tcW w:w="200" w:type="dxa"/>
            <w:vAlign w:val="bottom"/>
          </w:tcPr>
          <w:p>
            <w:pPr>
              <w:spacing w:after="0"/>
              <w:rPr>
                <w:sz w:val="18"/>
                <w:szCs w:val="18"/>
                <w:color w:val="auto"/>
              </w:rPr>
            </w:pPr>
          </w:p>
        </w:tc>
        <w:tc>
          <w:tcPr>
            <w:tcW w:w="3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47,668</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49,998</w:t>
            </w: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61,323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56,668</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Subsequent partial recovery of fraud-related charge-off</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Net charge-offs (GAAP)</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231,574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61,323</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to average loans reconciliation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net charge-offs to average loans</w:t>
            </w:r>
          </w:p>
        </w:tc>
        <w:tc>
          <w:tcPr>
            <w:tcW w:w="3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Subsequent partial recovery of fraud-related charge-off</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180"/>
              <w:spacing w:after="0"/>
              <w:rPr>
                <w:sz w:val="20"/>
                <w:szCs w:val="20"/>
                <w:color w:val="auto"/>
              </w:rPr>
            </w:pPr>
            <w:r>
              <w:rPr>
                <w:rFonts w:ascii="Arial" w:cs="Arial" w:eastAsia="Arial" w:hAnsi="Arial"/>
                <w:sz w:val="18"/>
                <w:szCs w:val="18"/>
                <w:color w:val="auto"/>
              </w:rPr>
              <w:t>Net charge-offs to average loans (GAAP)</w:t>
            </w:r>
          </w:p>
        </w:tc>
        <w:tc>
          <w:tcPr>
            <w:tcW w:w="32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5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reported a net operating loss from continuing operations of $142 million for the first quarter of 2011. This compared to a net operating loss from continuing operations of $34.5 million for the same period in 2010. For the first quarter of 2011, diluted operating loss from continuing operations per share was $1.57. This compared to diluted operating loss from continuing operations per share of $.39 for the first quarter of 2010. The first quarter of 2011 operating loss reflects the Board of Director’s decision to adopt the Problem Asset Disposition Plan to quickly dispose of problem assets following United’s successful Private Placement at the end of the first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March 31, 2011 was $56.4 million, down $4.89 million, or 8%, from the first quarter of 2010. The decrease in net interest revenue for the first quarter of 2011 compared to the first quarter of 2010 was mostly due to lower average loan balances, although the reversal of $2.01 million of interest on performing substandard loans reclassified as held for sale in anticipation of the second quarter Bulk Loan Sale also contributed to the decrease. United continues its intense focus on loan and deposit pricing, in an effort to maintain a steady level of net interest revenue, despite continuing attrition in the loan portfolio.</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loans decreased $574 million, or 11%, from the first quarter of last year. The decrease in the loan portfolio was a result of the continued slowdown in the housing market as well as the Bulk Loan Sale completed in April 2011. Loan charge-offs, foreclosure activity and management’s efforts to rebalance the loan portfolio by reducing the concentration of residential construction loans have all contributed to declining loan balances. While loan balances have declined, United continues to make new loans. During the first quarter of 2011, United funded $52.6 million in new loans, primarily commercial and small business loans in north Georgia and the Atlanta MSA.</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Average interest-earning assets for the first quarter of 2011 decreased $183 million, or 3%, from the same period in 2010. The decrease of $574 million in average loans was partially offset by increases of $107 million in the investment securities portfolio and $283 million in other interest-earning assets. Loan demand has been weak due to the poor economy and management’s efforts to reduce United’s exposure to residential construction loans. The increase in the securities portfolio and other interest-earning assets was due to purchases of floating rate mortgage-backed securities and short-term commercial paper in an effort to temporarily invest excess liquidity, including the proceeds from the new capital raised at the end of the first quarter of 2011. Average interest-bearing liabilities decreased $193 million, or 3%, from the first quarter of 2010 due to the rolling off of higher-cost certificates of deposit as funding needs decreased. The average yield on interest earning assets for the three months ended March 31, 2011, was 4.45%, down 68 basis points from 5.13% for the same period of 2010. Interest reversals on performing loans classified as held for sale as part of the Bulk Loan Sale accounted for approximately 11 basis points of the decrease. Another significant contributing factor to the decrease in the yield on interest earning assets was the shift in earning asset mix from loans, which generally yield a higher rate than other asset classes, to temporary investments which have relatively low yields. In light of the weak economic environment, United maintained above normal levels of liquidity by entering into brokered deposit arrangements and temporarily investing the proceeds in short-term commercial paper and floating rate mortgage-backed securities at a slightly negative spread.</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cost of interest-bearing liabilities for the first quarter of 2011 was 1.32% compared to 1.86% for the same period of 2010, reflecting the effect of falling rates on United’s floating rate liabilities and United’s ability to reduce deposit pricing. Also contributing to the overall lower rate on interest-bearing liabilities was a shift in the mix of deposits away from more expensive time deposits toward lower-rate transaction deposits. United’s shrinking balance sheet also permitted the reduction of more expensive wholesale borrowings.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interest-earning assets with customers’ non-interest bearing deposits and stockholders’ equity.</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months ended March 31, 2011 and 2010, the net interest spread was 3.13% and 3.27%, respectively, while the net interest margin was 3.30% and 3.49%, respectively. The decline in net interest margin for the quarter reflects interest reversals on performing loans that were transferred to the held for sale category. This transfer accounted for 11 basis points of the quarter over quarter decrease of 19 basis points. In addition, the above normal levels of liquidity lowered the net interest margin by approximately 49 basis points in the first quarter of 2011, compared to 18 basis points for the first quarter of 2010.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2011 and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Avg.</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Avg.</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2"/>
              </w:rPr>
              <w:t>Balance</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Interest</w:t>
            </w:r>
          </w:p>
        </w:tc>
        <w:tc>
          <w:tcPr>
            <w:tcW w:w="1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Rate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2"/>
              </w:rPr>
              <w:t>Balance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8"/>
              </w:rPr>
              <w:t>Interest</w:t>
            </w:r>
          </w:p>
        </w:tc>
        <w:tc>
          <w:tcPr>
            <w:tcW w:w="11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4,598,860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61,070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5,172,847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72,219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13,345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1,487,646</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15,892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25,827</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30,050</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w w:val="97"/>
              </w:rPr>
              <w:t>Federal funds sold and other interest-earning assets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677,453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394,348</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6,901,621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75,965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7,084,891</w:t>
            </w: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89,849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Non-interest-earning assets: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(169,113)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(187,288)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134,341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104,545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181,927</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548,348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762,228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7,594,550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7,946,303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NOW</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1,373,142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1,324</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1,361,696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928,542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2,028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723,470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180,448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Time less than $100,000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1,540,342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5,451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1,692,652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8,891</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Time greater than $100,000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990,881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4,151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1,155,776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6,770</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698,288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2,130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736,999</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4,537</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4160" w:type="dxa"/>
            <w:vAlign w:val="bottom"/>
          </w:tcPr>
          <w:p>
            <w:pPr>
              <w:ind w:left="32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5,718,618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15,161</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5,851,041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23,893</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Federal funds purchased and other borrowings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101,097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1,042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102,058</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55,125</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114,388</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977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150,157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2,780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150,078</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2,662</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3"/>
        </w:trPr>
        <w:tc>
          <w:tcPr>
            <w:tcW w:w="4160" w:type="dxa"/>
            <w:vAlign w:val="bottom"/>
          </w:tcPr>
          <w:p>
            <w:pPr>
              <w:ind w:left="280"/>
              <w:spacing w:after="0"/>
              <w:rPr>
                <w:sz w:val="20"/>
                <w:szCs w:val="20"/>
                <w:color w:val="auto"/>
              </w:rPr>
            </w:pPr>
            <w:r>
              <w:rPr>
                <w:rFonts w:ascii="Arial" w:cs="Arial" w:eastAsia="Arial" w:hAnsi="Arial"/>
                <w:sz w:val="18"/>
                <w:szCs w:val="18"/>
                <w:color w:val="auto"/>
              </w:rPr>
              <w:t>Total borrowed funds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306,379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366,524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439"/>
        </w:trPr>
        <w:tc>
          <w:tcPr>
            <w:tcW w:w="4160" w:type="dxa"/>
            <w:vAlign w:val="bottom"/>
          </w:tcPr>
          <w:p>
            <w:pPr>
              <w:ind w:left="28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6,024,997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19,573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6,217,565</w:t>
            </w: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28,570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Non-interest-bearing liabilities: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841,351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718,975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58,634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64,337</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20"/>
              <w:spacing w:after="0" w:line="201"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6,924,982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7,000,877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669,568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945,426</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7,594,550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7,946,303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56,392</w:t>
            </w: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61,279</w:t>
            </w: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20" w:right="900" w:hanging="312"/>
        <w:spacing w:after="0" w:line="274"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00" w:hanging="292"/>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 and loans that are held for sale.</w:t>
      </w:r>
    </w:p>
    <w:p>
      <w:pPr>
        <w:spacing w:after="0" w:line="20" w:lineRule="exact"/>
        <w:rPr>
          <w:rFonts w:ascii="Arial" w:cs="Arial" w:eastAsia="Arial" w:hAnsi="Arial"/>
          <w:sz w:val="17"/>
          <w:szCs w:val="17"/>
          <w:color w:val="auto"/>
        </w:rPr>
      </w:pPr>
    </w:p>
    <w:p>
      <w:pPr>
        <w:ind w:left="320" w:right="620" w:hanging="312"/>
        <w:spacing w:after="0" w:line="250"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$27.2 million in 2011 and $43.2 million in 2010 are included in other assets for purposes of this presentation.</w:t>
      </w: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8" w:name="page39"/>
    <w:bookmarkEnd w:id="38"/>
    <w:p>
      <w:pPr>
        <w:ind w:right="200"/>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204" w:lineRule="exact"/>
        <w:rPr>
          <w:sz w:val="20"/>
          <w:szCs w:val="20"/>
          <w:color w:val="auto"/>
        </w:rPr>
      </w:pPr>
    </w:p>
    <w:p>
      <w:pPr>
        <w:ind w:left="580" w:right="4620"/>
        <w:spacing w:after="0" w:line="261"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tbl>
      <w:tblPr>
        <w:tblLayout w:type="fixed"/>
        <w:tblInd w:w="580" w:type="dxa"/>
        <w:tblCellMar>
          <w:top w:w="0" w:type="dxa"/>
          <w:left w:w="0" w:type="dxa"/>
          <w:bottom w:w="0" w:type="dxa"/>
          <w:right w:w="0" w:type="dxa"/>
        </w:tblCellMar>
      </w:tblPr>
      <w:tr>
        <w:trPr>
          <w:trHeight w:val="198"/>
        </w:trPr>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10"/>
          </w:tcPr>
          <w:p>
            <w:pPr>
              <w:jc w:val="center"/>
              <w:ind w:right="240"/>
              <w:spacing w:after="0" w:line="198" w:lineRule="exact"/>
              <w:rPr>
                <w:sz w:val="20"/>
                <w:szCs w:val="20"/>
                <w:color w:val="auto"/>
              </w:rPr>
            </w:pPr>
            <w:r>
              <w:rPr>
                <w:rFonts w:ascii="Arial" w:cs="Arial" w:eastAsia="Arial" w:hAnsi="Arial"/>
                <w:sz w:val="18"/>
                <w:szCs w:val="18"/>
                <w:b w:val="1"/>
                <w:bCs w:val="1"/>
                <w:color w:val="auto"/>
                <w:w w:val="91"/>
              </w:rPr>
              <w:t>Three Months Ended March 31, 2011</w:t>
            </w:r>
          </w:p>
        </w:tc>
      </w:tr>
      <w:tr>
        <w:trPr>
          <w:trHeight w:val="216"/>
        </w:trPr>
        <w:tc>
          <w:tcPr>
            <w:tcW w:w="6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Compared to 2010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6"/>
              </w:rPr>
              <w:t>Increase (decrease)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Volume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Rate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(7,742)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(3,407)</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(11,149)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Taxable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(2,547)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Tax-exempt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Federal funds sold and other interest-earning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Total interest-earning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60" w:type="dxa"/>
            <w:vAlign w:val="bottom"/>
          </w:tcPr>
          <w:p>
            <w:pPr>
              <w:spacing w:after="0"/>
              <w:rPr>
                <w:sz w:val="19"/>
                <w:szCs w:val="19"/>
                <w:color w:val="auto"/>
              </w:rPr>
            </w:pPr>
          </w:p>
        </w:tc>
      </w:tr>
      <w:tr>
        <w:trPr>
          <w:trHeight w:val="418"/>
        </w:trPr>
        <w:tc>
          <w:tcPr>
            <w:tcW w:w="634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NOW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Savings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(3,440)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(2,619)</w:t>
            </w: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Brokered deposits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(2,407)</w:t>
            </w:r>
          </w:p>
        </w:tc>
      </w:tr>
      <w:tr>
        <w:trPr>
          <w:trHeight w:val="223"/>
        </w:trPr>
        <w:tc>
          <w:tcPr>
            <w:tcW w:w="6340" w:type="dxa"/>
            <w:vAlign w:val="bottom"/>
          </w:tcPr>
          <w:p>
            <w:pPr>
              <w:ind w:left="80"/>
              <w:spacing w:after="0"/>
              <w:rPr>
                <w:sz w:val="20"/>
                <w:szCs w:val="20"/>
                <w:color w:val="auto"/>
              </w:rPr>
            </w:pPr>
            <w:r>
              <w:rPr>
                <w:rFonts w:ascii="Arial" w:cs="Arial" w:eastAsia="Arial" w:hAnsi="Arial"/>
                <w:sz w:val="18"/>
                <w:szCs w:val="18"/>
                <w:color w:val="auto"/>
              </w:rPr>
              <w:t>Total interest-bearing deposits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w:t>
            </w:r>
          </w:p>
        </w:tc>
        <w:tc>
          <w:tcPr>
            <w:tcW w:w="60" w:type="dxa"/>
            <w:vAlign w:val="bottom"/>
          </w:tcPr>
          <w:p>
            <w:pPr>
              <w:spacing w:after="0"/>
              <w:rPr>
                <w:sz w:val="19"/>
                <w:szCs w:val="19"/>
                <w:color w:val="auto"/>
              </w:rPr>
            </w:pP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rPr>
              <w:t>Federal funds purchased &amp; other borrowings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(387)</w:t>
            </w: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r>
      <w:tr>
        <w:trPr>
          <w:trHeight w:val="223"/>
        </w:trPr>
        <w:tc>
          <w:tcPr>
            <w:tcW w:w="6340" w:type="dxa"/>
            <w:vAlign w:val="bottom"/>
          </w:tcPr>
          <w:p>
            <w:pPr>
              <w:ind w:left="80"/>
              <w:spacing w:after="0"/>
              <w:rPr>
                <w:sz w:val="20"/>
                <w:szCs w:val="20"/>
                <w:color w:val="auto"/>
              </w:rPr>
            </w:pPr>
            <w:r>
              <w:rPr>
                <w:rFonts w:ascii="Arial" w:cs="Arial" w:eastAsia="Arial" w:hAnsi="Arial"/>
                <w:sz w:val="18"/>
                <w:szCs w:val="18"/>
                <w:color w:val="auto"/>
              </w:rPr>
              <w:t>Total borrowed funds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r>
      <w:tr>
        <w:trPr>
          <w:trHeight w:val="223"/>
        </w:trPr>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Total interest-bearing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60" w:type="dxa"/>
            <w:vAlign w:val="bottom"/>
          </w:tcPr>
          <w:p>
            <w:pPr>
              <w:spacing w:after="0"/>
              <w:rPr>
                <w:sz w:val="19"/>
                <w:szCs w:val="19"/>
                <w:color w:val="auto"/>
              </w:rPr>
            </w:pPr>
          </w:p>
        </w:tc>
      </w:tr>
      <w:tr>
        <w:trPr>
          <w:trHeight w:val="432"/>
        </w:trPr>
        <w:tc>
          <w:tcPr>
            <w:tcW w:w="6340" w:type="dxa"/>
            <w:vAlign w:val="bottom"/>
          </w:tcPr>
          <w:p>
            <w:pPr>
              <w:ind w:left="360"/>
              <w:spacing w:after="0"/>
              <w:rPr>
                <w:sz w:val="20"/>
                <w:szCs w:val="20"/>
                <w:color w:val="auto"/>
              </w:rPr>
            </w:pPr>
            <w:r>
              <w:rPr>
                <w:rFonts w:ascii="Arial" w:cs="Arial" w:eastAsia="Arial" w:hAnsi="Arial"/>
                <w:sz w:val="18"/>
                <w:szCs w:val="18"/>
                <w:b w:val="1"/>
                <w:bCs w:val="1"/>
                <w:color w:val="auto"/>
              </w:rPr>
              <w:t>Decrease in net interest revenue</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(4,085)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(4,887)</w:t>
            </w:r>
          </w:p>
        </w:tc>
      </w:tr>
      <w:tr>
        <w:trPr>
          <w:trHeight w:val="21"/>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$190 million for the first quarter of 2011, compared to $75.0 million for the same period in 2010. The amount of provision recorded in the first quarter was the amount required such that the total allowance for loan losses reflected the appropriate balance, in the estimation of management, and was sufficient to cover inherent losses in the loan portfolio. The increase in the provision for loan losses compared to a year ago was primarily due to increased charge-offs recorded in conjunction with the Problem Asset Disposition Plan and transfer of loans to the held for sale category in anticipation of the Bulk Loan Sale. For the three months ended March 31, 2011, net loan charge-offs as an annualized percentage of average outstanding loans were 20.71%, compared to 4.51% for the same periods in 2010. When charge-offs specifically related to loans transferred to the held for sale classification are excluded, the charge-off rate for the first quarter of 2011 was 4.08%.</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residential construction and housing markets have struggled, it has been difficult for many builders and developers to obtain cash flow from selling lots and houses needed to service debt. This deterioration of the residential construction and housing market was the primary factor that resulted in higher credit losses and increases in non-performing assets over the last three years. Although a majority of the charge-offs have been within the residential construction and development portion of the portfolio, credit quality deterioration has migrated to other loan categories as unemployment levels have remained high throughout United’s markets. Additional discussion on credit quality and the allowance for loan losses is included in the Asset Quality and Risk Elements section of this report on page 42.</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fee revenue for the three months ended March 31, 2011 was $11.8 million, a decrease of $172,000, or 1%, from the same period of 2010. Fee revenue from continuing operations excludes consulting fees earned by United’s Brintech subsidiary which was sold on March 31, 2010. All periods are presented on a continuing operations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fee revenue for the first quarters of 2011 and 2010.</w:t>
      </w:r>
    </w:p>
    <w:p>
      <w:pPr>
        <w:spacing w:after="0" w:line="248"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640" w:type="dxa"/>
            <w:vAlign w:val="bottom"/>
          </w:tcPr>
          <w:p>
            <w:pPr>
              <w:spacing w:after="0"/>
              <w:rPr>
                <w:sz w:val="20"/>
                <w:szCs w:val="20"/>
                <w:color w:val="auto"/>
              </w:rPr>
            </w:pPr>
            <w:r>
              <w:rPr>
                <w:rFonts w:ascii="Arial" w:cs="Arial" w:eastAsia="Arial" w:hAnsi="Arial"/>
                <w:sz w:val="18"/>
                <w:szCs w:val="18"/>
                <w:b w:val="1"/>
                <w:bCs w:val="1"/>
                <w:color w:val="auto"/>
              </w:rPr>
              <w:t>Table 4 - Fee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w w:val="96"/>
              </w:rPr>
              <w:t>Three Months Ended</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418"/>
        </w:trPr>
        <w:tc>
          <w:tcPr>
            <w:tcW w:w="6640" w:type="dxa"/>
            <w:vAlign w:val="bottom"/>
          </w:tcPr>
          <w:p>
            <w:pPr>
              <w:spacing w:after="0"/>
              <w:rPr>
                <w:sz w:val="20"/>
                <w:szCs w:val="20"/>
                <w:color w:val="auto"/>
              </w:rPr>
            </w:pPr>
            <w:r>
              <w:rPr>
                <w:rFonts w:ascii="Arial" w:cs="Arial" w:eastAsia="Arial" w:hAnsi="Arial"/>
                <w:sz w:val="18"/>
                <w:szCs w:val="18"/>
                <w:color w:val="auto"/>
              </w:rPr>
              <w:t>Service charges and fees</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6,720</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7,447</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1,479</w:t>
            </w: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Brokerage fees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w:t>
            </w: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Securities gains,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Total fee revenue</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320" w:type="dxa"/>
            <w:vAlign w:val="bottom"/>
            <w:gridSpan w:val="2"/>
          </w:tcPr>
          <w:p>
            <w:pPr>
              <w:jc w:val="right"/>
              <w:ind w:right="3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Service charges and fees of $6.72 million were down $727,000, or 10%, from the first quarter of 2010. The decrease was primarily due to lower overdraft fees resulting from decreased utilization of our courtesy overdraft services with the recent changes to Regulation E requiring customers to opt in to such services.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loans and related fees for the first quarter of 2011 were up $15,000, or 1%, from the same period in 2010. In the first quarter of 2011, United closed 481 loans totaling $74.5 million compared with 412 loans totaling $64.7 million in the first quarter of 2010.</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incurred net securities gains of $55,000 and $61,000, respectively, for the three months ended March 31, 2011 and 2010. The first quarter of 2010 net gain included $950,000 in impairment charges on trust preferred securities of a bank whose financial condition had deteriorated. The impairment charge was more than offset by realized gains from securities sales.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2011, other fee revenue increased $780,000, or 37%, from the same period in 2010. This increase was due to the ineffectiveness of United’s cash flow and fair value hedges. In the first quarter of 2011, United recognized $1.30 million in income from hedge ineffectiveness compared with $610,000 in income from hedge ineffectiveness in the first quarter of 2010. Most of the hedge ineffectiveness in 2010 and all of the hedge ineffectiveness in 2011 relates to terminated cash flow hedges where the gains realized on the terminated positions are being deferred over the original term of the derivative instrument. The ineffectiveness, which is caused by a decrease in qualifying prime-based loans, results in the accelerated recognition of the deferred gains.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components of operating expenses for the three months ended March 31, 2011 and 2010. The table is presented to reflect Brintech as a discontinued operation, and accordingly, operating expenses associated with Brintech have been excluded from the table for all periods presented.</w:t>
      </w:r>
    </w:p>
    <w:p>
      <w:pPr>
        <w:spacing w:after="0" w:line="204"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6140" w:type="dxa"/>
            <w:vAlign w:val="bottom"/>
          </w:tcPr>
          <w:p>
            <w:pPr>
              <w:spacing w:after="0"/>
              <w:rPr>
                <w:sz w:val="20"/>
                <w:szCs w:val="20"/>
                <w:color w:val="auto"/>
              </w:rPr>
            </w:pPr>
            <w:r>
              <w:rPr>
                <w:rFonts w:ascii="Arial" w:cs="Arial" w:eastAsia="Arial" w:hAnsi="Arial"/>
                <w:sz w:val="18"/>
                <w:szCs w:val="18"/>
                <w:b w:val="1"/>
                <w:bCs w:val="1"/>
                <w:color w:val="auto"/>
              </w:rPr>
              <w:t>Table 5 - Operating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vMerge w:val="restart"/>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418"/>
        </w:trPr>
        <w:tc>
          <w:tcPr>
            <w:tcW w:w="61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24,924</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24,360</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3,273</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3,814</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Postage, printing and supplies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1,943</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3,626</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line="201" w:lineRule="exact"/>
              <w:rPr>
                <w:sz w:val="20"/>
                <w:szCs w:val="20"/>
                <w:color w:val="auto"/>
              </w:rPr>
            </w:pPr>
            <w:r>
              <w:rPr>
                <w:rFonts w:ascii="Arial" w:cs="Arial" w:eastAsia="Arial" w:hAnsi="Arial"/>
                <w:sz w:val="18"/>
                <w:szCs w:val="18"/>
                <w:color w:val="auto"/>
              </w:rPr>
              <w:t>Total operating expenses excluding foreclosed property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50,372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44,007</w:t>
            </w:r>
          </w:p>
        </w:tc>
        <w:tc>
          <w:tcPr>
            <w:tcW w:w="1180" w:type="dxa"/>
            <w:vAlign w:val="bottom"/>
            <w:gridSpan w:val="2"/>
          </w:tcPr>
          <w:p>
            <w:pPr>
              <w:jc w:val="right"/>
              <w:ind w:right="210"/>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Foreclosed property expense</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10,813</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54,820</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expenses for the first quarter of 2011 totaled $115 million, up $60.5 million, or 110%, from the first quarter of 2010 mostly reflecting an increase in foreclosed property losses incurred in connection with United’s classified asset disposition plans. Excluding foreclosed property costs, total operating expenses were $50.4 million, up $6.37 million, or 14%, from a year ago.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Salaries and employee benefits for the first quarter of 2011 were $24.9 million, up $564,000, or 2%, from the same period of 2010. The increase was primarily due to higher group medical insurance costs and a lower level of deferred direct loan origination costs. Headcount totaled 1,815 at March 31, 2011, compared to 1,814 at March 31, 2010.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expense of $4.07 million for the first quarter of 2011 was up $260,000, or 7%, compared to the first quarter of 2010. The increase was due to higher costs for electricity, real estate taxes and insurance for premises and equipment.</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Postage, printing and supplies expense for the first quarter of 2011 totaled $1.12 million, down $107,000, or 9%, from the same period of 2010. United continued its efforts to encourage customers to accept electronic statements and controlled courier expense through the use of remote capture technology.</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Professional fees for the first quarter of 2011 of $3.33 million were up $1.39 million, or 71%, from the same period in 2010, primarily due to $1.00 million of costs associated with the Private Placement and Bulk Loan Sale.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Foreclosed property expense of $64.9 million for the first quarter of 2011 was up $54.1 million from the first quarter of 2010, reflecting higher write downs on foreclosed properties to expedite sales under the Problem Asset Disposition Plan. Such write downs for the first quarter of 2011 were $48.6 million compared to $4.58 million a year ago. Losses realized on sales of foreclosed properties were also up in the first quarter of 2011, totaling $12.0 million compared with $3.52 million a year ago. This expense category also includes legal fees, property taxes, marketing costs, utility services, maintenance and repair charges, that totaled $4.29 million for the first quarter of 2011 compared with $2.72 million a year ago.</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FDIC assessments and other regulatory charges of $5.41 million for the first quarter of 2011, increased $1.79 million from the first quarter of 2010. The increase was due to an increase in United’s assessment rate as well as an increase in insured deposits.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of $6.43 million for the first quarter of 2011 increased $2.51 million from the first quarter of 2010. The increase was primarily due to $2.60 million of property taxes and other loan collateral costs incurred to prepare loans for the Bulk Loan Sale.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 for the first quarter of 2011 was $95.0 million as compared with income tax benefit of $22.9 million for the first quarter of 2010, representing an effective tax rate of approximately 40% for both periods. The effective tax rates were different from the statutory tax rates primarily due to interest revenue on certain investment securities and loans that are exempt from income taxes, tax exempt fee revenue, tax credits received on affordable housing investments, and the change in valuation allowance on deferred tax assets as discussed below.</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Private Placement and the Problem Asset Disposition Plan which includes the Bulk Loan Sale, United expects to accelerate its return to profitability. The change from a pre-tax loss to pre-tax earnings will affect the effective tax rate going forward. Because in aggregate, United’s permanent tax differences are generally in United’s favor, they tend to reduce the effective tax rate below the blended statutory rate of 38.9% when United has pre-tax earnings and they increase the effective tax rate above the blended statutory rate when United has a pre-tax loss. The effective tax rates can be volatile as earnings or losses approach a break-even point since United would report a tax benefit even if it were to break even as a result of the permanent tax differences. Therefore some volatility in the effective tax rate is expected as United moves from a loss position to positive earnings.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determined that it is more likely than not that approximately $4.81 million at March 31, 2011 and $3.87 million at March 31, 2010, net of Federal benefit, in state low income housing tax credits will expire unused due to their very short three to five year carry forward period.</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At March 31, 2011, United had net deferred tax assets of $266 million, net of a valuation allowance of $4.81 million related to state tax credits that are expected to expire unused.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At March 31, 2011, management believes that it is more likely than not that, with the exception of those state tax credits that are expected to expire unused due to a relatively short carryforward period of only three to five years, it will be able to realize its deferred tax benefits through its ability to carry losses forward to future profitable years. Despite recent losses and the challenging economic environment, United has a history of strong earnings, is well-capitalized, continues to grow its core customer deposit base while maintaining very high customer satisfaction scores, and has cautiously optimistic expectations regarding future taxable income. The deferred tax assets are analyzed quarterly for changes affecting realizability. United’s most recent analysis, which management believes is based on conservative assumptions, indicated that the deferred tax assets will be fully utilized well in advance of the twenty-year carryforward period allowed for net operating losses; however, there can be no guarantee that a valuation allowance will not be necessary in future periods. Inherent in management’s assertion that it is more likely than not that United will be able to fully utilize its deferred tax assets is an expectation that United returns to profitability within a short period of time following the execution of the Private Placement and the Problem Asset Disposition Plan. Also important at arriving at that conclusion is the assumption that an “ownership change” as defined by Section 382 of the Internal Revenue Code of 1986, as amended, and related Internal Revenue Service pronouncements (“Section 382”) did not occur as a result of the first quarter Private Placement. Management believes that no such change of control has occurred.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tax benefits preservation plan, on February 22, 2011, United entered into a share exchange agreement with the Elm Ridge Parties to transfer to the Company 7,755,631 shares of United’s common stock, in exchange for 16,613 shares of the Company’s series D preferred shares and warrants to purchase 7,755,631 shares of common stock.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income taxes can be found in Note 15 to the consolidated financial statements filed with United’s 2010 Form 10-K.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March 31, 2011, December 31, 2010 and March 31, 2010 were $7.97 billion, $7.44 billion and $7.84 billion, respectively. Average total assets for the first quarter of 2011 were $7.60 billion, down from $7.95 billion in the first quarter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6 - Loans Outstanding (excludes loans covered by loss share agreement)</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(dollars in thousands)</w:t>
      </w:r>
    </w:p>
    <w:tbl>
      <w:tblPr>
        <w:tblLayout w:type="fixed"/>
        <w:tblInd w:w="114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December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March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b w:val="1"/>
                <w:bCs w:val="1"/>
                <w:color w:val="auto"/>
              </w:rPr>
              <w:t>By Loan Type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1,692,154</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1,761,424</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1,765,204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213,177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296,582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431,473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441,518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tcPr>
          <w:p>
            <w:pPr>
              <w:ind w:left="36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2,336,804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2,499,524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2,502,723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549,618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695,166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1,186,531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1,278,780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1,390,270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4,194,372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tcPr>
          <w:p>
            <w:pPr>
              <w:ind w:left="36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By Geographic Location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Atlanta MSA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1,179,362</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1,310,222</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1,404,247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281,591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312,049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372,064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1,531,279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1,688,586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1,813,774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Western North Carolina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639,897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701,798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335,020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250,153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256,451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4,194,372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Substantially all of United’s loans are to customers (including customers who have a seasonal residence in United’s market areas) located in the immediate market areas of its community banks in Georgia, North Carolina, and Tennessee, and more than 85% of the loans are secured by real estate. At March 31, 2011, total loans, excluding loans acquired from SCB that are covered by loss sharing agreements with the FDIC and loans classified as held for sale, were $4.19 billion, a decrease of $798 million, or 16%, from March 31, 2010. The rate of loan growth began to decline in the first quarter of 2007 and the balances have continued to decline. The decrease in the loan portfolio began with deterioration in the residential construction and housing markets. This deterioration resulted in part in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has continued to pursue lending opportunities which resulted in $52.6 million in new loans that were funded in the first quarter of 2011.</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20"/>
                <w:szCs w:val="20"/>
                <w:color w:val="auto"/>
              </w:rPr>
            </w:pPr>
            <w:r>
              <w:rPr>
                <w:rFonts w:ascii="Arial" w:cs="Arial" w:eastAsia="Arial" w:hAnsi="Arial"/>
                <w:sz w:val="18"/>
                <w:szCs w:val="18"/>
                <w:b w:val="1"/>
                <w:bCs w:val="1"/>
                <w:color w:val="auto"/>
              </w:rPr>
              <w:t>Table 7 - Performing Substandard Loans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60" w:type="dxa"/>
            <w:vAlign w:val="bottom"/>
          </w:tcPr>
          <w:p>
            <w:pPr>
              <w:spacing w:after="0"/>
              <w:rPr>
                <w:sz w:val="20"/>
                <w:szCs w:val="20"/>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20"/>
                <w:szCs w:val="2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rPr>
              <w:t>By Category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(sec. by RE)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119,651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156,765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157,245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140,805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151,573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102,592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75,304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22,251</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35,474</w:t>
            </w:r>
          </w:p>
        </w:tc>
        <w:tc>
          <w:tcPr>
            <w:tcW w:w="0" w:type="dxa"/>
            <w:vAlign w:val="bottom"/>
          </w:tcPr>
          <w:p>
            <w:pPr>
              <w:spacing w:after="0"/>
              <w:rPr>
                <w:sz w:val="1"/>
                <w:szCs w:val="1"/>
                <w:color w:val="auto"/>
              </w:rPr>
            </w:pPr>
          </w:p>
        </w:tc>
      </w:tr>
      <w:tr>
        <w:trPr>
          <w:trHeight w:val="202"/>
        </w:trPr>
        <w:tc>
          <w:tcPr>
            <w:tcW w:w="4700" w:type="dxa"/>
            <w:vAlign w:val="bottom"/>
          </w:tcPr>
          <w:p>
            <w:pPr>
              <w:ind w:left="36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170,963</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264,277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282,088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241,293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262,351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158,770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177,381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153,799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86,239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80,812</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322,968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549,926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Atlanta MSA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100,200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185,327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214,676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183,612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191,009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27,097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27,879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148,228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212,992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229,845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222,037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42,335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37,085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25,749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8,882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32,341</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27,105</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322,968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549,926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March 31, 2011, performing substandard loans totaled $323 million and decreased $189 million from the prior quarter-end, and decreased $178 million from a year ago. Most of the decrease occurred in United’s Atlanta and north Georgia markets and was primarily the result of the reclassification of loans to held for sale in anticipation of our Bulk Loan Sale which was completed on April 18, 2011. The overall trend in performing substandard loans had been declining which was expected to continue absent the loan sale transaction. Residential construction and commercial construction loans showed the most significant decreases as they represented more than 60% of the pre-charge down carrying amount of the aggregate loans included in the loan sale.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Reviews of substandard performing and non-performing loans, past due loans and larger credits, are conducted on a regular basis with management each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to ensure the independence of the loan review process.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presents a summary of the changes in the allowance for loan losses for the three months ended March 31, 2011 and 2010.</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8 - Allowance for Loan Losses</w:t>
      </w:r>
    </w:p>
    <w:p>
      <w:pPr>
        <w:spacing w:after="0" w:line="226" w:lineRule="auto"/>
        <w:rPr>
          <w:sz w:val="20"/>
          <w:szCs w:val="20"/>
          <w:color w:val="auto"/>
        </w:rPr>
      </w:pPr>
      <w:r>
        <w:rPr>
          <w:rFonts w:ascii="Arial" w:cs="Arial" w:eastAsia="Arial" w:hAnsi="Arial"/>
          <w:sz w:val="14"/>
          <w:szCs w:val="14"/>
          <w:i w:val="1"/>
          <w:iCs w:val="1"/>
          <w:color w:val="auto"/>
        </w:rPr>
        <w:t>(in thousands)</w:t>
      </w:r>
    </w:p>
    <w:tbl>
      <w:tblPr>
        <w:tblLayout w:type="fixed"/>
        <w:tblInd w:w="0" w:type="dxa"/>
        <w:tblCellMar>
          <w:top w:w="0" w:type="dxa"/>
          <w:left w:w="0" w:type="dxa"/>
          <w:bottom w:w="0" w:type="dxa"/>
          <w:right w:w="0" w:type="dxa"/>
        </w:tblCellMar>
      </w:tblPr>
      <w:tr>
        <w:trPr>
          <w:trHeight w:val="163"/>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10"/>
          </w:tcPr>
          <w:p>
            <w:pPr>
              <w:jc w:val="right"/>
              <w:ind w:right="969"/>
              <w:spacing w:after="0" w:line="156" w:lineRule="exact"/>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w w:val="89"/>
              </w:rPr>
              <w:t>Asset Disposition Plan</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449"/>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rPr>
              <w:t xml:space="preserve">Bulk Loan Sale </w:t>
            </w: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7"/>
              </w:rPr>
              <w:t>Other Bulk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2"/>
              </w:rPr>
              <w:t>Foreclosure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449"/>
              <w:spacing w:after="0" w:line="149" w:lineRule="exact"/>
              <w:rPr>
                <w:sz w:val="20"/>
                <w:szCs w:val="20"/>
                <w:color w:val="auto"/>
              </w:rPr>
            </w:pPr>
            <w:r>
              <w:rPr>
                <w:rFonts w:ascii="Arial" w:cs="Arial" w:eastAsia="Arial" w:hAnsi="Arial"/>
                <w:sz w:val="14"/>
                <w:szCs w:val="14"/>
                <w:b w:val="1"/>
                <w:bCs w:val="1"/>
                <w:color w:val="auto"/>
                <w:w w:val="93"/>
              </w:rPr>
              <w:t>Charge-Offs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60" w:type="dxa"/>
            <w:vAlign w:val="bottom"/>
            <w:vMerge w:val="restart"/>
          </w:tcPr>
          <w:p>
            <w:pPr>
              <w:spacing w:after="0"/>
              <w:rPr>
                <w:sz w:val="20"/>
                <w:szCs w:val="20"/>
                <w:color w:val="auto"/>
              </w:rPr>
            </w:pPr>
            <w:r>
              <w:rPr>
                <w:rFonts w:ascii="Arial" w:cs="Arial" w:eastAsia="Arial" w:hAnsi="Arial"/>
                <w:sz w:val="14"/>
                <w:szCs w:val="14"/>
                <w:color w:val="auto"/>
              </w:rPr>
              <w:t>Balance beginning of period</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Accruing</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w w:val="94"/>
              </w:rPr>
              <w:t>Nonaccrual</w:t>
            </w:r>
          </w:p>
        </w:tc>
        <w:tc>
          <w:tcPr>
            <w:tcW w:w="220" w:type="dxa"/>
            <w:vAlign w:val="bottom"/>
          </w:tcPr>
          <w:p>
            <w:pPr>
              <w:spacing w:after="0"/>
              <w:rPr>
                <w:sz w:val="13"/>
                <w:szCs w:val="13"/>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 xml:space="preserve">Loan Sales </w:t>
            </w:r>
            <w:r>
              <w:rPr>
                <w:rFonts w:ascii="Arial" w:cs="Arial" w:eastAsia="Arial" w:hAnsi="Arial"/>
                <w:sz w:val="10"/>
                <w:szCs w:val="10"/>
                <w:color w:val="auto"/>
              </w:rPr>
              <w:t>(2)</w:t>
            </w:r>
          </w:p>
        </w:tc>
        <w:tc>
          <w:tcPr>
            <w:tcW w:w="120" w:type="dxa"/>
            <w:vAlign w:val="bottom"/>
          </w:tcPr>
          <w:p>
            <w:pPr>
              <w:spacing w:after="0"/>
              <w:rPr>
                <w:sz w:val="13"/>
                <w:szCs w:val="13"/>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 xml:space="preserve">Charge-Offs </w:t>
            </w:r>
            <w:r>
              <w:rPr>
                <w:rFonts w:ascii="Arial" w:cs="Arial" w:eastAsia="Arial" w:hAnsi="Arial"/>
                <w:sz w:val="10"/>
                <w:szCs w:val="10"/>
                <w:color w:val="auto"/>
              </w:rPr>
              <w:t>(3)</w:t>
            </w:r>
          </w:p>
        </w:tc>
        <w:tc>
          <w:tcPr>
            <w:tcW w:w="100" w:type="dxa"/>
            <w:vAlign w:val="bottom"/>
          </w:tcPr>
          <w:p>
            <w:pPr>
              <w:spacing w:after="0"/>
              <w:rPr>
                <w:sz w:val="13"/>
                <w:szCs w:val="13"/>
                <w:color w:val="auto"/>
              </w:rPr>
            </w:pPr>
          </w:p>
        </w:tc>
        <w:tc>
          <w:tcPr>
            <w:tcW w:w="1300" w:type="dxa"/>
            <w:vAlign w:val="bottom"/>
            <w:gridSpan w:val="3"/>
          </w:tcPr>
          <w:p>
            <w:pPr>
              <w:jc w:val="center"/>
              <w:ind w:right="469"/>
              <w:spacing w:after="0" w:line="149" w:lineRule="exact"/>
              <w:rPr>
                <w:sz w:val="20"/>
                <w:szCs w:val="20"/>
                <w:color w:val="auto"/>
              </w:rPr>
            </w:pPr>
            <w:r>
              <w:rPr>
                <w:rFonts w:ascii="Arial" w:cs="Arial" w:eastAsia="Arial" w:hAnsi="Arial"/>
                <w:sz w:val="14"/>
                <w:szCs w:val="14"/>
                <w:b w:val="1"/>
                <w:bCs w:val="1"/>
                <w:color w:val="auto"/>
                <w:w w:val="88"/>
              </w:rPr>
              <w:t>Recoveries</w:t>
            </w:r>
          </w:p>
        </w:tc>
        <w:tc>
          <w:tcPr>
            <w:tcW w:w="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0"/>
        </w:trPr>
        <w:tc>
          <w:tcPr>
            <w:tcW w:w="3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174,695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155,602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Provision for loan losses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190,000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Charge-offs: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Commercial (secured by real estate)</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29,451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3,318</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1,905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2,942</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48,707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32,530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15,328</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1,146</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Commercial (commercial and industrial)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2,303</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835</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4,362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23,459</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11,693</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10,760</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92,255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44,190</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14,263</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1,538</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5,282</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36,676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74"/>
        </w:trPr>
        <w:tc>
          <w:tcPr>
            <w:tcW w:w="3060" w:type="dxa"/>
            <w:vAlign w:val="bottom"/>
          </w:tcPr>
          <w:p>
            <w:pPr>
              <w:ind w:left="160"/>
              <w:spacing w:after="0"/>
              <w:rPr>
                <w:sz w:val="20"/>
                <w:szCs w:val="20"/>
                <w:color w:val="auto"/>
              </w:rPr>
            </w:pPr>
            <w:r>
              <w:rPr>
                <w:rFonts w:ascii="Arial" w:cs="Arial" w:eastAsia="Arial" w:hAnsi="Arial"/>
                <w:sz w:val="14"/>
                <w:szCs w:val="14"/>
                <w:color w:val="auto"/>
              </w:rPr>
              <w:t>Installment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788</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56"/>
        </w:trPr>
        <w:tc>
          <w:tcPr>
            <w:tcW w:w="3060" w:type="dxa"/>
            <w:vAlign w:val="bottom"/>
          </w:tcPr>
          <w:p>
            <w:pPr>
              <w:ind w:left="300"/>
              <w:spacing w:after="0" w:line="149" w:lineRule="exact"/>
              <w:rPr>
                <w:sz w:val="20"/>
                <w:szCs w:val="20"/>
                <w:color w:val="auto"/>
              </w:rPr>
            </w:pPr>
            <w:r>
              <w:rPr>
                <w:rFonts w:ascii="Arial" w:cs="Arial" w:eastAsia="Arial" w:hAnsi="Arial"/>
                <w:sz w:val="14"/>
                <w:szCs w:val="14"/>
                <w:color w:val="auto"/>
              </w:rPr>
              <w:t>Total loans charged-off</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119,367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66,612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15,579</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21,753</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232,811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060" w:type="dxa"/>
            <w:vAlign w:val="bottom"/>
          </w:tcPr>
          <w:p>
            <w:pPr>
              <w:spacing w:after="0" w:line="130" w:lineRule="exact"/>
              <w:rPr>
                <w:sz w:val="20"/>
                <w:szCs w:val="20"/>
                <w:color w:val="auto"/>
              </w:rPr>
            </w:pPr>
            <w:r>
              <w:rPr>
                <w:rFonts w:ascii="Arial" w:cs="Arial" w:eastAsia="Arial" w:hAnsi="Arial"/>
                <w:sz w:val="14"/>
                <w:szCs w:val="14"/>
                <w:color w:val="auto"/>
              </w:rPr>
              <w:t>Recoveries: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Commercial (secured by real estate)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Commercial (commercial and industrial)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49"/>
        </w:trPr>
        <w:tc>
          <w:tcPr>
            <w:tcW w:w="3060" w:type="dxa"/>
            <w:vAlign w:val="bottom"/>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293</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74"/>
        </w:trPr>
        <w:tc>
          <w:tcPr>
            <w:tcW w:w="3060" w:type="dxa"/>
            <w:vAlign w:val="bottom"/>
          </w:tcPr>
          <w:p>
            <w:pPr>
              <w:ind w:left="160"/>
              <w:spacing w:after="0"/>
              <w:rPr>
                <w:sz w:val="20"/>
                <w:szCs w:val="20"/>
                <w:color w:val="auto"/>
              </w:rPr>
            </w:pPr>
            <w:r>
              <w:rPr>
                <w:rFonts w:ascii="Arial" w:cs="Arial" w:eastAsia="Arial" w:hAnsi="Arial"/>
                <w:sz w:val="14"/>
                <w:szCs w:val="14"/>
                <w:color w:val="auto"/>
              </w:rPr>
              <w:t>Installment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405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56"/>
        </w:trPr>
        <w:tc>
          <w:tcPr>
            <w:tcW w:w="3060" w:type="dxa"/>
            <w:vAlign w:val="bottom"/>
          </w:tcPr>
          <w:p>
            <w:pPr>
              <w:ind w:left="300"/>
              <w:spacing w:after="0" w:line="149" w:lineRule="exact"/>
              <w:rPr>
                <w:sz w:val="20"/>
                <w:szCs w:val="20"/>
                <w:color w:val="auto"/>
              </w:rPr>
            </w:pPr>
            <w:r>
              <w:rPr>
                <w:rFonts w:ascii="Arial" w:cs="Arial" w:eastAsia="Arial" w:hAnsi="Arial"/>
                <w:sz w:val="14"/>
                <w:szCs w:val="14"/>
                <w:color w:val="auto"/>
              </w:rPr>
              <w:t>Total recoveries</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1,237</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300"/>
              <w:spacing w:after="0" w:line="149" w:lineRule="exact"/>
              <w:rPr>
                <w:sz w:val="20"/>
                <w:szCs w:val="20"/>
                <w:color w:val="auto"/>
              </w:rPr>
            </w:pPr>
            <w:r>
              <w:rPr>
                <w:rFonts w:ascii="Arial" w:cs="Arial" w:eastAsia="Arial" w:hAnsi="Arial"/>
                <w:sz w:val="14"/>
                <w:szCs w:val="14"/>
                <w:color w:val="auto"/>
              </w:rPr>
              <w:t>Net charge-offs</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119,367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66,612</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15,579</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231,574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60" w:type="dxa"/>
            <w:vAlign w:val="bottom"/>
          </w:tcPr>
          <w:p>
            <w:pPr>
              <w:ind w:left="300"/>
              <w:spacing w:after="0"/>
              <w:rPr>
                <w:sz w:val="20"/>
                <w:szCs w:val="20"/>
                <w:color w:val="auto"/>
              </w:rPr>
            </w:pPr>
            <w:r>
              <w:rPr>
                <w:rFonts w:ascii="Arial" w:cs="Arial" w:eastAsia="Arial" w:hAnsi="Arial"/>
                <w:sz w:val="14"/>
                <w:szCs w:val="14"/>
                <w:color w:val="auto"/>
              </w:rPr>
              <w:t>Balance end of period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133,121</w:t>
            </w:r>
          </w:p>
        </w:tc>
        <w:tc>
          <w:tcPr>
            <w:tcW w:w="2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173,934</w:t>
            </w:r>
          </w:p>
        </w:tc>
        <w:tc>
          <w:tcPr>
            <w:tcW w:w="0" w:type="dxa"/>
            <w:vAlign w:val="bottom"/>
          </w:tcPr>
          <w:p>
            <w:pPr>
              <w:spacing w:after="0"/>
              <w:rPr>
                <w:sz w:val="1"/>
                <w:szCs w:val="1"/>
                <w:color w:val="auto"/>
              </w:rPr>
            </w:pPr>
          </w:p>
        </w:tc>
      </w:tr>
      <w:tr>
        <w:trPr>
          <w:trHeight w:val="21"/>
        </w:trPr>
        <w:tc>
          <w:tcPr>
            <w:tcW w:w="3060" w:type="dxa"/>
            <w:vAlign w:val="bottom"/>
            <w:vMerge w:val="restart"/>
          </w:tcPr>
          <w:p>
            <w:pPr>
              <w:spacing w:after="0"/>
              <w:rPr>
                <w:sz w:val="20"/>
                <w:szCs w:val="20"/>
                <w:color w:val="auto"/>
              </w:rPr>
            </w:pPr>
            <w:r>
              <w:rPr>
                <w:rFonts w:ascii="Arial" w:cs="Arial" w:eastAsia="Arial" w:hAnsi="Arial"/>
                <w:sz w:val="14"/>
                <w:szCs w:val="14"/>
                <w:color w:val="auto"/>
              </w:rPr>
              <w:t>Total loans: *</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0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100"/>
              <w:spacing w:after="0" w:line="149" w:lineRule="exact"/>
              <w:rPr>
                <w:sz w:val="20"/>
                <w:szCs w:val="20"/>
                <w:color w:val="auto"/>
              </w:rPr>
            </w:pPr>
            <w:r>
              <w:rPr>
                <w:rFonts w:ascii="Arial" w:cs="Arial" w:eastAsia="Arial" w:hAnsi="Arial"/>
                <w:sz w:val="14"/>
                <w:szCs w:val="14"/>
                <w:color w:val="auto"/>
              </w:rPr>
              <w:t>At period-end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4,194,372</w:t>
            </w:r>
          </w:p>
        </w:tc>
        <w:tc>
          <w:tcPr>
            <w:tcW w:w="180" w:type="dxa"/>
            <w:vAlign w:val="bottom"/>
          </w:tcPr>
          <w:p>
            <w:pPr>
              <w:spacing w:after="0"/>
              <w:rPr>
                <w:sz w:val="12"/>
                <w:szCs w:val="12"/>
                <w:color w:val="auto"/>
              </w:rPr>
            </w:pPr>
          </w:p>
        </w:tc>
        <w:tc>
          <w:tcPr>
            <w:tcW w:w="28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4,992,045</w:t>
            </w:r>
          </w:p>
        </w:tc>
        <w:tc>
          <w:tcPr>
            <w:tcW w:w="0" w:type="dxa"/>
            <w:vAlign w:val="bottom"/>
          </w:tcPr>
          <w:p>
            <w:pPr>
              <w:spacing w:after="0"/>
              <w:rPr>
                <w:sz w:val="1"/>
                <w:szCs w:val="1"/>
                <w:color w:val="auto"/>
              </w:rPr>
            </w:pPr>
          </w:p>
        </w:tc>
      </w:tr>
      <w:tr>
        <w:trPr>
          <w:trHeight w:val="182"/>
        </w:trPr>
        <w:tc>
          <w:tcPr>
            <w:tcW w:w="3060" w:type="dxa"/>
            <w:vAlign w:val="bottom"/>
          </w:tcPr>
          <w:p>
            <w:pPr>
              <w:ind w:left="100"/>
              <w:spacing w:after="0"/>
              <w:rPr>
                <w:sz w:val="20"/>
                <w:szCs w:val="20"/>
                <w:color w:val="auto"/>
              </w:rPr>
            </w:pPr>
            <w:r>
              <w:rPr>
                <w:rFonts w:ascii="Arial" w:cs="Arial" w:eastAsia="Arial" w:hAnsi="Arial"/>
                <w:sz w:val="14"/>
                <w:szCs w:val="14"/>
                <w:color w:val="auto"/>
              </w:rPr>
              <w:t>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4,534,294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5,091,474</w:t>
            </w:r>
          </w:p>
        </w:tc>
        <w:tc>
          <w:tcPr>
            <w:tcW w:w="0" w:type="dxa"/>
            <w:vAlign w:val="bottom"/>
          </w:tcPr>
          <w:p>
            <w:pPr>
              <w:spacing w:after="0"/>
              <w:rPr>
                <w:sz w:val="1"/>
                <w:szCs w:val="1"/>
                <w:color w:val="auto"/>
              </w:rPr>
            </w:pPr>
          </w:p>
        </w:tc>
      </w:tr>
      <w:tr>
        <w:trPr>
          <w:trHeight w:val="297"/>
        </w:trPr>
        <w:tc>
          <w:tcPr>
            <w:tcW w:w="3060" w:type="dxa"/>
            <w:vAlign w:val="bottom"/>
          </w:tcPr>
          <w:p>
            <w:pPr>
              <w:spacing w:after="0"/>
              <w:rPr>
                <w:sz w:val="20"/>
                <w:szCs w:val="20"/>
                <w:color w:val="auto"/>
              </w:rPr>
            </w:pPr>
            <w:r>
              <w:rPr>
                <w:rFonts w:ascii="Arial" w:cs="Arial" w:eastAsia="Arial" w:hAnsi="Arial"/>
                <w:sz w:val="14"/>
                <w:szCs w:val="14"/>
                <w:color w:val="auto"/>
              </w:rPr>
              <w:t>Allowance as a percentage of period-end loans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4"/>
                <w:szCs w:val="14"/>
                <w:color w:val="auto"/>
              </w:rPr>
              <w:t>As a percentage of average loans: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Net charge-offs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2"/>
        </w:trPr>
        <w:tc>
          <w:tcPr>
            <w:tcW w:w="3060" w:type="dxa"/>
            <w:vAlign w:val="bottom"/>
          </w:tcPr>
          <w:p>
            <w:pPr>
              <w:ind w:left="120"/>
              <w:spacing w:after="0"/>
              <w:rPr>
                <w:sz w:val="20"/>
                <w:szCs w:val="20"/>
                <w:color w:val="auto"/>
              </w:rPr>
            </w:pPr>
            <w:r>
              <w:rPr>
                <w:rFonts w:ascii="Arial" w:cs="Arial" w:eastAsia="Arial" w:hAnsi="Arial"/>
                <w:sz w:val="14"/>
                <w:szCs w:val="14"/>
                <w:color w:val="auto"/>
              </w:rPr>
              <w:t>Provision for loan 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16.99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4"/>
                <w:szCs w:val="14"/>
                <w:color w:val="auto"/>
                <w:w w:val="95"/>
              </w:rPr>
              <w:t>Allowance as a percentage of non-performing loans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100"/>
              <w:spacing w:after="0" w:line="149" w:lineRule="exact"/>
              <w:rPr>
                <w:sz w:val="20"/>
                <w:szCs w:val="20"/>
                <w:color w:val="auto"/>
              </w:rPr>
            </w:pPr>
            <w:r>
              <w:rPr>
                <w:rFonts w:ascii="Arial" w:cs="Arial" w:eastAsia="Arial" w:hAnsi="Arial"/>
                <w:sz w:val="14"/>
                <w:szCs w:val="14"/>
                <w:color w:val="auto"/>
              </w:rPr>
              <w:t>As reported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4"/>
                <w:szCs w:val="14"/>
                <w:color w:val="auto"/>
                <w:w w:val="96"/>
              </w:rPr>
              <w:t>Excluding impaired loans with no allocated reserve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 Excludes loans covered by loss sharing agreements with the FDIC</w:t>
      </w:r>
    </w:p>
    <w:p>
      <w:pPr>
        <w:spacing w:after="0" w:line="384" w:lineRule="exact"/>
        <w:rPr>
          <w:sz w:val="20"/>
          <w:szCs w:val="20"/>
          <w:color w:val="auto"/>
        </w:rPr>
      </w:pPr>
    </w:p>
    <w:p>
      <w:pPr>
        <w:ind w:right="80" w:firstLine="8"/>
        <w:spacing w:after="0" w:line="258" w:lineRule="auto"/>
        <w:tabs>
          <w:tab w:leader="none" w:pos="34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Charge-offs totaling $186 million were recognized on the bulk loan sale in the first quarter of 2011. The loans were transferred to the loans held for sale category in anticipation of the second quarter bulk loan sale that was completed on April 18, 2011.</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Losses on smaller bulk sale transactions completed during the first quarter of 2011.</w:t>
      </w:r>
    </w:p>
    <w:p>
      <w:pPr>
        <w:spacing w:after="0" w:line="9" w:lineRule="exact"/>
        <w:rPr>
          <w:rFonts w:ascii="Arial" w:cs="Arial" w:eastAsia="Arial" w:hAnsi="Arial"/>
          <w:sz w:val="18"/>
          <w:szCs w:val="18"/>
          <w:color w:val="auto"/>
        </w:rPr>
      </w:pPr>
    </w:p>
    <w:p>
      <w:pPr>
        <w:ind w:right="180" w:firstLine="8"/>
        <w:spacing w:after="0" w:line="323"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Loan charge-offs recognized in the first quarter of 2011 related to loans transferred to foreclosed properties. Such charge-offs were elevated in the first quarter as a result of the asset disposition plan, which called for aggressive write downs to expedite sales in the second and third quarters of 2011.</w:t>
      </w:r>
    </w:p>
    <w:p>
      <w:pPr>
        <w:spacing w:after="0" w:line="3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the previous periods reflects stabilizing trends in substandard loans, leading to an expectation that charge-off levels will continue to decline.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2011, the allowance for loan losses was $133 million, or 3.17% of loans, compared with $175 million, or 3.79% of loans, at December 31, 2010 and $174 million, or 3.48% of loans, at March 31, 2010. The decrease in the allowance for loan losses is consistent with the decrease in classified loans resulting from the execution of the Problem Asset Disposition Plan, including the Bulk Loan Sale which reduced the amount of loss remaining in the loan portfolio.</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loan losses at March 31, 2011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in United’s Annual Report on Form 10-K for additional information on the allowance for loan losses.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204"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540" w:type="dxa"/>
            <w:vAlign w:val="bottom"/>
          </w:tcPr>
          <w:p>
            <w:pPr>
              <w:spacing w:after="0"/>
              <w:rPr>
                <w:sz w:val="20"/>
                <w:szCs w:val="20"/>
                <w:color w:val="auto"/>
              </w:rPr>
            </w:pPr>
            <w:r>
              <w:rPr>
                <w:rFonts w:ascii="Arial" w:cs="Arial" w:eastAsia="Arial" w:hAnsi="Arial"/>
                <w:sz w:val="18"/>
                <w:szCs w:val="18"/>
                <w:b w:val="1"/>
                <w:bCs w:val="1"/>
                <w:color w:val="auto"/>
              </w:rPr>
              <w:t>Table 9 - Nonperforming Assets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89"/>
              </w:rPr>
              <w:t>December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5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color w:val="auto"/>
              </w:rPr>
              <w:t>Nonperforming loans*</w:t>
            </w: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83,769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179,094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280,802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142,208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tcPr>
          <w:p>
            <w:pPr>
              <w:ind w:left="140"/>
              <w:spacing w:after="0"/>
              <w:rPr>
                <w:sz w:val="20"/>
                <w:szCs w:val="20"/>
                <w:color w:val="auto"/>
              </w:rPr>
            </w:pPr>
            <w:r>
              <w:rPr>
                <w:rFonts w:ascii="Arial" w:cs="Arial" w:eastAsia="Arial" w:hAnsi="Arial"/>
                <w:sz w:val="18"/>
                <w:szCs w:val="18"/>
                <w:color w:val="auto"/>
              </w:rPr>
              <w:t>Total nonperforming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138,147</w:t>
            </w: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321,302</w:t>
            </w: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417,077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54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There were no loans 90 days or more past due that were still accruing at period end.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2011, nonperforming loans were $83.8 million, compared to $179 million at December 31, 2010 and $281 million at March 31, 2010. The ratio of non-performing loans to total loans decreased from December 31, 2010 and March 31, 2010 due the reclassification of nonperforming loans having a pre-charge down carrying amount of $101 million to held for sale in anticipation of the Bulk Loan Sale in April 2011. Non-performing assets, which include non-performing loans and foreclosed real estate, totaled $138 million at March 31, 2011, compared with $321 million at December 31, 2010 and $417 million at March 31, 2010. In the first quarter of 2011, write-downs totaling $48.6 million were recorded in conjunction with the Problem Asset Disposition Plan to expedite sales. In addition, United sold $56.5 million of foreclosed properties. Both of these events helped lower the balance of foreclosed properties by 60% compared to March 31,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10 - Bulk Loan Sale Summary </w:t>
      </w:r>
      <w:r>
        <w:rPr>
          <w:rFonts w:ascii="Arial" w:cs="Arial" w:eastAsia="Arial" w:hAnsi="Arial"/>
          <w:sz w:val="25"/>
          <w:szCs w:val="25"/>
          <w:color w:val="auto"/>
          <w:vertAlign w:val="superscript"/>
        </w:rPr>
        <w:t>(1)</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8"/>
          </w:tcPr>
          <w:p>
            <w:pPr>
              <w:jc w:val="right"/>
              <w:ind w:right="77"/>
              <w:spacing w:after="0"/>
              <w:rPr>
                <w:sz w:val="20"/>
                <w:szCs w:val="20"/>
                <w:color w:val="auto"/>
              </w:rPr>
            </w:pPr>
            <w:r>
              <w:rPr>
                <w:rFonts w:ascii="Arial" w:cs="Arial" w:eastAsia="Arial" w:hAnsi="Arial"/>
                <w:sz w:val="18"/>
                <w:szCs w:val="18"/>
                <w:b w:val="1"/>
                <w:bCs w:val="1"/>
                <w:color w:val="auto"/>
              </w:rPr>
              <w:t>Performing Loans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10"/>
          </w:tcPr>
          <w:p>
            <w:pPr>
              <w:jc w:val="right"/>
              <w:ind w:right="640"/>
              <w:spacing w:after="0"/>
              <w:rPr>
                <w:sz w:val="20"/>
                <w:szCs w:val="20"/>
                <w:color w:val="auto"/>
              </w:rPr>
            </w:pPr>
            <w:r>
              <w:rPr>
                <w:rFonts w:ascii="Arial" w:cs="Arial" w:eastAsia="Arial" w:hAnsi="Arial"/>
                <w:sz w:val="18"/>
                <w:szCs w:val="18"/>
                <w:b w:val="1"/>
                <w:bCs w:val="1"/>
                <w:color w:val="auto"/>
              </w:rPr>
              <w:t>Nonperforming 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Total 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Loans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Charge-</w:t>
            </w:r>
          </w:p>
        </w:tc>
        <w:tc>
          <w:tcPr>
            <w:tcW w:w="1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0"/>
              </w:rPr>
              <w:t>Loans Held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Charge-</w:t>
            </w:r>
          </w:p>
        </w:tc>
        <w:tc>
          <w:tcPr>
            <w:tcW w:w="10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Held for</w:t>
            </w:r>
          </w:p>
        </w:tc>
        <w:tc>
          <w:tcPr>
            <w:tcW w:w="100" w:type="dxa"/>
            <w:vAlign w:val="bottom"/>
          </w:tcPr>
          <w:p>
            <w:pPr>
              <w:spacing w:after="0"/>
              <w:rPr>
                <w:sz w:val="18"/>
                <w:szCs w:val="18"/>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Charge-</w:t>
            </w:r>
          </w:p>
        </w:tc>
        <w:tc>
          <w:tcPr>
            <w:tcW w:w="8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Held for</w:t>
            </w:r>
          </w:p>
        </w:tc>
        <w:tc>
          <w:tcPr>
            <w:tcW w:w="0" w:type="dxa"/>
            <w:vAlign w:val="bottom"/>
          </w:tcPr>
          <w:p>
            <w:pPr>
              <w:spacing w:after="0"/>
              <w:rPr>
                <w:sz w:val="1"/>
                <w:szCs w:val="1"/>
                <w:color w:val="auto"/>
              </w:rPr>
            </w:pPr>
          </w:p>
        </w:tc>
      </w:tr>
      <w:tr>
        <w:trPr>
          <w:trHeight w:val="223"/>
        </w:trPr>
        <w:tc>
          <w:tcPr>
            <w:tcW w:w="2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center"/>
              <w:ind w:right="20"/>
              <w:spacing w:after="0" w:line="216" w:lineRule="exact"/>
              <w:rPr>
                <w:sz w:val="20"/>
                <w:szCs w:val="20"/>
                <w:color w:val="auto"/>
              </w:rPr>
            </w:pPr>
            <w:r>
              <w:rPr>
                <w:rFonts w:ascii="Arial" w:cs="Arial" w:eastAsia="Arial" w:hAnsi="Arial"/>
                <w:sz w:val="18"/>
                <w:szCs w:val="18"/>
                <w:b w:val="1"/>
                <w:bCs w:val="1"/>
                <w:color w:val="auto"/>
                <w:w w:val="87"/>
              </w:rPr>
              <w:t xml:space="preserve">Amount </w:t>
            </w:r>
            <w:r>
              <w:rPr>
                <w:rFonts w:ascii="Arial" w:cs="Arial" w:eastAsia="Arial" w:hAnsi="Arial"/>
                <w:sz w:val="25"/>
                <w:szCs w:val="25"/>
                <w:color w:val="auto"/>
                <w:w w:val="87"/>
                <w:vertAlign w:val="superscript"/>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20"/>
              <w:spacing w:after="0" w:line="216" w:lineRule="exact"/>
              <w:rPr>
                <w:sz w:val="20"/>
                <w:szCs w:val="20"/>
                <w:color w:val="auto"/>
              </w:rPr>
            </w:pPr>
            <w:r>
              <w:rPr>
                <w:rFonts w:ascii="Arial" w:cs="Arial" w:eastAsia="Arial" w:hAnsi="Arial"/>
                <w:sz w:val="18"/>
                <w:szCs w:val="18"/>
                <w:b w:val="1"/>
                <w:bCs w:val="1"/>
                <w:color w:val="auto"/>
                <w:w w:val="94"/>
              </w:rPr>
              <w:t xml:space="preserve">Offs </w:t>
            </w:r>
            <w:r>
              <w:rPr>
                <w:rFonts w:ascii="Arial" w:cs="Arial" w:eastAsia="Arial" w:hAnsi="Arial"/>
                <w:sz w:val="25"/>
                <w:szCs w:val="25"/>
                <w:color w:val="auto"/>
                <w:w w:val="94"/>
                <w:vertAlign w:val="superscript"/>
              </w:rPr>
              <w:t>(3)</w:t>
            </w:r>
          </w:p>
        </w:tc>
        <w:tc>
          <w:tcPr>
            <w:tcW w:w="120" w:type="dxa"/>
            <w:vAlign w:val="bottom"/>
          </w:tcPr>
          <w:p>
            <w:pPr>
              <w:spacing w:after="0"/>
              <w:rPr>
                <w:sz w:val="19"/>
                <w:szCs w:val="19"/>
                <w:color w:val="auto"/>
              </w:rPr>
            </w:pPr>
          </w:p>
        </w:tc>
        <w:tc>
          <w:tcPr>
            <w:tcW w:w="920" w:type="dxa"/>
            <w:vAlign w:val="bottom"/>
            <w:gridSpan w:val="3"/>
          </w:tcPr>
          <w:p>
            <w:pPr>
              <w:jc w:val="right"/>
              <w:ind w:right="80"/>
              <w:spacing w:after="0" w:line="216" w:lineRule="exact"/>
              <w:rPr>
                <w:sz w:val="20"/>
                <w:szCs w:val="20"/>
                <w:color w:val="auto"/>
              </w:rPr>
            </w:pPr>
            <w:r>
              <w:rPr>
                <w:rFonts w:ascii="Arial" w:cs="Arial" w:eastAsia="Arial" w:hAnsi="Arial"/>
                <w:sz w:val="18"/>
                <w:szCs w:val="18"/>
                <w:b w:val="1"/>
                <w:bCs w:val="1"/>
                <w:color w:val="auto"/>
                <w:w w:val="89"/>
              </w:rPr>
              <w:t xml:space="preserve">for Sale </w:t>
            </w:r>
            <w:r>
              <w:rPr>
                <w:rFonts w:ascii="Arial" w:cs="Arial" w:eastAsia="Arial" w:hAnsi="Arial"/>
                <w:sz w:val="25"/>
                <w:szCs w:val="25"/>
                <w:color w:val="auto"/>
                <w:w w:val="89"/>
                <w:vertAlign w:val="superscript"/>
              </w:rPr>
              <w:t>(4)</w:t>
            </w:r>
          </w:p>
        </w:tc>
        <w:tc>
          <w:tcPr>
            <w:tcW w:w="120" w:type="dxa"/>
            <w:vAlign w:val="bottom"/>
          </w:tcPr>
          <w:p>
            <w:pPr>
              <w:spacing w:after="0"/>
              <w:rPr>
                <w:sz w:val="19"/>
                <w:szCs w:val="19"/>
                <w:color w:val="auto"/>
              </w:rPr>
            </w:pPr>
          </w:p>
        </w:tc>
        <w:tc>
          <w:tcPr>
            <w:tcW w:w="900" w:type="dxa"/>
            <w:vAlign w:val="bottom"/>
            <w:gridSpan w:val="3"/>
          </w:tcPr>
          <w:p>
            <w:pPr>
              <w:jc w:val="right"/>
              <w:ind w:right="40"/>
              <w:spacing w:after="0" w:line="216" w:lineRule="exact"/>
              <w:rPr>
                <w:sz w:val="20"/>
                <w:szCs w:val="20"/>
                <w:color w:val="auto"/>
              </w:rPr>
            </w:pPr>
            <w:r>
              <w:rPr>
                <w:rFonts w:ascii="Arial" w:cs="Arial" w:eastAsia="Arial" w:hAnsi="Arial"/>
                <w:sz w:val="18"/>
                <w:szCs w:val="18"/>
                <w:b w:val="1"/>
                <w:bCs w:val="1"/>
                <w:color w:val="auto"/>
                <w:w w:val="89"/>
              </w:rPr>
              <w:t xml:space="preserve">Amount </w:t>
            </w:r>
            <w:r>
              <w:rPr>
                <w:rFonts w:ascii="Arial" w:cs="Arial" w:eastAsia="Arial" w:hAnsi="Arial"/>
                <w:sz w:val="25"/>
                <w:szCs w:val="25"/>
                <w:color w:val="auto"/>
                <w:w w:val="89"/>
                <w:vertAlign w:val="superscript"/>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line="216" w:lineRule="exact"/>
              <w:rPr>
                <w:sz w:val="20"/>
                <w:szCs w:val="20"/>
                <w:color w:val="auto"/>
              </w:rPr>
            </w:pPr>
            <w:r>
              <w:rPr>
                <w:rFonts w:ascii="Arial" w:cs="Arial" w:eastAsia="Arial" w:hAnsi="Arial"/>
                <w:sz w:val="18"/>
                <w:szCs w:val="18"/>
                <w:b w:val="1"/>
                <w:bCs w:val="1"/>
                <w:color w:val="auto"/>
                <w:w w:val="91"/>
              </w:rPr>
              <w:t xml:space="preserve">Offs </w:t>
            </w:r>
            <w:r>
              <w:rPr>
                <w:rFonts w:ascii="Arial" w:cs="Arial" w:eastAsia="Arial" w:hAnsi="Arial"/>
                <w:sz w:val="25"/>
                <w:szCs w:val="25"/>
                <w:color w:val="auto"/>
                <w:w w:val="91"/>
                <w:vertAlign w:val="superscript"/>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right="240"/>
              <w:spacing w:after="0" w:line="216" w:lineRule="exact"/>
              <w:rPr>
                <w:sz w:val="20"/>
                <w:szCs w:val="20"/>
                <w:color w:val="auto"/>
              </w:rPr>
            </w:pPr>
            <w:r>
              <w:rPr>
                <w:rFonts w:ascii="Arial" w:cs="Arial" w:eastAsia="Arial" w:hAnsi="Arial"/>
                <w:sz w:val="18"/>
                <w:szCs w:val="18"/>
                <w:b w:val="1"/>
                <w:bCs w:val="1"/>
                <w:color w:val="auto"/>
                <w:w w:val="80"/>
              </w:rPr>
              <w:t xml:space="preserve">Sale </w:t>
            </w:r>
            <w:r>
              <w:rPr>
                <w:rFonts w:ascii="Arial" w:cs="Arial" w:eastAsia="Arial" w:hAnsi="Arial"/>
                <w:sz w:val="25"/>
                <w:szCs w:val="25"/>
                <w:color w:val="auto"/>
                <w:w w:val="80"/>
                <w:vertAlign w:val="superscript"/>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center"/>
              <w:ind w:right="52"/>
              <w:spacing w:after="0"/>
              <w:rPr>
                <w:sz w:val="20"/>
                <w:szCs w:val="20"/>
                <w:color w:val="auto"/>
              </w:rPr>
            </w:pPr>
            <w:r>
              <w:rPr>
                <w:rFonts w:ascii="Arial" w:cs="Arial" w:eastAsia="Arial" w:hAnsi="Arial"/>
                <w:sz w:val="13"/>
                <w:szCs w:val="13"/>
                <w:color w:val="auto"/>
                <w:w w:val="87"/>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260"/>
              <w:spacing w:after="0" w:line="216" w:lineRule="exact"/>
              <w:rPr>
                <w:sz w:val="20"/>
                <w:szCs w:val="20"/>
                <w:color w:val="auto"/>
              </w:rPr>
            </w:pPr>
            <w:r>
              <w:rPr>
                <w:rFonts w:ascii="Arial" w:cs="Arial" w:eastAsia="Arial" w:hAnsi="Arial"/>
                <w:sz w:val="18"/>
                <w:szCs w:val="18"/>
                <w:b w:val="1"/>
                <w:bCs w:val="1"/>
                <w:color w:val="auto"/>
                <w:w w:val="81"/>
              </w:rPr>
              <w:t xml:space="preserve">Offs </w:t>
            </w:r>
            <w:r>
              <w:rPr>
                <w:rFonts w:ascii="Arial" w:cs="Arial" w:eastAsia="Arial" w:hAnsi="Arial"/>
                <w:sz w:val="25"/>
                <w:szCs w:val="25"/>
                <w:color w:val="auto"/>
                <w:w w:val="81"/>
                <w:vertAlign w:val="superscript"/>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center"/>
              <w:ind w:right="140"/>
              <w:spacing w:after="0" w:line="216" w:lineRule="exact"/>
              <w:rPr>
                <w:sz w:val="20"/>
                <w:szCs w:val="20"/>
                <w:color w:val="auto"/>
              </w:rPr>
            </w:pPr>
            <w:r>
              <w:rPr>
                <w:rFonts w:ascii="Arial" w:cs="Arial" w:eastAsia="Arial" w:hAnsi="Arial"/>
                <w:sz w:val="18"/>
                <w:szCs w:val="18"/>
                <w:b w:val="1"/>
                <w:bCs w:val="1"/>
                <w:color w:val="auto"/>
                <w:w w:val="80"/>
              </w:rPr>
              <w:t xml:space="preserve">Sale </w:t>
            </w:r>
            <w:r>
              <w:rPr>
                <w:rFonts w:ascii="Arial" w:cs="Arial" w:eastAsia="Arial" w:hAnsi="Arial"/>
                <w:sz w:val="25"/>
                <w:szCs w:val="25"/>
                <w:color w:val="auto"/>
                <w:w w:val="80"/>
                <w:vertAlign w:val="superscript"/>
              </w:rPr>
              <w:t>(4)</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b w:val="1"/>
                <w:bCs w:val="1"/>
                <w:color w:val="auto"/>
              </w:rPr>
              <w:t>BY CATEGORY</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Commercial (sec. by 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40,902</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29,451</w:t>
            </w:r>
          </w:p>
        </w:tc>
        <w:tc>
          <w:tcPr>
            <w:tcW w:w="3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11,451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17,202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11,091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58,104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40,542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17,562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32,530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12,960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67,930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47,858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2"/>
        </w:trPr>
        <w:tc>
          <w:tcPr>
            <w:tcW w:w="2420" w:type="dxa"/>
            <w:vAlign w:val="bottom"/>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86,896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62,346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28,722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14,318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129,936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91,068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23,459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95,256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66,477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28,779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13,917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41,059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12,879</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Consumer / installment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266,608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2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Atlanta MSA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51,647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37,186</w:t>
            </w:r>
          </w:p>
        </w:tc>
        <w:tc>
          <w:tcPr>
            <w:tcW w:w="3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14,461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13,755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8,545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65,402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45,731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19,671</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8,644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57,969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70,901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47,699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151,732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105,668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46,064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Western North Carolina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22,696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15,881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5,113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266,608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This schedule presents a summary of classified loans included in the bulk loan sale transaction that closed on April 18, 2011.</w:t>
      </w:r>
    </w:p>
    <w:p>
      <w:pPr>
        <w:spacing w:after="0" w:line="1"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This column represents the book value, or carrying amount, of the loans prior to charge offs to mark loans to expected proceeds from sale.</w:t>
      </w:r>
    </w:p>
    <w:p>
      <w:pPr>
        <w:spacing w:after="0" w:line="2" w:lineRule="exact"/>
        <w:rPr>
          <w:rFonts w:ascii="Arial" w:cs="Arial" w:eastAsia="Arial" w:hAnsi="Arial"/>
          <w:sz w:val="23"/>
          <w:szCs w:val="23"/>
          <w:color w:val="auto"/>
          <w:vertAlign w:val="superscript"/>
        </w:rPr>
      </w:pPr>
    </w:p>
    <w:p>
      <w:pPr>
        <w:ind w:right="200" w:firstLine="8"/>
        <w:spacing w:after="0" w:line="236" w:lineRule="auto"/>
        <w:tabs>
          <w:tab w:leader="none" w:pos="189"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This column represents the charge-offs required to adjust the loan balances to the expected proceeds from the sale based on indicative bids received from prospective buyers, including principal payments received or committed advances made after the c</w:t>
      </w:r>
    </w:p>
    <w:p>
      <w:pPr>
        <w:ind w:right="140" w:firstLine="8"/>
        <w:spacing w:after="0" w:line="237" w:lineRule="auto"/>
        <w:tabs>
          <w:tab w:leader="none" w:pos="189"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This column represents the expected proceeds from the bulk sale based on indicative bids received from prospective buyers and equals the balance shown on the consolidated balance sheet as loans held for sale.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842"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6, 7 and 9, assets covered by the loss-sharing agreement with the FDIC, related to the acquisition of SCB, are excluded from this table.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11 - Nonperforming Assets by Quarter </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w w:val="93"/>
              </w:rPr>
              <w:t>March 31, 2011</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 2010</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w w:val="93"/>
              </w:rPr>
              <w:t>March 31, 2010</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1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Foreclosed</w:t>
            </w: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rPr>
              <w:t>Foreclosed</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rPr>
              <w:t>Foreclosed</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0C0C0"/>
          </w:tcPr>
          <w:p>
            <w:pPr>
              <w:spacing w:after="0"/>
              <w:rPr>
                <w:sz w:val="18"/>
                <w:szCs w:val="18"/>
                <w:color w:val="auto"/>
              </w:rPr>
            </w:pPr>
          </w:p>
        </w:tc>
      </w:tr>
      <w:tr>
        <w:trPr>
          <w:trHeight w:val="223"/>
        </w:trPr>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4"/>
              </w:rPr>
              <w:t>Loans</w:t>
            </w:r>
          </w:p>
        </w:tc>
        <w:tc>
          <w:tcPr>
            <w:tcW w:w="6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Properties</w:t>
            </w: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90"/>
              <w:spacing w:after="0"/>
              <w:rPr>
                <w:sz w:val="20"/>
                <w:szCs w:val="20"/>
                <w:color w:val="auto"/>
              </w:rPr>
            </w:pPr>
            <w:r>
              <w:rPr>
                <w:rFonts w:ascii="Arial" w:cs="Arial" w:eastAsia="Arial" w:hAnsi="Arial"/>
                <w:sz w:val="18"/>
                <w:szCs w:val="18"/>
                <w:b w:val="1"/>
                <w:bCs w:val="1"/>
                <w:color w:val="auto"/>
                <w:w w:val="99"/>
              </w:rPr>
              <w:t>NPAs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Loans</w:t>
            </w:r>
          </w:p>
        </w:tc>
        <w:tc>
          <w:tcPr>
            <w:tcW w:w="6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90"/>
              <w:spacing w:after="0"/>
              <w:rPr>
                <w:sz w:val="20"/>
                <w:szCs w:val="20"/>
                <w:color w:val="auto"/>
              </w:rPr>
            </w:pPr>
            <w:r>
              <w:rPr>
                <w:rFonts w:ascii="Arial" w:cs="Arial" w:eastAsia="Arial" w:hAnsi="Arial"/>
                <w:sz w:val="18"/>
                <w:szCs w:val="18"/>
                <w:b w:val="1"/>
                <w:bCs w:val="1"/>
                <w:color w:val="auto"/>
                <w:w w:val="99"/>
              </w:rPr>
              <w:t>NPAs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4"/>
              </w:rPr>
              <w:t>Loans</w:t>
            </w:r>
          </w:p>
        </w:tc>
        <w:tc>
          <w:tcPr>
            <w:tcW w:w="6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jc w:val="right"/>
              <w:ind w:right="90"/>
              <w:spacing w:after="0"/>
              <w:rPr>
                <w:sz w:val="20"/>
                <w:szCs w:val="20"/>
                <w:color w:val="auto"/>
              </w:rPr>
            </w:pPr>
            <w:r>
              <w:rPr>
                <w:rFonts w:ascii="Arial" w:cs="Arial" w:eastAsia="Arial" w:hAnsi="Arial"/>
                <w:sz w:val="18"/>
                <w:szCs w:val="18"/>
                <w:b w:val="1"/>
                <w:bCs w:val="1"/>
                <w:color w:val="auto"/>
                <w:w w:val="99"/>
              </w:rPr>
              <w:t>NPAs</w:t>
            </w:r>
          </w:p>
        </w:tc>
        <w:tc>
          <w:tcPr>
            <w:tcW w:w="160" w:type="dxa"/>
            <w:vAlign w:val="bottom"/>
            <w:shd w:val="clear" w:color="auto" w:fill="C0C0C0"/>
          </w:tcPr>
          <w:p>
            <w:pPr>
              <w:spacing w:after="0"/>
              <w:rPr>
                <w:sz w:val="19"/>
                <w:szCs w:val="19"/>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BY CATEGORY</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3"/>
              </w:rPr>
              <w:t>Commercial (sec. by RE)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20,648</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7,886</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28,534</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44,927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23,659</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68,586</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45,918</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21,597</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67,515</w:t>
            </w:r>
          </w:p>
        </w:tc>
        <w:tc>
          <w:tcPr>
            <w:tcW w:w="160" w:type="dxa"/>
            <w:vAlign w:val="bottom"/>
            <w:shd w:val="clear" w:color="auto" w:fill="C0C0C0"/>
          </w:tcPr>
          <w:p>
            <w:pPr>
              <w:spacing w:after="0"/>
              <w:rPr>
                <w:sz w:val="18"/>
                <w:szCs w:val="18"/>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w w:val="94"/>
              </w:rPr>
              <w:t>Commercial construction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3,701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11,568</w:t>
            </w:r>
          </w:p>
        </w:tc>
        <w:tc>
          <w:tcPr>
            <w:tcW w:w="260" w:type="dxa"/>
            <w:vAlign w:val="bottom"/>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15,269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21,374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17,808</w:t>
            </w: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39,182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23,556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14,285</w:t>
            </w: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37,841</w:t>
            </w:r>
          </w:p>
        </w:tc>
        <w:tc>
          <w:tcPr>
            <w:tcW w:w="160" w:type="dxa"/>
            <w:vAlign w:val="bottom"/>
            <w:shd w:val="clear" w:color="auto" w:fill="C0C0C0"/>
          </w:tcPr>
          <w:p>
            <w:pPr>
              <w:spacing w:after="0"/>
              <w:rPr>
                <w:sz w:val="17"/>
                <w:szCs w:val="17"/>
                <w:color w:val="auto"/>
              </w:rPr>
            </w:pPr>
          </w:p>
        </w:tc>
      </w:tr>
      <w:tr>
        <w:trPr>
          <w:trHeight w:val="237"/>
        </w:trPr>
        <w:tc>
          <w:tcPr>
            <w:tcW w:w="1900" w:type="dxa"/>
            <w:vAlign w:val="bottom"/>
          </w:tcPr>
          <w:p>
            <w:pPr>
              <w:spacing w:after="0"/>
              <w:rPr>
                <w:sz w:val="20"/>
                <w:szCs w:val="20"/>
                <w:color w:val="auto"/>
              </w:rPr>
            </w:pPr>
            <w:r>
              <w:rPr>
                <w:rFonts w:ascii="Arial" w:cs="Arial" w:eastAsia="Arial" w:hAnsi="Arial"/>
                <w:sz w:val="18"/>
                <w:szCs w:val="18"/>
                <w:color w:val="auto"/>
                <w:w w:val="98"/>
              </w:rPr>
              <w:t>Commercial &amp; industrial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5,611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3,610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3,610</w:t>
            </w:r>
          </w:p>
        </w:tc>
        <w:tc>
          <w:tcPr>
            <w:tcW w:w="160" w:type="dxa"/>
            <w:vAlign w:val="bottom"/>
            <w:shd w:val="clear" w:color="auto" w:fill="C0C0C0"/>
          </w:tcPr>
          <w:p>
            <w:pPr>
              <w:spacing w:after="0"/>
              <w:rPr>
                <w:sz w:val="20"/>
                <w:szCs w:val="20"/>
                <w:color w:val="auto"/>
              </w:rPr>
            </w:pPr>
          </w:p>
        </w:tc>
      </w:tr>
      <w:tr>
        <w:trPr>
          <w:trHeight w:val="216"/>
        </w:trPr>
        <w:tc>
          <w:tcPr>
            <w:tcW w:w="1900" w:type="dxa"/>
            <w:vAlign w:val="bottom"/>
          </w:tcPr>
          <w:p>
            <w:pPr>
              <w:ind w:left="220"/>
              <w:spacing w:after="0"/>
              <w:rPr>
                <w:sz w:val="20"/>
                <w:szCs w:val="20"/>
                <w:color w:val="auto"/>
              </w:rPr>
            </w:pPr>
            <w:r>
              <w:rPr>
                <w:rFonts w:ascii="Arial" w:cs="Arial" w:eastAsia="Arial" w:hAnsi="Arial"/>
                <w:sz w:val="18"/>
                <w:szCs w:val="18"/>
                <w:color w:val="auto"/>
              </w:rPr>
              <w:t>Total commercial</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19,454</w:t>
            </w:r>
          </w:p>
        </w:tc>
        <w:tc>
          <w:tcPr>
            <w:tcW w:w="260" w:type="dxa"/>
            <w:vAlign w:val="bottom"/>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46,001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41,467</w:t>
            </w:r>
          </w:p>
        </w:tc>
        <w:tc>
          <w:tcPr>
            <w:tcW w:w="260" w:type="dxa"/>
            <w:vAlign w:val="bottom"/>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113,379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73,084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35,882</w:t>
            </w:r>
          </w:p>
        </w:tc>
        <w:tc>
          <w:tcPr>
            <w:tcW w:w="280" w:type="dxa"/>
            <w:vAlign w:val="bottom"/>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108,966</w:t>
            </w:r>
          </w:p>
        </w:tc>
        <w:tc>
          <w:tcPr>
            <w:tcW w:w="160" w:type="dxa"/>
            <w:vAlign w:val="bottom"/>
            <w:tcBorders>
              <w:top w:val="single" w:sz="8" w:color="C0C0C0"/>
            </w:tcBorders>
            <w:shd w:val="clear" w:color="auto" w:fill="C0C0C0"/>
          </w:tcPr>
          <w:p>
            <w:pPr>
              <w:spacing w:after="0"/>
              <w:rPr>
                <w:sz w:val="18"/>
                <w:szCs w:val="18"/>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w w:val="98"/>
              </w:rPr>
              <w:t>Residential construction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32,038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25,807</w:t>
            </w: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57,845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54,505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78,231</w:t>
            </w: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132,736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147,326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74,220</w:t>
            </w: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221,546</w:t>
            </w:r>
          </w:p>
        </w:tc>
        <w:tc>
          <w:tcPr>
            <w:tcW w:w="160" w:type="dxa"/>
            <w:vAlign w:val="bottom"/>
            <w:shd w:val="clear" w:color="auto" w:fill="C0C0C0"/>
          </w:tcPr>
          <w:p>
            <w:pPr>
              <w:spacing w:after="0"/>
              <w:rPr>
                <w:sz w:val="17"/>
                <w:szCs w:val="17"/>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Residential mortgage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23,711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9,117</w:t>
            </w: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51,083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22,510</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57,920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26,173</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84,093</w:t>
            </w:r>
          </w:p>
        </w:tc>
        <w:tc>
          <w:tcPr>
            <w:tcW w:w="160" w:type="dxa"/>
            <w:vAlign w:val="bottom"/>
            <w:shd w:val="clear" w:color="auto" w:fill="C0C0C0"/>
          </w:tcPr>
          <w:p>
            <w:pPr>
              <w:spacing w:after="0"/>
              <w:rPr>
                <w:sz w:val="18"/>
                <w:szCs w:val="18"/>
                <w:color w:val="auto"/>
              </w:rPr>
            </w:pPr>
          </w:p>
        </w:tc>
      </w:tr>
      <w:tr>
        <w:trPr>
          <w:trHeight w:val="237"/>
        </w:trPr>
        <w:tc>
          <w:tcPr>
            <w:tcW w:w="1900" w:type="dxa"/>
            <w:vAlign w:val="bottom"/>
          </w:tcPr>
          <w:p>
            <w:pPr>
              <w:spacing w:after="0"/>
              <w:rPr>
                <w:sz w:val="20"/>
                <w:szCs w:val="20"/>
                <w:color w:val="auto"/>
              </w:rPr>
            </w:pPr>
            <w:r>
              <w:rPr>
                <w:rFonts w:ascii="Arial" w:cs="Arial" w:eastAsia="Arial" w:hAnsi="Arial"/>
                <w:sz w:val="18"/>
                <w:szCs w:val="18"/>
                <w:color w:val="auto"/>
              </w:rPr>
              <w:t>Consumer / installment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1,594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2,472</w:t>
            </w:r>
          </w:p>
        </w:tc>
        <w:tc>
          <w:tcPr>
            <w:tcW w:w="160" w:type="dxa"/>
            <w:vAlign w:val="bottom"/>
            <w:shd w:val="clear" w:color="auto" w:fill="C0C0C0"/>
          </w:tcPr>
          <w:p>
            <w:pPr>
              <w:spacing w:after="0"/>
              <w:rPr>
                <w:sz w:val="20"/>
                <w:szCs w:val="20"/>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b w:val="1"/>
                <w:bCs w:val="1"/>
                <w:color w:val="auto"/>
              </w:rPr>
              <w:t>Total NPAs</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54,378</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138,147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179,094</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142,208</w:t>
            </w:r>
          </w:p>
        </w:tc>
        <w:tc>
          <w:tcPr>
            <w:tcW w:w="26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321,302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280,802</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136,275</w:t>
            </w:r>
          </w:p>
        </w:tc>
        <w:tc>
          <w:tcPr>
            <w:tcW w:w="28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417,077</w:t>
            </w:r>
          </w:p>
        </w:tc>
        <w:tc>
          <w:tcPr>
            <w:tcW w:w="160" w:type="dxa"/>
            <w:vAlign w:val="bottom"/>
            <w:tcBorders>
              <w:top w:val="single" w:sz="8" w:color="C0C0C0"/>
              <w:bottom w:val="single" w:sz="8" w:color="C0C0C0"/>
            </w:tcBorders>
            <w:shd w:val="clear" w:color="auto" w:fill="C0C0C0"/>
          </w:tcPr>
          <w:p>
            <w:pPr>
              <w:spacing w:after="0"/>
              <w:rPr>
                <w:sz w:val="22"/>
                <w:szCs w:val="22"/>
                <w:color w:val="auto"/>
              </w:rPr>
            </w:pPr>
          </w:p>
        </w:tc>
      </w:tr>
      <w:tr>
        <w:trPr>
          <w:trHeight w:val="210"/>
        </w:trPr>
        <w:tc>
          <w:tcPr>
            <w:tcW w:w="1900" w:type="dxa"/>
            <w:vAlign w:val="bottom"/>
          </w:tcPr>
          <w:p>
            <w:pPr>
              <w:ind w:left="240"/>
              <w:spacing w:after="0"/>
              <w:rPr>
                <w:sz w:val="20"/>
                <w:szCs w:val="20"/>
                <w:color w:val="auto"/>
              </w:rPr>
            </w:pPr>
            <w:r>
              <w:rPr>
                <w:rFonts w:ascii="Arial" w:cs="Arial" w:eastAsia="Arial" w:hAnsi="Arial"/>
                <w:sz w:val="18"/>
                <w:szCs w:val="18"/>
                <w:b w:val="1"/>
                <w:bCs w:val="1"/>
                <w:color w:val="auto"/>
              </w:rPr>
              <w:t>Balance as a %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00" w:type="dxa"/>
            <w:vAlign w:val="bottom"/>
          </w:tcPr>
          <w:p>
            <w:pPr>
              <w:ind w:left="460"/>
              <w:spacing w:after="0"/>
              <w:rPr>
                <w:sz w:val="20"/>
                <w:szCs w:val="20"/>
                <w:color w:val="auto"/>
              </w:rPr>
            </w:pPr>
            <w:r>
              <w:rPr>
                <w:rFonts w:ascii="Arial" w:cs="Arial" w:eastAsia="Arial" w:hAnsi="Arial"/>
                <w:sz w:val="18"/>
                <w:szCs w:val="18"/>
                <w:b w:val="1"/>
                <w:bCs w:val="1"/>
                <w:color w:val="auto"/>
                <w:w w:val="99"/>
              </w:rPr>
              <w:t>Unpaid Principal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0C0C0"/>
          </w:tcPr>
          <w:p>
            <w:pPr>
              <w:spacing w:after="0"/>
              <w:rPr>
                <w:sz w:val="18"/>
                <w:szCs w:val="18"/>
                <w:color w:val="auto"/>
              </w:rPr>
            </w:pPr>
          </w:p>
        </w:tc>
        <w:tc>
          <w:tcPr>
            <w:tcW w:w="8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70.2%</w:t>
            </w:r>
          </w:p>
        </w:tc>
      </w:tr>
      <w:tr>
        <w:trPr>
          <w:trHeight w:val="432"/>
        </w:trPr>
        <w:tc>
          <w:tcPr>
            <w:tcW w:w="190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Atlanta MSA</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21,501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16,913</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highlight w:val="lightGray"/>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highlight w:val="lightGray"/>
              </w:rPr>
              <w:t>38,414</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48,289</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41,154</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highlight w:val="lightGray"/>
                <w:w w:val="79"/>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highlight w:val="lightGray"/>
              </w:rPr>
              <w:t>89,443</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81,914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36,951</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118,865</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Gainesville MSA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9,273</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17,058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20,250</w:t>
            </w:r>
          </w:p>
        </w:tc>
        <w:tc>
          <w:tcPr>
            <w:tcW w:w="160" w:type="dxa"/>
            <w:vAlign w:val="bottom"/>
            <w:shd w:val="clear" w:color="auto" w:fill="C0C0C0"/>
          </w:tcPr>
          <w:p>
            <w:pPr>
              <w:spacing w:after="0"/>
              <w:rPr>
                <w:sz w:val="18"/>
                <w:szCs w:val="18"/>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North Georgia</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30,214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23,094</w:t>
            </w: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53,308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83,551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66,211</w:t>
            </w: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149,762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109,280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63,128</w:t>
            </w:r>
          </w:p>
        </w:tc>
        <w:tc>
          <w:tcPr>
            <w:tcW w:w="100" w:type="dxa"/>
            <w:vAlign w:val="bottom"/>
            <w:shd w:val="clear" w:color="auto" w:fill="C0C0C0"/>
          </w:tcPr>
          <w:p>
            <w:pPr>
              <w:spacing w:after="0"/>
              <w:rPr>
                <w:sz w:val="17"/>
                <w:szCs w:val="17"/>
                <w:color w:val="auto"/>
              </w:rPr>
            </w:pPr>
          </w:p>
        </w:tc>
        <w:tc>
          <w:tcPr>
            <w:tcW w:w="68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172,408</w:t>
            </w:r>
          </w:p>
        </w:tc>
        <w:tc>
          <w:tcPr>
            <w:tcW w:w="160" w:type="dxa"/>
            <w:vAlign w:val="bottom"/>
            <w:shd w:val="clear" w:color="auto" w:fill="C0C0C0"/>
          </w:tcPr>
          <w:p>
            <w:pPr>
              <w:spacing w:after="0"/>
              <w:rPr>
                <w:sz w:val="17"/>
                <w:szCs w:val="17"/>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9"/>
              </w:rPr>
              <w:t>Western North Carolina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18,849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25,832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11,553</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31,353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8,588</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39,941</w:t>
            </w:r>
          </w:p>
        </w:tc>
        <w:tc>
          <w:tcPr>
            <w:tcW w:w="160" w:type="dxa"/>
            <w:vAlign w:val="bottom"/>
            <w:shd w:val="clear" w:color="auto" w:fill="C0C0C0"/>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Coastal Georgia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3,781</w:t>
            </w:r>
          </w:p>
        </w:tc>
        <w:tc>
          <w:tcPr>
            <w:tcW w:w="12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11,145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11,901</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23,046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33,438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21,871</w:t>
            </w: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55,309</w:t>
            </w:r>
          </w:p>
        </w:tc>
        <w:tc>
          <w:tcPr>
            <w:tcW w:w="160" w:type="dxa"/>
            <w:vAlign w:val="bottom"/>
            <w:shd w:val="clear" w:color="auto" w:fill="C0C0C0"/>
          </w:tcPr>
          <w:p>
            <w:pPr>
              <w:spacing w:after="0"/>
              <w:rPr>
                <w:sz w:val="18"/>
                <w:szCs w:val="18"/>
                <w:color w:val="auto"/>
              </w:rPr>
            </w:pPr>
          </w:p>
        </w:tc>
      </w:tr>
      <w:tr>
        <w:trPr>
          <w:trHeight w:val="237"/>
        </w:trPr>
        <w:tc>
          <w:tcPr>
            <w:tcW w:w="1900" w:type="dxa"/>
            <w:vAlign w:val="bottom"/>
          </w:tcPr>
          <w:p>
            <w:pPr>
              <w:spacing w:after="0"/>
              <w:rPr>
                <w:sz w:val="20"/>
                <w:szCs w:val="20"/>
                <w:color w:val="auto"/>
              </w:rPr>
            </w:pPr>
            <w:r>
              <w:rPr>
                <w:rFonts w:ascii="Arial" w:cs="Arial" w:eastAsia="Arial" w:hAnsi="Arial"/>
                <w:sz w:val="18"/>
                <w:szCs w:val="18"/>
                <w:color w:val="auto"/>
              </w:rPr>
              <w:t>East Tennessee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5,106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7,759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10,304</w:t>
            </w:r>
          </w:p>
        </w:tc>
        <w:tc>
          <w:tcPr>
            <w:tcW w:w="160" w:type="dxa"/>
            <w:vAlign w:val="bottom"/>
            <w:shd w:val="clear" w:color="auto" w:fill="C0C0C0"/>
          </w:tcPr>
          <w:p>
            <w:pPr>
              <w:spacing w:after="0"/>
              <w:rPr>
                <w:sz w:val="20"/>
                <w:szCs w:val="20"/>
                <w:color w:val="auto"/>
              </w:rPr>
            </w:pPr>
          </w:p>
        </w:tc>
      </w:tr>
      <w:tr>
        <w:trPr>
          <w:trHeight w:val="257"/>
        </w:trPr>
        <w:tc>
          <w:tcPr>
            <w:tcW w:w="1900" w:type="dxa"/>
            <w:vAlign w:val="bottom"/>
          </w:tcPr>
          <w:p>
            <w:pPr>
              <w:ind w:left="220"/>
              <w:spacing w:after="0"/>
              <w:rPr>
                <w:sz w:val="20"/>
                <w:szCs w:val="20"/>
                <w:color w:val="auto"/>
              </w:rPr>
            </w:pPr>
            <w:r>
              <w:rPr>
                <w:rFonts w:ascii="Arial" w:cs="Arial" w:eastAsia="Arial" w:hAnsi="Arial"/>
                <w:sz w:val="18"/>
                <w:szCs w:val="18"/>
                <w:b w:val="1"/>
                <w:bCs w:val="1"/>
                <w:color w:val="auto"/>
              </w:rPr>
              <w:t>Total NPAs</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54,378</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138,147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179,094</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142,208</w:t>
            </w:r>
          </w:p>
        </w:tc>
        <w:tc>
          <w:tcPr>
            <w:tcW w:w="26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321,302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280,802</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136,275</w:t>
            </w:r>
          </w:p>
        </w:tc>
        <w:tc>
          <w:tcPr>
            <w:tcW w:w="28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417,077</w:t>
            </w:r>
          </w:p>
        </w:tc>
        <w:tc>
          <w:tcPr>
            <w:tcW w:w="160" w:type="dxa"/>
            <w:vAlign w:val="bottom"/>
            <w:tcBorders>
              <w:top w:val="single" w:sz="8" w:color="C0C0C0"/>
              <w:bottom w:val="single" w:sz="8" w:color="C0C0C0"/>
            </w:tcBorders>
            <w:shd w:val="clear" w:color="auto" w:fill="C0C0C0"/>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Excludes non-performing loans and foreclosed properties covered by the loss-sharing agreement with the FDIC, related to the acquisition of SCB.</w:t>
      </w: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2011, United sold nonperforming loans in the Bulk Loan Sale with a pre-write down carrying amount of $101 million and performing substandard loans with a pre-write down carrying amount of $166 million. In anticipation of that sale, United recorded charge-offs of $186 million and transferred these loans to the held for sale category at March 31, 2011. Nonperforming assets in the residential construction category were $57.8 million at March 31, 2011, compared with $222 million at March 31, 2010, a decrease of $164 million, or 74%. Commercial nonperforming assets decreased from $109 million at March 31, 2010 to $46.0 million at March 31, 2011. Residential mortgage non-performing assets of $32.8 million decreased $51.3 million from March 31, 2010. While United experienced a reduction in nonperforming assets across all markets, the execution of the Problem Asset Disposition Plan, including the Bulk Loan Sale and the write down of foreclosed properties contributed to a decline in the North Georgia market and Atlanta MSA, where nonperforming asset levels had been particularly elevated.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2011, December 31, 2010, and March 31, 2010 United had $49.7 million, $101 million and $70.7, respectively, in loans with terms that have been modified in a troubled debt restructuring (“TDR”). Included therein were $6.4 million, $17.3 million and $6.08 million of TDRs that were not performing in accordance with their modified terms and were included in nonperforming loans. The remaining TDRs with an aggregate balance of $43.3 million, $84.1 million and $64.6 million, respectively, were performing according to their modified terms and are therefore not considered to be nonperforming assets.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At March 31, 2011, December 31, 2010, and March 31, 2010, there were $48.6 million, $123 million and $215 million, respectively, of loans classified as impaired under the Accounting Standards Codification. Included in impaired loans at March 31, 2011, December 31, 2010 and March 31, 2010, was $48.6 million, $115 million and $159 million, respectively, that did not require specific reserves or had previously been charged down to net realizable value. The balance of impaired loans at December 31, 2010 and March 31, 2010, of $7.64 million and $56.5 million, respectively had specific reserves that totaled $1.05 million and $6.83 million. At March 31, 2011 there were no impaired loans with specific reserves. The average recorded investment in impaired loans for the quarters ended March 31, 2011 and 2010 was $95.2 million and $211 million, respectively. There was no interest revenue recognized on loans while they were impaired for the first three months of 2011 or 2010. United’s policy is to discontinue the recognition of interest revenue for loans classified as impaired under the Financial Accounting Standards Board’s Accounting Standards Codification (“ASC”) Topic 310-10-35,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when a loan meets the criteria for nonaccrual status.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tbl>
      <w:tblPr>
        <w:tblLayout w:type="fixed"/>
        <w:tblInd w:w="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9"/>
          </w:tcPr>
          <w:p>
            <w:pPr>
              <w:ind w:left="400"/>
              <w:spacing w:after="0" w:line="226" w:lineRule="exact"/>
              <w:rPr>
                <w:sz w:val="20"/>
                <w:szCs w:val="20"/>
                <w:color w:val="auto"/>
              </w:rPr>
            </w:pPr>
            <w:r>
              <w:rPr>
                <w:rFonts w:ascii="Arial" w:cs="Arial" w:eastAsia="Arial" w:hAnsi="Arial"/>
                <w:sz w:val="18"/>
                <w:szCs w:val="18"/>
                <w:b w:val="1"/>
                <w:bCs w:val="1"/>
                <w:color w:val="auto"/>
              </w:rPr>
              <w:t xml:space="preserve">First Quarter 2011 </w:t>
            </w:r>
            <w:r>
              <w:rPr>
                <w:rFonts w:ascii="Arial" w:cs="Arial" w:eastAsia="Arial" w:hAnsi="Arial"/>
                <w:sz w:val="25"/>
                <w:szCs w:val="25"/>
                <w:color w:val="auto"/>
                <w:vertAlign w:val="superscript"/>
              </w:rPr>
              <w:t>(1)(2)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9"/>
          </w:tcPr>
          <w:p>
            <w:pPr>
              <w:ind w:left="400"/>
              <w:spacing w:after="0" w:line="226" w:lineRule="exact"/>
              <w:rPr>
                <w:sz w:val="20"/>
                <w:szCs w:val="20"/>
                <w:color w:val="auto"/>
              </w:rPr>
            </w:pPr>
            <w:r>
              <w:rPr>
                <w:rFonts w:ascii="Arial" w:cs="Arial" w:eastAsia="Arial" w:hAnsi="Arial"/>
                <w:sz w:val="18"/>
                <w:szCs w:val="18"/>
                <w:b w:val="1"/>
                <w:bCs w:val="1"/>
                <w:color w:val="auto"/>
              </w:rPr>
              <w:t xml:space="preserve">Fourth Quarter 2010 </w:t>
            </w:r>
            <w:r>
              <w:rPr>
                <w:rFonts w:ascii="Arial" w:cs="Arial" w:eastAsia="Arial" w:hAnsi="Arial"/>
                <w:sz w:val="25"/>
                <w:szCs w:val="25"/>
                <w:color w:val="auto"/>
                <w:vertAlign w:val="superscript"/>
              </w:rPr>
              <w:t>(1)</w:t>
            </w:r>
          </w:p>
        </w:tc>
        <w:tc>
          <w:tcPr>
            <w:tcW w:w="140" w:type="dxa"/>
            <w:vAlign w:val="bottom"/>
          </w:tcPr>
          <w:p>
            <w:pPr>
              <w:spacing w:after="0"/>
              <w:rPr>
                <w:sz w:val="20"/>
                <w:szCs w:val="20"/>
                <w:color w:val="auto"/>
              </w:rPr>
            </w:pPr>
          </w:p>
        </w:tc>
        <w:tc>
          <w:tcPr>
            <w:tcW w:w="2100" w:type="dxa"/>
            <w:vAlign w:val="bottom"/>
            <w:gridSpan w:val="7"/>
          </w:tcPr>
          <w:p>
            <w:pPr>
              <w:jc w:val="right"/>
              <w:spacing w:after="0" w:line="226" w:lineRule="exact"/>
              <w:rPr>
                <w:sz w:val="20"/>
                <w:szCs w:val="20"/>
                <w:color w:val="auto"/>
              </w:rPr>
            </w:pPr>
            <w:r>
              <w:rPr>
                <w:rFonts w:ascii="Arial" w:cs="Arial" w:eastAsia="Arial" w:hAnsi="Arial"/>
                <w:sz w:val="18"/>
                <w:szCs w:val="18"/>
                <w:b w:val="1"/>
                <w:bCs w:val="1"/>
                <w:color w:val="auto"/>
              </w:rPr>
              <w:t xml:space="preserve">First Quarter 2010 </w:t>
            </w:r>
            <w:r>
              <w:rPr>
                <w:rFonts w:ascii="Arial" w:cs="Arial" w:eastAsia="Arial" w:hAnsi="Arial"/>
                <w:sz w:val="25"/>
                <w:szCs w:val="25"/>
                <w:color w:val="auto"/>
                <w:vertAlign w:val="superscript"/>
              </w:rPr>
              <w:t>(1)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Nonaccrual</w:t>
            </w:r>
          </w:p>
        </w:tc>
        <w:tc>
          <w:tcPr>
            <w:tcW w:w="9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9"/>
              </w:rPr>
              <w:t>Foreclosed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700" w:type="dxa"/>
            <w:vAlign w:val="bottom"/>
            <w:tcBorders>
              <w:top w:val="single" w:sz="8" w:color="auto"/>
            </w:tcBorders>
            <w:shd w:val="clear" w:color="auto" w:fill="C0C0C0"/>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Nonaccrual</w:t>
            </w:r>
          </w:p>
        </w:tc>
        <w:tc>
          <w:tcPr>
            <w:tcW w:w="9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9"/>
              </w:rPr>
              <w:t>Foreclosed</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700" w:type="dxa"/>
            <w:vAlign w:val="bottom"/>
            <w:tcBorders>
              <w:top w:val="single" w:sz="8" w:color="auto"/>
            </w:tcBorders>
            <w:shd w:val="clear" w:color="auto" w:fill="C0C0C0"/>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0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Nonaccrual</w:t>
            </w:r>
          </w:p>
        </w:tc>
        <w:tc>
          <w:tcPr>
            <w:tcW w:w="9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9"/>
              </w:rPr>
              <w:t>Foreclosed</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jc w:val="right"/>
              <w:ind w:right="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shd w:val="clear" w:color="auto" w:fill="C0C0C0"/>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4"/>
              </w:rPr>
              <w:t>Properties</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700" w:type="dxa"/>
            <w:vAlign w:val="bottom"/>
            <w:tcBorders>
              <w:bottom w:val="single" w:sz="8" w:color="auto"/>
            </w:tcBorders>
            <w:shd w:val="clear" w:color="auto" w:fill="C0C0C0"/>
          </w:tcPr>
          <w:p>
            <w:pPr>
              <w:jc w:val="right"/>
              <w:ind w:right="90"/>
              <w:spacing w:after="0"/>
              <w:rPr>
                <w:sz w:val="20"/>
                <w:szCs w:val="20"/>
                <w:color w:val="auto"/>
              </w:rPr>
            </w:pPr>
            <w:r>
              <w:rPr>
                <w:rFonts w:ascii="Arial" w:cs="Arial" w:eastAsia="Arial" w:hAnsi="Arial"/>
                <w:sz w:val="18"/>
                <w:szCs w:val="18"/>
                <w:b w:val="1"/>
                <w:bCs w:val="1"/>
                <w:color w:val="auto"/>
              </w:rPr>
              <w:t>NPAs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Loans</w:t>
            </w:r>
          </w:p>
        </w:tc>
        <w:tc>
          <w:tcPr>
            <w:tcW w:w="22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4"/>
              </w:rPr>
              <w:t>Properties</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700" w:type="dxa"/>
            <w:vAlign w:val="bottom"/>
            <w:tcBorders>
              <w:bottom w:val="single" w:sz="8" w:color="auto"/>
            </w:tcBorders>
            <w:shd w:val="clear" w:color="auto" w:fill="C0C0C0"/>
          </w:tcPr>
          <w:p>
            <w:pPr>
              <w:jc w:val="right"/>
              <w:ind w:right="110"/>
              <w:spacing w:after="0"/>
              <w:rPr>
                <w:sz w:val="20"/>
                <w:szCs w:val="20"/>
                <w:color w:val="auto"/>
              </w:rPr>
            </w:pPr>
            <w:r>
              <w:rPr>
                <w:rFonts w:ascii="Arial" w:cs="Arial" w:eastAsia="Arial" w:hAnsi="Arial"/>
                <w:sz w:val="18"/>
                <w:szCs w:val="18"/>
                <w:b w:val="1"/>
                <w:bCs w:val="1"/>
                <w:color w:val="auto"/>
                <w:w w:val="99"/>
              </w:rPr>
              <w:t>NPAs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19"/>
                <w:szCs w:val="19"/>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96"/>
              </w:rPr>
              <w:t>Properties</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0C0C0"/>
          </w:tcPr>
          <w:p>
            <w:pPr>
              <w:spacing w:after="0"/>
              <w:rPr>
                <w:sz w:val="19"/>
                <w:szCs w:val="19"/>
                <w:color w:val="auto"/>
              </w:rPr>
            </w:pPr>
          </w:p>
        </w:tc>
        <w:tc>
          <w:tcPr>
            <w:tcW w:w="600" w:type="dxa"/>
            <w:vAlign w:val="bottom"/>
            <w:tcBorders>
              <w:bottom w:val="single" w:sz="8" w:color="auto"/>
            </w:tcBorders>
            <w:shd w:val="clear" w:color="auto" w:fill="C0C0C0"/>
          </w:tcPr>
          <w:p>
            <w:pPr>
              <w:jc w:val="right"/>
              <w:ind w:right="90"/>
              <w:spacing w:after="0"/>
              <w:rPr>
                <w:sz w:val="20"/>
                <w:szCs w:val="20"/>
                <w:color w:val="auto"/>
              </w:rPr>
            </w:pPr>
            <w:r>
              <w:rPr>
                <w:rFonts w:ascii="Arial" w:cs="Arial" w:eastAsia="Arial" w:hAnsi="Arial"/>
                <w:sz w:val="18"/>
                <w:szCs w:val="18"/>
                <w:b w:val="1"/>
                <w:bCs w:val="1"/>
                <w:color w:val="auto"/>
                <w:w w:val="83"/>
              </w:rPr>
              <w:t>NPAs</w:t>
            </w:r>
          </w:p>
        </w:tc>
        <w:tc>
          <w:tcPr>
            <w:tcW w:w="120" w:type="dxa"/>
            <w:vAlign w:val="bottom"/>
            <w:tcBorders>
              <w:bottom w:val="single" w:sz="8" w:color="C0C0C0"/>
            </w:tcBorders>
            <w:shd w:val="clear" w:color="auto" w:fill="C0C0C0"/>
          </w:tcPr>
          <w:p>
            <w:pPr>
              <w:spacing w:after="0"/>
              <w:rPr>
                <w:sz w:val="19"/>
                <w:szCs w:val="19"/>
                <w:color w:val="auto"/>
              </w:rPr>
            </w:pP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179,094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142,208</w:t>
            </w:r>
          </w:p>
        </w:tc>
        <w:tc>
          <w:tcPr>
            <w:tcW w:w="100" w:type="dxa"/>
            <w:vAlign w:val="bottom"/>
          </w:tcPr>
          <w:p>
            <w:pPr>
              <w:spacing w:after="0"/>
              <w:rPr>
                <w:sz w:val="24"/>
                <w:szCs w:val="24"/>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321,302</w:t>
            </w:r>
          </w:p>
        </w:tc>
        <w:tc>
          <w:tcPr>
            <w:tcW w:w="6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217,766</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129,964</w:t>
            </w:r>
          </w:p>
        </w:tc>
        <w:tc>
          <w:tcPr>
            <w:tcW w:w="100" w:type="dxa"/>
            <w:vAlign w:val="bottom"/>
          </w:tcPr>
          <w:p>
            <w:pPr>
              <w:spacing w:after="0"/>
              <w:rPr>
                <w:sz w:val="24"/>
                <w:szCs w:val="24"/>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347,730</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264,092</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120,770</w:t>
            </w:r>
          </w:p>
        </w:tc>
        <w:tc>
          <w:tcPr>
            <w:tcW w:w="100" w:type="dxa"/>
            <w:vAlign w:val="bottom"/>
          </w:tcPr>
          <w:p>
            <w:pPr>
              <w:spacing w:after="0"/>
              <w:rPr>
                <w:sz w:val="24"/>
                <w:szCs w:val="24"/>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384,862</w:t>
            </w:r>
          </w:p>
        </w:tc>
        <w:tc>
          <w:tcPr>
            <w:tcW w:w="120" w:type="dxa"/>
            <w:vAlign w:val="bottom"/>
            <w:shd w:val="clear" w:color="auto" w:fill="C0C0C0"/>
          </w:tcPr>
          <w:p>
            <w:pPr>
              <w:spacing w:after="0"/>
              <w:rPr>
                <w:sz w:val="24"/>
                <w:szCs w:val="24"/>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w w:val="99"/>
              </w:rPr>
              <w:t>Loans placed on non-accrual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70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54,730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81,023</w:t>
            </w:r>
          </w:p>
        </w:tc>
        <w:tc>
          <w:tcPr>
            <w:tcW w:w="1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70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rPr>
              <w:t>81,023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139,030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jc w:val="right"/>
              <w:spacing w:after="0" w:line="201" w:lineRule="exact"/>
              <w:rPr>
                <w:sz w:val="20"/>
                <w:szCs w:val="20"/>
                <w:color w:val="auto"/>
              </w:rPr>
            </w:pPr>
            <w:r>
              <w:rPr>
                <w:rFonts w:ascii="Arial" w:cs="Arial" w:eastAsia="Arial" w:hAnsi="Arial"/>
                <w:sz w:val="18"/>
                <w:szCs w:val="18"/>
                <w:color w:val="auto"/>
                <w:w w:val="89"/>
              </w:rPr>
              <w:t>139,030</w:t>
            </w:r>
          </w:p>
        </w:tc>
        <w:tc>
          <w:tcPr>
            <w:tcW w:w="120" w:type="dxa"/>
            <w:vAlign w:val="bottom"/>
            <w:shd w:val="clear" w:color="auto" w:fill="C0C0C0"/>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Payments received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(3,550)</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(7,250)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0C0C0"/>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Loan charge-offs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(43,969)</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(43,969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(47,913)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(47,913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(58,897)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(58,897)</w:t>
            </w:r>
          </w:p>
        </w:tc>
        <w:tc>
          <w:tcPr>
            <w:tcW w:w="120" w:type="dxa"/>
            <w:vAlign w:val="bottom"/>
            <w:shd w:val="clear" w:color="auto" w:fill="C0C0C0"/>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Foreclosures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(17,052)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(61,432)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61,432</w:t>
            </w: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(49,233)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49,233</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Capitalized costs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0C0C0"/>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Note / property sales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(44,547)</w:t>
            </w: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(55,947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(33,509)</w:t>
            </w: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(8,457)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(25,951)</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(34,408)</w:t>
            </w:r>
          </w:p>
        </w:tc>
        <w:tc>
          <w:tcPr>
            <w:tcW w:w="120" w:type="dxa"/>
            <w:vAlign w:val="bottom"/>
            <w:shd w:val="clear" w:color="auto" w:fill="C0C0C0"/>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Loans trans to held for sale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(74,084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Write downs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(48,585)</w:t>
            </w:r>
          </w:p>
        </w:tc>
        <w:tc>
          <w:tcPr>
            <w:tcW w:w="100" w:type="dxa"/>
            <w:vAlign w:val="bottom"/>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(48,585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0C0C0"/>
          </w:tcPr>
          <w:p>
            <w:pPr>
              <w:spacing w:after="0"/>
              <w:rPr>
                <w:sz w:val="18"/>
                <w:szCs w:val="18"/>
                <w:color w:val="auto"/>
              </w:rPr>
            </w:pPr>
          </w:p>
        </w:tc>
      </w:tr>
      <w:tr>
        <w:trPr>
          <w:trHeight w:val="237"/>
        </w:trPr>
        <w:tc>
          <w:tcPr>
            <w:tcW w:w="2320" w:type="dxa"/>
            <w:vAlign w:val="bottom"/>
          </w:tcPr>
          <w:p>
            <w:pPr>
              <w:spacing w:after="0"/>
              <w:rPr>
                <w:sz w:val="20"/>
                <w:szCs w:val="20"/>
                <w:color w:val="auto"/>
              </w:rPr>
            </w:pPr>
            <w:r>
              <w:rPr>
                <w:rFonts w:ascii="Arial" w:cs="Arial" w:eastAsia="Arial" w:hAnsi="Arial"/>
                <w:sz w:val="18"/>
                <w:szCs w:val="18"/>
                <w:color w:val="auto"/>
              </w:rPr>
              <w:t>Net gains (losses) on sales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0C0C0"/>
          </w:tcPr>
          <w:p>
            <w:pPr>
              <w:spacing w:after="0"/>
              <w:rPr>
                <w:sz w:val="20"/>
                <w:szCs w:val="20"/>
                <w:color w:val="auto"/>
              </w:rPr>
            </w:pPr>
          </w:p>
        </w:tc>
      </w:tr>
      <w:tr>
        <w:trPr>
          <w:trHeight w:val="257"/>
        </w:trPr>
        <w:tc>
          <w:tcPr>
            <w:tcW w:w="2320" w:type="dxa"/>
            <w:vAlign w:val="bottom"/>
          </w:tcPr>
          <w:p>
            <w:pPr>
              <w:ind w:left="2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138,147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179,094</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142,208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321,302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280,802</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136,275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417,077</w:t>
            </w:r>
          </w:p>
        </w:tc>
        <w:tc>
          <w:tcPr>
            <w:tcW w:w="120" w:type="dxa"/>
            <w:vAlign w:val="bottom"/>
            <w:tcBorders>
              <w:top w:val="single" w:sz="8" w:color="C0C0C0"/>
              <w:bottom w:val="single" w:sz="8" w:color="C0C0C0"/>
            </w:tcBorders>
            <w:shd w:val="clear" w:color="auto" w:fill="C0C0C0"/>
          </w:tcPr>
          <w:p>
            <w:pPr>
              <w:spacing w:after="0"/>
              <w:rPr>
                <w:sz w:val="22"/>
                <w:szCs w:val="22"/>
                <w:color w:val="auto"/>
              </w:rPr>
            </w:pPr>
          </w:p>
        </w:tc>
      </w:tr>
    </w:tbl>
    <w:p>
      <w:pPr>
        <w:spacing w:after="0" w:line="16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1" w:lineRule="exact"/>
        <w:rPr>
          <w:rFonts w:ascii="Arial" w:cs="Arial" w:eastAsia="Arial" w:hAnsi="Arial"/>
          <w:sz w:val="23"/>
          <w:szCs w:val="23"/>
          <w:color w:val="auto"/>
          <w:vertAlign w:val="superscript"/>
        </w:rPr>
      </w:pPr>
    </w:p>
    <w:p>
      <w:pPr>
        <w:ind w:right="180" w:firstLine="8"/>
        <w:spacing w:after="0" w:line="262" w:lineRule="auto"/>
        <w:tabs>
          <w:tab w:leader="none" w:pos="189"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NPA activity shown for the first quarter of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mark them down to the expected proceeds from the sale.</w:t>
      </w:r>
    </w:p>
    <w:p>
      <w:pPr>
        <w:spacing w:after="0" w:line="200" w:lineRule="exact"/>
        <w:rPr>
          <w:sz w:val="20"/>
          <w:szCs w:val="20"/>
          <w:color w:val="auto"/>
        </w:rPr>
      </w:pP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For the first quarters of 2011 and 2010, United transferred $17.1 million and $49.2 million, respectively, of loans into foreclosed property. During the same periods, proceeds from sales of OREO were $44.5 million and $26.0 million, respectively, which includes $8.54 million and $4.26 million of sales that were financed by United, respectively. During the first quarter of 2011, United recorded $48.6 million in write-downs on foreclosed property in order to expedite sales in the second and third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March 31, 2011 increased $357 million from a year ago. The increase in the securities portfolio was a result of a buildup of liquidity resulting partially from strong core deposit growth with little loan demand to invest the proceeds. In addition, United has intentionally sought to maintain above normal amounts of liquidity due to the uncertain economy. United invested the proceeds from deposits in short-term commercial paper and floating rate mortgage-backed securities. United chose floating rate securities because they have less market risk in the event rates begin to rise.</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2010, United transferred securities available for sale with a fair value of $315 million to held to maturity. The transferred securities were those that United has the ability and positive intent to hold until maturity. Generally, the transferred securities had longer durations and were more susceptible to market price volatility due to changes in interest rates. At March 31, 2011, United had securities held to maturity with a carrying value of $245 million and securities available for sale totaling $1.64 billion. At March 31, 2011, December 31, 2010, and March 31, 2010, the securities portfolio represented approximately 24%, 20%, and 19% of total assets,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U.S. Government agency securities, corporate bonds,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 As a result of the significant drop in United’s stock price during the third quarter of 2010, United conducted an interim goodwill impairment test to determine if the stock price decline might indicate goodwill was impaired. United’s third quarter interim 2010 impairment test indicated that goodwill was in fact impaired and United recorded a charge to earnings for the entire remaining balance of $211 million. In performing the interim impairment test, United engaged the services of a national third party valuation expert who employed commonly used valuation techniques including an earnings approach that considered discounted future expected cash earnings and three market approaches.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very successful in increasing core transaction deposit accounts and reducing more costly time deposit balances as United’s funding needs decreased due to lower loan demand. United has continued to pursue customer transaction deposits by stressing its high customer satisfaction scores.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deposits as of March 31, 2011 were $6.60 billion, an increase of $110 million, or 2%, from March 31, 2010. Total non-interest-bearing demand deposit accounts of $865 million increased $124 million, or 17%, due to the success of core deposit programs. Also impacted by the programs were NOW, money market and savings accounts of $2.48 billion which increased $221 million, or 10%, from March 31, 2010.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time deposits, excluding brokered deposits, as of March 31, 2011 were $2.57 billion, down $208 million from March 31, 2010. Time deposits less than $100,000 totaled $1.58 billion, a decrease of $66.6 million, or 4%, from a year ago. Time deposits of $100,000 and greater totaled $990 million as of March 31, 2011, a decrease of $142 million, or 13%, from March 31, 2010. United continued to offer low rates on certificates of deposit, allowing balances to decline as United’s funding needs declined due to weak loan demand.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$55.1 million and $114 million as of March 31, 2011 and 2010, respectively. United anticipates continued use of this short- and long-term source of funds. FHLB advances outstanding at March 31, 2011 had fixed interest rates ranging up to 4.49%. During the third quarter of 2010, United prepaid approximately $50 million of fixed-rate advances and incurred prepayment charges of $2.23 million. Additional information regarding FHLB advances is provided in Note 11 to the consolidated financial statements included in United’s 2010 Form 10-K.</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2011 and 2010, United had $102 million in repurchase agreements and other short-term borrowings outstanding, United takes advantage of these additional sources of liquidity when rates are favorable compared to other forms of short-term borrowings, such as FHLB advances and brokered deposits.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ALCO meets periodically and has responsibility for approving asset/liability management policies, formulating and implementing strategies to improve balance sheet positioning and/or earnings, and reviewing United’s interest rate sensitivity.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March 31, 2011 and 2010 made use of the down 200 basis points scenario problematic. At March 31, 2011 United’s simulation model indicated that a 200 basis point increase in rates would cause an approximate 3.39% increase in net interest revenue over the next twelve months, and a 25 basis point decrease would cause an approximate .09% increase in net interest revenue over the next twelve months. The increase of 3.39% in net interest revenue for a 200 basis point ramp up of interest rates was impacted by the significant amount of excess liquidity at March 31, 2011. If excess liquidity were reduced to a normal level, the 3.39% increase would be reduced to an increase of .11% which is consistent with our policy to manage our interest rate risk closer to a neutral position. At March 31, 2010, United’s simulation model indicated that a 200 basis point increase in rates would cause an approximate .65% increase in net interest revenue and a 25 basis point decrease in rates over the next twelve months would cause an approximate .77% increase in net interest revenue.</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Varying interest rate environments can create unexpected changes in prepayment levels of assets and liabilities that are not reflected in an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and receives a fixed rate and interest rate floor contracts where United pays a premium up front to a counterparty to the right to be compensated if a specified rate index falls below a pre-determined floor rate.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March 31, 2011, United did not have any active derivative contracts outstanding.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 w:name="page51"/>
    <w:bookmarkEnd w:id="50"/>
    <w:p>
      <w:pPr>
        <w:jc w:val="both"/>
        <w:spacing w:after="0" w:line="254"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March 31, 2011, United had $15.5 million in gains from terminated derivative positions included in other comprehensive income that will be amortized into earnings over their remaining original contract terms. Approximately $10.2 million is expected to be reclassified into interest revenue over the next twelve months.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$25.4 million at March 31, 2011, and typically turn over every 45 days as the closed loans are sold to investors in the secondary market. In addition, at March 31, 2011 United held $1.2 billion in excess liquidity including $470 million in short-term commercial paper, $440 million in balances in excess of reserve requirements at the Federal Reserve Bank and $300 million in floating rate mortgage-backed securities.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parent company’s liquidity is obtained from subsidiary service fees and dividends from the Bank, which is limited by applicable law.</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2011, United had sufficient qualifying collateral to increase FHLB advances by $979 million and Federal Reserve discount window capacity of $149 million. United’s internal policy limits brokered deposits to 25% of total assets. At March 31, 2011, United had the capacity to increase brokered deposits by $1.31 billion, subject to certain regulatory approvals, and still remain within this limit. In addition to these wholesale sources, United has the ability to attract retail deposits at any time by competing more aggressively on pricing.</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disclosed in United's consolidated statement of cash flows, net cash provided by operating activities was $40.1 million for the three months ended March 31, 2011. The net loss of $142 million for the three month period included non-cash expenses for the provision for loan losses of $190 million and losses and write downs on foreclosed property of $60.6 million. As an offset, other assets increased $90.3 million, primarily due to an increase in deferred tax assets. Net cash used in investing activities of $92.4 million consisted primarily of purchases of securities of $407 million and purchases of premises and equipment of $3.60 million, that were offset by proceeds from sales of securities of $51.2 million, maturities and calls of investment securities of $137 million, net proceeds from sales of other real estate and notes of $47.4 million, and a net decrease in loans of $93.9 million. Net cash provided by financing activities of $493 million consisted primarily of a net increase of $129 million in deposits and the proceeds from $363 million in newly issued common and preferred stock. In the opinion of management, United had a significant excess liquidity position at March 31, 2011, which was sufficient to meet its expected cash flow requirements.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at March 31, 2011 was $850 million, an increase of $215 million from December 31, 2010.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increased $218 million from December 31, 2010.</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2011, United closed the Private Placement. Pursuant to the Private Placement, the Investors purchased and United issued $3.29 million of the Company’s existing common stock, consisting of 17,338,497 shares, for $1.90 per share and issued $347 million in preferred stock consisting of 195,872 shares of Series F Preferred Stock, and 151,185 shares of Series G Preferred Stock. Under the terms of the Private Placement Agreement and following receipt of required shareholder approvals, the Series F Preferred Stock will be mandatorily convertible into 103,090,506 shares of voting common stock and the Series G Preferred Stock will be mandatorily convertible into 79,570,997 shares of non-voting common stock. Following such conversion, the Investors will own an aggregate of 120,429,003 shares of common stock and 79,570,997 shares of non-voting common stock. The Private Placement resulted in an increase to shareholders’ equity of $363 million.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2011, the Company entered into the Share Exchange Agreement with the Elm Ridge Parties. Under the Share Exchange Agreement, the Elm Ridge Parties agreed to transfer to the Company 7,755,631 shares of the Company’s common stock in exchange for 16,613 Series D Preferred Shares and warrants to purchase 7,755,631 common shares.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accrued $2.3 million in dividends on Series A and Series B preferred stock in the first quarter of 2011 as well as $173,000 in dividends on Series D preferred stock. United recognizes that cash dividends are an important component of shareholder value, and therefore, intends to provide for cash dividends when earnings, capital levels and other factors permit.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Resolution provides that United may not incur additional indebtedness, pay cash dividends, make payments on our trust preferred securities or repurchase outstanding stock without prior approval of the Federal Reserve. We were not given permission to pay interest on our trust preferred securities and dividends on our preferred stock during the first quarter of 2011. As a result of such deferrals, United may not pay dividends on any of common or preferred stock or trust preferred securities until all accrued and unpaid amounts under the deferred securities have been paid. Effective April 15, 2011, United received approval from the Federal Reserve for payment of currently payable and previously deferred dividends and interest on its preferred stock and trust preferred securities.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is currently subject to a memorandum of understanding (“MOU”) which requires, among other things, that the Bank maintain its Tier 1 leverage ratio at not less than 8% and its total risk-based capital ratio at not less than 10% during the life of the MOU. Additionally, the MOU requires that, prior to declaring or paying any cash dividends to United, the Bank must obtain the written consent of its regulators.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2011 and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Stock Price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left="30"/>
              <w:spacing w:after="0" w:line="198" w:lineRule="exact"/>
              <w:rPr>
                <w:sz w:val="20"/>
                <w:szCs w:val="20"/>
                <w:color w:val="auto"/>
              </w:rPr>
            </w:pPr>
            <w:r>
              <w:rPr>
                <w:rFonts w:ascii="Arial" w:cs="Arial" w:eastAsia="Arial" w:hAnsi="Arial"/>
                <w:sz w:val="18"/>
                <w:szCs w:val="18"/>
                <w:b w:val="1"/>
                <w:bCs w:val="1"/>
                <w:color w:val="auto"/>
                <w:w w:val="90"/>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Avg Daily</w:t>
            </w:r>
          </w:p>
        </w:tc>
        <w:tc>
          <w:tcPr>
            <w:tcW w:w="20" w:type="dxa"/>
            <w:vAlign w:val="bottom"/>
          </w:tcPr>
          <w:p>
            <w:pPr>
              <w:spacing w:after="0"/>
              <w:rPr>
                <w:sz w:val="17"/>
                <w:szCs w:val="17"/>
                <w:color w:val="auto"/>
              </w:rPr>
            </w:pPr>
          </w:p>
        </w:tc>
      </w:tr>
      <w:tr>
        <w:trPr>
          <w:trHeight w:val="241"/>
        </w:trPr>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Close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Volume</w:t>
            </w:r>
          </w:p>
        </w:tc>
        <w:tc>
          <w:tcPr>
            <w:tcW w:w="20" w:type="dxa"/>
            <w:vAlign w:val="bottom"/>
          </w:tcPr>
          <w:p>
            <w:pPr>
              <w:spacing w:after="0"/>
              <w:rPr>
                <w:sz w:val="20"/>
                <w:szCs w:val="20"/>
                <w:color w:val="auto"/>
              </w:rPr>
            </w:pP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1,136,603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882,923</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849,987</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Third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810,161</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1,084,578</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 w:name="page53"/>
    <w:bookmarkEnd w:id="52"/>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United’s capital ratios, as calculated under regulatory guidelines, at March 31, 2011, December 31, 2010 and March 31, 2010.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80" w:type="dxa"/>
            <w:vAlign w:val="bottom"/>
            <w:gridSpan w:val="4"/>
          </w:tcPr>
          <w:p>
            <w:pPr>
              <w:ind w:left="600"/>
              <w:spacing w:after="0"/>
              <w:rPr>
                <w:sz w:val="20"/>
                <w:szCs w:val="20"/>
                <w:color w:val="auto"/>
              </w:rPr>
            </w:pPr>
            <w:r>
              <w:rPr>
                <w:rFonts w:ascii="Arial" w:cs="Arial" w:eastAsia="Arial" w:hAnsi="Arial"/>
                <w:sz w:val="18"/>
                <w:szCs w:val="18"/>
                <w:b w:val="1"/>
                <w:bCs w:val="1"/>
                <w:color w:val="auto"/>
              </w:rPr>
              <w:t>Regulatory</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6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96"/>
              </w:rPr>
              <w:t>United Community Banks, Inc.</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2280" w:type="dxa"/>
            <w:vAlign w:val="bottom"/>
            <w:gridSpan w:val="4"/>
          </w:tcPr>
          <w:p>
            <w:pPr>
              <w:ind w:left="620"/>
              <w:spacing w:after="0"/>
              <w:rPr>
                <w:sz w:val="20"/>
                <w:szCs w:val="20"/>
                <w:color w:val="auto"/>
              </w:rPr>
            </w:pPr>
            <w:r>
              <w:rPr>
                <w:rFonts w:ascii="Arial" w:cs="Arial" w:eastAsia="Arial" w:hAnsi="Arial"/>
                <w:sz w:val="18"/>
                <w:szCs w:val="18"/>
                <w:b w:val="1"/>
                <w:bCs w:val="1"/>
                <w:color w:val="auto"/>
              </w:rPr>
              <w:t>Guidelines</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(Consolidated)</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4"/>
              </w:rPr>
              <w:t>December</w:t>
            </w:r>
          </w:p>
        </w:tc>
        <w:tc>
          <w:tcPr>
            <w:tcW w:w="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4"/>
              </w:rPr>
              <w:t>December</w:t>
            </w: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Well</w:t>
            </w:r>
          </w:p>
        </w:tc>
        <w:tc>
          <w:tcPr>
            <w:tcW w:w="60" w:type="dxa"/>
            <w:vAlign w:val="bottom"/>
          </w:tcPr>
          <w:p>
            <w:pPr>
              <w:spacing w:after="0"/>
              <w:rPr>
                <w:sz w:val="20"/>
                <w:szCs w:val="20"/>
                <w:color w:val="auto"/>
              </w:rPr>
            </w:pPr>
          </w:p>
        </w:tc>
        <w:tc>
          <w:tcPr>
            <w:tcW w:w="20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March 31, 2011</w:t>
            </w:r>
          </w:p>
        </w:tc>
        <w:tc>
          <w:tcPr>
            <w:tcW w:w="26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Minimum</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0"/>
              </w:rPr>
              <w:t>Capitalized</w:t>
            </w:r>
          </w:p>
        </w:tc>
        <w:tc>
          <w:tcPr>
            <w:tcW w:w="60" w:type="dxa"/>
            <w:vAlign w:val="bottom"/>
          </w:tcPr>
          <w:p>
            <w:pPr>
              <w:spacing w:after="0"/>
              <w:rPr>
                <w:sz w:val="17"/>
                <w:szCs w:val="17"/>
                <w:color w:val="auto"/>
              </w:rPr>
            </w:pPr>
          </w:p>
        </w:tc>
        <w:tc>
          <w:tcPr>
            <w:tcW w:w="1080" w:type="dxa"/>
            <w:vAlign w:val="bottom"/>
            <w:gridSpan w:val="2"/>
          </w:tcPr>
          <w:p>
            <w:pPr>
              <w:jc w:val="center"/>
              <w:ind w:right="110"/>
              <w:spacing w:after="0" w:line="202" w:lineRule="exact"/>
              <w:rPr>
                <w:sz w:val="20"/>
                <w:szCs w:val="20"/>
                <w:color w:val="auto"/>
              </w:rPr>
            </w:pPr>
            <w:r>
              <w:rPr>
                <w:rFonts w:ascii="Arial" w:cs="Arial" w:eastAsia="Arial" w:hAnsi="Arial"/>
                <w:sz w:val="18"/>
                <w:szCs w:val="18"/>
                <w:b w:val="1"/>
                <w:bCs w:val="1"/>
                <w:color w:val="auto"/>
                <w:w w:val="93"/>
              </w:rPr>
              <w:t>Pro Forma</w:t>
            </w:r>
          </w:p>
        </w:tc>
        <w:tc>
          <w:tcPr>
            <w:tcW w:w="60" w:type="dxa"/>
            <w:vAlign w:val="bottom"/>
          </w:tcPr>
          <w:p>
            <w:pPr>
              <w:spacing w:after="0"/>
              <w:rPr>
                <w:sz w:val="17"/>
                <w:szCs w:val="17"/>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Actual</w:t>
            </w: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7"/>
                <w:szCs w:val="17"/>
                <w:color w:val="auto"/>
              </w:rPr>
            </w:pPr>
          </w:p>
        </w:tc>
        <w:tc>
          <w:tcPr>
            <w:tcW w:w="90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7"/>
                <w:szCs w:val="17"/>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7"/>
                <w:szCs w:val="17"/>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7"/>
                <w:szCs w:val="17"/>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Risk-based</w:t>
            </w: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ratios: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80"/>
              <w:spacing w:after="0"/>
              <w:rPr>
                <w:sz w:val="20"/>
                <w:szCs w:val="20"/>
                <w:color w:val="auto"/>
              </w:rPr>
            </w:pPr>
            <w:r>
              <w:rPr>
                <w:rFonts w:ascii="Arial" w:cs="Arial" w:eastAsia="Arial" w:hAnsi="Arial"/>
                <w:sz w:val="18"/>
                <w:szCs w:val="18"/>
                <w:color w:val="auto"/>
              </w:rPr>
              <w:t>Tier I</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capital</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13.23%</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7.81%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11.72%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112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capital</w:t>
            </w:r>
          </w:p>
        </w:tc>
        <w:tc>
          <w:tcPr>
            <w:tcW w:w="880" w:type="dxa"/>
            <w:vAlign w:val="bottom"/>
          </w:tcPr>
          <w:p>
            <w:pPr>
              <w:ind w:left="660"/>
              <w:spacing w:after="0"/>
              <w:rPr>
                <w:sz w:val="20"/>
                <w:szCs w:val="20"/>
                <w:color w:val="auto"/>
              </w:rPr>
            </w:pPr>
            <w:r>
              <w:rPr>
                <w:rFonts w:ascii="Arial" w:cs="Arial" w:eastAsia="Arial" w:hAnsi="Arial"/>
                <w:sz w:val="18"/>
                <w:szCs w:val="18"/>
                <w:color w:val="auto"/>
                <w:w w:val="79"/>
              </w:rPr>
              <w:t>8.0</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15.72</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15.63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12.11</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14.45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14.73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12.48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Leverage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ratio</w:t>
            </w:r>
          </w:p>
        </w:tc>
        <w:tc>
          <w:tcPr>
            <w:tcW w:w="880" w:type="dxa"/>
            <w:vAlign w:val="bottom"/>
          </w:tcPr>
          <w:p>
            <w:pPr>
              <w:ind w:left="660"/>
              <w:spacing w:after="0"/>
              <w:rPr>
                <w:sz w:val="20"/>
                <w:szCs w:val="20"/>
                <w:color w:val="auto"/>
              </w:rPr>
            </w:pPr>
            <w:r>
              <w:rPr>
                <w:rFonts w:ascii="Arial" w:cs="Arial" w:eastAsia="Arial" w:hAnsi="Arial"/>
                <w:sz w:val="18"/>
                <w:szCs w:val="18"/>
                <w:color w:val="auto"/>
                <w:w w:val="79"/>
              </w:rPr>
              <w:t>3.0</w:t>
            </w:r>
          </w:p>
        </w:tc>
        <w:tc>
          <w:tcPr>
            <w:tcW w:w="2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8.54</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5.05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6.75</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8.15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418"/>
        </w:trPr>
        <w:tc>
          <w:tcPr>
            <w:tcW w:w="1120" w:type="dxa"/>
            <w:vAlign w:val="bottom"/>
          </w:tcPr>
          <w:p>
            <w:pPr>
              <w:ind w:left="180"/>
              <w:spacing w:after="0"/>
              <w:rPr>
                <w:sz w:val="20"/>
                <w:szCs w:val="20"/>
                <w:color w:val="auto"/>
              </w:rPr>
            </w:pPr>
            <w:r>
              <w:rPr>
                <w:rFonts w:ascii="Arial" w:cs="Arial" w:eastAsia="Arial" w:hAnsi="Arial"/>
                <w:sz w:val="18"/>
                <w:szCs w:val="18"/>
                <w:color w:val="auto"/>
              </w:rPr>
              <w:t>Tier I</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capital</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  627,423</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  370,621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483,257</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  622,287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   611,958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534,161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   664,163</w:t>
            </w:r>
          </w:p>
        </w:tc>
        <w:tc>
          <w:tcPr>
            <w:tcW w:w="0" w:type="dxa"/>
            <w:vAlign w:val="bottom"/>
          </w:tcPr>
          <w:p>
            <w:pPr>
              <w:spacing w:after="0"/>
              <w:rPr>
                <w:sz w:val="1"/>
                <w:szCs w:val="1"/>
                <w:color w:val="auto"/>
              </w:rPr>
            </w:pPr>
          </w:p>
        </w:tc>
      </w:tr>
      <w:tr>
        <w:trPr>
          <w:trHeight w:val="216"/>
        </w:trPr>
        <w:tc>
          <w:tcPr>
            <w:tcW w:w="112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capital</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745,721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741,242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605,204</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767,099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695,948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621,807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761,777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firstLine="8"/>
        <w:spacing w:after="0" w:line="342"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 forma ratios and capital amounts assume conversion of Series F and Series G preferred stock to common stock as of period-end. Conversion is mandatory following shareholder approval of the transaction which is expected at United's annual shareholders' meeting on June 16, 2011.</w:t>
      </w: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 w:name="page54"/>
    <w:bookmarkEnd w:id="53"/>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2011 from that presented in the Annual Report on Form 10-K for the year ended December 31, 2010. The interest rate sensitivity position at March 31, 2011 is included in management’s discussion and analysis on page 48 of this report.</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March 31, 2011.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United’s Form 10-K for the year ended December 31,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580" w:type="dxa"/>
            <w:vAlign w:val="bottom"/>
          </w:tcPr>
          <w:p>
            <w:pPr>
              <w:ind w:left="160"/>
              <w:spacing w:after="0"/>
              <w:rPr>
                <w:sz w:val="20"/>
                <w:szCs w:val="20"/>
                <w:color w:val="auto"/>
              </w:rPr>
            </w:pPr>
            <w:r>
              <w:rPr>
                <w:rFonts w:ascii="Arial" w:cs="Arial" w:eastAsia="Arial" w:hAnsi="Arial"/>
                <w:sz w:val="18"/>
                <w:szCs w:val="18"/>
                <w:b w:val="1"/>
                <w:bCs w:val="1"/>
                <w:color w:val="auto"/>
              </w:rPr>
              <w:t>Unregistered Sales of Equity Securities and Use of Proceeds – None</w:t>
            </w: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580" w:type="dxa"/>
            <w:vAlign w:val="bottom"/>
          </w:tcPr>
          <w:p>
            <w:pPr>
              <w:ind w:left="160"/>
              <w:spacing w:after="0"/>
              <w:rPr>
                <w:sz w:val="20"/>
                <w:szCs w:val="20"/>
                <w:color w:val="auto"/>
              </w:rPr>
            </w:pPr>
            <w:r>
              <w:rPr>
                <w:rFonts w:ascii="Arial" w:cs="Arial" w:eastAsia="Arial" w:hAnsi="Arial"/>
                <w:sz w:val="18"/>
                <w:szCs w:val="18"/>
                <w:b w:val="1"/>
                <w:bCs w:val="1"/>
                <w:color w:val="auto"/>
              </w:rPr>
              <w:t>Defaults upon Senior Securities – None</w:t>
            </w: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580" w:type="dxa"/>
            <w:vAlign w:val="bottom"/>
          </w:tcPr>
          <w:p>
            <w:pPr>
              <w:ind w:left="160"/>
              <w:spacing w:after="0"/>
              <w:rPr>
                <w:sz w:val="20"/>
                <w:szCs w:val="20"/>
                <w:color w:val="auto"/>
              </w:rPr>
            </w:pPr>
            <w:r>
              <w:rPr>
                <w:rFonts w:ascii="Arial" w:cs="Arial" w:eastAsia="Arial" w:hAnsi="Arial"/>
                <w:sz w:val="18"/>
                <w:szCs w:val="18"/>
                <w:b w:val="1"/>
                <w:bCs w:val="1"/>
                <w:color w:val="auto"/>
              </w:rPr>
              <w:t>(Removed and Reserved)</w:t>
            </w: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80" w:type="dxa"/>
            <w:vAlign w:val="bottom"/>
          </w:tcPr>
          <w:p>
            <w:pPr>
              <w:ind w:left="160"/>
              <w:spacing w:after="0"/>
              <w:rPr>
                <w:sz w:val="20"/>
                <w:szCs w:val="20"/>
                <w:color w:val="auto"/>
              </w:rPr>
            </w:pPr>
            <w:r>
              <w:rPr>
                <w:rFonts w:ascii="Arial" w:cs="Arial" w:eastAsia="Arial" w:hAnsi="Arial"/>
                <w:sz w:val="18"/>
                <w:szCs w:val="18"/>
                <w:b w:val="1"/>
                <w:bCs w:val="1"/>
                <w:color w:val="auto"/>
              </w:rPr>
              <w:t>Other Information – None</w:t>
            </w: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840" w:type="dxa"/>
            <w:vAlign w:val="bottom"/>
          </w:tcPr>
          <w:p>
            <w:pPr>
              <w:ind w:left="480"/>
              <w:spacing w:after="0"/>
              <w:rPr>
                <w:sz w:val="20"/>
                <w:szCs w:val="20"/>
                <w:color w:val="auto"/>
              </w:rPr>
            </w:pPr>
            <w:r>
              <w:rPr>
                <w:rFonts w:ascii="Arial" w:cs="Arial" w:eastAsia="Arial" w:hAnsi="Arial"/>
                <w:sz w:val="18"/>
                <w:szCs w:val="18"/>
                <w:color w:val="auto"/>
              </w:rPr>
              <w:t>3.1</w:t>
            </w:r>
          </w:p>
        </w:tc>
        <w:tc>
          <w:tcPr>
            <w:tcW w:w="10580" w:type="dxa"/>
            <w:vAlign w:val="bottom"/>
          </w:tcPr>
          <w:p>
            <w:pPr>
              <w:ind w:left="480"/>
              <w:spacing w:after="0"/>
              <w:rPr>
                <w:sz w:val="20"/>
                <w:szCs w:val="20"/>
                <w:color w:val="auto"/>
              </w:rPr>
            </w:pPr>
            <w:r>
              <w:rPr>
                <w:rFonts w:ascii="Arial" w:cs="Arial" w:eastAsia="Arial" w:hAnsi="Arial"/>
                <w:sz w:val="18"/>
                <w:szCs w:val="18"/>
                <w:color w:val="auto"/>
              </w:rPr>
              <w:t>Restated Articles of Incorporation of United Community Banks, Inc., as amended.</w:t>
            </w:r>
          </w:p>
        </w:tc>
      </w:tr>
      <w:tr>
        <w:trPr>
          <w:trHeight w:val="432"/>
        </w:trPr>
        <w:tc>
          <w:tcPr>
            <w:tcW w:w="840" w:type="dxa"/>
            <w:vAlign w:val="bottom"/>
          </w:tcPr>
          <w:p>
            <w:pPr>
              <w:ind w:left="480"/>
              <w:spacing w:after="0"/>
              <w:rPr>
                <w:sz w:val="20"/>
                <w:szCs w:val="20"/>
                <w:color w:val="auto"/>
              </w:rPr>
            </w:pPr>
            <w:r>
              <w:rPr>
                <w:rFonts w:ascii="Arial" w:cs="Arial" w:eastAsia="Arial" w:hAnsi="Arial"/>
                <w:sz w:val="18"/>
                <w:szCs w:val="18"/>
                <w:color w:val="auto"/>
              </w:rPr>
              <w:t>3.2</w:t>
            </w:r>
          </w:p>
        </w:tc>
        <w:tc>
          <w:tcPr>
            <w:tcW w:w="10580" w:type="dxa"/>
            <w:vAlign w:val="bottom"/>
          </w:tcPr>
          <w:p>
            <w:pPr>
              <w:ind w:left="480"/>
              <w:spacing w:after="0"/>
              <w:rPr>
                <w:sz w:val="20"/>
                <w:szCs w:val="20"/>
                <w:color w:val="auto"/>
              </w:rPr>
            </w:pPr>
            <w:r>
              <w:rPr>
                <w:rFonts w:ascii="Arial" w:cs="Arial" w:eastAsia="Arial" w:hAnsi="Arial"/>
                <w:sz w:val="18"/>
                <w:szCs w:val="18"/>
                <w:color w:val="auto"/>
              </w:rPr>
              <w:t>Amended and Restated Bylaws of United Community Banks, Inc., dated September 12, 1997, as amended.</w:t>
            </w:r>
          </w:p>
        </w:tc>
      </w:tr>
      <w:tr>
        <w:trPr>
          <w:trHeight w:val="418"/>
        </w:trPr>
        <w:tc>
          <w:tcPr>
            <w:tcW w:w="840" w:type="dxa"/>
            <w:vAlign w:val="bottom"/>
          </w:tcPr>
          <w:p>
            <w:pPr>
              <w:ind w:left="480"/>
              <w:spacing w:after="0"/>
              <w:rPr>
                <w:sz w:val="20"/>
                <w:szCs w:val="20"/>
                <w:color w:val="auto"/>
              </w:rPr>
            </w:pPr>
            <w:r>
              <w:rPr>
                <w:rFonts w:ascii="Arial" w:cs="Arial" w:eastAsia="Arial" w:hAnsi="Arial"/>
                <w:sz w:val="18"/>
                <w:szCs w:val="18"/>
                <w:color w:val="auto"/>
              </w:rPr>
              <w:t>4.1</w:t>
            </w:r>
          </w:p>
        </w:tc>
        <w:tc>
          <w:tcPr>
            <w:tcW w:w="10580" w:type="dxa"/>
            <w:vAlign w:val="bottom"/>
          </w:tcPr>
          <w:p>
            <w:pPr>
              <w:ind w:left="480"/>
              <w:spacing w:after="0"/>
              <w:rPr>
                <w:sz w:val="20"/>
                <w:szCs w:val="20"/>
                <w:color w:val="auto"/>
              </w:rPr>
            </w:pPr>
            <w:r>
              <w:rPr>
                <w:rFonts w:ascii="Arial" w:cs="Arial" w:eastAsia="Arial" w:hAnsi="Arial"/>
                <w:sz w:val="18"/>
                <w:szCs w:val="18"/>
                <w:color w:val="auto"/>
                <w:w w:val="94"/>
              </w:rPr>
              <w:t>See Exhibits 3.1 and 3.2 for provisions of the Restated Articles of Incorporation, as amended, and Amended and Restated Bylaws, as</w:t>
            </w:r>
          </w:p>
        </w:tc>
      </w:tr>
      <w:tr>
        <w:trPr>
          <w:trHeight w:val="230"/>
        </w:trPr>
        <w:tc>
          <w:tcPr>
            <w:tcW w:w="840" w:type="dxa"/>
            <w:vAlign w:val="bottom"/>
          </w:tcPr>
          <w:p>
            <w:pPr>
              <w:spacing w:after="0"/>
              <w:rPr>
                <w:sz w:val="20"/>
                <w:szCs w:val="20"/>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amended, which define the rights of security holders.</w:t>
            </w:r>
          </w:p>
        </w:tc>
      </w:tr>
      <w:tr>
        <w:trPr>
          <w:trHeight w:val="608"/>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52</w:t>
            </w:r>
          </w:p>
        </w:tc>
      </w:tr>
      <w:tr>
        <w:trPr>
          <w:trHeight w:val="118"/>
        </w:trPr>
        <w:tc>
          <w:tcPr>
            <w:tcW w:w="840" w:type="dxa"/>
            <w:vAlign w:val="bottom"/>
            <w:tcBorders>
              <w:bottom w:val="single" w:sz="8" w:color="808080"/>
            </w:tcBorders>
          </w:tcPr>
          <w:p>
            <w:pPr>
              <w:spacing w:after="0"/>
              <w:rPr>
                <w:sz w:val="10"/>
                <w:szCs w:val="10"/>
                <w:color w:val="auto"/>
              </w:rPr>
            </w:pPr>
          </w:p>
        </w:tc>
        <w:tc>
          <w:tcPr>
            <w:tcW w:w="10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Tax Benefits Preservation Plan, dated as of February 22, 2011, by and between United Community Banks, Inc. and Illinois Stock Transfer</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8"/>
              </w:rPr>
              <w:t>Company, which includes the Company’s Articles of Amendment to its Restated Articles of Incorporation, setting forth the rights,</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2"/>
              </w:rPr>
              <w:t>restrictions, privileges and preferences of the Junior Participating Preferred Stock, Series E, as Exhibit A and Form of Right Certificate as</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Exhibit B (incorporated herein by reference to Exhibit 4.1 to United Community Banks, Inc.’s Current Report on Form 8-K, filed with the</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Commission on February 24, 2011.)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Form of Summary of Rights for Tax Benefits Preservation Plan, dated as of February 22, 2011, by and between United Community Banks,</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5"/>
              </w:rPr>
              <w:t>Inc. and Illinois Stock Transfer Company (incorporated herein by reference to Exhibit 4.2 to United Community Banks, Inc.’s Current</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Report on Form 8-K, filed with the Commission on February 24, 2011.)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Form of Warrant to Purchase Shares of Common Stock issued on February 22, 2011 (incorporated herein by reference to Exhibit 4.3 to</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United Community Banks, Inc.’s Current Report on Form 8-K, filed with the Commission on February 24, 2011.)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Amendment to Tax Benefits Preservation Plan, dated as of March 29, 2011, by and between United Community Banks, Inc. and Illinois</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3"/>
              </w:rPr>
              <w:t>Stock Transfer Company (incorporated herein by reference to Exhibit 4.1 to United Community Banks, Inc.’s Current Report on Form 8-</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K, filed with the Commission on March 31, 2011.)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10.1</w:t>
            </w:r>
          </w:p>
        </w:tc>
        <w:tc>
          <w:tcPr>
            <w:tcW w:w="10440" w:type="dxa"/>
            <w:vAlign w:val="bottom"/>
          </w:tcPr>
          <w:p>
            <w:pPr>
              <w:ind w:left="400"/>
              <w:spacing w:after="0"/>
              <w:rPr>
                <w:sz w:val="20"/>
                <w:szCs w:val="20"/>
                <w:color w:val="auto"/>
              </w:rPr>
            </w:pPr>
            <w:r>
              <w:rPr>
                <w:rFonts w:ascii="Arial" w:cs="Arial" w:eastAsia="Arial" w:hAnsi="Arial"/>
                <w:sz w:val="18"/>
                <w:szCs w:val="18"/>
                <w:color w:val="auto"/>
                <w:w w:val="94"/>
              </w:rPr>
              <w:t>Investment Agreement, dated as of March 16, 2011, between United Community Banks, Inc. and Corsair Georgia, L.P. (incorporated</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2"/>
              </w:rPr>
              <w:t>herein by reference to Exhibit 10.1 to United Community Banks, Inc.’s Current Report on Form 8-K, filed with the Commission on March</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17, 2011.)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10.2</w:t>
            </w:r>
          </w:p>
        </w:tc>
        <w:tc>
          <w:tcPr>
            <w:tcW w:w="10440" w:type="dxa"/>
            <w:vAlign w:val="bottom"/>
          </w:tcPr>
          <w:p>
            <w:pPr>
              <w:ind w:left="400"/>
              <w:spacing w:after="0"/>
              <w:rPr>
                <w:sz w:val="20"/>
                <w:szCs w:val="20"/>
                <w:color w:val="auto"/>
              </w:rPr>
            </w:pPr>
            <w:r>
              <w:rPr>
                <w:rFonts w:ascii="Arial" w:cs="Arial" w:eastAsia="Arial" w:hAnsi="Arial"/>
                <w:sz w:val="18"/>
                <w:szCs w:val="18"/>
                <w:color w:val="auto"/>
                <w:w w:val="95"/>
              </w:rPr>
              <w:t>Form of Subscription Agreement, dated as of March 16, 2011, between United Community Banks, Inc. and each Additional Investor.</w:t>
            </w:r>
          </w:p>
        </w:tc>
      </w:tr>
      <w:tr>
        <w:trPr>
          <w:trHeight w:val="216"/>
        </w:trPr>
        <w:tc>
          <w:tcPr>
            <w:tcW w:w="540" w:type="dxa"/>
            <w:vAlign w:val="bottom"/>
          </w:tcPr>
          <w:p>
            <w:pPr>
              <w:spacing w:after="0"/>
              <w:rPr>
                <w:sz w:val="18"/>
                <w:szCs w:val="18"/>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w w:val="99"/>
              </w:rPr>
              <w:t>(incorporated herein by reference to Exhibit 10.2 to United Community Banks, Inc.’s Current Report on Form 8-K, filed with the</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Commission on March 17, 2011.)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10.3</w:t>
            </w:r>
          </w:p>
        </w:tc>
        <w:tc>
          <w:tcPr>
            <w:tcW w:w="10440" w:type="dxa"/>
            <w:vAlign w:val="bottom"/>
          </w:tcPr>
          <w:p>
            <w:pPr>
              <w:ind w:left="400"/>
              <w:spacing w:after="0"/>
              <w:rPr>
                <w:sz w:val="20"/>
                <w:szCs w:val="20"/>
                <w:color w:val="auto"/>
              </w:rPr>
            </w:pPr>
            <w:r>
              <w:rPr>
                <w:rFonts w:ascii="Arial" w:cs="Arial" w:eastAsia="Arial" w:hAnsi="Arial"/>
                <w:sz w:val="18"/>
                <w:szCs w:val="18"/>
                <w:color w:val="auto"/>
                <w:w w:val="92"/>
              </w:rPr>
              <w:t>Asset Purchase and Sale Agreement dated April 18, 2011, among United Community Bank, CF Southeast, LLC and CF Southeast Trust</w:t>
            </w:r>
          </w:p>
        </w:tc>
      </w:tr>
      <w:tr>
        <w:trPr>
          <w:trHeight w:val="230"/>
        </w:trPr>
        <w:tc>
          <w:tcPr>
            <w:tcW w:w="5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2011-1</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w w:val="93"/>
              </w:rPr>
              <w:t>Certification by Jimmy C. Tallent, President and Chief Executive Officer of United Community Banks, Inc., as adopted pursuant to Section</w:t>
            </w:r>
          </w:p>
        </w:tc>
      </w:tr>
      <w:tr>
        <w:trPr>
          <w:trHeight w:val="230"/>
        </w:trPr>
        <w:tc>
          <w:tcPr>
            <w:tcW w:w="54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w w:val="97"/>
              </w:rPr>
              <w:t>Certification by Rex S. Schuette, Executive Vice President and Chief Financial Officer of United Community Banks, Inc., as adopted</w:t>
            </w:r>
          </w:p>
        </w:tc>
      </w:tr>
      <w:tr>
        <w:trPr>
          <w:trHeight w:val="230"/>
        </w:trPr>
        <w:tc>
          <w:tcPr>
            <w:tcW w:w="540" w:type="dxa"/>
            <w:vAlign w:val="bottom"/>
          </w:tcPr>
          <w:p>
            <w:pPr>
              <w:spacing w:after="0"/>
              <w:rPr>
                <w:sz w:val="20"/>
                <w:szCs w:val="20"/>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bl>
    <w:p>
      <w:pPr>
        <w:spacing w:after="0" w:line="202" w:lineRule="exact"/>
        <w:rPr>
          <w:sz w:val="20"/>
          <w:szCs w:val="20"/>
          <w:color w:val="auto"/>
        </w:rPr>
      </w:pPr>
    </w:p>
    <w:p>
      <w:pPr>
        <w:jc w:val="center"/>
        <w:ind w:left="5240" w:right="1420" w:hanging="5103"/>
        <w:spacing w:after="0" w:line="700" w:lineRule="auto"/>
        <w:tabs>
          <w:tab w:leader="none" w:pos="7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-184150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20" w:top="490" w:right="2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May 4, 2011</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27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Restated Articles of Incorporation, as amended, of the corporation are amended by adding the powers, rights, and preferences, and the qualifications, limitations, and restrictions thereof, of the Mandatorily Convertible Cumulative Non-Voting Perpetual Preferred Stock, Series F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Mandatorily Convertible Cumulative Non-Voting Perpetual Preferred Non-Voting Stock, Series G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March 14, 2011. Pursuant to O.C.G.A. § 14-2-602 and Article V of the Restated Articles of Incorporation, as amended, of the corporation, shareholder consent was not required.</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29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2011.</w:t>
      </w:r>
    </w:p>
    <w:p>
      <w:pPr>
        <w:spacing w:after="0" w:line="8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23495</wp:posOffset>
            </wp:positionV>
            <wp:extent cx="27698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6987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Rex S. Schuette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DESIGNATIONS, POWERS, PREFERENCES,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MANDATORILY CONVERTIBLE CUMULATIVE NON-VOTING PERPETUAL PREFERRED STOCK, SERIES F</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w:t>
      </w:r>
    </w:p>
    <w:p>
      <w:pPr>
        <w:spacing w:after="0" w:line="252"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1"/>
          <w:szCs w:val="11"/>
          <w:b w:val="1"/>
          <w:bCs w:val="1"/>
          <w:color w:val="auto"/>
        </w:rPr>
        <w:t>ECOND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of the Corporation, as amended, authorize the issuance of 10,000,000 shares of preferred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$1.00 per share, of the Corporation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and authorizes the Board of Directors of the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to fix by resolution or resolutions the designation and number of shares of such series, and the voting and other powers, preferences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relative, participating, optional or other special rights, and the qualifications, limitations and restrictions thereof, of the shares of such series.</w:t>
      </w:r>
    </w:p>
    <w:p>
      <w:pPr>
        <w:spacing w:after="0" w:line="234" w:lineRule="exact"/>
        <w:rPr>
          <w:sz w:val="20"/>
          <w:szCs w:val="20"/>
          <w:color w:val="auto"/>
        </w:rPr>
      </w:pPr>
    </w:p>
    <w:p>
      <w:pPr>
        <w:ind w:right="100" w:firstLine="1297"/>
        <w:spacing w:after="0" w:line="313"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HIRD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following resolution was duly adopted by the Board of Directors as required by O.C.G.A. § 14-2-602 and Article V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Articles of Incorporation at a meeting duly convened and held on March 14, 2011, at which a quorum was present and acting throughout.</w:t>
      </w:r>
    </w:p>
    <w:p>
      <w:pPr>
        <w:spacing w:after="0" w:line="165" w:lineRule="exact"/>
        <w:rPr>
          <w:sz w:val="20"/>
          <w:szCs w:val="20"/>
          <w:color w:val="auto"/>
        </w:rPr>
      </w:pPr>
    </w:p>
    <w:p>
      <w:pPr>
        <w:ind w:right="40" w:firstLine="1297"/>
        <w:spacing w:after="0" w:line="261"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pursuant to the provisions of the Restated Articles of Incorporation of the Corporation, as amended, and applicable law, a</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PREFERENCES</w:t>
      </w:r>
    </w:p>
    <w:p>
      <w:pPr>
        <w:spacing w:after="0" w:line="256"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i w:val="1"/>
          <w:iCs w:val="1"/>
          <w:color w:val="auto"/>
        </w:rPr>
        <w:t xml:space="preserve">Section 1. Designation. </w:t>
      </w:r>
      <w:r>
        <w:rPr>
          <w:rFonts w:ascii="Arial" w:cs="Arial" w:eastAsia="Arial" w:hAnsi="Arial"/>
          <w:sz w:val="18"/>
          <w:szCs w:val="18"/>
          <w:color w:val="auto"/>
        </w:rPr>
        <w:t>There is hereby created out of the authorized and unissued shares of preferred stock of the Corporation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designated as the “Mandatorily Convertible Cumulative Non-Voting Perpetual Preferred Stock, Series F” (the “</w:t>
      </w:r>
      <w:r>
        <w:rPr>
          <w:rFonts w:ascii="Arial" w:cs="Arial" w:eastAsia="Arial" w:hAnsi="Arial"/>
          <w:sz w:val="18"/>
          <w:szCs w:val="18"/>
          <w:u w:val="single" w:color="auto"/>
          <w:color w:val="auto"/>
        </w:rPr>
        <w:t>Series F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The number of shares constituting such series shall be 195,872. The par value of the Series F Preferred Stock shall be $1.00 per share, and the liquidation preference shall be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58" w:name="page59"/>
    <w:bookmarkEnd w:id="58"/>
    <w:p>
      <w:pPr>
        <w:ind w:firstLine="1297"/>
        <w:spacing w:after="0" w:line="269" w:lineRule="auto"/>
        <w:rPr>
          <w:sz w:val="20"/>
          <w:szCs w:val="20"/>
          <w:color w:val="auto"/>
        </w:rPr>
      </w:pPr>
      <w:r>
        <w:rPr>
          <w:rFonts w:ascii="Arial" w:cs="Arial" w:eastAsia="Arial" w:hAnsi="Arial"/>
          <w:sz w:val="17"/>
          <w:szCs w:val="17"/>
          <w:i w:val="1"/>
          <w:iCs w:val="1"/>
          <w:color w:val="auto"/>
        </w:rPr>
        <w:t>Section 2. Ranking</w:t>
      </w:r>
      <w:r>
        <w:rPr>
          <w:rFonts w:ascii="Arial" w:cs="Arial" w:eastAsia="Arial" w:hAnsi="Arial"/>
          <w:sz w:val="17"/>
          <w:szCs w:val="17"/>
          <w:color w:val="auto"/>
        </w:rPr>
        <w:t>. The Series F Preferred Stock will, with respect to dividend rights and rights on liquidation, winding up and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G Mandatorily Convertible Perpetual Preferred Stock (the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and with each other class or series of equity securities of the Corporation the terms of which do not expressly provide that such class or series will rank senior or junior to the Series F Preferred Stock as to dividend rights and rights on liquidation, winding-up and dissolution of the Corporation (collectively referred to as “</w:t>
      </w:r>
      <w:r>
        <w:rPr>
          <w:rFonts w:ascii="Arial" w:cs="Arial" w:eastAsia="Arial" w:hAnsi="Arial"/>
          <w:sz w:val="17"/>
          <w:szCs w:val="17"/>
          <w:u w:val="single" w:color="auto"/>
          <w:color w:val="auto"/>
        </w:rPr>
        <w:t>Parity Securities</w:t>
      </w:r>
      <w:r>
        <w:rPr>
          <w:rFonts w:ascii="Arial" w:cs="Arial" w:eastAsia="Arial" w:hAnsi="Arial"/>
          <w:sz w:val="17"/>
          <w:szCs w:val="17"/>
          <w:color w:val="auto"/>
        </w:rPr>
        <w:t>”), and (ii) senior to the Corporation’s common stock, par value $1.00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Corporation’s non-voting common stock, par value $1.00 per share (the “</w:t>
      </w:r>
      <w:r>
        <w:rPr>
          <w:rFonts w:ascii="Arial" w:cs="Arial" w:eastAsia="Arial" w:hAnsi="Arial"/>
          <w:sz w:val="17"/>
          <w:szCs w:val="17"/>
          <w:u w:val="single" w:color="auto"/>
          <w:color w:val="auto"/>
        </w:rPr>
        <w:t>Non-Voting Common Stock</w:t>
      </w:r>
      <w:r>
        <w:rPr>
          <w:rFonts w:ascii="Arial" w:cs="Arial" w:eastAsia="Arial" w:hAnsi="Arial"/>
          <w:sz w:val="17"/>
          <w:szCs w:val="17"/>
          <w:color w:val="auto"/>
        </w:rPr>
        <w:t>” and, together with the Common Stock,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and each other class or series of capital stock of the Corporation outstanding or established after the Effective Date by the Corporation the terms of which do not expressly provide that it ranks on a parity with or senior to the Series F Preferred Stock as to dividend rights and rights on liquidation, winding-up and dissolution of the Corporation (collectively referred to as “</w:t>
      </w:r>
      <w:r>
        <w:rPr>
          <w:rFonts w:ascii="Arial" w:cs="Arial" w:eastAsia="Arial" w:hAnsi="Arial"/>
          <w:sz w:val="17"/>
          <w:szCs w:val="17"/>
          <w:u w:val="single" w:color="auto"/>
          <w:color w:val="auto"/>
        </w:rPr>
        <w:t>Junior Securities</w:t>
      </w:r>
      <w:r>
        <w:rPr>
          <w:rFonts w:ascii="Arial" w:cs="Arial" w:eastAsia="Arial" w:hAnsi="Arial"/>
          <w:sz w:val="17"/>
          <w:szCs w:val="17"/>
          <w:color w:val="auto"/>
        </w:rPr>
        <w:t>”). The Corporation has the power to authorize and/or issue additional shares or classes or series of Junior Securities without the consent of the Holders.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i w:val="1"/>
          <w:iCs w:val="1"/>
          <w:color w:val="auto"/>
        </w:rPr>
        <w:t>Section 3. Definitions</w:t>
      </w:r>
      <w:r>
        <w:rPr>
          <w:rFonts w:ascii="Arial" w:cs="Arial" w:eastAsia="Arial" w:hAnsi="Arial"/>
          <w:sz w:val="17"/>
          <w:szCs w:val="17"/>
          <w:color w:val="auto"/>
        </w:rPr>
        <w:t>. The following initially capitalized terms shall have the following meanings, whether used in the singular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plural:</w:t>
      </w:r>
    </w:p>
    <w:p>
      <w:pPr>
        <w:spacing w:after="0" w:line="238" w:lineRule="exact"/>
        <w:rPr>
          <w:sz w:val="20"/>
          <w:szCs w:val="20"/>
          <w:color w:val="auto"/>
        </w:rPr>
      </w:pPr>
    </w:p>
    <w:p>
      <w:pPr>
        <w:jc w:val="both"/>
        <w:ind w:right="240" w:firstLine="1305"/>
        <w:spacing w:after="0" w:line="259" w:lineRule="auto"/>
        <w:tabs>
          <w:tab w:leader="none" w:pos="19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252" w:lineRule="exact"/>
        <w:rPr>
          <w:rFonts w:ascii="Arial" w:cs="Arial" w:eastAsia="Arial" w:hAnsi="Arial"/>
          <w:sz w:val="18"/>
          <w:szCs w:val="18"/>
          <w:color w:val="auto"/>
        </w:rPr>
      </w:pPr>
    </w:p>
    <w:p>
      <w:pPr>
        <w:ind w:right="260" w:firstLine="1305"/>
        <w:spacing w:after="0" w:line="257" w:lineRule="auto"/>
        <w:tabs>
          <w:tab w:leader="none" w:pos="20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As-Converted Dividend</w:t>
      </w:r>
      <w:r>
        <w:rPr>
          <w:rFonts w:ascii="Arial" w:cs="Arial" w:eastAsia="Arial" w:hAnsi="Arial"/>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Common Stock into which a share of Series F Preferred Stock would then be convertible (assuming receipt of the Stockholder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any Dividend Period with respect to which no dividend on the Common Stock has been declared, the As-Converted Dividend shall be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left="2000" w:hanging="695"/>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252" w:lineRule="exact"/>
        <w:rPr>
          <w:rFonts w:ascii="Arial" w:cs="Arial" w:eastAsia="Arial" w:hAnsi="Arial"/>
          <w:sz w:val="18"/>
          <w:szCs w:val="18"/>
          <w:color w:val="auto"/>
        </w:rPr>
      </w:pPr>
    </w:p>
    <w:p>
      <w:pPr>
        <w:ind w:right="660" w:firstLine="1305"/>
        <w:spacing w:after="0" w:line="277" w:lineRule="auto"/>
        <w:tabs>
          <w:tab w:leader="none" w:pos="1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Affiliated Person</w:t>
      </w:r>
      <w:r>
        <w:rPr>
          <w:rFonts w:ascii="Arial" w:cs="Arial" w:eastAsia="Arial" w:hAnsi="Arial"/>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97" w:lineRule="exact"/>
        <w:rPr>
          <w:rFonts w:ascii="Arial" w:cs="Arial" w:eastAsia="Arial" w:hAnsi="Arial"/>
          <w:sz w:val="18"/>
          <w:szCs w:val="18"/>
          <w:color w:val="auto"/>
        </w:rPr>
      </w:pPr>
    </w:p>
    <w:p>
      <w:pPr>
        <w:ind w:right="680" w:firstLine="1305"/>
        <w:spacing w:after="0" w:line="277" w:lineRule="auto"/>
        <w:tabs>
          <w:tab w:leader="none" w:pos="20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Articles of Amendment to the Articles of Incorporation, dated March 29, 2011.</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252" w:lineRule="exact"/>
        <w:rPr>
          <w:rFonts w:ascii="Arial" w:cs="Arial" w:eastAsia="Arial" w:hAnsi="Arial"/>
          <w:sz w:val="18"/>
          <w:szCs w:val="18"/>
          <w:color w:val="auto"/>
        </w:rPr>
      </w:pPr>
    </w:p>
    <w:p>
      <w:pPr>
        <w:ind w:right="20" w:firstLine="1305"/>
        <w:spacing w:after="0" w:line="269" w:lineRule="auto"/>
        <w:tabs>
          <w:tab w:leader="none" w:pos="200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purposes of this Certificate of Designation, all references herein to the “</w:t>
      </w:r>
      <w:r>
        <w:rPr>
          <w:rFonts w:ascii="Arial" w:cs="Arial" w:eastAsia="Arial" w:hAnsi="Arial"/>
          <w:sz w:val="18"/>
          <w:szCs w:val="18"/>
          <w:u w:val="single" w:color="auto"/>
          <w:color w:val="auto"/>
        </w:rPr>
        <w:t>Closing Price</w:t>
      </w:r>
      <w:r>
        <w:rPr>
          <w:rFonts w:ascii="Arial" w:cs="Arial" w:eastAsia="Arial" w:hAnsi="Arial"/>
          <w:sz w:val="18"/>
          <w:szCs w:val="18"/>
          <w:color w:val="auto"/>
        </w:rPr>
        <w:t>” and “</w:t>
      </w:r>
      <w:r>
        <w:rPr>
          <w:rFonts w:ascii="Arial" w:cs="Arial" w:eastAsia="Arial" w:hAnsi="Arial"/>
          <w:sz w:val="18"/>
          <w:szCs w:val="18"/>
          <w:u w:val="single" w:color="auto"/>
          <w:color w:val="auto"/>
        </w:rPr>
        <w:t>last reported sale price</w:t>
      </w:r>
      <w:r>
        <w:rPr>
          <w:rFonts w:ascii="Arial" w:cs="Arial" w:eastAsia="Arial" w:hAnsi="Arial"/>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220" w:lineRule="exact"/>
        <w:rPr>
          <w:sz w:val="20"/>
          <w:szCs w:val="20"/>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0" w:name="page61"/>
    <w:bookmarkEnd w:id="60"/>
    <w:p>
      <w:pPr>
        <w:ind w:left="820" w:hanging="71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252" w:lineRule="exact"/>
        <w:rPr>
          <w:rFonts w:ascii="Arial" w:cs="Arial" w:eastAsia="Arial" w:hAnsi="Arial"/>
          <w:sz w:val="18"/>
          <w:szCs w:val="18"/>
          <w:color w:val="auto"/>
        </w:rPr>
      </w:pPr>
    </w:p>
    <w:p>
      <w:pPr>
        <w:jc w:val="both"/>
        <w:ind w:left="-1200" w:right="500" w:firstLine="1305"/>
        <w:spacing w:after="0" w:line="286" w:lineRule="auto"/>
        <w:tabs>
          <w:tab w:leader="none" w:pos="8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92" w:lineRule="exact"/>
        <w:rPr>
          <w:rFonts w:ascii="Arial" w:cs="Arial" w:eastAsia="Arial" w:hAnsi="Arial"/>
          <w:sz w:val="17"/>
          <w:szCs w:val="17"/>
          <w:color w:val="auto"/>
        </w:rPr>
      </w:pPr>
    </w:p>
    <w:p>
      <w:pPr>
        <w:ind w:left="800" w:hanging="69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252" w:lineRule="exact"/>
        <w:rPr>
          <w:rFonts w:ascii="Arial" w:cs="Arial" w:eastAsia="Arial" w:hAnsi="Arial"/>
          <w:sz w:val="18"/>
          <w:szCs w:val="18"/>
          <w:color w:val="auto"/>
        </w:rPr>
      </w:pPr>
    </w:p>
    <w:p>
      <w:pPr>
        <w:ind w:left="800" w:hanging="69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252" w:lineRule="exact"/>
        <w:rPr>
          <w:rFonts w:ascii="Arial" w:cs="Arial" w:eastAsia="Arial" w:hAnsi="Arial"/>
          <w:sz w:val="18"/>
          <w:szCs w:val="18"/>
          <w:color w:val="auto"/>
        </w:rPr>
      </w:pPr>
    </w:p>
    <w:p>
      <w:pPr>
        <w:ind w:left="800" w:hanging="69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252" w:lineRule="exact"/>
        <w:rPr>
          <w:rFonts w:ascii="Arial" w:cs="Arial" w:eastAsia="Arial" w:hAnsi="Arial"/>
          <w:sz w:val="18"/>
          <w:szCs w:val="18"/>
          <w:color w:val="auto"/>
        </w:rPr>
      </w:pPr>
    </w:p>
    <w:p>
      <w:pPr>
        <w:ind w:left="780" w:hanging="675"/>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252" w:lineRule="exact"/>
        <w:rPr>
          <w:rFonts w:ascii="Arial" w:cs="Arial" w:eastAsia="Arial" w:hAnsi="Arial"/>
          <w:sz w:val="18"/>
          <w:szCs w:val="18"/>
          <w:color w:val="auto"/>
        </w:rPr>
      </w:pPr>
    </w:p>
    <w:p>
      <w:pPr>
        <w:ind w:left="-1200" w:right="500" w:firstLine="1305"/>
        <w:spacing w:after="0" w:line="277" w:lineRule="auto"/>
        <w:tabs>
          <w:tab w:leader="none" w:pos="7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means, with respect to any Dividend Period, the sum of (a) the greater of (i) LIBOR and (ii) 2.0% plus (b) 15.0%;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such amount is greater than 18.0%, the Dividend Rate shall be 18.0%.</w:t>
      </w:r>
    </w:p>
    <w:p>
      <w:pPr>
        <w:spacing w:after="0" w:line="197" w:lineRule="exact"/>
        <w:rPr>
          <w:rFonts w:ascii="Arial" w:cs="Arial" w:eastAsia="Arial" w:hAnsi="Arial"/>
          <w:sz w:val="18"/>
          <w:szCs w:val="18"/>
          <w:color w:val="auto"/>
        </w:rPr>
      </w:pPr>
    </w:p>
    <w:p>
      <w:pPr>
        <w:ind w:left="760" w:hanging="655"/>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F Preferred Stock are first issued.</w:t>
      </w:r>
    </w:p>
    <w:p>
      <w:pPr>
        <w:spacing w:after="0" w:line="252" w:lineRule="exact"/>
        <w:rPr>
          <w:rFonts w:ascii="Arial" w:cs="Arial" w:eastAsia="Arial" w:hAnsi="Arial"/>
          <w:sz w:val="18"/>
          <w:szCs w:val="18"/>
          <w:color w:val="auto"/>
        </w:rPr>
      </w:pPr>
    </w:p>
    <w:p>
      <w:pPr>
        <w:ind w:left="800" w:hanging="69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252" w:lineRule="exact"/>
        <w:rPr>
          <w:rFonts w:ascii="Arial" w:cs="Arial" w:eastAsia="Arial" w:hAnsi="Arial"/>
          <w:sz w:val="18"/>
          <w:szCs w:val="18"/>
          <w:color w:val="auto"/>
        </w:rPr>
      </w:pPr>
    </w:p>
    <w:p>
      <w:pPr>
        <w:ind w:left="-1200" w:right="380" w:firstLine="1305"/>
        <w:spacing w:after="0" w:line="342" w:lineRule="auto"/>
        <w:tabs>
          <w:tab w:leader="none" w:pos="8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Ex-Date</w:t>
      </w:r>
      <w:r>
        <w:rPr>
          <w:rFonts w:ascii="Arial" w:cs="Arial" w:eastAsia="Arial" w:hAnsi="Arial"/>
          <w:sz w:val="16"/>
          <w:szCs w:val="16"/>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50" w:lineRule="exact"/>
        <w:rPr>
          <w:rFonts w:ascii="Arial" w:cs="Arial" w:eastAsia="Arial" w:hAnsi="Arial"/>
          <w:sz w:val="16"/>
          <w:szCs w:val="16"/>
          <w:color w:val="auto"/>
        </w:rPr>
      </w:pPr>
    </w:p>
    <w:p>
      <w:pPr>
        <w:ind w:left="-1200" w:firstLine="1305"/>
        <w:spacing w:after="0" w:line="264" w:lineRule="auto"/>
        <w:tabs>
          <w:tab w:leader="none" w:pos="7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F Preferred Stock are registered, which may be treated by the Corporation as the absolute owner of the shares of Series F Preferred Stock for the purpose of making payment and settling the related conversions and for all other purposes.</w:t>
      </w:r>
    </w:p>
    <w:p>
      <w:pPr>
        <w:spacing w:after="0" w:line="208" w:lineRule="exact"/>
        <w:rPr>
          <w:rFonts w:ascii="Arial" w:cs="Arial" w:eastAsia="Arial" w:hAnsi="Arial"/>
          <w:sz w:val="18"/>
          <w:szCs w:val="18"/>
          <w:color w:val="auto"/>
        </w:rPr>
      </w:pPr>
    </w:p>
    <w:p>
      <w:pPr>
        <w:ind w:left="800" w:hanging="69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1200" w:right="40" w:firstLine="1305"/>
        <w:spacing w:after="0" w:line="268" w:lineRule="auto"/>
        <w:tabs>
          <w:tab w:leader="none" w:pos="8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F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400050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517" w:right="279" w:bottom="1440" w:gutter="0" w:footer="0" w:header="0"/>
        </w:sectPr>
      </w:pPr>
    </w:p>
    <w:bookmarkStart w:id="61" w:name="page62"/>
    <w:bookmarkEnd w:id="61"/>
    <w:p>
      <w:pPr>
        <w:ind w:right="540" w:firstLine="1305"/>
        <w:spacing w:after="0" w:line="277" w:lineRule="auto"/>
        <w:tabs>
          <w:tab w:leader="none" w:pos="19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as to the Series F Preferred Stock, $1,000 per share (as adjusted for any split, subdivision, combination, consolidation, recapitalization or similar event with respect to the Series F Preferred Stock).</w:t>
      </w:r>
    </w:p>
    <w:p>
      <w:pPr>
        <w:spacing w:after="0" w:line="197" w:lineRule="exact"/>
        <w:rPr>
          <w:sz w:val="20"/>
          <w:szCs w:val="20"/>
          <w:color w:val="auto"/>
        </w:rPr>
      </w:pPr>
    </w:p>
    <w:p>
      <w:pPr>
        <w:ind w:left="1980" w:hanging="675"/>
        <w:spacing w:after="0"/>
        <w:tabs>
          <w:tab w:leader="none" w:pos="1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London Banking Day</w:t>
      </w:r>
      <w:r>
        <w:rPr>
          <w:rFonts w:ascii="Arial" w:cs="Arial" w:eastAsia="Arial" w:hAnsi="Arial"/>
          <w:sz w:val="16"/>
          <w:szCs w:val="16"/>
          <w:color w:val="auto"/>
        </w:rPr>
        <w:t>” means any day on which commercial banks are open for general business (including dealings in deposits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U.S. dollars) in London.</w:t>
      </w:r>
    </w:p>
    <w:p>
      <w:pPr>
        <w:spacing w:after="0" w:line="237" w:lineRule="exact"/>
        <w:rPr>
          <w:rFonts w:ascii="Arial" w:cs="Arial" w:eastAsia="Arial" w:hAnsi="Arial"/>
          <w:sz w:val="16"/>
          <w:szCs w:val="16"/>
          <w:color w:val="auto"/>
        </w:rPr>
      </w:pPr>
    </w:p>
    <w:p>
      <w:pPr>
        <w:ind w:firstLine="1305"/>
        <w:spacing w:after="0" w:line="289" w:lineRule="auto"/>
        <w:tabs>
          <w:tab w:leader="none" w:pos="19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Mandatory Conversion Date</w:t>
      </w:r>
      <w:r>
        <w:rPr>
          <w:rFonts w:ascii="Arial" w:cs="Arial" w:eastAsia="Arial" w:hAnsi="Arial"/>
          <w:sz w:val="16"/>
          <w:szCs w:val="16"/>
          <w:color w:val="auto"/>
        </w:rPr>
        <w:t xml:space="preserve">” means, with respect to the shares of Series F Preferred Stock of any Holder, the second Business Day after which the Corporation has received the Stockholder Approvals (or if a Reorganization Event has theretofore been consummated, the date of consummation of such Reorganization Event) necessary to permit such Holder to convert such shares of Series F Preferred Stock into authorized Common Stock without such conversion resulting in a Violation,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 a Mandatory Conversion Date would otherwise occur but such Holder has not received all accrued and unpaid dividends, whether or</w:t>
      </w:r>
      <w:r>
        <w:rPr>
          <w:rFonts w:ascii="Arial" w:cs="Arial" w:eastAsia="Arial" w:hAnsi="Arial"/>
          <w:sz w:val="16"/>
          <w:szCs w:val="16"/>
          <w:i w:val="1"/>
          <w:iCs w:val="1"/>
          <w:color w:val="auto"/>
        </w:rPr>
        <w:t xml:space="preserve"> </w:t>
      </w:r>
      <w:r>
        <w:rPr>
          <w:rFonts w:ascii="Arial" w:cs="Arial" w:eastAsia="Arial" w:hAnsi="Arial"/>
          <w:sz w:val="16"/>
          <w:szCs w:val="16"/>
          <w:color w:val="auto"/>
        </w:rPr>
        <w:t>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93" w:lineRule="exact"/>
        <w:rPr>
          <w:rFonts w:ascii="Arial" w:cs="Arial" w:eastAsia="Arial" w:hAnsi="Arial"/>
          <w:sz w:val="16"/>
          <w:szCs w:val="16"/>
          <w:color w:val="auto"/>
        </w:rPr>
      </w:pPr>
    </w:p>
    <w:p>
      <w:pPr>
        <w:ind w:left="1980" w:hanging="675"/>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has the meaning set forth in Section 9(a).</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right="300" w:firstLine="1305"/>
        <w:spacing w:after="0" w:line="277" w:lineRule="auto"/>
        <w:tabs>
          <w:tab w:leader="none" w:pos="19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 has the meaning set forth in Section 1.</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right="60" w:firstLine="1305"/>
        <w:spacing w:after="0" w:line="276" w:lineRule="auto"/>
        <w:tabs>
          <w:tab w:leader="none" w:pos="20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Approvals</w:t>
      </w:r>
      <w:r>
        <w:rPr>
          <w:rFonts w:ascii="Arial" w:cs="Arial" w:eastAsia="Arial" w:hAnsi="Arial"/>
          <w:sz w:val="17"/>
          <w:szCs w:val="17"/>
          <w:color w:val="auto"/>
        </w:rPr>
        <w:t>” means all stockholder approvals necessary to (i) approve the conversion of the Series F Preferred Stock into Common Stock for purposes of Rule 5635 of the Nasdaq Stock Market Rules and (ii) amend the Articles of Incorporation to (A) authorize a number of shares of Non-Voting Common Stock sufficient to permit the full conversion of the Series G Preferred Stock into Non-Voting Common Stock and the issuance of certain additional shares of Non-Voting Common Stock and (B) increase the number of authorized shares of Common Stock to at least such number as shall be sufficient to permit the full conversion of the Series F Preferred Stock and the Non-Voting Common Stock.</w:t>
      </w:r>
    </w:p>
    <w:p>
      <w:pPr>
        <w:spacing w:after="0" w:line="199" w:lineRule="exact"/>
        <w:rPr>
          <w:rFonts w:ascii="Arial" w:cs="Arial" w:eastAsia="Arial" w:hAnsi="Arial"/>
          <w:sz w:val="17"/>
          <w:szCs w:val="17"/>
          <w:color w:val="auto"/>
        </w:rPr>
      </w:pPr>
    </w:p>
    <w:p>
      <w:pPr>
        <w:ind w:left="2020" w:hanging="715"/>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252" w:lineRule="exact"/>
        <w:rPr>
          <w:sz w:val="20"/>
          <w:szCs w:val="20"/>
          <w:color w:val="auto"/>
        </w:rPr>
      </w:pPr>
    </w:p>
    <w:p>
      <w:pPr>
        <w:ind w:left="660" w:right="280" w:firstLine="645"/>
        <w:spacing w:after="0" w:line="277" w:lineRule="auto"/>
        <w:tabs>
          <w:tab w:leader="none" w:pos="19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are not suspended from trading on any national or regional securities exchange or association or over-the-counter market at the close of business; and</w:t>
      </w:r>
    </w:p>
    <w:p>
      <w:pPr>
        <w:spacing w:after="0" w:line="197" w:lineRule="exact"/>
        <w:rPr>
          <w:rFonts w:ascii="Arial" w:cs="Arial" w:eastAsia="Arial" w:hAnsi="Arial"/>
          <w:sz w:val="18"/>
          <w:szCs w:val="18"/>
          <w:color w:val="auto"/>
        </w:rPr>
      </w:pPr>
    </w:p>
    <w:p>
      <w:pPr>
        <w:ind w:left="660" w:right="440" w:firstLine="645"/>
        <w:spacing w:after="0" w:line="277" w:lineRule="auto"/>
        <w:tabs>
          <w:tab w:leader="none" w:pos="20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97" w:lineRule="exact"/>
        <w:rPr>
          <w:sz w:val="20"/>
          <w:szCs w:val="20"/>
          <w:color w:val="auto"/>
        </w:rPr>
      </w:pPr>
    </w:p>
    <w:p>
      <w:pPr>
        <w:ind w:left="2020" w:hanging="715"/>
        <w:spacing w:after="0"/>
        <w:tabs>
          <w:tab w:leader="none" w:pos="2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 Rules.</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has the meaning set forth in the BHC Act and any rules or regulations promulgated thereunder.</w:t>
      </w:r>
    </w:p>
    <w:p>
      <w:pPr>
        <w:spacing w:after="0" w:line="252"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i w:val="1"/>
          <w:iCs w:val="1"/>
          <w:color w:val="auto"/>
        </w:rPr>
        <w:t xml:space="preserve">Section 4. Dividends. </w:t>
      </w:r>
      <w:r>
        <w:rPr>
          <w:rFonts w:ascii="Arial" w:cs="Arial" w:eastAsia="Arial" w:hAnsi="Arial"/>
          <w:sz w:val="18"/>
          <w:szCs w:val="18"/>
          <w:color w:val="auto"/>
        </w:rPr>
        <w:t>(a) From and after the Effective Date, the Holders shall be entitled to receive, when, as and if declared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or a duly authorized committee of the Board of Directors, out of funds legally available therefor, cumulative dividends of the type and in the amounts determined as set forth in this Section 4, and no more.</w:t>
      </w:r>
    </w:p>
    <w:p>
      <w:pPr>
        <w:spacing w:after="0" w:line="208" w:lineRule="exact"/>
        <w:rPr>
          <w:sz w:val="20"/>
          <w:szCs w:val="20"/>
          <w:color w:val="auto"/>
        </w:rPr>
      </w:pPr>
    </w:p>
    <w:p>
      <w:pPr>
        <w:ind w:firstLine="1305"/>
        <w:spacing w:after="0" w:line="254" w:lineRule="auto"/>
        <w:tabs>
          <w:tab w:leader="none" w:pos="20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Commencing on the Effective Date, dividends shall accrue and shall be payable semi-annually in arrears on March 30th and September 30th of each year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F Preferred Stock, payable in cash at an annual rate equal to the Dividend Rate multiplied by the sum of (i) the Liquidation Preference plus (ii) all accrued and unpaid dividends for any prior Dividend Period that are payable on such share of Series F Preferred Stock, payable in cash (such dividend, the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As-Converted Dividend for such Dividend Period is greater than the Dividend, each outstanding share of Series F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3" w:name="page64"/>
    <w:bookmarkEnd w:id="63"/>
    <w:p>
      <w:pPr>
        <w:ind w:right="260" w:firstLine="1305"/>
        <w:spacing w:after="0" w:line="291" w:lineRule="auto"/>
        <w:tabs>
          <w:tab w:leader="none" w:pos="19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w:t>
      </w:r>
    </w:p>
    <w:p>
      <w:pPr>
        <w:ind w:right="60" w:firstLine="8"/>
        <w:spacing w:after="0" w:line="261"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 Period</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140" w:firstLine="1305"/>
        <w:spacing w:after="0" w:line="264" w:lineRule="auto"/>
        <w:tabs>
          <w:tab w:leader="none" w:pos="200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dividend will be payable to Holders of record as they appear in the records of the Corporation on the applicable record date (each, a “</w:t>
      </w:r>
      <w:r>
        <w:rPr>
          <w:rFonts w:ascii="Arial" w:cs="Arial" w:eastAsia="Arial" w:hAnsi="Arial"/>
          <w:sz w:val="18"/>
          <w:szCs w:val="18"/>
          <w:u w:val="single" w:color="auto"/>
          <w:color w:val="auto"/>
        </w:rPr>
        <w:t>Record Date</w:t>
      </w:r>
      <w:r>
        <w:rPr>
          <w:rFonts w:ascii="Arial" w:cs="Arial" w:eastAsia="Arial" w:hAnsi="Arial"/>
          <w:sz w:val="18"/>
          <w:szCs w:val="18"/>
          <w:color w:val="auto"/>
        </w:rPr>
        <w:t>”), which with respect to dividends payable pursuant to this Section 4, shall be on the fifteenth day of the month immediately prior to the month in which the relevant Dividend Payment Date occurs.</w:t>
      </w:r>
    </w:p>
    <w:p>
      <w:pPr>
        <w:spacing w:after="0" w:line="208" w:lineRule="exact"/>
        <w:rPr>
          <w:rFonts w:ascii="Arial" w:cs="Arial" w:eastAsia="Arial" w:hAnsi="Arial"/>
          <w:sz w:val="18"/>
          <w:szCs w:val="18"/>
          <w:color w:val="auto"/>
        </w:rPr>
      </w:pPr>
    </w:p>
    <w:p>
      <w:pPr>
        <w:ind w:right="340" w:firstLine="1305"/>
        <w:spacing w:after="0" w:line="257" w:lineRule="auto"/>
        <w:tabs>
          <w:tab w:leader="none" w:pos="199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Dividends on the Series F Preferred Stock are cumulative. Such dividends shall begin to accrue and be cumulative from the Effective Date (in the case of the shares of Series F Preferred Stock issued on the Effective Date), shall compound at the relevant rate on each subsequent Dividend Payment Date (</w:t>
      </w:r>
      <w:r>
        <w:rPr>
          <w:rFonts w:ascii="Arial" w:cs="Arial" w:eastAsia="Arial" w:hAnsi="Arial"/>
          <w:sz w:val="18"/>
          <w:szCs w:val="18"/>
          <w:i w:val="1"/>
          <w:iCs w:val="1"/>
          <w:color w:val="auto"/>
        </w:rPr>
        <w:t>i.e.</w:t>
      </w:r>
      <w:r>
        <w:rPr>
          <w:rFonts w:ascii="Arial" w:cs="Arial" w:eastAsia="Arial" w:hAnsi="Arial"/>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215" w:lineRule="exact"/>
        <w:rPr>
          <w:rFonts w:ascii="Arial" w:cs="Arial" w:eastAsia="Arial" w:hAnsi="Arial"/>
          <w:sz w:val="18"/>
          <w:szCs w:val="18"/>
          <w:color w:val="auto"/>
        </w:rPr>
      </w:pPr>
    </w:p>
    <w:p>
      <w:pPr>
        <w:ind w:right="200" w:firstLine="1305"/>
        <w:spacing w:after="0" w:line="286" w:lineRule="auto"/>
        <w:tabs>
          <w:tab w:leader="none" w:pos="1971" w:val="left"/>
        </w:tabs>
        <w:numPr>
          <w:ilvl w:val="1"/>
          <w:numId w:val="25"/>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remain outstanding, if all dividends payable pursuant to Section 4 on all outstanding shares of the Series F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w:t>
      </w:r>
    </w:p>
    <w:p>
      <w:pPr>
        <w:spacing w:after="0" w:line="1"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F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F Preferred Stock and such Parity Securities on such date or dates, as the case may be, shall be declared pro rata so that the respective amounts of such dividends shall bear the same ratio to each other as full semi-annual dividends per share payable on the shares of the Series F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ind w:right="200" w:firstLine="1305"/>
        <w:spacing w:after="0" w:line="279" w:lineRule="auto"/>
        <w:tabs>
          <w:tab w:leader="none" w:pos="20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F Preferred Stock is prior to the Dividend Payment Date applicable to any Dividend Period, the Holder of such share of Series F Preferred Stock will not have the right to receive any dividends on the Series F Preferred Stock with respect to such Dividend Period, provided that this provision shall not affect any rights to receive any accrued but unpaid dividends on the Series F Preferred Stock attributable to any Dividend Period completed prior to the Mandatory Conversion Date.</w:t>
      </w:r>
    </w:p>
    <w:p>
      <w:pPr>
        <w:spacing w:after="0" w:line="198" w:lineRule="exact"/>
        <w:rPr>
          <w:rFonts w:ascii="Arial" w:cs="Arial" w:eastAsia="Arial" w:hAnsi="Arial"/>
          <w:sz w:val="17"/>
          <w:szCs w:val="17"/>
          <w:color w:val="auto"/>
        </w:rPr>
      </w:pPr>
    </w:p>
    <w:p>
      <w:pPr>
        <w:ind w:right="60" w:firstLine="1305"/>
        <w:spacing w:after="0" w:line="259" w:lineRule="auto"/>
        <w:tabs>
          <w:tab w:leader="none" w:pos="19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214"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i w:val="1"/>
          <w:iCs w:val="1"/>
          <w:color w:val="auto"/>
        </w:rPr>
        <w:t xml:space="preserve">Section 5. Liquidation. </w:t>
      </w:r>
      <w:r>
        <w:rPr>
          <w:rFonts w:ascii="Arial" w:cs="Arial" w:eastAsia="Arial" w:hAnsi="Arial"/>
          <w:sz w:val="18"/>
          <w:szCs w:val="18"/>
          <w:color w:val="auto"/>
        </w:rPr>
        <w:t>(a) In the event the Corporation voluntarily or involuntarily liquidates, dissolves or winds up, the Holders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shall be entitled to receive liquidating distributions in an amount equal to the greater of (i) the Liquidation Preference per share of Series F Preferred Stock plus an amount equal to any accrued but unpaid dividends, whether or not declared, thereon to and including the date of such liquidation and (ii) the payment or distribution to which such Holders would have been entitled if the Series F Preferred Stock were converted into Common Stock (assuming receipt of the Stockholder Approvals)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219" w:lineRule="exact"/>
        <w:rPr>
          <w:sz w:val="20"/>
          <w:szCs w:val="20"/>
          <w:color w:val="auto"/>
        </w:rPr>
      </w:pPr>
    </w:p>
    <w:p>
      <w:pPr>
        <w:ind w:firstLine="1305"/>
        <w:spacing w:after="0" w:line="257" w:lineRule="auto"/>
        <w:tabs>
          <w:tab w:leader="none" w:pos="20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F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215" w:lineRule="exact"/>
        <w:rPr>
          <w:rFonts w:ascii="Arial" w:cs="Arial" w:eastAsia="Arial" w:hAnsi="Arial"/>
          <w:sz w:val="18"/>
          <w:szCs w:val="18"/>
          <w:color w:val="auto"/>
        </w:rPr>
      </w:pPr>
    </w:p>
    <w:p>
      <w:pPr>
        <w:ind w:right="240" w:firstLine="1305"/>
        <w:spacing w:after="0" w:line="264" w:lineRule="auto"/>
        <w:tabs>
          <w:tab w:leader="none" w:pos="19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ind w:left="1300"/>
        <w:spacing w:after="0"/>
        <w:rPr>
          <w:sz w:val="20"/>
          <w:szCs w:val="20"/>
          <w:color w:val="auto"/>
        </w:rPr>
      </w:pPr>
      <w:r>
        <w:rPr>
          <w:rFonts w:ascii="Arial" w:cs="Arial" w:eastAsia="Arial" w:hAnsi="Arial"/>
          <w:sz w:val="16"/>
          <w:szCs w:val="16"/>
          <w:i w:val="1"/>
          <w:iCs w:val="1"/>
          <w:color w:val="auto"/>
        </w:rPr>
        <w:t>Section 6. Maturity</w:t>
      </w:r>
      <w:r>
        <w:rPr>
          <w:rFonts w:ascii="Arial" w:cs="Arial" w:eastAsia="Arial" w:hAnsi="Arial"/>
          <w:sz w:val="16"/>
          <w:szCs w:val="16"/>
          <w:color w:val="auto"/>
        </w:rPr>
        <w:t>. The Series F Preferred Stock shall be perpetual unless converted in accordance with this Certificate of Designations.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252" w:lineRule="exact"/>
        <w:rPr>
          <w:sz w:val="20"/>
          <w:szCs w:val="20"/>
          <w:color w:val="auto"/>
        </w:rPr>
      </w:pPr>
    </w:p>
    <w:p>
      <w:pPr>
        <w:ind w:right="80" w:firstLine="1305"/>
        <w:spacing w:after="0" w:line="286" w:lineRule="auto"/>
        <w:tabs>
          <w:tab w:leader="none" w:pos="1991"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F Preferred Stock may not be redeemed by the Corporation prior to December 31, 2015.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Corporation, at its option, may redeem in whole at any time the shares of Series F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w:t>
      </w:r>
    </w:p>
    <w:p>
      <w:pPr>
        <w:spacing w:after="0" w:line="1" w:lineRule="exact"/>
        <w:rPr>
          <w:rFonts w:ascii="Arial" w:cs="Arial" w:eastAsia="Arial" w:hAnsi="Arial"/>
          <w:sz w:val="16"/>
          <w:szCs w:val="16"/>
          <w:color w:val="auto"/>
        </w:rPr>
      </w:pPr>
    </w:p>
    <w:p>
      <w:pPr>
        <w:ind w:right="120"/>
        <w:spacing w:after="0" w:line="270" w:lineRule="auto"/>
        <w:rPr>
          <w:rFonts w:ascii="Arial" w:cs="Arial" w:eastAsia="Arial" w:hAnsi="Arial"/>
          <w:sz w:val="16"/>
          <w:szCs w:val="16"/>
          <w:color w:val="auto"/>
        </w:rPr>
      </w:pPr>
      <w:r>
        <w:rPr>
          <w:rFonts w:ascii="Arial" w:cs="Arial" w:eastAsia="Arial" w:hAnsi="Arial"/>
          <w:sz w:val="17"/>
          <w:szCs w:val="17"/>
          <w:color w:val="auto"/>
        </w:rPr>
        <w:t>125.0% of (A) the number of shares of Common Stock into which a share of Series F Preferred Stock would be convertible on the Trading Day immediately prior to the date fixed for redemption (assuming receipt of Stockholder Approvals) multiplied by (B) the Closing Price of Common Stock on such Trading Day. The redemption price for any shares of Series F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205" w:lineRule="exact"/>
        <w:rPr>
          <w:rFonts w:ascii="Arial" w:cs="Arial" w:eastAsia="Arial" w:hAnsi="Arial"/>
          <w:sz w:val="16"/>
          <w:szCs w:val="16"/>
          <w:color w:val="auto"/>
        </w:rPr>
      </w:pPr>
    </w:p>
    <w:p>
      <w:pPr>
        <w:ind w:right="220" w:firstLine="1305"/>
        <w:spacing w:after="0" w:line="308" w:lineRule="auto"/>
        <w:tabs>
          <w:tab w:leader="none" w:pos="2001"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No Sinking Fund</w:t>
      </w:r>
      <w:r>
        <w:rPr>
          <w:rFonts w:ascii="Arial" w:cs="Arial" w:eastAsia="Arial" w:hAnsi="Arial"/>
          <w:sz w:val="17"/>
          <w:szCs w:val="17"/>
          <w:color w:val="auto"/>
        </w:rPr>
        <w:t>. The Series F Preferred Stock will not be subject to any mandatory redemption, sinking fund or other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Holders of Series F Preferred Stock will have no right to require redemption of any shares of Series F Preferred Stock.</w:t>
      </w:r>
    </w:p>
    <w:p>
      <w:pPr>
        <w:spacing w:after="0" w:line="173" w:lineRule="exact"/>
        <w:rPr>
          <w:rFonts w:ascii="Arial" w:cs="Arial" w:eastAsia="Arial" w:hAnsi="Arial"/>
          <w:sz w:val="17"/>
          <w:szCs w:val="17"/>
          <w:color w:val="auto"/>
        </w:rPr>
      </w:pPr>
    </w:p>
    <w:p>
      <w:pPr>
        <w:ind w:firstLine="1305"/>
        <w:spacing w:after="0" w:line="269" w:lineRule="auto"/>
        <w:tabs>
          <w:tab w:leader="none" w:pos="1991"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Notice of every redemption of shares of Series F Preferred Stock shall be given by first class mail, postage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prepaid, 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failure to give such notice by mail, or any defect in such notice or in the mailing thereof, to any Holder of shares of Series F Preferred Stock designated for redemption shall not affect the validity of the proceedings for the redemption of any other shares of Series F Preferred Stock to be so redeemed except as to the Holder to whom the Corporation has failed to give such notice or except as to the Holder to whom notice was defective. Notwithstanding the foregoing, if the Series F Preferred Stock or any depositary shares representing interests in the Series F Preferred Stock are issued in book-entry form through The Depository Trust Company or any other similar facility, notice of redemption may be given to the Holders of Series F Preferred Stock at such time and in any manner permitted by such facility. Each such notice given to a Holder shall state: (1) the redemption date; (2) the number of shares of Series F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ind w:firstLine="1305"/>
        <w:spacing w:after="0" w:line="283" w:lineRule="auto"/>
        <w:tabs>
          <w:tab w:leader="none" w:pos="2001"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redemption 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w:t>
      </w:r>
    </w:p>
    <w:p>
      <w:pPr>
        <w:spacing w:after="0" w:line="6" w:lineRule="exact"/>
        <w:rPr>
          <w:rFonts w:ascii="Arial" w:cs="Arial" w:eastAsia="Arial" w:hAnsi="Arial"/>
          <w:sz w:val="16"/>
          <w:szCs w:val="16"/>
          <w:color w:val="auto"/>
        </w:rPr>
      </w:pPr>
    </w:p>
    <w:p>
      <w:pPr>
        <w:ind w:right="340"/>
        <w:spacing w:after="0" w:line="323" w:lineRule="auto"/>
        <w:rPr>
          <w:rFonts w:ascii="Arial" w:cs="Arial" w:eastAsia="Arial" w:hAnsi="Arial"/>
          <w:sz w:val="16"/>
          <w:szCs w:val="16"/>
          <w:color w:val="auto"/>
        </w:rPr>
      </w:pPr>
      <w:r>
        <w:rPr>
          <w:rFonts w:ascii="Arial" w:cs="Arial" w:eastAsia="Arial" w:hAnsi="Arial"/>
          <w:sz w:val="16"/>
          <w:szCs w:val="16"/>
          <w:color w:val="auto"/>
        </w:rPr>
        <w:t>shares. Shares of outstanding Series F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66"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i w:val="1"/>
          <w:iCs w:val="1"/>
          <w:color w:val="auto"/>
        </w:rPr>
        <w:t>Section 8. Mandatory Conversion</w:t>
      </w:r>
      <w:r>
        <w:rPr>
          <w:rFonts w:ascii="Arial" w:cs="Arial" w:eastAsia="Arial" w:hAnsi="Arial"/>
          <w:sz w:val="16"/>
          <w:szCs w:val="16"/>
          <w:color w:val="auto"/>
        </w:rPr>
        <w:t>. Effective as of the close of business on the Mandatory Conversion Date with respect to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F Preferred Stock of a Holder, all such Holder’s shares of Series F Preferred Stock shall automatically convert into shares of Common Stock as set forth below. The number of shares of Common Stock into which a share of Series F Preferred Stock shall be convertible shall be determined by dividing (i) the Liquidation Preference by (ii) the Applicable Conversion Price (subject to the conversion procedures of Section 9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Series F Preferred Stock shall not convert into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252" w:lineRule="exact"/>
        <w:rPr>
          <w:sz w:val="20"/>
          <w:szCs w:val="20"/>
          <w:color w:val="auto"/>
        </w:rPr>
      </w:pPr>
    </w:p>
    <w:p>
      <w:pPr>
        <w:ind w:right="140" w:firstLine="1305"/>
        <w:spacing w:after="0" w:line="286" w:lineRule="auto"/>
        <w:tabs>
          <w:tab w:leader="none" w:pos="1981" w:val="left"/>
        </w:tabs>
        <w:numPr>
          <w:ilvl w:val="0"/>
          <w:numId w:val="30"/>
        </w:numPr>
        <w:rPr>
          <w:rFonts w:ascii="Arial" w:cs="Arial" w:eastAsia="Arial" w:hAnsi="Arial"/>
          <w:sz w:val="17"/>
          <w:szCs w:val="17"/>
          <w:color w:val="auto"/>
        </w:rPr>
      </w:pPr>
      <w:r>
        <w:rPr>
          <w:rFonts w:ascii="Arial" w:cs="Arial" w:eastAsia="Arial" w:hAnsi="Arial"/>
          <w:sz w:val="17"/>
          <w:szCs w:val="17"/>
          <w:color w:val="auto"/>
        </w:rPr>
        <w:t>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193" w:lineRule="exact"/>
        <w:rPr>
          <w:sz w:val="20"/>
          <w:szCs w:val="20"/>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252" w:lineRule="exact"/>
        <w:rPr>
          <w:rFonts w:ascii="Arial" w:cs="Arial" w:eastAsia="Arial" w:hAnsi="Arial"/>
          <w:sz w:val="18"/>
          <w:szCs w:val="18"/>
          <w:color w:val="auto"/>
        </w:rPr>
      </w:pPr>
    </w:p>
    <w:p>
      <w:pPr>
        <w:ind w:left="660" w:right="40" w:firstLine="645"/>
        <w:spacing w:after="0" w:line="277" w:lineRule="auto"/>
        <w:tabs>
          <w:tab w:leader="none" w:pos="20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Common Stock to be issued upon conversion of each share of Series F Preferred Stock held of record by such Holder and subject to such mandatory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67" w:name="page68"/>
    <w:bookmarkEnd w:id="67"/>
    <w:p>
      <w:pPr>
        <w:ind w:left="-540" w:right="140" w:firstLine="645"/>
        <w:spacing w:after="0" w:line="277" w:lineRule="auto"/>
        <w:tabs>
          <w:tab w:leader="none" w:pos="8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F Preferred Stock held of record by such Holder are to be surrendered for issuance of certificates representing shares of Common Stock; and</w:t>
      </w:r>
    </w:p>
    <w:p>
      <w:pPr>
        <w:spacing w:after="0" w:line="197" w:lineRule="exact"/>
        <w:rPr>
          <w:rFonts w:ascii="Arial" w:cs="Arial" w:eastAsia="Arial" w:hAnsi="Arial"/>
          <w:sz w:val="18"/>
          <w:szCs w:val="18"/>
          <w:color w:val="auto"/>
        </w:rPr>
      </w:pPr>
    </w:p>
    <w:p>
      <w:pPr>
        <w:ind w:left="-540" w:right="220" w:firstLine="645"/>
        <w:spacing w:after="0" w:line="277" w:lineRule="auto"/>
        <w:tabs>
          <w:tab w:leader="none" w:pos="7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F Preferred Stock held of record by such Holder prior to such mandatory conversion.</w:t>
      </w:r>
    </w:p>
    <w:p>
      <w:pPr>
        <w:spacing w:after="0" w:line="197" w:lineRule="exact"/>
        <w:rPr>
          <w:sz w:val="20"/>
          <w:szCs w:val="20"/>
          <w:color w:val="auto"/>
        </w:rPr>
      </w:pPr>
    </w:p>
    <w:p>
      <w:pPr>
        <w:ind w:left="-1200" w:right="160" w:firstLine="1305"/>
        <w:spacing w:after="0" w:line="276" w:lineRule="auto"/>
        <w:tabs>
          <w:tab w:leader="none" w:pos="801" w:val="left"/>
        </w:tabs>
        <w:numPr>
          <w:ilvl w:val="0"/>
          <w:numId w:val="33"/>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F Preferred Stock dividends shall no longer be declared on any such shares of Series F Preferred Stock and such shares of Series F Preferred Stock shall cease to be outstanding, in each case, subject to the right of the Holder to receive (i) shares of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99" w:lineRule="exact"/>
        <w:rPr>
          <w:rFonts w:ascii="Arial" w:cs="Arial" w:eastAsia="Arial" w:hAnsi="Arial"/>
          <w:sz w:val="17"/>
          <w:szCs w:val="17"/>
          <w:color w:val="auto"/>
        </w:rPr>
      </w:pPr>
    </w:p>
    <w:p>
      <w:pPr>
        <w:ind w:left="-1200" w:firstLine="1305"/>
        <w:spacing w:after="0" w:line="291" w:lineRule="auto"/>
        <w:tabs>
          <w:tab w:leader="none" w:pos="7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allowance or adjustment, except pursuant to Section 4 or Section 10, shall be made in respect of dividends payable to holders of the Common Stock of record as of any date prior to the close of business on the Mandatory Conversion Date with respect to any share of Series F Preferred Stock. Prior to the close of business on the Mandatory Conversion Date with respect to any share of Series F Preferred Stock, shares of Common Stock issuable upon conversion thereof, or other securities issuable upon conversion of, such share of Series F Preferred Stock shall not be deemed outstanding for any purpose, and the Holder thereof shall have no rights with respect to the Common Stock or other securities issuable upon conversion (including voting rights, rights to respond to tender offers for the Common Stock or other securities issuable upon conversion and rights to receive any dividends or other distributions on the Common Stock or other securities issuable upon conversion) by virtue of holding such share of Series F Preferred Stock.</w:t>
      </w:r>
    </w:p>
    <w:p>
      <w:pPr>
        <w:spacing w:after="0" w:line="194" w:lineRule="exact"/>
        <w:rPr>
          <w:rFonts w:ascii="Arial" w:cs="Arial" w:eastAsia="Arial" w:hAnsi="Arial"/>
          <w:sz w:val="16"/>
          <w:szCs w:val="16"/>
          <w:color w:val="auto"/>
        </w:rPr>
      </w:pPr>
    </w:p>
    <w:p>
      <w:pPr>
        <w:ind w:left="-1200" w:right="80" w:firstLine="1305"/>
        <w:spacing w:after="0" w:line="257" w:lineRule="auto"/>
        <w:tabs>
          <w:tab w:leader="none" w:pos="8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Shares of Series F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Corporation shall not take any such action if such action would reduce the authorized number of shares of Series 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below the number of shares of Series F Preferred Stock then outstanding.</w:t>
      </w:r>
    </w:p>
    <w:p>
      <w:pPr>
        <w:spacing w:after="0" w:line="215" w:lineRule="exact"/>
        <w:rPr>
          <w:rFonts w:ascii="Arial" w:cs="Arial" w:eastAsia="Arial" w:hAnsi="Arial"/>
          <w:sz w:val="18"/>
          <w:szCs w:val="18"/>
          <w:color w:val="auto"/>
        </w:rPr>
      </w:pPr>
    </w:p>
    <w:p>
      <w:pPr>
        <w:ind w:left="-1200" w:firstLine="1305"/>
        <w:spacing w:after="0" w:line="293" w:lineRule="auto"/>
        <w:tabs>
          <w:tab w:leader="none" w:pos="7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Stock and/or cash, securities or other property issuable upon conversion of Series F Preferred Stock shall be treated for all purposes as the record holder(s) of such shares of Common Stock and/or securities as of the close of business on the Mandatory Conversion Date with respect thereto. In the event that a Holder shall not by written notice designate the name in which shares of Common Stock and/or cash, securities or other property (including payments of cash in lieu of fractional shares) to be issued or paid upon conversion of shares of Series F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387985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68" w:name="page69"/>
    <w:bookmarkEnd w:id="68"/>
    <w:p>
      <w:pPr>
        <w:ind w:firstLine="1305"/>
        <w:spacing w:after="0" w:line="279" w:lineRule="auto"/>
        <w:tabs>
          <w:tab w:leader="none" w:pos="19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F Preferred Stock, certificates representing shares of Common Stock shall be issued and delivered to the Holder thereof or such Holder’s designee (or, at the Corporation’s option such shares shall be registered in book-entry form) upon presentation and surrender of the certificate evidencing the Series F Preferred Stock to the Corporation and, if required, the furnishing of appropriate endorsements and transfer documents and the payment of all transfer and similar taxes.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252" w:lineRule="exact"/>
        <w:rPr>
          <w:sz w:val="20"/>
          <w:szCs w:val="20"/>
          <w:color w:val="auto"/>
        </w:rPr>
      </w:pPr>
    </w:p>
    <w:p>
      <w:pPr>
        <w:ind w:left="2000" w:hanging="695"/>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252" w:lineRule="exact"/>
        <w:rPr>
          <w:sz w:val="20"/>
          <w:szCs w:val="20"/>
          <w:color w:val="auto"/>
        </w:rPr>
      </w:pPr>
    </w:p>
    <w:p>
      <w:pPr>
        <w:jc w:val="both"/>
        <w:ind w:left="660" w:right="200" w:firstLine="645"/>
        <w:spacing w:after="0" w:line="264" w:lineRule="auto"/>
        <w:tabs>
          <w:tab w:leader="none" w:pos="201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0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tc>
        <w:tc>
          <w:tcPr>
            <w:tcW w:w="0" w:type="dxa"/>
            <w:vAlign w:val="bottom"/>
          </w:tcPr>
          <w:p>
            <w:pPr>
              <w:spacing w:after="0"/>
              <w:rPr>
                <w:sz w:val="1"/>
                <w:szCs w:val="1"/>
                <w:color w:val="auto"/>
              </w:rPr>
            </w:pPr>
          </w:p>
        </w:tc>
      </w:tr>
      <w:tr>
        <w:trPr>
          <w:trHeight w:val="329"/>
        </w:trPr>
        <w:tc>
          <w:tcPr>
            <w:tcW w:w="108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4360" w:type="dxa"/>
            <w:vAlign w:val="bottom"/>
          </w:tcPr>
          <w:p>
            <w:pPr>
              <w:spacing w:after="0"/>
              <w:rPr>
                <w:sz w:val="24"/>
                <w:szCs w:val="24"/>
                <w:color w:val="auto"/>
              </w:rPr>
            </w:pPr>
          </w:p>
        </w:tc>
        <w:tc>
          <w:tcPr>
            <w:tcW w:w="5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4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108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9560" w:type="dxa"/>
            <w:vAlign w:val="bottom"/>
            <w:gridSpan w:val="3"/>
          </w:tcPr>
          <w:p>
            <w:pPr>
              <w:ind w:left="320"/>
              <w:spacing w:after="0"/>
              <w:rPr>
                <w:sz w:val="20"/>
                <w:szCs w:val="20"/>
                <w:color w:val="auto"/>
              </w:rPr>
            </w:pPr>
            <w:r>
              <w:rPr>
                <w:rFonts w:ascii="Arial" w:cs="Arial" w:eastAsia="Arial" w:hAnsi="Arial"/>
                <w:sz w:val="18"/>
                <w:szCs w:val="18"/>
                <w:color w:val="auto"/>
                <w:w w:val="93"/>
              </w:rPr>
              <w:t>the number of shares of Company Common Stock outstanding immediately prior to Ex-Date for such dividend or distribution.</w:t>
            </w:r>
          </w:p>
        </w:tc>
        <w:tc>
          <w:tcPr>
            <w:tcW w:w="0" w:type="dxa"/>
            <w:vAlign w:val="bottom"/>
          </w:tcPr>
          <w:p>
            <w:pPr>
              <w:spacing w:after="0"/>
              <w:rPr>
                <w:sz w:val="1"/>
                <w:szCs w:val="1"/>
                <w:color w:val="auto"/>
              </w:rPr>
            </w:pPr>
          </w:p>
        </w:tc>
      </w:tr>
      <w:tr>
        <w:trPr>
          <w:trHeight w:val="450"/>
        </w:trPr>
        <w:tc>
          <w:tcPr>
            <w:tcW w:w="108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r>
          </w:p>
        </w:tc>
        <w:tc>
          <w:tcPr>
            <w:tcW w:w="9560" w:type="dxa"/>
            <w:vAlign w:val="bottom"/>
            <w:gridSpan w:val="3"/>
          </w:tcPr>
          <w:p>
            <w:pPr>
              <w:ind w:left="320"/>
              <w:spacing w:after="0"/>
              <w:rPr>
                <w:sz w:val="20"/>
                <w:szCs w:val="20"/>
                <w:color w:val="auto"/>
              </w:rPr>
            </w:pPr>
            <w:r>
              <w:rPr>
                <w:rFonts w:ascii="Arial" w:cs="Arial" w:eastAsia="Arial" w:hAnsi="Arial"/>
                <w:sz w:val="18"/>
                <w:szCs w:val="18"/>
                <w:color w:val="auto"/>
                <w:w w:val="91"/>
              </w:rPr>
              <w:t>the sum of the number of shares of Company Common Stock outstanding immediately prior to the Ex-Date for such dividend or</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distribution plus the total number of shares of Company Common Stock constituting such dividend or distribution.</w:t>
      </w:r>
    </w:p>
    <w:p>
      <w:pPr>
        <w:spacing w:after="0" w:line="236"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F Preferred Stock).</w:t>
      </w:r>
    </w:p>
    <w:p>
      <w:pPr>
        <w:spacing w:after="0" w:line="215" w:lineRule="exact"/>
        <w:rPr>
          <w:sz w:val="20"/>
          <w:szCs w:val="20"/>
          <w:color w:val="auto"/>
        </w:rPr>
      </w:pPr>
    </w:p>
    <w:p>
      <w:pPr>
        <w:jc w:val="both"/>
        <w:ind w:left="660" w:right="320" w:firstLine="645"/>
        <w:spacing w:after="0" w:line="264" w:lineRule="auto"/>
        <w:tabs>
          <w:tab w:leader="none" w:pos="202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19050</wp:posOffset>
            </wp:positionV>
            <wp:extent cx="3600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420"/>
          </w:cols>
          <w:pgMar w:left="240" w:top="517" w:right="239" w:bottom="1440" w:gutter="0" w:footer="0" w:header="0"/>
        </w:sect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OS</w:t>
      </w:r>
      <w:r>
        <w:rPr>
          <w:rFonts w:ascii="Arial" w:cs="Arial" w:eastAsia="Arial" w:hAnsi="Arial"/>
          <w:sz w:val="11"/>
          <w:szCs w:val="11"/>
          <w:color w:val="auto"/>
        </w:rPr>
        <w:t>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Company Common Stock outstanding immediately prior to the effective date of such share subdivision, split or</w:t>
      </w:r>
    </w:p>
    <w:p>
      <w:pPr>
        <w:spacing w:after="0" w:line="69" w:lineRule="exact"/>
        <w:rPr>
          <w:sz w:val="20"/>
          <w:szCs w:val="20"/>
          <w:color w:val="auto"/>
        </w:rPr>
      </w:pPr>
    </w:p>
    <w:p>
      <w:pPr>
        <w:sectPr>
          <w:pgSz w:w="11900" w:h="16838" w:orient="portrait"/>
          <w:cols w:equalWidth="0" w:num="2">
            <w:col w:w="780" w:space="620"/>
            <w:col w:w="10020"/>
          </w:cols>
          <w:pgMar w:left="240" w:top="517"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combination.</w:t>
      </w:r>
    </w:p>
    <w:p>
      <w:pPr>
        <w:spacing w:after="0" w:line="229"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color w:val="auto"/>
        </w:rPr>
        <w:t>OS</w:t>
      </w:r>
      <w:r>
        <w:rPr>
          <w:rFonts w:ascii="Arial" w:cs="Arial" w:eastAsia="Arial" w:hAnsi="Arial"/>
          <w:sz w:val="12"/>
          <w:szCs w:val="12"/>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number of shares of Company Common Stock outstanding immediately after the opening of business on the effective date of such</w:t>
      </w:r>
    </w:p>
    <w:p>
      <w:pPr>
        <w:sectPr>
          <w:pgSz w:w="11900" w:h="16838" w:orient="portrait"/>
          <w:cols w:equalWidth="0" w:num="1">
            <w:col w:w="11420"/>
          </w:cols>
          <w:pgMar w:left="240" w:top="517" w:right="2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 subdivision, split or combination.</w:t>
      </w:r>
    </w:p>
    <w:p>
      <w:pPr>
        <w:spacing w:after="0" w:line="238"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F Preferred Stock).</w:t>
      </w:r>
    </w:p>
    <w:p>
      <w:pPr>
        <w:spacing w:after="0" w:line="220" w:lineRule="exact"/>
        <w:rPr>
          <w:sz w:val="20"/>
          <w:szCs w:val="20"/>
          <w:color w:val="auto"/>
        </w:rPr>
      </w:pPr>
    </w:p>
    <w:p>
      <w:pPr>
        <w:ind w:left="660" w:right="40" w:firstLine="645"/>
        <w:spacing w:after="0" w:line="273" w:lineRule="auto"/>
        <w:tabs>
          <w:tab w:leader="none" w:pos="202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Issuance of Stock Purchase Rights</w:t>
      </w:r>
      <w:r>
        <w:rPr>
          <w:rFonts w:ascii="Arial" w:cs="Arial" w:eastAsia="Arial" w:hAnsi="Arial"/>
          <w:sz w:val="17"/>
          <w:szCs w:val="17"/>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as amended,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0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Y</w:t>
            </w:r>
          </w:p>
        </w:tc>
        <w:tc>
          <w:tcPr>
            <w:tcW w:w="0" w:type="dxa"/>
            <w:vAlign w:val="bottom"/>
          </w:tcPr>
          <w:p>
            <w:pPr>
              <w:spacing w:after="0"/>
              <w:rPr>
                <w:sz w:val="1"/>
                <w:szCs w:val="1"/>
                <w:color w:val="auto"/>
              </w:rPr>
            </w:pPr>
          </w:p>
        </w:tc>
      </w:tr>
      <w:tr>
        <w:trPr>
          <w:trHeight w:val="329"/>
        </w:trPr>
        <w:tc>
          <w:tcPr>
            <w:tcW w:w="108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4080" w:type="dxa"/>
            <w:vAlign w:val="bottom"/>
          </w:tcPr>
          <w:p>
            <w:pPr>
              <w:spacing w:after="0"/>
              <w:rPr>
                <w:sz w:val="24"/>
                <w:szCs w:val="24"/>
                <w:color w:val="auto"/>
              </w:rPr>
            </w:pPr>
          </w:p>
        </w:tc>
        <w:tc>
          <w:tcPr>
            <w:tcW w:w="11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X</w:t>
            </w: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8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108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40" w:type="dxa"/>
            <w:vAlign w:val="bottom"/>
            <w:gridSpan w:val="3"/>
          </w:tcPr>
          <w:p>
            <w:pPr>
              <w:ind w:left="320"/>
              <w:spacing w:after="0"/>
              <w:rPr>
                <w:sz w:val="20"/>
                <w:szCs w:val="20"/>
                <w:color w:val="auto"/>
              </w:rPr>
            </w:pPr>
            <w:r>
              <w:rPr>
                <w:rFonts w:ascii="Arial" w:cs="Arial" w:eastAsia="Arial" w:hAnsi="Arial"/>
                <w:sz w:val="18"/>
                <w:szCs w:val="18"/>
                <w:color w:val="auto"/>
              </w:rPr>
              <w:t>the number of shares of Company Common Stock outstanding immediately prior to the Ex-Date for such distribution.</w:t>
            </w:r>
          </w:p>
        </w:tc>
        <w:tc>
          <w:tcPr>
            <w:tcW w:w="0" w:type="dxa"/>
            <w:vAlign w:val="bottom"/>
          </w:tcPr>
          <w:p>
            <w:pPr>
              <w:spacing w:after="0"/>
              <w:rPr>
                <w:sz w:val="1"/>
                <w:szCs w:val="1"/>
                <w:color w:val="auto"/>
              </w:rPr>
            </w:pPr>
          </w:p>
        </w:tc>
      </w:tr>
      <w:tr>
        <w:trPr>
          <w:trHeight w:val="448"/>
        </w:trPr>
        <w:tc>
          <w:tcPr>
            <w:tcW w:w="1080" w:type="dxa"/>
            <w:vAlign w:val="bottom"/>
          </w:tcPr>
          <w:p>
            <w:pPr>
              <w:ind w:left="340"/>
              <w:spacing w:after="0"/>
              <w:rPr>
                <w:sz w:val="20"/>
                <w:szCs w:val="20"/>
                <w:color w:val="auto"/>
              </w:rPr>
            </w:pPr>
            <w:r>
              <w:rPr>
                <w:rFonts w:ascii="Arial" w:cs="Arial" w:eastAsia="Arial" w:hAnsi="Arial"/>
                <w:sz w:val="18"/>
                <w:szCs w:val="18"/>
                <w:color w:val="auto"/>
              </w:rPr>
              <w:t>X =</w:t>
            </w:r>
          </w:p>
        </w:tc>
        <w:tc>
          <w:tcPr>
            <w:tcW w:w="10140" w:type="dxa"/>
            <w:vAlign w:val="bottom"/>
            <w:gridSpan w:val="3"/>
          </w:tcPr>
          <w:p>
            <w:pPr>
              <w:ind w:left="340"/>
              <w:spacing w:after="0"/>
              <w:rPr>
                <w:sz w:val="20"/>
                <w:szCs w:val="20"/>
                <w:color w:val="auto"/>
              </w:rPr>
            </w:pPr>
            <w:r>
              <w:rPr>
                <w:rFonts w:ascii="Arial" w:cs="Arial" w:eastAsia="Arial" w:hAnsi="Arial"/>
                <w:sz w:val="18"/>
                <w:szCs w:val="18"/>
                <w:color w:val="auto"/>
              </w:rPr>
              <w:t>the total number of shares of Company Common Stock issuable pursuant to such rights or warrants.</w:t>
            </w:r>
          </w:p>
        </w:tc>
        <w:tc>
          <w:tcPr>
            <w:tcW w:w="0" w:type="dxa"/>
            <w:vAlign w:val="bottom"/>
          </w:tcPr>
          <w:p>
            <w:pPr>
              <w:spacing w:after="0"/>
              <w:rPr>
                <w:sz w:val="1"/>
                <w:szCs w:val="1"/>
                <w:color w:val="auto"/>
              </w:rPr>
            </w:pPr>
          </w:p>
        </w:tc>
      </w:tr>
      <w:tr>
        <w:trPr>
          <w:trHeight w:val="459"/>
        </w:trPr>
        <w:tc>
          <w:tcPr>
            <w:tcW w:w="1080" w:type="dxa"/>
            <w:vAlign w:val="bottom"/>
          </w:tcPr>
          <w:p>
            <w:pPr>
              <w:ind w:left="340"/>
              <w:spacing w:after="0"/>
              <w:rPr>
                <w:sz w:val="20"/>
                <w:szCs w:val="20"/>
                <w:color w:val="auto"/>
              </w:rPr>
            </w:pPr>
            <w:r>
              <w:rPr>
                <w:rFonts w:ascii="Arial" w:cs="Arial" w:eastAsia="Arial" w:hAnsi="Arial"/>
                <w:sz w:val="18"/>
                <w:szCs w:val="18"/>
                <w:color w:val="auto"/>
              </w:rPr>
              <w:t>Y =</w:t>
            </w:r>
          </w:p>
        </w:tc>
        <w:tc>
          <w:tcPr>
            <w:tcW w:w="10140" w:type="dxa"/>
            <w:vAlign w:val="bottom"/>
            <w:gridSpan w:val="3"/>
          </w:tcPr>
          <w:p>
            <w:pPr>
              <w:ind w:left="300"/>
              <w:spacing w:after="0"/>
              <w:rPr>
                <w:sz w:val="20"/>
                <w:szCs w:val="20"/>
                <w:color w:val="auto"/>
              </w:rPr>
            </w:pPr>
            <w:r>
              <w:rPr>
                <w:rFonts w:ascii="Arial" w:cs="Arial" w:eastAsia="Arial" w:hAnsi="Arial"/>
                <w:sz w:val="18"/>
                <w:szCs w:val="18"/>
                <w:color w:val="auto"/>
                <w:w w:val="89"/>
              </w:rPr>
              <w:t>the number of shares of Company Common Stock equal to the aggregate price payable to exercise such rights or warrants divided by the</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70" w:name="page71"/>
    <w:bookmarkEnd w:id="70"/>
    <w:p>
      <w:pPr>
        <w:ind w:left="660"/>
        <w:spacing w:after="0" w:line="287"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F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96" w:lineRule="exact"/>
        <w:rPr>
          <w:sz w:val="20"/>
          <w:szCs w:val="20"/>
          <w:color w:val="auto"/>
        </w:rPr>
      </w:pPr>
    </w:p>
    <w:p>
      <w:pPr>
        <w:ind w:left="660" w:firstLine="645"/>
        <w:spacing w:after="0" w:line="272" w:lineRule="auto"/>
        <w:tabs>
          <w:tab w:leader="none" w:pos="197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Debt or Asset Distributions</w:t>
      </w:r>
      <w:r>
        <w:rPr>
          <w:rFonts w:ascii="Arial" w:cs="Arial" w:eastAsia="Arial" w:hAnsi="Arial"/>
          <w:sz w:val="17"/>
          <w:szCs w:val="17"/>
          <w:color w:val="auto"/>
        </w:rPr>
        <w:t>. If the Corporation distributes to all or substantially all holders of shares of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the Conversion Price in effect immediately prior to the Ex-Date for such distribution will be multiplied by the following fraction: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19050</wp:posOffset>
            </wp:positionV>
            <wp:extent cx="7886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rPr>
          <w:sz w:val="20"/>
          <w:szCs w:val="20"/>
          <w:color w:val="auto"/>
        </w:rPr>
      </w:pPr>
      <w:r>
        <w:rPr>
          <w:rFonts w:ascii="Arial" w:cs="Arial" w:eastAsia="Arial" w:hAnsi="Arial"/>
          <w:sz w:val="18"/>
          <w:szCs w:val="18"/>
          <w:color w:val="auto"/>
        </w:rPr>
        <w:t>Where,</w:t>
      </w:r>
    </w:p>
    <w:p>
      <w:pPr>
        <w:spacing w:after="0" w:line="16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Current Market Price per share of Common Stock on such date.</w:t>
      </w:r>
    </w:p>
    <w:p>
      <w:pPr>
        <w:spacing w:after="0" w:line="259" w:lineRule="exact"/>
        <w:rPr>
          <w:sz w:val="20"/>
          <w:szCs w:val="20"/>
          <w:color w:val="auto"/>
        </w:rPr>
      </w:pPr>
    </w:p>
    <w:p>
      <w:pPr>
        <w:ind w:left="1160" w:right="160" w:hanging="620"/>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1" w:name="page72"/>
    <w:bookmarkEnd w:id="71"/>
    <w:p>
      <w:pPr>
        <w:ind w:left="660" w:right="20"/>
        <w:spacing w:after="0" w:line="259" w:lineRule="auto"/>
        <w:rPr>
          <w:sz w:val="20"/>
          <w:szCs w:val="20"/>
          <w:color w:val="auto"/>
        </w:rPr>
      </w:pPr>
      <w:r>
        <w:rPr>
          <w:rFonts w:ascii="Arial" w:cs="Arial" w:eastAsia="Arial" w:hAnsi="Arial"/>
          <w:sz w:val="18"/>
          <w:szCs w:val="18"/>
          <w:color w:val="auto"/>
        </w:rPr>
        <w:t>In a “spin-off”, where the Corporation makes a distribution to all holders of shares of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19050</wp:posOffset>
            </wp:positionV>
            <wp:extent cx="7200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MP</w:t>
      </w:r>
      <w:r>
        <w:rPr>
          <w:rFonts w:ascii="Arial" w:cs="Arial" w:eastAsia="Arial" w:hAnsi="Arial"/>
          <w:sz w:val="25"/>
          <w:szCs w:val="25"/>
          <w:color w:val="auto"/>
          <w:vertAlign w:val="subscript"/>
        </w:rPr>
        <w:t>s</w:t>
      </w:r>
    </w:p>
    <w:p>
      <w:pPr>
        <w:spacing w:after="0"/>
        <w:rPr>
          <w:sz w:val="20"/>
          <w:szCs w:val="20"/>
          <w:color w:val="auto"/>
        </w:rPr>
      </w:pPr>
      <w:r>
        <w:rPr>
          <w:rFonts w:ascii="Arial" w:cs="Arial" w:eastAsia="Arial" w:hAnsi="Arial"/>
          <w:sz w:val="18"/>
          <w:szCs w:val="18"/>
          <w:color w:val="auto"/>
        </w:rPr>
        <w:t>Where,</w:t>
      </w:r>
    </w:p>
    <w:p>
      <w:pPr>
        <w:spacing w:after="0" w:line="162" w:lineRule="exact"/>
        <w:rPr>
          <w:sz w:val="20"/>
          <w:szCs w:val="20"/>
          <w:color w:val="auto"/>
        </w:rPr>
      </w:pPr>
    </w:p>
    <w:p>
      <w:pPr>
        <w:ind w:left="340" w:right="280"/>
        <w:spacing w:after="0" w:line="285" w:lineRule="auto"/>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the average of the Closing Prices of the Common Stock over the first ten Trading Days commencing on and including the fifth Trading Day following the effective date of such distribution.</w:t>
      </w:r>
    </w:p>
    <w:p>
      <w:pPr>
        <w:spacing w:after="0" w:line="102" w:lineRule="exact"/>
        <w:rPr>
          <w:sz w:val="20"/>
          <w:szCs w:val="20"/>
          <w:color w:val="auto"/>
        </w:rPr>
      </w:pPr>
    </w:p>
    <w:p>
      <w:pPr>
        <w:ind w:left="340" w:right="100"/>
        <w:spacing w:after="0" w:line="302" w:lineRule="auto"/>
        <w:rPr>
          <w:sz w:val="20"/>
          <w:szCs w:val="20"/>
          <w:color w:val="auto"/>
        </w:rPr>
      </w:pPr>
      <w:r>
        <w:rPr>
          <w:rFonts w:ascii="Arial" w:cs="Arial" w:eastAsia="Arial" w:hAnsi="Arial"/>
          <w:sz w:val="16"/>
          <w:szCs w:val="16"/>
          <w:color w:val="auto"/>
        </w:rPr>
        <w:t>MP</w:t>
      </w:r>
      <w:r>
        <w:rPr>
          <w:rFonts w:ascii="Arial" w:cs="Arial" w:eastAsia="Arial" w:hAnsi="Arial"/>
          <w:sz w:val="22"/>
          <w:szCs w:val="22"/>
          <w:color w:val="auto"/>
          <w:vertAlign w:val="subscript"/>
        </w:rPr>
        <w:t>s</w:t>
      </w:r>
      <w:r>
        <w:rPr>
          <w:rFonts w:ascii="Arial" w:cs="Arial" w:eastAsia="Arial" w:hAnsi="Arial"/>
          <w:sz w:val="16"/>
          <w:szCs w:val="16"/>
          <w:color w:val="auto"/>
        </w:rPr>
        <w:t xml:space="preserve">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82"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giving effect to any intervening adjustments that may have been made with respect to the Series F Preferred Stock).</w:t>
      </w:r>
    </w:p>
    <w:p>
      <w:pPr>
        <w:spacing w:after="0" w:line="214" w:lineRule="exact"/>
        <w:rPr>
          <w:sz w:val="20"/>
          <w:szCs w:val="20"/>
          <w:color w:val="auto"/>
        </w:rPr>
      </w:pPr>
    </w:p>
    <w:p>
      <w:pPr>
        <w:ind w:left="660" w:right="80" w:firstLine="645"/>
        <w:spacing w:after="0" w:line="273" w:lineRule="auto"/>
        <w:tabs>
          <w:tab w:leader="none" w:pos="201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Cash Distributions</w:t>
      </w:r>
      <w:r>
        <w:rPr>
          <w:rFonts w:ascii="Arial" w:cs="Arial" w:eastAsia="Arial" w:hAnsi="Arial"/>
          <w:sz w:val="17"/>
          <w:szCs w:val="17"/>
          <w:color w:val="auto"/>
        </w:rPr>
        <w:t>. If the Corporation makes a distribution consisting exclusively of cash to all holders of the Common Stock, excluding (a) any cash dividend on the Common Stock to the extent a corresponding cash dividend pursuant to Section 4 is paid on the Series F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19050</wp:posOffset>
            </wp:positionV>
            <wp:extent cx="7886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rPr>
          <w:sz w:val="20"/>
          <w:szCs w:val="20"/>
          <w:color w:val="auto"/>
        </w:rPr>
      </w:pPr>
      <w:r>
        <w:rPr>
          <w:rFonts w:ascii="Arial" w:cs="Arial" w:eastAsia="Arial" w:hAnsi="Arial"/>
          <w:sz w:val="18"/>
          <w:szCs w:val="18"/>
          <w:color w:val="auto"/>
        </w:rPr>
        <w:t>Where,</w:t>
      </w:r>
    </w:p>
    <w:p>
      <w:pPr>
        <w:spacing w:after="0" w:line="162"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per share of Common Stock on the Trading Day immediately preceding the Ex-Date.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2" w:name="page73"/>
    <w:bookmarkEnd w:id="72"/>
    <w:p>
      <w:pPr>
        <w:ind w:left="340"/>
        <w:spacing w:after="0"/>
        <w:tabs>
          <w:tab w:leader="none" w:pos="1400" w:val="left"/>
        </w:tabs>
        <w:rPr>
          <w:sz w:val="20"/>
          <w:szCs w:val="20"/>
          <w:color w:val="auto"/>
        </w:rPr>
      </w:pPr>
      <w:r>
        <w:rPr>
          <w:rFonts w:ascii="Arial" w:cs="Arial" w:eastAsia="Arial" w:hAnsi="Arial"/>
          <w:sz w:val="18"/>
          <w:szCs w:val="18"/>
          <w:color w:val="auto"/>
        </w:rPr>
        <w:t>DIV =</w:t>
      </w:r>
      <w:r>
        <w:rPr>
          <w:sz w:val="20"/>
          <w:szCs w:val="20"/>
          <w:color w:val="auto"/>
        </w:rPr>
        <w:tab/>
      </w:r>
      <w:r>
        <w:rPr>
          <w:rFonts w:ascii="Arial" w:cs="Arial" w:eastAsia="Arial" w:hAnsi="Arial"/>
          <w:sz w:val="16"/>
          <w:szCs w:val="16"/>
          <w:color w:val="auto"/>
        </w:rPr>
        <w:t>the amount per share of Common Stock of the cash distribution, as determined pursuant to the introduction to this paragraph (v).</w:t>
      </w:r>
    </w:p>
    <w:p>
      <w:pPr>
        <w:spacing w:after="0" w:line="252"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F Preferred Stock).</w:t>
      </w:r>
    </w:p>
    <w:p>
      <w:pPr>
        <w:spacing w:after="0" w:line="214" w:lineRule="exact"/>
        <w:rPr>
          <w:sz w:val="20"/>
          <w:szCs w:val="20"/>
          <w:color w:val="auto"/>
        </w:rPr>
      </w:pPr>
    </w:p>
    <w:p>
      <w:pPr>
        <w:ind w:left="660" w:firstLine="645"/>
        <w:spacing w:after="0" w:line="302" w:lineRule="auto"/>
        <w:tabs>
          <w:tab w:leader="none" w:pos="197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Self Tender Offers and Exchange Offers</w:t>
      </w:r>
      <w:r>
        <w:rPr>
          <w:rFonts w:ascii="Arial" w:cs="Arial" w:eastAsia="Arial" w:hAnsi="Arial"/>
          <w:sz w:val="16"/>
          <w:szCs w:val="16"/>
          <w:color w:val="auto"/>
        </w:rPr>
        <w:t>. If the Corporation or any of its subsidiaries successfully completes a tender or exchange offer for the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2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580" w:type="dxa"/>
            <w:vAlign w:val="bottom"/>
            <w:gridSpan w:val="2"/>
          </w:tcPr>
          <w:p>
            <w:pPr>
              <w:jc w:val="center"/>
              <w:ind w:right="4640"/>
              <w:spacing w:after="0"/>
              <w:rPr>
                <w:sz w:val="20"/>
                <w:szCs w:val="20"/>
                <w:color w:val="auto"/>
              </w:rPr>
            </w:pPr>
            <w:r>
              <w:rPr>
                <w:rFonts w:ascii="Arial" w:cs="Arial" w:eastAsia="Arial" w:hAnsi="Arial"/>
                <w:sz w:val="18"/>
                <w:szCs w:val="18"/>
                <w:color w:val="auto"/>
                <w:w w:val="84"/>
              </w:rPr>
              <w:t>OS</w:t>
            </w:r>
            <w:r>
              <w:rPr>
                <w:rFonts w:ascii="Arial" w:cs="Arial" w:eastAsia="Arial" w:hAnsi="Arial"/>
                <w:sz w:val="25"/>
                <w:szCs w:val="25"/>
                <w:color w:val="auto"/>
                <w:w w:val="84"/>
                <w:vertAlign w:val="subscript"/>
              </w:rPr>
              <w:t>0</w:t>
            </w:r>
            <w:r>
              <w:rPr>
                <w:rFonts w:ascii="Arial" w:cs="Arial" w:eastAsia="Arial" w:hAnsi="Arial"/>
                <w:sz w:val="18"/>
                <w:szCs w:val="18"/>
                <w:color w:val="auto"/>
                <w:w w:val="84"/>
              </w:rPr>
              <w:t xml:space="preserve"> x SP</w:t>
            </w:r>
            <w:r>
              <w:rPr>
                <w:rFonts w:ascii="Arial" w:cs="Arial" w:eastAsia="Arial" w:hAnsi="Arial"/>
                <w:sz w:val="25"/>
                <w:szCs w:val="25"/>
                <w:color w:val="auto"/>
                <w:w w:val="84"/>
                <w:vertAlign w:val="subscript"/>
              </w:rPr>
              <w:t>0</w:t>
            </w:r>
          </w:p>
        </w:tc>
        <w:tc>
          <w:tcPr>
            <w:tcW w:w="0" w:type="dxa"/>
            <w:vAlign w:val="bottom"/>
          </w:tcPr>
          <w:p>
            <w:pPr>
              <w:spacing w:after="0"/>
              <w:rPr>
                <w:sz w:val="1"/>
                <w:szCs w:val="1"/>
                <w:color w:val="auto"/>
              </w:rPr>
            </w:pPr>
          </w:p>
        </w:tc>
      </w:tr>
      <w:tr>
        <w:trPr>
          <w:trHeight w:val="329"/>
        </w:trPr>
        <w:tc>
          <w:tcPr>
            <w:tcW w:w="120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3540" w:type="dxa"/>
            <w:vAlign w:val="bottom"/>
          </w:tcPr>
          <w:p>
            <w:pPr>
              <w:spacing w:after="0"/>
              <w:rPr>
                <w:sz w:val="24"/>
                <w:szCs w:val="24"/>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AC + (SP</w:t>
            </w:r>
            <w:r>
              <w:rPr>
                <w:rFonts w:ascii="Arial" w:cs="Arial" w:eastAsia="Arial" w:hAnsi="Arial"/>
                <w:sz w:val="25"/>
                <w:szCs w:val="25"/>
                <w:color w:val="auto"/>
                <w:w w:val="89"/>
                <w:vertAlign w:val="subscript"/>
              </w:rPr>
              <w:t>0</w:t>
            </w:r>
            <w:r>
              <w:rPr>
                <w:rFonts w:ascii="Arial" w:cs="Arial" w:eastAsia="Arial" w:hAnsi="Arial"/>
                <w:sz w:val="18"/>
                <w:szCs w:val="18"/>
                <w:color w:val="auto"/>
                <w:w w:val="89"/>
              </w:rPr>
              <w:t xml:space="preserve"> x OS</w:t>
            </w:r>
            <w:r>
              <w:rPr>
                <w:rFonts w:ascii="Arial" w:cs="Arial" w:eastAsia="Arial" w:hAnsi="Arial"/>
                <w:sz w:val="25"/>
                <w:szCs w:val="25"/>
                <w:color w:val="auto"/>
                <w:w w:val="89"/>
                <w:vertAlign w:val="superscript"/>
              </w:rPr>
              <w:t>1</w:t>
            </w:r>
            <w:r>
              <w:rPr>
                <w:rFonts w:ascii="Arial" w:cs="Arial" w:eastAsia="Arial" w:hAnsi="Arial"/>
                <w:sz w:val="18"/>
                <w:szCs w:val="18"/>
                <w:color w:val="auto"/>
                <w:w w:val="89"/>
              </w:rPr>
              <w:t>)</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00" w:type="dxa"/>
            <w:vAlign w:val="bottom"/>
            <w:vMerge w:val="continue"/>
          </w:tcPr>
          <w:p>
            <w:pPr>
              <w:spacing w:after="0"/>
              <w:rPr>
                <w:sz w:val="10"/>
                <w:szCs w:val="10"/>
                <w:color w:val="auto"/>
              </w:rPr>
            </w:pPr>
          </w:p>
        </w:tc>
        <w:tc>
          <w:tcPr>
            <w:tcW w:w="35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1200" w:type="dxa"/>
            <w:vAlign w:val="bottom"/>
          </w:tcPr>
          <w:p>
            <w:pPr>
              <w:ind w:left="34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20" w:type="dxa"/>
            <w:vAlign w:val="bottom"/>
            <w:gridSpan w:val="3"/>
          </w:tcPr>
          <w:p>
            <w:pPr>
              <w:ind w:left="180"/>
              <w:spacing w:after="0"/>
              <w:rPr>
                <w:sz w:val="20"/>
                <w:szCs w:val="20"/>
                <w:color w:val="auto"/>
              </w:rPr>
            </w:pPr>
            <w:r>
              <w:rPr>
                <w:rFonts w:ascii="Arial" w:cs="Arial" w:eastAsia="Arial" w:hAnsi="Arial"/>
                <w:sz w:val="18"/>
                <w:szCs w:val="18"/>
                <w:color w:val="auto"/>
                <w:w w:val="91"/>
              </w:rPr>
              <w:t>the Closing Price per share of Common Stock on the Trading Day immediately succeeding the expiration of the tender or exchange offer.</w:t>
            </w:r>
          </w:p>
        </w:tc>
        <w:tc>
          <w:tcPr>
            <w:tcW w:w="0" w:type="dxa"/>
            <w:vAlign w:val="bottom"/>
          </w:tcPr>
          <w:p>
            <w:pPr>
              <w:spacing w:after="0"/>
              <w:rPr>
                <w:sz w:val="1"/>
                <w:szCs w:val="1"/>
                <w:color w:val="auto"/>
              </w:rPr>
            </w:pPr>
          </w:p>
        </w:tc>
      </w:tr>
      <w:tr>
        <w:trPr>
          <w:trHeight w:val="447"/>
        </w:trPr>
        <w:tc>
          <w:tcPr>
            <w:tcW w:w="120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20" w:type="dxa"/>
            <w:vAlign w:val="bottom"/>
            <w:gridSpan w:val="3"/>
          </w:tcPr>
          <w:p>
            <w:pPr>
              <w:ind w:left="200"/>
              <w:spacing w:after="0"/>
              <w:rPr>
                <w:sz w:val="20"/>
                <w:szCs w:val="20"/>
                <w:color w:val="auto"/>
              </w:rPr>
            </w:pPr>
            <w:r>
              <w:rPr>
                <w:rFonts w:ascii="Arial" w:cs="Arial" w:eastAsia="Arial" w:hAnsi="Arial"/>
                <w:sz w:val="18"/>
                <w:szCs w:val="18"/>
                <w:color w:val="auto"/>
                <w:w w:val="93"/>
              </w:rPr>
              <w:t>the number of shares of Common Stock outstanding immediately prior to the expiration of the tender or exchange offer, including any</w:t>
            </w:r>
          </w:p>
        </w:tc>
        <w:tc>
          <w:tcPr>
            <w:tcW w:w="0" w:type="dxa"/>
            <w:vAlign w:val="bottom"/>
          </w:tcPr>
          <w:p>
            <w:pPr>
              <w:spacing w:after="0"/>
              <w:rPr>
                <w:sz w:val="1"/>
                <w:szCs w:val="1"/>
                <w:color w:val="auto"/>
              </w:rPr>
            </w:pPr>
          </w:p>
        </w:tc>
      </w:tr>
      <w:tr>
        <w:trPr>
          <w:trHeight w:val="230"/>
        </w:trPr>
        <w:tc>
          <w:tcPr>
            <w:tcW w:w="11320" w:type="dxa"/>
            <w:vAlign w:val="bottom"/>
            <w:gridSpan w:val="4"/>
          </w:tcPr>
          <w:p>
            <w:pPr>
              <w:ind w:left="340"/>
              <w:spacing w:after="0"/>
              <w:rPr>
                <w:sz w:val="20"/>
                <w:szCs w:val="20"/>
                <w:color w:val="auto"/>
              </w:rPr>
            </w:pPr>
            <w:r>
              <w:rPr>
                <w:rFonts w:ascii="Arial" w:cs="Arial" w:eastAsia="Arial" w:hAnsi="Arial"/>
                <w:sz w:val="18"/>
                <w:szCs w:val="18"/>
                <w:color w:val="auto"/>
              </w:rPr>
              <w:t>shares validly tendered and not withdrawn.</w:t>
            </w:r>
          </w:p>
        </w:tc>
        <w:tc>
          <w:tcPr>
            <w:tcW w:w="0" w:type="dxa"/>
            <w:vAlign w:val="bottom"/>
          </w:tcPr>
          <w:p>
            <w:pPr>
              <w:spacing w:after="0"/>
              <w:rPr>
                <w:sz w:val="1"/>
                <w:szCs w:val="1"/>
                <w:color w:val="auto"/>
              </w:rPr>
            </w:pPr>
          </w:p>
        </w:tc>
      </w:tr>
      <w:tr>
        <w:trPr>
          <w:trHeight w:val="445"/>
        </w:trPr>
        <w:tc>
          <w:tcPr>
            <w:tcW w:w="120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0120" w:type="dxa"/>
            <w:vAlign w:val="bottom"/>
            <w:gridSpan w:val="3"/>
          </w:tcPr>
          <w:p>
            <w:pPr>
              <w:ind w:left="200"/>
              <w:spacing w:after="0"/>
              <w:rPr>
                <w:sz w:val="20"/>
                <w:szCs w:val="20"/>
                <w:color w:val="auto"/>
              </w:rPr>
            </w:pPr>
            <w:r>
              <w:rPr>
                <w:rFonts w:ascii="Arial" w:cs="Arial" w:eastAsia="Arial" w:hAnsi="Arial"/>
                <w:sz w:val="18"/>
                <w:szCs w:val="18"/>
                <w:color w:val="auto"/>
                <w:w w:val="94"/>
              </w:rPr>
              <w:t>the number of shares of Common Stock outstanding immediately after the expiration of the tender or exchange offer, giving effect to</w:t>
            </w:r>
          </w:p>
        </w:tc>
        <w:tc>
          <w:tcPr>
            <w:tcW w:w="0" w:type="dxa"/>
            <w:vAlign w:val="bottom"/>
          </w:tcPr>
          <w:p>
            <w:pPr>
              <w:spacing w:after="0"/>
              <w:rPr>
                <w:sz w:val="1"/>
                <w:szCs w:val="1"/>
                <w:color w:val="auto"/>
              </w:rPr>
            </w:pPr>
          </w:p>
        </w:tc>
      </w:tr>
      <w:tr>
        <w:trPr>
          <w:trHeight w:val="230"/>
        </w:trPr>
        <w:tc>
          <w:tcPr>
            <w:tcW w:w="11320" w:type="dxa"/>
            <w:vAlign w:val="bottom"/>
            <w:gridSpan w:val="4"/>
          </w:tcPr>
          <w:p>
            <w:pPr>
              <w:ind w:left="340"/>
              <w:spacing w:after="0"/>
              <w:rPr>
                <w:sz w:val="20"/>
                <w:szCs w:val="20"/>
                <w:color w:val="auto"/>
              </w:rPr>
            </w:pPr>
            <w:r>
              <w:rPr>
                <w:rFonts w:ascii="Arial" w:cs="Arial" w:eastAsia="Arial" w:hAnsi="Arial"/>
                <w:sz w:val="18"/>
                <w:szCs w:val="18"/>
                <w:color w:val="auto"/>
                <w:w w:val="97"/>
              </w:rPr>
              <w:t>consummation of the acquisition of all shares validly tendered or exchanged (and not withdrawn) in connection with such tender or exchange.</w:t>
            </w:r>
          </w:p>
        </w:tc>
        <w:tc>
          <w:tcPr>
            <w:tcW w:w="0" w:type="dxa"/>
            <w:vAlign w:val="bottom"/>
          </w:tcPr>
          <w:p>
            <w:pPr>
              <w:spacing w:after="0"/>
              <w:rPr>
                <w:sz w:val="1"/>
                <w:szCs w:val="1"/>
                <w:color w:val="auto"/>
              </w:rPr>
            </w:pPr>
          </w:p>
        </w:tc>
      </w:tr>
      <w:tr>
        <w:trPr>
          <w:trHeight w:val="445"/>
        </w:trPr>
        <w:tc>
          <w:tcPr>
            <w:tcW w:w="1200" w:type="dxa"/>
            <w:vAlign w:val="bottom"/>
          </w:tcPr>
          <w:p>
            <w:pPr>
              <w:ind w:left="340"/>
              <w:spacing w:after="0"/>
              <w:rPr>
                <w:sz w:val="20"/>
                <w:szCs w:val="20"/>
                <w:color w:val="auto"/>
              </w:rPr>
            </w:pPr>
            <w:r>
              <w:rPr>
                <w:rFonts w:ascii="Arial" w:cs="Arial" w:eastAsia="Arial" w:hAnsi="Arial"/>
                <w:sz w:val="18"/>
                <w:szCs w:val="18"/>
                <w:color w:val="auto"/>
              </w:rPr>
              <w:t>AC =</w:t>
            </w:r>
          </w:p>
        </w:tc>
        <w:tc>
          <w:tcPr>
            <w:tcW w:w="10120" w:type="dxa"/>
            <w:vAlign w:val="bottom"/>
            <w:gridSpan w:val="3"/>
          </w:tcPr>
          <w:p>
            <w:pPr>
              <w:ind w:left="200"/>
              <w:spacing w:after="0"/>
              <w:rPr>
                <w:sz w:val="20"/>
                <w:szCs w:val="20"/>
                <w:color w:val="auto"/>
              </w:rPr>
            </w:pPr>
            <w:r>
              <w:rPr>
                <w:rFonts w:ascii="Arial" w:cs="Arial" w:eastAsia="Arial" w:hAnsi="Arial"/>
                <w:sz w:val="18"/>
                <w:szCs w:val="18"/>
                <w:color w:val="auto"/>
                <w:w w:val="89"/>
              </w:rPr>
              <w:t>the aggregate cash and fair market value of the other consideration payable in the tender or exchange offer, as determined by the Board of</w:t>
            </w:r>
          </w:p>
        </w:tc>
        <w:tc>
          <w:tcPr>
            <w:tcW w:w="0" w:type="dxa"/>
            <w:vAlign w:val="bottom"/>
          </w:tcPr>
          <w:p>
            <w:pPr>
              <w:spacing w:after="0"/>
              <w:rPr>
                <w:sz w:val="1"/>
                <w:szCs w:val="1"/>
                <w:color w:val="auto"/>
              </w:rPr>
            </w:pPr>
          </w:p>
        </w:tc>
      </w:tr>
      <w:tr>
        <w:trPr>
          <w:trHeight w:val="230"/>
        </w:trPr>
        <w:tc>
          <w:tcPr>
            <w:tcW w:w="1200" w:type="dxa"/>
            <w:vAlign w:val="bottom"/>
          </w:tcPr>
          <w:p>
            <w:pPr>
              <w:ind w:left="340"/>
              <w:spacing w:after="0"/>
              <w:rPr>
                <w:sz w:val="20"/>
                <w:szCs w:val="20"/>
                <w:color w:val="auto"/>
              </w:rPr>
            </w:pPr>
            <w:r>
              <w:rPr>
                <w:rFonts w:ascii="Arial" w:cs="Arial" w:eastAsia="Arial" w:hAnsi="Arial"/>
                <w:sz w:val="18"/>
                <w:szCs w:val="18"/>
                <w:color w:val="auto"/>
              </w:rPr>
              <w:t>Directors.</w:t>
            </w:r>
          </w:p>
        </w:tc>
        <w:tc>
          <w:tcPr>
            <w:tcW w:w="3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F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ind w:left="-540" w:firstLine="645"/>
        <w:spacing w:after="0" w:line="293" w:lineRule="auto"/>
        <w:tabs>
          <w:tab w:leader="none" w:pos="77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Rights Plans</w:t>
      </w:r>
      <w:r>
        <w:rPr>
          <w:rFonts w:ascii="Arial" w:cs="Arial" w:eastAsia="Arial" w:hAnsi="Arial"/>
          <w:sz w:val="16"/>
          <w:szCs w:val="16"/>
          <w:color w:val="auto"/>
        </w:rPr>
        <w:t>. To the extent that the Corporation has a rights plan in effect with respect to the Common Stock on the Mandatory Conversion Date, upon conversion of any shares of the Series F Preferred Stock, Holders will receive, in addition to the shares of Common Stock, the rights under the rights plan, unless, prior to the Mandatory Conversion Date, the rights have separated from the shares of Common Stock, in which case the Conversion Price will be adjusted at the time of separation as if the Corporation had made a distribution to all holders of the Common Stock as described in clause (iii) above, subject to readjustment in the event of the expiration, termination or redemption of such rights (but giving effect to any intervening adjustments that may have been made with respect to the Series F Preferred Stock).</w:t>
      </w:r>
    </w:p>
    <w:p>
      <w:pPr>
        <w:spacing w:after="0" w:line="192" w:lineRule="exact"/>
        <w:rPr>
          <w:sz w:val="20"/>
          <w:szCs w:val="20"/>
          <w:color w:val="auto"/>
        </w:rPr>
      </w:pPr>
    </w:p>
    <w:p>
      <w:pPr>
        <w:ind w:left="-1200" w:right="20" w:firstLine="1305"/>
        <w:spacing w:after="0" w:line="259" w:lineRule="auto"/>
        <w:tabs>
          <w:tab w:leader="none" w:pos="7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213" w:lineRule="exact"/>
        <w:rPr>
          <w:rFonts w:ascii="Arial" w:cs="Arial" w:eastAsia="Arial" w:hAnsi="Arial"/>
          <w:sz w:val="18"/>
          <w:szCs w:val="18"/>
          <w:color w:val="auto"/>
        </w:rPr>
      </w:pPr>
    </w:p>
    <w:p>
      <w:pPr>
        <w:ind w:left="-1200" w:right="120" w:firstLine="1305"/>
        <w:spacing w:after="0" w:line="302" w:lineRule="auto"/>
        <w:tabs>
          <w:tab w:leader="none" w:pos="791"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81" w:lineRule="exact"/>
        <w:rPr>
          <w:sz w:val="20"/>
          <w:szCs w:val="20"/>
          <w:color w:val="auto"/>
        </w:rPr>
      </w:pPr>
    </w:p>
    <w:p>
      <w:pPr>
        <w:ind w:left="-540" w:right="120" w:firstLine="645"/>
        <w:spacing w:after="0" w:line="259" w:lineRule="auto"/>
        <w:tabs>
          <w:tab w:leader="none" w:pos="82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F Preferred Stock (including without limitation pursuant to Section 4 hereof), without having to convert the Series F Preferred Stock, as if they held the full number of shares of Common Stock into which a share of the Series F Preferred Stock may then be converted.</w:t>
      </w:r>
    </w:p>
    <w:p>
      <w:pPr>
        <w:spacing w:after="0" w:line="213" w:lineRule="exact"/>
        <w:rPr>
          <w:rFonts w:ascii="Arial" w:cs="Arial" w:eastAsia="Arial" w:hAnsi="Arial"/>
          <w:sz w:val="18"/>
          <w:szCs w:val="18"/>
          <w:color w:val="auto"/>
        </w:rPr>
      </w:pPr>
    </w:p>
    <w:p>
      <w:pPr>
        <w:ind w:left="820" w:hanging="71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252" w:lineRule="exact"/>
        <w:rPr>
          <w:rFonts w:ascii="Arial" w:cs="Arial" w:eastAsia="Arial" w:hAnsi="Arial"/>
          <w:sz w:val="18"/>
          <w:szCs w:val="18"/>
          <w:color w:val="auto"/>
        </w:rPr>
      </w:pPr>
    </w:p>
    <w:p>
      <w:pPr>
        <w:ind w:left="100" w:right="80" w:firstLine="653"/>
        <w:spacing w:after="0" w:line="264" w:lineRule="auto"/>
        <w:tabs>
          <w:tab w:leader="none" w:pos="14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74" w:name="page75"/>
    <w:bookmarkEnd w:id="74"/>
    <w:p>
      <w:pPr>
        <w:jc w:val="both"/>
        <w:ind w:left="1300" w:right="140" w:firstLine="653"/>
        <w:spacing w:after="0" w:line="342" w:lineRule="auto"/>
        <w:tabs>
          <w:tab w:leader="none" w:pos="26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50" w:lineRule="exact"/>
        <w:rPr>
          <w:rFonts w:ascii="Arial" w:cs="Arial" w:eastAsia="Arial" w:hAnsi="Arial"/>
          <w:sz w:val="16"/>
          <w:szCs w:val="16"/>
          <w:color w:val="auto"/>
        </w:rPr>
      </w:pPr>
    </w:p>
    <w:p>
      <w:pPr>
        <w:ind w:left="1300" w:right="40" w:firstLine="653"/>
        <w:spacing w:after="0" w:line="264" w:lineRule="auto"/>
        <w:tabs>
          <w:tab w:leader="none" w:pos="26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option, warrant, right or exercisable, exchangeable or convertible security outstanding as of the date shares of the Series F Preferred Stock were first issued and not substantially amended thereafter;</w:t>
      </w:r>
    </w:p>
    <w:p>
      <w:pPr>
        <w:spacing w:after="0" w:line="208" w:lineRule="exact"/>
        <w:rPr>
          <w:rFonts w:ascii="Arial" w:cs="Arial" w:eastAsia="Arial" w:hAnsi="Arial"/>
          <w:sz w:val="18"/>
          <w:szCs w:val="18"/>
          <w:color w:val="auto"/>
        </w:rPr>
      </w:pPr>
    </w:p>
    <w:p>
      <w:pPr>
        <w:ind w:left="2700" w:hanging="747"/>
        <w:spacing w:after="0"/>
        <w:tabs>
          <w:tab w:leader="none" w:pos="2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252" w:lineRule="exact"/>
        <w:rPr>
          <w:rFonts w:ascii="Arial" w:cs="Arial" w:eastAsia="Arial" w:hAnsi="Arial"/>
          <w:sz w:val="18"/>
          <w:szCs w:val="18"/>
          <w:color w:val="auto"/>
        </w:rPr>
      </w:pPr>
    </w:p>
    <w:p>
      <w:pPr>
        <w:ind w:left="2680" w:hanging="727"/>
        <w:spacing w:after="0"/>
        <w:tabs>
          <w:tab w:leader="none" w:pos="2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accrued and unpaid dividends on the Series F Preferred Stock.</w:t>
      </w:r>
    </w:p>
    <w:p>
      <w:pPr>
        <w:spacing w:after="0" w:line="252" w:lineRule="exact"/>
        <w:rPr>
          <w:sz w:val="20"/>
          <w:szCs w:val="20"/>
          <w:color w:val="auto"/>
        </w:rPr>
      </w:pPr>
    </w:p>
    <w:p>
      <w:pPr>
        <w:ind w:left="2000" w:hanging="695"/>
        <w:spacing w:after="0"/>
        <w:tabs>
          <w:tab w:leader="none" w:pos="2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Whenever the Conversion Price is to be adjusted in accordance with Section 10(a) or Section 10(b), the Corporation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22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 converted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there occurs:</w:t>
      </w:r>
    </w:p>
    <w:p>
      <w:pPr>
        <w:spacing w:after="0" w:line="197" w:lineRule="exact"/>
        <w:rPr>
          <w:sz w:val="20"/>
          <w:szCs w:val="20"/>
          <w:color w:val="auto"/>
        </w:rPr>
      </w:pPr>
    </w:p>
    <w:p>
      <w:pPr>
        <w:ind w:left="660" w:right="440" w:firstLine="645"/>
        <w:spacing w:after="0" w:line="308" w:lineRule="auto"/>
        <w:tabs>
          <w:tab w:leader="none" w:pos="19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consolidation, merger or other similar business combination of the Corporation with or into another Person, in each case pursuant to which the Common Stock will be converted into cash, securities or other property of the Corporation or another Person;</w:t>
      </w:r>
    </w:p>
    <w:p>
      <w:pPr>
        <w:spacing w:after="0" w:line="173" w:lineRule="exact"/>
        <w:rPr>
          <w:rFonts w:ascii="Arial" w:cs="Arial" w:eastAsia="Arial" w:hAnsi="Arial"/>
          <w:sz w:val="17"/>
          <w:szCs w:val="17"/>
          <w:color w:val="auto"/>
        </w:rPr>
      </w:pPr>
    </w:p>
    <w:p>
      <w:pPr>
        <w:ind w:left="660" w:right="20" w:firstLine="645"/>
        <w:spacing w:after="0" w:line="342" w:lineRule="auto"/>
        <w:tabs>
          <w:tab w:leader="none" w:pos="20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Corporation, in each case pursuant to which the Common Stock will be converted into cash, securities or other property of the Corporation or another Person;</w:t>
      </w:r>
    </w:p>
    <w:p>
      <w:pPr>
        <w:spacing w:after="0" w:line="150" w:lineRule="exact"/>
        <w:rPr>
          <w:rFonts w:ascii="Arial" w:cs="Arial" w:eastAsia="Arial" w:hAnsi="Arial"/>
          <w:sz w:val="16"/>
          <w:szCs w:val="16"/>
          <w:color w:val="auto"/>
        </w:rPr>
      </w:pPr>
    </w:p>
    <w:p>
      <w:pPr>
        <w:ind w:left="2020" w:hanging="715"/>
        <w:spacing w:after="0"/>
        <w:tabs>
          <w:tab w:leader="none" w:pos="2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reclassification of the Common Stock into securities including securities other than the Common Stock; or</w:t>
      </w:r>
    </w:p>
    <w:p>
      <w:pPr>
        <w:spacing w:after="0" w:line="252" w:lineRule="exact"/>
        <w:rPr>
          <w:rFonts w:ascii="Arial" w:cs="Arial" w:eastAsia="Arial" w:hAnsi="Arial"/>
          <w:sz w:val="18"/>
          <w:szCs w:val="18"/>
          <w:color w:val="auto"/>
        </w:rPr>
      </w:pPr>
    </w:p>
    <w:p>
      <w:pPr>
        <w:ind w:left="660" w:right="40" w:firstLine="645"/>
        <w:spacing w:after="0" w:line="277" w:lineRule="auto"/>
        <w:tabs>
          <w:tab w:leader="none" w:pos="19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5" w:name="page76"/>
    <w:bookmarkEnd w:id="75"/>
    <w:p>
      <w:pPr>
        <w:spacing w:after="0" w:line="269" w:lineRule="auto"/>
        <w:rPr>
          <w:sz w:val="20"/>
          <w:szCs w:val="20"/>
          <w:color w:val="auto"/>
        </w:rPr>
      </w:pPr>
      <w:r>
        <w:rPr>
          <w:rFonts w:ascii="Arial" w:cs="Arial" w:eastAsia="Arial" w:hAnsi="Arial"/>
          <w:sz w:val="17"/>
          <w:szCs w:val="17"/>
          <w:color w:val="auto"/>
        </w:rPr>
        <w:t>(any such event specified in this Section 11(a),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each share of such Holder’s Series F Preferred Stock outstanding immediately prior to such Reorganization Event shall remain outstanding but shall automatically convert, effective as of the close of business on the Mandatory Conversion Date with respect to the shares of Series F Preferred Stock of such Holder, into the type and amount of securities, cash and other property receivable in such Reorganization Event by the holder (excluding the counterparty to the Reorganization Event or an Affiliate of such counterparty) of the greater of (i) the number of shares of Common Stock into which one share of Series F Preferred Stock would then be convertible assuming the receipt of the Stockholder Approvals and (ii) the number of shares of Common Stock that, if one share of Series F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207" w:lineRule="exact"/>
        <w:rPr>
          <w:sz w:val="20"/>
          <w:szCs w:val="20"/>
          <w:color w:val="auto"/>
        </w:rPr>
      </w:pPr>
    </w:p>
    <w:p>
      <w:pPr>
        <w:ind w:right="120" w:firstLine="1305"/>
        <w:spacing w:after="0" w:line="277" w:lineRule="auto"/>
        <w:tabs>
          <w:tab w:leader="none" w:pos="20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that holders of the shares of Common Stock have the opportunity to elect the form of consideration to be received in such transaction, the Holders shall likewise be allowed to make such an election.</w:t>
      </w:r>
    </w:p>
    <w:p>
      <w:pPr>
        <w:spacing w:after="0" w:line="197" w:lineRule="exact"/>
        <w:rPr>
          <w:rFonts w:ascii="Arial" w:cs="Arial" w:eastAsia="Arial" w:hAnsi="Arial"/>
          <w:sz w:val="18"/>
          <w:szCs w:val="18"/>
          <w:color w:val="auto"/>
        </w:rPr>
      </w:pPr>
    </w:p>
    <w:p>
      <w:pPr>
        <w:ind w:firstLine="1305"/>
        <w:spacing w:after="0" w:line="264" w:lineRule="auto"/>
        <w:tabs>
          <w:tab w:leader="none" w:pos="19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208" w:lineRule="exact"/>
        <w:rPr>
          <w:rFonts w:ascii="Arial" w:cs="Arial" w:eastAsia="Arial" w:hAnsi="Arial"/>
          <w:sz w:val="18"/>
          <w:szCs w:val="18"/>
          <w:color w:val="auto"/>
        </w:rPr>
      </w:pPr>
    </w:p>
    <w:p>
      <w:pPr>
        <w:jc w:val="both"/>
        <w:ind w:right="180" w:firstLine="1305"/>
        <w:spacing w:after="0" w:line="264" w:lineRule="auto"/>
        <w:tabs>
          <w:tab w:leader="none" w:pos="19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208" w:lineRule="exact"/>
        <w:rPr>
          <w:rFonts w:ascii="Arial" w:cs="Arial" w:eastAsia="Arial" w:hAnsi="Arial"/>
          <w:sz w:val="18"/>
          <w:szCs w:val="18"/>
          <w:color w:val="auto"/>
        </w:rPr>
      </w:pPr>
    </w:p>
    <w:p>
      <w:pPr>
        <w:ind w:right="220" w:firstLine="1305"/>
        <w:spacing w:after="0" w:line="264" w:lineRule="auto"/>
        <w:tabs>
          <w:tab w:leader="none" w:pos="19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F Preferred Stock into the Exchange Property in a manner that is consistent with and gives effect to this Section 11.</w:t>
      </w:r>
    </w:p>
    <w:p>
      <w:pPr>
        <w:spacing w:after="0" w:line="208"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i w:val="1"/>
          <w:iCs w:val="1"/>
          <w:color w:val="auto"/>
        </w:rPr>
        <w:t>Section 12. Voting Rights</w:t>
      </w:r>
      <w:r>
        <w:rPr>
          <w:rFonts w:ascii="Arial" w:cs="Arial" w:eastAsia="Arial" w:hAnsi="Arial"/>
          <w:sz w:val="18"/>
          <w:szCs w:val="18"/>
          <w:color w:val="auto"/>
        </w:rPr>
        <w:t>. (a) Holders will not have any voting rights, including the right to elect any directors, except (i) voting rights, if</w:t>
      </w:r>
      <w:r>
        <w:rPr>
          <w:rFonts w:ascii="Arial" w:cs="Arial" w:eastAsia="Arial" w:hAnsi="Arial"/>
          <w:sz w:val="18"/>
          <w:szCs w:val="18"/>
          <w:i w:val="1"/>
          <w:iCs w:val="1"/>
          <w:color w:val="auto"/>
        </w:rPr>
        <w:t xml:space="preserve"> </w:t>
      </w:r>
      <w:r>
        <w:rPr>
          <w:rFonts w:ascii="Arial" w:cs="Arial" w:eastAsia="Arial" w:hAnsi="Arial"/>
          <w:sz w:val="18"/>
          <w:szCs w:val="18"/>
          <w:color w:val="auto"/>
        </w:rPr>
        <w:t>any, required by law, and (ii) voting rights, if any, described in this Section 12.</w:t>
      </w:r>
    </w:p>
    <w:p>
      <w:pPr>
        <w:spacing w:after="0" w:line="197" w:lineRule="exact"/>
        <w:rPr>
          <w:sz w:val="20"/>
          <w:szCs w:val="20"/>
          <w:color w:val="auto"/>
        </w:rPr>
      </w:pPr>
    </w:p>
    <w:p>
      <w:pPr>
        <w:ind w:right="40" w:firstLine="1305"/>
        <w:spacing w:after="0" w:line="259" w:lineRule="auto"/>
        <w:tabs>
          <w:tab w:leader="none" w:pos="2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 long as any shares of Series F Preferred Stock are outstanding, the vote or consent of the Holders of a majority of the shares of Series F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76" w:name="page77"/>
    <w:bookmarkEnd w:id="76"/>
    <w:p>
      <w:pPr>
        <w:ind w:left="660" w:right="20" w:firstLine="645"/>
        <w:spacing w:after="0" w:line="264" w:lineRule="auto"/>
        <w:tabs>
          <w:tab w:leader="none" w:pos="19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F Preferred Stock so as to affect them adversely; or</w:t>
      </w:r>
    </w:p>
    <w:p>
      <w:pPr>
        <w:spacing w:after="0" w:line="208" w:lineRule="exact"/>
        <w:rPr>
          <w:rFonts w:ascii="Arial" w:cs="Arial" w:eastAsia="Arial" w:hAnsi="Arial"/>
          <w:sz w:val="18"/>
          <w:szCs w:val="18"/>
          <w:color w:val="auto"/>
        </w:rPr>
      </w:pPr>
    </w:p>
    <w:p>
      <w:pPr>
        <w:ind w:left="660" w:right="220" w:firstLine="645"/>
        <w:spacing w:after="0" w:line="259" w:lineRule="auto"/>
        <w:tabs>
          <w:tab w:leader="none" w:pos="20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F Preferred Stock in the payment of dividends or in the distribution of assets on any liquidation, dissolution or winding up of the Corporation.</w:t>
      </w:r>
    </w:p>
    <w:p>
      <w:pPr>
        <w:spacing w:after="0" w:line="2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preferred stock ranking junior to the Series F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F Preferred Stock and, notwithstanding any provision of Georgia law, Holders will have no right to vote solely by reason of such an increase, creation or issuance.</w:t>
      </w:r>
    </w:p>
    <w:p>
      <w:pPr>
        <w:spacing w:after="0" w:line="215" w:lineRule="exact"/>
        <w:rPr>
          <w:sz w:val="20"/>
          <w:szCs w:val="20"/>
          <w:color w:val="auto"/>
        </w:rPr>
      </w:pPr>
    </w:p>
    <w:p>
      <w:pPr>
        <w:jc w:val="both"/>
        <w:ind w:right="60" w:firstLine="1305"/>
        <w:spacing w:after="0" w:line="342" w:lineRule="auto"/>
        <w:tabs>
          <w:tab w:leader="none" w:pos="19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Notwithstanding the foregoing, Holders shall not have any voting rights if, at or prior to the effective time of the act with respect to which such vote would otherwise be required, all outstanding shares of Series F Preferred Stock shall have been converted into shares of Common Stock.</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252" w:lineRule="exact"/>
        <w:rPr>
          <w:sz w:val="20"/>
          <w:szCs w:val="20"/>
          <w:color w:val="auto"/>
        </w:rPr>
      </w:pPr>
    </w:p>
    <w:p>
      <w:pPr>
        <w:ind w:left="2000" w:hanging="695"/>
        <w:spacing w:after="0"/>
        <w:tabs>
          <w:tab w:leader="none" w:pos="2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fractional shares of Common Stock will be issued as a result of any conversion of shares of Series F Preferred Stock.</w:t>
      </w:r>
    </w:p>
    <w:p>
      <w:pPr>
        <w:spacing w:after="0" w:line="263" w:lineRule="exact"/>
        <w:rPr>
          <w:rFonts w:ascii="Arial" w:cs="Arial" w:eastAsia="Arial" w:hAnsi="Arial"/>
          <w:sz w:val="17"/>
          <w:szCs w:val="17"/>
          <w:color w:val="auto"/>
        </w:rPr>
      </w:pPr>
    </w:p>
    <w:p>
      <w:pPr>
        <w:ind w:firstLine="1305"/>
        <w:spacing w:after="0" w:line="264" w:lineRule="auto"/>
        <w:tabs>
          <w:tab w:leader="none" w:pos="20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lieu of any fractional share of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208" w:lineRule="exact"/>
        <w:rPr>
          <w:rFonts w:ascii="Arial" w:cs="Arial" w:eastAsia="Arial" w:hAnsi="Arial"/>
          <w:sz w:val="18"/>
          <w:szCs w:val="18"/>
          <w:color w:val="auto"/>
        </w:rPr>
      </w:pPr>
    </w:p>
    <w:p>
      <w:pPr>
        <w:ind w:right="160" w:firstLine="1305"/>
        <w:spacing w:after="0" w:line="264" w:lineRule="auto"/>
        <w:tabs>
          <w:tab w:leader="none" w:pos="19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more than one share of the Series F Preferred Stock is surrendered for conversion at one time by or for the same Holder, the number of full shares of Common Stock issuable upon conversion thereof shall be computed on the basis of the aggregate number of shares of the Series F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77" w:name="page78"/>
    <w:bookmarkEnd w:id="77"/>
    <w:p>
      <w:pPr>
        <w:ind w:left="100"/>
        <w:spacing w:after="0"/>
        <w:rPr>
          <w:sz w:val="20"/>
          <w:szCs w:val="20"/>
          <w:color w:val="auto"/>
        </w:rPr>
      </w:pPr>
      <w:r>
        <w:rPr>
          <w:rFonts w:ascii="Arial" w:cs="Arial" w:eastAsia="Arial" w:hAnsi="Arial"/>
          <w:sz w:val="18"/>
          <w:szCs w:val="18"/>
          <w:i w:val="1"/>
          <w:iCs w:val="1"/>
          <w:color w:val="auto"/>
        </w:rPr>
        <w:t>Section 14. Reservation of Common Stock.</w:t>
      </w:r>
    </w:p>
    <w:p>
      <w:pPr>
        <w:spacing w:after="0" w:line="252" w:lineRule="exact"/>
        <w:rPr>
          <w:sz w:val="20"/>
          <w:szCs w:val="20"/>
          <w:color w:val="auto"/>
        </w:rPr>
      </w:pPr>
    </w:p>
    <w:p>
      <w:pPr>
        <w:ind w:left="-1200" w:firstLine="1305"/>
        <w:spacing w:after="0" w:line="255" w:lineRule="auto"/>
        <w:tabs>
          <w:tab w:leader="none" w:pos="7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Following the receipt of the Stockholder Approvals, the Corporation shall at all times reserve and keep available out of its authorized and unissued Common Stock or shares acquired by the Corporation, solely for issuance upon the conversion of shares of Series F Preferred Stock as provided in this Certificate of Designations free from any preemptive or other similar rights, such number of shares of Common Stock as shall from time to time be issuable upon the conversion of all the shares of Series F Preferred Stock then outstanding. For purposes of this Section 14(a), the number of shares of Common Stock that shall be deliverable upon the conversion of all outstanding shares of Series F Preferred Stock shall be computed as if at the time of computation all such outstanding shares were held by a single Holder.</w:t>
      </w:r>
    </w:p>
    <w:p>
      <w:pPr>
        <w:spacing w:after="0" w:line="220" w:lineRule="exact"/>
        <w:rPr>
          <w:rFonts w:ascii="Arial" w:cs="Arial" w:eastAsia="Arial" w:hAnsi="Arial"/>
          <w:sz w:val="18"/>
          <w:szCs w:val="18"/>
          <w:color w:val="auto"/>
        </w:rPr>
      </w:pPr>
    </w:p>
    <w:p>
      <w:pPr>
        <w:ind w:left="-1200" w:right="80" w:firstLine="1305"/>
        <w:spacing w:after="0" w:line="264" w:lineRule="auto"/>
        <w:tabs>
          <w:tab w:leader="none" w:pos="8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be entitled to deliver upon conversion of shares of Series F Preferred Stock, as herein provided, shares of Common Stock acquired by the Corporation (in lieu of the issuance of authorized and unissued shares of Common Stock), so long as any such acquired shares are free and clear of all liens, charges, security interests or encumbrances.</w:t>
      </w:r>
    </w:p>
    <w:p>
      <w:pPr>
        <w:spacing w:after="0" w:line="208" w:lineRule="exact"/>
        <w:rPr>
          <w:rFonts w:ascii="Arial" w:cs="Arial" w:eastAsia="Arial" w:hAnsi="Arial"/>
          <w:sz w:val="18"/>
          <w:szCs w:val="18"/>
          <w:color w:val="auto"/>
        </w:rPr>
      </w:pPr>
    </w:p>
    <w:p>
      <w:pPr>
        <w:ind w:left="-1200" w:right="200" w:firstLine="1305"/>
        <w:spacing w:after="0" w:line="277" w:lineRule="auto"/>
        <w:tabs>
          <w:tab w:leader="none" w:pos="7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shares of Common Stock delivered upon conversion of the Series F Preferred Stock shall be duly authorized, validly issued, fully paid and non-assessable, free and clear of all liens, claims, security interests and other encumbrances.</w:t>
      </w:r>
    </w:p>
    <w:p>
      <w:pPr>
        <w:spacing w:after="0" w:line="197" w:lineRule="exact"/>
        <w:rPr>
          <w:rFonts w:ascii="Arial" w:cs="Arial" w:eastAsia="Arial" w:hAnsi="Arial"/>
          <w:sz w:val="18"/>
          <w:szCs w:val="18"/>
          <w:color w:val="auto"/>
        </w:rPr>
      </w:pPr>
    </w:p>
    <w:p>
      <w:pPr>
        <w:ind w:left="-1200" w:right="140" w:firstLine="1305"/>
        <w:spacing w:after="0" w:line="264" w:lineRule="auto"/>
        <w:tabs>
          <w:tab w:leader="none" w:pos="8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F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208" w:lineRule="exact"/>
        <w:rPr>
          <w:rFonts w:ascii="Arial" w:cs="Arial" w:eastAsia="Arial" w:hAnsi="Arial"/>
          <w:sz w:val="18"/>
          <w:szCs w:val="18"/>
          <w:color w:val="auto"/>
        </w:rPr>
      </w:pPr>
    </w:p>
    <w:p>
      <w:pPr>
        <w:ind w:left="-1200" w:right="280" w:firstLine="1305"/>
        <w:spacing w:after="0" w:line="259" w:lineRule="auto"/>
        <w:tabs>
          <w:tab w:leader="none" w:pos="7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Corporation hereby covenants and agrees that, if at any time the Common Stock shall be listed on The NASDAQ Global Select Market or any other national securities exchange or automated quotation system, the Corporation will, if permitted by the rules of such exchange or automated quotation system, list and keep listed, so long as the Common Stock shall be so listed on such exchange or automated quotation system, all the Common Stock issuable upon conversion of the Series F Preferred Stock.</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252" w:lineRule="exact"/>
        <w:rPr>
          <w:sz w:val="20"/>
          <w:szCs w:val="20"/>
          <w:color w:val="auto"/>
        </w:rPr>
      </w:pPr>
    </w:p>
    <w:p>
      <w:pPr>
        <w:ind w:left="-1200" w:right="400" w:firstLine="1305"/>
        <w:spacing w:after="0" w:line="312" w:lineRule="auto"/>
        <w:tabs>
          <w:tab w:leader="none" w:pos="78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73" w:lineRule="exact"/>
        <w:rPr>
          <w:rFonts w:ascii="Arial" w:cs="Arial" w:eastAsia="Arial" w:hAnsi="Arial"/>
          <w:sz w:val="16"/>
          <w:szCs w:val="16"/>
          <w:color w:val="auto"/>
        </w:rPr>
      </w:pPr>
    </w:p>
    <w:p>
      <w:pPr>
        <w:ind w:left="-1200" w:right="60" w:firstLine="1305"/>
        <w:spacing w:after="0" w:line="259" w:lineRule="auto"/>
        <w:tabs>
          <w:tab w:leader="none" w:pos="7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certificates representing the Series F Preferred Stock on or after the Mandatory Conversion Date. In place of the delivery of a replacement certificate following the Mandatory Conversion Date, the Corporation, upon delivery of the evidence and indemnity described in clause (a) above, shall deliver the shares of Common Stock pursuant to the terms of the Series F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401955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78" w:name="page79"/>
    <w:bookmarkEnd w:id="78"/>
    <w:p>
      <w:pPr>
        <w:ind w:left="100"/>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252" w:lineRule="exact"/>
        <w:rPr>
          <w:sz w:val="20"/>
          <w:szCs w:val="20"/>
          <w:color w:val="auto"/>
        </w:rPr>
      </w:pPr>
    </w:p>
    <w:p>
      <w:pPr>
        <w:ind w:left="-1200" w:firstLine="1305"/>
        <w:spacing w:after="0" w:line="255" w:lineRule="auto"/>
        <w:tabs>
          <w:tab w:leader="none" w:pos="78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220" w:lineRule="exact"/>
        <w:rPr>
          <w:rFonts w:ascii="Arial" w:cs="Arial" w:eastAsia="Arial" w:hAnsi="Arial"/>
          <w:sz w:val="18"/>
          <w:szCs w:val="18"/>
          <w:color w:val="auto"/>
        </w:rPr>
      </w:pPr>
    </w:p>
    <w:p>
      <w:pPr>
        <w:ind w:left="-1200" w:right="40" w:firstLine="1305"/>
        <w:spacing w:after="0" w:line="271" w:lineRule="auto"/>
        <w:tabs>
          <w:tab w:leader="none" w:pos="79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Corporation shall pay any and all stock transfer and documentary stamp taxes that may be payable in respect of any issuance or delivery of shares of Series F Preferred Stock or shares of Common Stock or other securities issued on account of Series F Preferred Stock pursuant hereto or certificates representing such shares or securities. The Corporation shall not, however, be required to pay any such tax that may be payable in respect of any transfer involved in the issuance or delivery of shares of Series F Preferred Stock or Common Stock or other securities in a name other than that in which the shares of Series F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205" w:lineRule="exact"/>
        <w:rPr>
          <w:rFonts w:ascii="Arial" w:cs="Arial" w:eastAsia="Arial" w:hAnsi="Arial"/>
          <w:sz w:val="17"/>
          <w:szCs w:val="17"/>
          <w:color w:val="auto"/>
        </w:rPr>
      </w:pPr>
    </w:p>
    <w:p>
      <w:pPr>
        <w:ind w:left="-1200" w:right="40" w:firstLine="1305"/>
        <w:spacing w:after="0" w:line="308" w:lineRule="auto"/>
        <w:tabs>
          <w:tab w:leader="none" w:pos="78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payments on the shares of Series F Preferred Stock shall be subject to withholding and backup withholding of tax to the extent required by applicable law, subject to applicable exemptions, and amounts withheld, if any, shall be treated as received by the holders thereof.</w:t>
      </w:r>
    </w:p>
    <w:p>
      <w:pPr>
        <w:spacing w:after="0" w:line="173" w:lineRule="exact"/>
        <w:rPr>
          <w:rFonts w:ascii="Arial" w:cs="Arial" w:eastAsia="Arial" w:hAnsi="Arial"/>
          <w:sz w:val="17"/>
          <w:szCs w:val="17"/>
          <w:color w:val="auto"/>
        </w:rPr>
      </w:pPr>
    </w:p>
    <w:p>
      <w:pPr>
        <w:ind w:left="-1200" w:right="20" w:firstLine="1305"/>
        <w:spacing w:after="0" w:line="264" w:lineRule="auto"/>
        <w:tabs>
          <w:tab w:leader="none" w:pos="8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share of Series F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208" w:lineRule="exact"/>
        <w:rPr>
          <w:rFonts w:ascii="Arial" w:cs="Arial" w:eastAsia="Arial" w:hAnsi="Arial"/>
          <w:sz w:val="18"/>
          <w:szCs w:val="18"/>
          <w:color w:val="auto"/>
        </w:rPr>
      </w:pPr>
    </w:p>
    <w:p>
      <w:pPr>
        <w:ind w:left="-1200" w:right="20" w:firstLine="1305"/>
        <w:spacing w:after="0" w:line="264" w:lineRule="auto"/>
        <w:tabs>
          <w:tab w:leader="none" w:pos="7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shares of Series F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208" w:lineRule="exact"/>
        <w:rPr>
          <w:rFonts w:ascii="Arial" w:cs="Arial" w:eastAsia="Arial" w:hAnsi="Arial"/>
          <w:sz w:val="18"/>
          <w:szCs w:val="18"/>
          <w:color w:val="auto"/>
        </w:rPr>
      </w:pPr>
    </w:p>
    <w:p>
      <w:pPr>
        <w:ind w:left="-1200" w:right="500" w:firstLine="1305"/>
        <w:spacing w:after="0" w:line="277" w:lineRule="auto"/>
        <w:tabs>
          <w:tab w:leader="none" w:pos="7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F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DESIGNATIONS, POWERS, PREFERENCES,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MANDATORILY CONVERTIBLE CUMULATIVE NON-VOTING PERPETUAL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 SERIES 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w:t>
      </w:r>
    </w:p>
    <w:p>
      <w:pPr>
        <w:spacing w:after="0" w:line="234" w:lineRule="exact"/>
        <w:rPr>
          <w:sz w:val="20"/>
          <w:szCs w:val="20"/>
          <w:color w:val="auto"/>
        </w:rPr>
      </w:pPr>
    </w:p>
    <w:p>
      <w:pPr>
        <w:ind w:right="140" w:firstLine="1459"/>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8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1"/>
          <w:szCs w:val="11"/>
          <w:b w:val="1"/>
          <w:bCs w:val="1"/>
          <w:color w:val="auto"/>
        </w:rPr>
        <w:t>ECOND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of the Corporation, as amended, authorize the issuance of 10,000,000 shares of preferred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$1.00 per share, of the Corporation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and authorizes the Board of Directors of the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to fix by resolution or resolutions the designation and number of shares of such series, and the voting and other powers, preferences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relative, participating, optional or other special rights, and the qualifications, limitations and restrictions thereof, of the shares of such series.</w:t>
      </w:r>
    </w:p>
    <w:p>
      <w:pPr>
        <w:spacing w:after="0" w:line="234" w:lineRule="exact"/>
        <w:rPr>
          <w:sz w:val="20"/>
          <w:szCs w:val="20"/>
          <w:color w:val="auto"/>
        </w:rPr>
      </w:pPr>
    </w:p>
    <w:p>
      <w:pPr>
        <w:ind w:right="220" w:firstLine="1459"/>
        <w:spacing w:after="0" w:line="347"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1"/>
          <w:szCs w:val="11"/>
          <w:b w:val="1"/>
          <w:bCs w:val="1"/>
          <w:color w:val="auto"/>
        </w:rPr>
        <w:t>HIRD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following resolution was duly adopted by the Board of Directors as required by O.C.G.A. § 14-2-602 and Article V of</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at a meeting duly convened and held on March 14, 2011, at which a quorum was present and acting throughout.</w:t>
      </w:r>
    </w:p>
    <w:p>
      <w:pPr>
        <w:spacing w:after="0" w:line="143" w:lineRule="exact"/>
        <w:rPr>
          <w:sz w:val="20"/>
          <w:szCs w:val="20"/>
          <w:color w:val="auto"/>
        </w:rPr>
      </w:pPr>
    </w:p>
    <w:p>
      <w:pPr>
        <w:jc w:val="both"/>
        <w:ind w:right="60" w:firstLine="1459"/>
        <w:spacing w:after="0" w:line="261"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ESOLVED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pursuant to the provisions of the Restated Articles of Incorporation of the Corporation, as amended, and applicable law, a</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PREFERENCES</w:t>
      </w:r>
    </w:p>
    <w:p>
      <w:pPr>
        <w:spacing w:after="0" w:line="256" w:lineRule="exact"/>
        <w:rPr>
          <w:sz w:val="20"/>
          <w:szCs w:val="20"/>
          <w:color w:val="auto"/>
        </w:rPr>
      </w:pPr>
    </w:p>
    <w:p>
      <w:pPr>
        <w:ind w:right="140" w:firstLine="1477"/>
        <w:spacing w:after="0" w:line="259" w:lineRule="auto"/>
        <w:rPr>
          <w:sz w:val="20"/>
          <w:szCs w:val="20"/>
          <w:color w:val="auto"/>
        </w:rPr>
      </w:pPr>
      <w:r>
        <w:rPr>
          <w:rFonts w:ascii="Arial" w:cs="Arial" w:eastAsia="Arial" w:hAnsi="Arial"/>
          <w:sz w:val="18"/>
          <w:szCs w:val="18"/>
          <w:i w:val="1"/>
          <w:iCs w:val="1"/>
          <w:color w:val="auto"/>
        </w:rPr>
        <w:t xml:space="preserve">Section 1. Designation. </w:t>
      </w:r>
      <w:r>
        <w:rPr>
          <w:rFonts w:ascii="Arial" w:cs="Arial" w:eastAsia="Arial" w:hAnsi="Arial"/>
          <w:sz w:val="18"/>
          <w:szCs w:val="18"/>
          <w:color w:val="auto"/>
        </w:rPr>
        <w:t>There is hereby created out of the authorized and unissued shares of preferred stock of the Corporation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stock designated as the “Mandatorily Convertible Cumulative Non-Voting Perpetual Preferred Stock, Series G” (the “</w:t>
      </w:r>
      <w:r>
        <w:rPr>
          <w:rFonts w:ascii="Arial" w:cs="Arial" w:eastAsia="Arial" w:hAnsi="Arial"/>
          <w:sz w:val="18"/>
          <w:szCs w:val="18"/>
          <w:u w:val="single" w:color="auto"/>
          <w:color w:val="auto"/>
        </w:rPr>
        <w:t>Series G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The number of shares constituting such series shall be 151,185. The par value of the Series G Preferred Stock shall be $1.00 per share, and the liquidation preference shall be $1,000 per share.</w:t>
      </w:r>
    </w:p>
    <w:p>
      <w:pPr>
        <w:spacing w:after="0" w:line="214"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i w:val="1"/>
          <w:iCs w:val="1"/>
          <w:color w:val="auto"/>
        </w:rPr>
        <w:t>Section 2. Ranking</w:t>
      </w:r>
      <w:r>
        <w:rPr>
          <w:rFonts w:ascii="Arial" w:cs="Arial" w:eastAsia="Arial" w:hAnsi="Arial"/>
          <w:sz w:val="18"/>
          <w:szCs w:val="18"/>
          <w:color w:val="auto"/>
        </w:rPr>
        <w:t>. The Series G Preferred Stock will, with respect to dividend rights and rights on liquidation, winding up and</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F Mandatorily Convertible Perpetual Preferred Stock and with each other class or series of equity securities of the Corporation the terms of which do not expressly provide that such class or series will rank senior or junior to the Series G Preferred Stock as to dividend rights and rights on liquidation, winding-up and dissolution of the Corporation (collectively referred to as “</w:t>
      </w:r>
      <w:r>
        <w:rPr>
          <w:rFonts w:ascii="Arial" w:cs="Arial" w:eastAsia="Arial" w:hAnsi="Arial"/>
          <w:sz w:val="18"/>
          <w:szCs w:val="18"/>
          <w:u w:val="single" w:color="auto"/>
          <w:color w:val="auto"/>
        </w:rPr>
        <w:t>Parity Securities</w:t>
      </w:r>
      <w:r>
        <w:rPr>
          <w:rFonts w:ascii="Arial" w:cs="Arial" w:eastAsia="Arial" w:hAnsi="Arial"/>
          <w:sz w:val="18"/>
          <w:szCs w:val="18"/>
          <w:color w:val="auto"/>
        </w:rPr>
        <w:t>”), and (ii) senior to the Corporation’s common stock, par value $1.00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Corporation’s non-voting common stock, par value $1.00 per share (the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and, together with the Common Stock,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and each other class or series of capital stock of the Corporation outstanding or established after the Effective Date by the Corporation the terms of which do not expressly provide that it ranks on a parity with or senior to the Series G Preferred Stock as to dividend rights and rights on liquidation, winding-up and dissolution of the Corporation (collectively referred to as “</w:t>
      </w:r>
      <w:r>
        <w:rPr>
          <w:rFonts w:ascii="Arial" w:cs="Arial" w:eastAsia="Arial" w:hAnsi="Arial"/>
          <w:sz w:val="18"/>
          <w:szCs w:val="18"/>
          <w:u w:val="single" w:color="auto"/>
          <w:color w:val="auto"/>
        </w:rPr>
        <w:t>Junior Securities</w:t>
      </w:r>
      <w:r>
        <w:rPr>
          <w:rFonts w:ascii="Arial" w:cs="Arial" w:eastAsia="Arial" w:hAnsi="Arial"/>
          <w:sz w:val="18"/>
          <w:szCs w:val="18"/>
          <w:color w:val="auto"/>
        </w:rPr>
        <w:t>”). The Corporation has the power to authorize and/or issue additional shares or classes or series of Junior Securities without the consent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0" w:name="page81"/>
    <w:bookmarkEnd w:id="80"/>
    <w:p>
      <w:pPr>
        <w:ind w:left="1300"/>
        <w:spacing w:after="0"/>
        <w:rPr>
          <w:sz w:val="20"/>
          <w:szCs w:val="20"/>
          <w:color w:val="auto"/>
        </w:rPr>
      </w:pPr>
      <w:r>
        <w:rPr>
          <w:rFonts w:ascii="Arial" w:cs="Arial" w:eastAsia="Arial" w:hAnsi="Arial"/>
          <w:sz w:val="17"/>
          <w:szCs w:val="17"/>
          <w:i w:val="1"/>
          <w:iCs w:val="1"/>
          <w:color w:val="auto"/>
        </w:rPr>
        <w:t>Section 3. Definitions</w:t>
      </w:r>
      <w:r>
        <w:rPr>
          <w:rFonts w:ascii="Arial" w:cs="Arial" w:eastAsia="Arial" w:hAnsi="Arial"/>
          <w:sz w:val="17"/>
          <w:szCs w:val="17"/>
          <w:color w:val="auto"/>
        </w:rPr>
        <w:t>. The following initially capitalized terms shall have the following meanings, whether used in the singular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plural:</w:t>
      </w:r>
    </w:p>
    <w:p>
      <w:pPr>
        <w:spacing w:after="0" w:line="238" w:lineRule="exact"/>
        <w:rPr>
          <w:sz w:val="20"/>
          <w:szCs w:val="20"/>
          <w:color w:val="auto"/>
        </w:rPr>
      </w:pPr>
    </w:p>
    <w:p>
      <w:pPr>
        <w:jc w:val="both"/>
        <w:ind w:right="220" w:firstLine="1305"/>
        <w:spacing w:after="0" w:line="259" w:lineRule="auto"/>
        <w:tabs>
          <w:tab w:leader="none" w:pos="19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252" w:lineRule="exact"/>
        <w:rPr>
          <w:rFonts w:ascii="Arial" w:cs="Arial" w:eastAsia="Arial" w:hAnsi="Arial"/>
          <w:sz w:val="18"/>
          <w:szCs w:val="18"/>
          <w:color w:val="auto"/>
        </w:rPr>
      </w:pPr>
    </w:p>
    <w:p>
      <w:pPr>
        <w:ind w:firstLine="1305"/>
        <w:spacing w:after="0" w:line="276" w:lineRule="auto"/>
        <w:tabs>
          <w:tab w:leader="none" w:pos="2001"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As-Converted Dividend</w:t>
      </w:r>
      <w:r>
        <w:rPr>
          <w:rFonts w:ascii="Arial" w:cs="Arial" w:eastAsia="Arial" w:hAnsi="Arial"/>
          <w:sz w:val="17"/>
          <w:szCs w:val="17"/>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Non-Voting Common Stock into which a share of Series G Preferred Stock would then be convertible (assuming receipt of the Stockholder Approval and, if applicable, the Regulatory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any Dividend Period with respect to which no dividend on the Common Stock has been declared, the As-Converted Dividend shall be $0.00.</w:t>
      </w:r>
    </w:p>
    <w:p>
      <w:pPr>
        <w:spacing w:after="0" w:line="199" w:lineRule="exact"/>
        <w:rPr>
          <w:rFonts w:ascii="Arial" w:cs="Arial" w:eastAsia="Arial" w:hAnsi="Arial"/>
          <w:sz w:val="17"/>
          <w:szCs w:val="17"/>
          <w:color w:val="auto"/>
        </w:rPr>
      </w:pPr>
    </w:p>
    <w:p>
      <w:pPr>
        <w:ind w:left="2000" w:hanging="695"/>
        <w:spacing w:after="0"/>
        <w:tabs>
          <w:tab w:leader="none" w:pos="2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252" w:lineRule="exact"/>
        <w:rPr>
          <w:rFonts w:ascii="Arial" w:cs="Arial" w:eastAsia="Arial" w:hAnsi="Arial"/>
          <w:sz w:val="18"/>
          <w:szCs w:val="18"/>
          <w:color w:val="auto"/>
        </w:rPr>
      </w:pPr>
    </w:p>
    <w:p>
      <w:pPr>
        <w:ind w:right="660" w:firstLine="1305"/>
        <w:spacing w:after="0" w:line="277" w:lineRule="auto"/>
        <w:tabs>
          <w:tab w:leader="none" w:pos="19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Affiliated Person</w:t>
      </w:r>
      <w:r>
        <w:rPr>
          <w:rFonts w:ascii="Arial" w:cs="Arial" w:eastAsia="Arial" w:hAnsi="Arial"/>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97" w:lineRule="exact"/>
        <w:rPr>
          <w:rFonts w:ascii="Arial" w:cs="Arial" w:eastAsia="Arial" w:hAnsi="Arial"/>
          <w:sz w:val="18"/>
          <w:szCs w:val="18"/>
          <w:color w:val="auto"/>
        </w:rPr>
      </w:pPr>
    </w:p>
    <w:p>
      <w:pPr>
        <w:ind w:right="680" w:firstLine="1305"/>
        <w:spacing w:after="0" w:line="277" w:lineRule="auto"/>
        <w:tabs>
          <w:tab w:leader="none" w:pos="20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1" w:name="page82"/>
    <w:bookmarkEnd w:id="81"/>
    <w:p>
      <w:pPr>
        <w:ind w:left="2000" w:hanging="695"/>
        <w:spacing w:after="0"/>
        <w:tabs>
          <w:tab w:leader="none" w:pos="2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Articles of Amendment to the Articles of Incorporation, dated March 29, 2011.</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252" w:lineRule="exact"/>
        <w:rPr>
          <w:rFonts w:ascii="Arial" w:cs="Arial" w:eastAsia="Arial" w:hAnsi="Arial"/>
          <w:sz w:val="18"/>
          <w:szCs w:val="18"/>
          <w:color w:val="auto"/>
        </w:rPr>
      </w:pPr>
    </w:p>
    <w:p>
      <w:pPr>
        <w:ind w:right="20" w:firstLine="1305"/>
        <w:spacing w:after="0" w:line="269" w:lineRule="auto"/>
        <w:tabs>
          <w:tab w:leader="none" w:pos="20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purposes of this Certificate of Designation, all references herein to the “</w:t>
      </w:r>
      <w:r>
        <w:rPr>
          <w:rFonts w:ascii="Arial" w:cs="Arial" w:eastAsia="Arial" w:hAnsi="Arial"/>
          <w:sz w:val="18"/>
          <w:szCs w:val="18"/>
          <w:u w:val="single" w:color="auto"/>
          <w:color w:val="auto"/>
        </w:rPr>
        <w:t>Closing Price</w:t>
      </w:r>
      <w:r>
        <w:rPr>
          <w:rFonts w:ascii="Arial" w:cs="Arial" w:eastAsia="Arial" w:hAnsi="Arial"/>
          <w:sz w:val="18"/>
          <w:szCs w:val="18"/>
          <w:color w:val="auto"/>
        </w:rPr>
        <w:t>” and “</w:t>
      </w:r>
      <w:r>
        <w:rPr>
          <w:rFonts w:ascii="Arial" w:cs="Arial" w:eastAsia="Arial" w:hAnsi="Arial"/>
          <w:sz w:val="18"/>
          <w:szCs w:val="18"/>
          <w:u w:val="single" w:color="auto"/>
          <w:color w:val="auto"/>
        </w:rPr>
        <w:t>last reported sale price</w:t>
      </w:r>
      <w:r>
        <w:rPr>
          <w:rFonts w:ascii="Arial" w:cs="Arial" w:eastAsia="Arial" w:hAnsi="Arial"/>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220" w:lineRule="exact"/>
        <w:rPr>
          <w:sz w:val="20"/>
          <w:szCs w:val="20"/>
          <w:color w:val="auto"/>
        </w:rPr>
      </w:pPr>
    </w:p>
    <w:p>
      <w:pPr>
        <w:ind w:left="2000" w:hanging="695"/>
        <w:spacing w:after="0"/>
        <w:tabs>
          <w:tab w:leader="none" w:pos="2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252" w:lineRule="exact"/>
        <w:rPr>
          <w:rFonts w:ascii="Arial" w:cs="Arial" w:eastAsia="Arial" w:hAnsi="Arial"/>
          <w:sz w:val="18"/>
          <w:szCs w:val="18"/>
          <w:color w:val="auto"/>
        </w:rPr>
      </w:pPr>
    </w:p>
    <w:p>
      <w:pPr>
        <w:jc w:val="both"/>
        <w:ind w:right="520" w:firstLine="1305"/>
        <w:spacing w:after="0" w:line="286" w:lineRule="auto"/>
        <w:tabs>
          <w:tab w:leader="none" w:pos="2001"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92" w:lineRule="exact"/>
        <w:rPr>
          <w:rFonts w:ascii="Arial" w:cs="Arial" w:eastAsia="Arial" w:hAnsi="Arial"/>
          <w:sz w:val="17"/>
          <w:szCs w:val="17"/>
          <w:color w:val="auto"/>
        </w:rPr>
      </w:pPr>
    </w:p>
    <w:p>
      <w:pPr>
        <w:ind w:left="2000" w:hanging="695"/>
        <w:spacing w:after="0"/>
        <w:tabs>
          <w:tab w:leader="none" w:pos="2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2" w:name="page83"/>
    <w:bookmarkEnd w:id="82"/>
    <w:p>
      <w:pPr>
        <w:ind w:left="800" w:hanging="69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252" w:lineRule="exact"/>
        <w:rPr>
          <w:rFonts w:ascii="Arial" w:cs="Arial" w:eastAsia="Arial" w:hAnsi="Arial"/>
          <w:sz w:val="18"/>
          <w:szCs w:val="18"/>
          <w:color w:val="auto"/>
        </w:rPr>
      </w:pPr>
    </w:p>
    <w:p>
      <w:pPr>
        <w:ind w:left="800" w:hanging="69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252" w:lineRule="exact"/>
        <w:rPr>
          <w:rFonts w:ascii="Arial" w:cs="Arial" w:eastAsia="Arial" w:hAnsi="Arial"/>
          <w:sz w:val="18"/>
          <w:szCs w:val="18"/>
          <w:color w:val="auto"/>
        </w:rPr>
      </w:pPr>
    </w:p>
    <w:p>
      <w:pPr>
        <w:ind w:left="780" w:hanging="675"/>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252" w:lineRule="exact"/>
        <w:rPr>
          <w:rFonts w:ascii="Arial" w:cs="Arial" w:eastAsia="Arial" w:hAnsi="Arial"/>
          <w:sz w:val="18"/>
          <w:szCs w:val="18"/>
          <w:color w:val="auto"/>
        </w:rPr>
      </w:pPr>
    </w:p>
    <w:p>
      <w:pPr>
        <w:ind w:left="-1200" w:right="520" w:firstLine="1305"/>
        <w:spacing w:after="0" w:line="277" w:lineRule="auto"/>
        <w:tabs>
          <w:tab w:leader="none" w:pos="7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means, with respect to any Dividend Period, the sum of (a) the greater of (i) LIBOR and (ii) 2.0% plus (b) 15.0%;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such amount is greater than 18.0%, the Dividend Rate shall be 18.0%.</w:t>
      </w:r>
    </w:p>
    <w:p>
      <w:pPr>
        <w:spacing w:after="0" w:line="197" w:lineRule="exact"/>
        <w:rPr>
          <w:rFonts w:ascii="Arial" w:cs="Arial" w:eastAsia="Arial" w:hAnsi="Arial"/>
          <w:sz w:val="18"/>
          <w:szCs w:val="18"/>
          <w:color w:val="auto"/>
        </w:rPr>
      </w:pPr>
    </w:p>
    <w:p>
      <w:pPr>
        <w:ind w:left="760" w:hanging="655"/>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G Preferred Stock are first issued.</w:t>
      </w:r>
    </w:p>
    <w:p>
      <w:pPr>
        <w:spacing w:after="0" w:line="252" w:lineRule="exact"/>
        <w:rPr>
          <w:rFonts w:ascii="Arial" w:cs="Arial" w:eastAsia="Arial" w:hAnsi="Arial"/>
          <w:sz w:val="18"/>
          <w:szCs w:val="18"/>
          <w:color w:val="auto"/>
        </w:rPr>
      </w:pPr>
    </w:p>
    <w:p>
      <w:pPr>
        <w:ind w:left="760" w:hanging="655"/>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252" w:lineRule="exact"/>
        <w:rPr>
          <w:rFonts w:ascii="Arial" w:cs="Arial" w:eastAsia="Arial" w:hAnsi="Arial"/>
          <w:sz w:val="18"/>
          <w:szCs w:val="18"/>
          <w:color w:val="auto"/>
        </w:rPr>
      </w:pPr>
    </w:p>
    <w:p>
      <w:pPr>
        <w:ind w:left="-1200" w:right="400" w:firstLine="1305"/>
        <w:spacing w:after="0" w:line="342" w:lineRule="auto"/>
        <w:tabs>
          <w:tab w:leader="none" w:pos="801"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Ex-Date</w:t>
      </w:r>
      <w:r>
        <w:rPr>
          <w:rFonts w:ascii="Arial" w:cs="Arial" w:eastAsia="Arial" w:hAnsi="Arial"/>
          <w:sz w:val="16"/>
          <w:szCs w:val="16"/>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50" w:lineRule="exact"/>
        <w:rPr>
          <w:rFonts w:ascii="Arial" w:cs="Arial" w:eastAsia="Arial" w:hAnsi="Arial"/>
          <w:sz w:val="16"/>
          <w:szCs w:val="16"/>
          <w:color w:val="auto"/>
        </w:rPr>
      </w:pPr>
    </w:p>
    <w:p>
      <w:pPr>
        <w:ind w:left="-1200" w:firstLine="1305"/>
        <w:spacing w:after="0" w:line="264" w:lineRule="auto"/>
        <w:tabs>
          <w:tab w:leader="none" w:pos="7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G Preferred Stock are registered, which may be treated by the Corporation as the absolute owner of the shares of Series G Preferred Stock for the purpose of making payment and settling the related conversions and for all other purposes.</w:t>
      </w:r>
    </w:p>
    <w:p>
      <w:pPr>
        <w:spacing w:after="0" w:line="208" w:lineRule="exact"/>
        <w:rPr>
          <w:rFonts w:ascii="Arial" w:cs="Arial" w:eastAsia="Arial" w:hAnsi="Arial"/>
          <w:sz w:val="18"/>
          <w:szCs w:val="18"/>
          <w:color w:val="auto"/>
        </w:rPr>
      </w:pPr>
    </w:p>
    <w:p>
      <w:pPr>
        <w:ind w:left="800" w:hanging="69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1200" w:right="60" w:firstLine="1305"/>
        <w:spacing w:after="0" w:line="268" w:lineRule="auto"/>
        <w:tabs>
          <w:tab w:leader="none" w:pos="8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G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400050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83" w:name="page84"/>
    <w:bookmarkEnd w:id="83"/>
    <w:p>
      <w:pPr>
        <w:ind w:right="500" w:firstLine="1305"/>
        <w:spacing w:after="0" w:line="277" w:lineRule="auto"/>
        <w:tabs>
          <w:tab w:leader="none" w:pos="19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as to the Series G Preferred Stock, $1,000 per share (as adjusted for any split, subdivision, combination, consolidation, recapitalization or similar event with respect to the Series G Preferred Stock).</w:t>
      </w:r>
    </w:p>
    <w:p>
      <w:pPr>
        <w:spacing w:after="0" w:line="197" w:lineRule="exact"/>
        <w:rPr>
          <w:sz w:val="20"/>
          <w:szCs w:val="20"/>
          <w:color w:val="auto"/>
        </w:rPr>
      </w:pPr>
    </w:p>
    <w:p>
      <w:pPr>
        <w:ind w:left="1980" w:hanging="675"/>
        <w:spacing w:after="0"/>
        <w:tabs>
          <w:tab w:leader="none" w:pos="1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London Banking Day</w:t>
      </w:r>
      <w:r>
        <w:rPr>
          <w:rFonts w:ascii="Arial" w:cs="Arial" w:eastAsia="Arial" w:hAnsi="Arial"/>
          <w:sz w:val="16"/>
          <w:szCs w:val="16"/>
          <w:color w:val="auto"/>
        </w:rPr>
        <w:t>” means any day on which commercial banks are open for general business (including dealings in deposits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U.S. dollars) in London.</w:t>
      </w:r>
    </w:p>
    <w:p>
      <w:pPr>
        <w:spacing w:after="0" w:line="237" w:lineRule="exact"/>
        <w:rPr>
          <w:rFonts w:ascii="Arial" w:cs="Arial" w:eastAsia="Arial" w:hAnsi="Arial"/>
          <w:sz w:val="16"/>
          <w:szCs w:val="16"/>
          <w:color w:val="auto"/>
        </w:rPr>
      </w:pPr>
    </w:p>
    <w:p>
      <w:pPr>
        <w:ind w:firstLine="1305"/>
        <w:spacing w:after="0" w:line="269" w:lineRule="auto"/>
        <w:tabs>
          <w:tab w:leader="none" w:pos="19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means, with respect to the shares of Series G Preferred Stock of any Holder, the second Business Day after which the Corporation and/or such Holder, as applicable as to a Holder, has received the Stockholder Approvals (or if a Reorganization Event has theretofore been consummated, the date of consummation of such Reorganization Event) and, if applicable, the Regulatory Approval necessary to permit such Holder to convert such shares of Series G Preferred Stock into authorized Non-Voting Common Stock without such conversion resulting in a Violation or, in the case of the Regulatory Approval, a violation of the Hart-Scott-Rodino Antitrust Improvements Act of 1976, as amended, and the rules and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209" w:lineRule="exact"/>
        <w:rPr>
          <w:rFonts w:ascii="Arial" w:cs="Arial" w:eastAsia="Arial" w:hAnsi="Arial"/>
          <w:sz w:val="17"/>
          <w:szCs w:val="17"/>
          <w:color w:val="auto"/>
        </w:rPr>
      </w:pPr>
    </w:p>
    <w:p>
      <w:pPr>
        <w:ind w:left="1980" w:hanging="675"/>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has the meaning set forth in Section 9(a).</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252" w:lineRule="exact"/>
        <w:rPr>
          <w:rFonts w:ascii="Arial" w:cs="Arial" w:eastAsia="Arial" w:hAnsi="Arial"/>
          <w:sz w:val="18"/>
          <w:szCs w:val="18"/>
          <w:color w:val="auto"/>
        </w:rPr>
      </w:pPr>
    </w:p>
    <w:p>
      <w:pPr>
        <w:ind w:right="280" w:firstLine="1305"/>
        <w:spacing w:after="0" w:line="277" w:lineRule="auto"/>
        <w:tabs>
          <w:tab w:leader="none" w:pos="19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252" w:lineRule="exact"/>
        <w:rPr>
          <w:rFonts w:ascii="Arial" w:cs="Arial" w:eastAsia="Arial" w:hAnsi="Arial"/>
          <w:sz w:val="18"/>
          <w:szCs w:val="18"/>
          <w:color w:val="auto"/>
        </w:rPr>
      </w:pPr>
    </w:p>
    <w:p>
      <w:pPr>
        <w:ind w:right="200" w:firstLine="1305"/>
        <w:spacing w:after="0" w:line="257" w:lineRule="auto"/>
        <w:tabs>
          <w:tab w:leader="none" w:pos="19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as to any Holder, to the extent applicable and required to permit such Holder to convert such Holder’s shares of Series G Preferred Stock into Non-Voting Common Stock and to own such Non-Voting Common Stock without such Holder being in violation of applicable law, rule or regulation, the receipt of approvals and authorizations of, filings and registrations with or notifications to any governmental authority, or expiration or termination of any applicable waiting period under, the Hart-Scott-Rodino Antitrust Improvements Act of 1976,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4" w:name="page85"/>
    <w:bookmarkEnd w:id="84"/>
    <w:p>
      <w:pPr>
        <w:ind w:left="2020" w:hanging="715"/>
        <w:spacing w:after="0"/>
        <w:tabs>
          <w:tab w:leader="none" w:pos="2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1.</w:t>
      </w:r>
    </w:p>
    <w:p>
      <w:pPr>
        <w:spacing w:after="0" w:line="252" w:lineRule="exact"/>
        <w:rPr>
          <w:rFonts w:ascii="Arial" w:cs="Arial" w:eastAsia="Arial" w:hAnsi="Arial"/>
          <w:sz w:val="18"/>
          <w:szCs w:val="18"/>
          <w:color w:val="auto"/>
        </w:rPr>
      </w:pPr>
    </w:p>
    <w:p>
      <w:pPr>
        <w:jc w:val="both"/>
        <w:ind w:right="220" w:firstLine="1305"/>
        <w:spacing w:after="0" w:line="291" w:lineRule="auto"/>
        <w:tabs>
          <w:tab w:leader="none" w:pos="2001"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 Approvals</w:t>
      </w:r>
      <w:r>
        <w:rPr>
          <w:rFonts w:ascii="Arial" w:cs="Arial" w:eastAsia="Arial" w:hAnsi="Arial"/>
          <w:sz w:val="16"/>
          <w:szCs w:val="16"/>
          <w:color w:val="auto"/>
        </w:rPr>
        <w:t>” means all stockholder approvals necessary to (1) approve the conversion of the Non-Voting Common Stock into Common Stock for purposes of Rule 5635 of the Nasdaq Stock Market Rules, and (2) approve the amendment to the Articles of Incorporation to</w:t>
      </w:r>
    </w:p>
    <w:p>
      <w:pPr>
        <w:ind w:right="340" w:firstLine="8"/>
        <w:spacing w:after="0" w:line="277" w:lineRule="auto"/>
        <w:tabs>
          <w:tab w:leader="none" w:pos="2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authorize a number of shares of Non-Voting Common Stock sufficient to permit the full conversion of the Series G Preferred Stock into Non-Voting Common Stock and the issuance of certain additional shares of Non-Voting Common Stock and (ii) increase the number of authorized shares of Common Stock to at least such number as shall be sufficient to permit the full conversion of the Non-Voting Common Stock.</w:t>
      </w:r>
    </w:p>
    <w:p>
      <w:pPr>
        <w:spacing w:after="0" w:line="200" w:lineRule="exact"/>
        <w:rPr>
          <w:rFonts w:ascii="Arial" w:cs="Arial" w:eastAsia="Arial" w:hAnsi="Arial"/>
          <w:sz w:val="17"/>
          <w:szCs w:val="17"/>
          <w:color w:val="auto"/>
        </w:rPr>
      </w:pPr>
    </w:p>
    <w:p>
      <w:pPr>
        <w:ind w:left="2020" w:hanging="715"/>
        <w:spacing w:after="0"/>
        <w:tabs>
          <w:tab w:leader="none" w:pos="2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252" w:lineRule="exact"/>
        <w:rPr>
          <w:sz w:val="20"/>
          <w:szCs w:val="20"/>
          <w:color w:val="auto"/>
        </w:rPr>
      </w:pPr>
    </w:p>
    <w:p>
      <w:pPr>
        <w:ind w:left="660" w:right="320" w:firstLine="645"/>
        <w:spacing w:after="0" w:line="277" w:lineRule="auto"/>
        <w:tabs>
          <w:tab w:leader="none" w:pos="19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are not suspended from trading on any national or regional securities exchange or association or over-the-counter market at the close of business; and</w:t>
      </w:r>
    </w:p>
    <w:p>
      <w:pPr>
        <w:spacing w:after="0" w:line="197" w:lineRule="exact"/>
        <w:rPr>
          <w:rFonts w:ascii="Arial" w:cs="Arial" w:eastAsia="Arial" w:hAnsi="Arial"/>
          <w:sz w:val="18"/>
          <w:szCs w:val="18"/>
          <w:color w:val="auto"/>
        </w:rPr>
      </w:pPr>
    </w:p>
    <w:p>
      <w:pPr>
        <w:ind w:left="660" w:right="480" w:firstLine="645"/>
        <w:spacing w:after="0" w:line="277" w:lineRule="auto"/>
        <w:tabs>
          <w:tab w:leader="none" w:pos="20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97" w:lineRule="exact"/>
        <w:rPr>
          <w:sz w:val="20"/>
          <w:szCs w:val="20"/>
          <w:color w:val="auto"/>
        </w:rPr>
      </w:pPr>
    </w:p>
    <w:p>
      <w:pPr>
        <w:ind w:left="1980" w:hanging="675"/>
        <w:spacing w:after="0"/>
        <w:tabs>
          <w:tab w:leader="none" w:pos="1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 Rules.</w:t>
      </w:r>
    </w:p>
    <w:p>
      <w:pPr>
        <w:spacing w:after="0" w:line="263" w:lineRule="exact"/>
        <w:rPr>
          <w:rFonts w:ascii="Arial" w:cs="Arial" w:eastAsia="Arial" w:hAnsi="Arial"/>
          <w:sz w:val="17"/>
          <w:szCs w:val="17"/>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has the meaning set forth in the BHC Act and any rules or regulations promulgated thereunder.</w:t>
      </w:r>
    </w:p>
    <w:p>
      <w:pPr>
        <w:spacing w:after="0" w:line="252"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i w:val="1"/>
          <w:iCs w:val="1"/>
          <w:color w:val="auto"/>
        </w:rPr>
        <w:t xml:space="preserve">Section 4. Dividends. </w:t>
      </w:r>
      <w:r>
        <w:rPr>
          <w:rFonts w:ascii="Arial" w:cs="Arial" w:eastAsia="Arial" w:hAnsi="Arial"/>
          <w:sz w:val="18"/>
          <w:szCs w:val="18"/>
          <w:color w:val="auto"/>
        </w:rPr>
        <w:t>(a) From and after the Effective Date, the Holders shall be entitled to receive, when, as and if declared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or a duly authorized committee of the Board of Directors, out of funds legally available therefor, cumulative dividends of the type and in the amounts determined as set forth in this Section 4, and no more.</w:t>
      </w:r>
    </w:p>
    <w:p>
      <w:pPr>
        <w:spacing w:after="0" w:line="208" w:lineRule="exact"/>
        <w:rPr>
          <w:sz w:val="20"/>
          <w:szCs w:val="20"/>
          <w:color w:val="auto"/>
        </w:rPr>
      </w:pPr>
    </w:p>
    <w:p>
      <w:pPr>
        <w:ind w:firstLine="1305"/>
        <w:spacing w:after="0" w:line="254" w:lineRule="auto"/>
        <w:tabs>
          <w:tab w:leader="none" w:pos="19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Commencing on the Effective Date, dividends shall accrue and shall be payable semi-annually in arrears on March 30th and September 30th of each year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G Preferred Stock, payable in cash at an annual rate equal to the Dividend Rate multiplied by the sum of (i) the Liquidation Preference plus (ii) all accrued and unpaid dividends for any prior Dividend Period that are payable on such share of Series G Preferred Stock, payable in cash (such dividend, the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As-Converted Dividend for such Dividend Period is greater than the Dividend, each outstanding share of Series G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ind w:right="260" w:firstLine="1305"/>
        <w:spacing w:after="0" w:line="291" w:lineRule="auto"/>
        <w:tabs>
          <w:tab w:leader="none" w:pos="1991"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w:t>
      </w:r>
    </w:p>
    <w:p>
      <w:pPr>
        <w:ind w:right="60" w:firstLine="8"/>
        <w:spacing w:after="0" w:line="261" w:lineRule="auto"/>
        <w:tabs>
          <w:tab w:leader="none" w:pos="4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 Period</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right="180" w:firstLine="1305"/>
        <w:spacing w:after="0" w:line="264" w:lineRule="auto"/>
        <w:tabs>
          <w:tab w:leader="none" w:pos="1956"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dividend will be payable to Holders of record as they appear in the records of the Corporation on the applicable record date (each, a “</w:t>
      </w:r>
      <w:r>
        <w:rPr>
          <w:rFonts w:ascii="Arial" w:cs="Arial" w:eastAsia="Arial" w:hAnsi="Arial"/>
          <w:sz w:val="18"/>
          <w:szCs w:val="18"/>
          <w:u w:val="single" w:color="auto"/>
          <w:color w:val="auto"/>
        </w:rPr>
        <w:t>Record Date</w:t>
      </w:r>
      <w:r>
        <w:rPr>
          <w:rFonts w:ascii="Arial" w:cs="Arial" w:eastAsia="Arial" w:hAnsi="Arial"/>
          <w:sz w:val="18"/>
          <w:szCs w:val="18"/>
          <w:color w:val="auto"/>
        </w:rPr>
        <w:t>”), which with respect to dividends payable pursuant to this Section 4, shall be on the fifteenth day of the month immediately prior to the month in which the relevant Dividend Payment Date occurs.</w:t>
      </w:r>
    </w:p>
    <w:p>
      <w:pPr>
        <w:spacing w:after="0" w:line="208" w:lineRule="exact"/>
        <w:rPr>
          <w:rFonts w:ascii="Arial" w:cs="Arial" w:eastAsia="Arial" w:hAnsi="Arial"/>
          <w:sz w:val="18"/>
          <w:szCs w:val="18"/>
          <w:color w:val="auto"/>
        </w:rPr>
      </w:pPr>
    </w:p>
    <w:p>
      <w:pPr>
        <w:ind w:right="340" w:firstLine="1305"/>
        <w:spacing w:after="0" w:line="257" w:lineRule="auto"/>
        <w:tabs>
          <w:tab w:leader="none" w:pos="19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Dividends on the Series G Preferred Stock are cumulative. Such dividends shall begin to accrue and be cumulative from the Effective Date (in the case of the shares of Series G Preferred Stock issued on the Effective Date), shall compound at the relevant rate on each subsequent Dividend Payment Date (</w:t>
      </w:r>
      <w:r>
        <w:rPr>
          <w:rFonts w:ascii="Arial" w:cs="Arial" w:eastAsia="Arial" w:hAnsi="Arial"/>
          <w:sz w:val="18"/>
          <w:szCs w:val="18"/>
          <w:i w:val="1"/>
          <w:iCs w:val="1"/>
          <w:color w:val="auto"/>
        </w:rPr>
        <w:t>i.e.</w:t>
      </w:r>
      <w:r>
        <w:rPr>
          <w:rFonts w:ascii="Arial" w:cs="Arial" w:eastAsia="Arial" w:hAnsi="Arial"/>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215" w:lineRule="exact"/>
        <w:rPr>
          <w:rFonts w:ascii="Arial" w:cs="Arial" w:eastAsia="Arial" w:hAnsi="Arial"/>
          <w:sz w:val="18"/>
          <w:szCs w:val="18"/>
          <w:color w:val="auto"/>
        </w:rPr>
      </w:pPr>
    </w:p>
    <w:p>
      <w:pPr>
        <w:ind w:right="200" w:firstLine="1305"/>
        <w:spacing w:after="0" w:line="286" w:lineRule="auto"/>
        <w:tabs>
          <w:tab w:leader="none" w:pos="1971" w:val="left"/>
        </w:tabs>
        <w:numPr>
          <w:ilvl w:val="1"/>
          <w:numId w:val="68"/>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remain outstanding, if all dividends payable pursuant to Section 4 on all outstanding shares of the Series G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w:t>
      </w:r>
    </w:p>
    <w:p>
      <w:pPr>
        <w:spacing w:after="0" w:line="1"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G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G Preferred Stock and such Parity Securities on such date or dates, as the case may be, shall be declared pro rata so that the respective amounts of such dividends shall bear the same ratio to each other as full semi-annual dividends per share payable on the shares of the Series G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ind w:right="180" w:firstLine="1305"/>
        <w:spacing w:after="0" w:line="279" w:lineRule="auto"/>
        <w:tabs>
          <w:tab w:leader="none" w:pos="195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G Preferred Stock is prior to the Dividend Payment Date applicable to any Dividend Period, the Holder of such share of Series G Preferred Stock will not have the right to receive any dividends on the Series G Preferred Stock with respect to such Dividend Period, provided that this provision shall not affect any rights to receive any accrued but unpaid dividends on the Series G Preferred Stock attributable to any Dividend Period completed prior to the Mandatory Conversion Date.</w:t>
      </w:r>
    </w:p>
    <w:p>
      <w:pPr>
        <w:spacing w:after="0" w:line="198" w:lineRule="exact"/>
        <w:rPr>
          <w:rFonts w:ascii="Arial" w:cs="Arial" w:eastAsia="Arial" w:hAnsi="Arial"/>
          <w:sz w:val="17"/>
          <w:szCs w:val="17"/>
          <w:color w:val="auto"/>
        </w:rPr>
      </w:pPr>
    </w:p>
    <w:p>
      <w:pPr>
        <w:ind w:right="40" w:firstLine="1305"/>
        <w:spacing w:after="0" w:line="259" w:lineRule="auto"/>
        <w:tabs>
          <w:tab w:leader="none" w:pos="19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214"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i w:val="1"/>
          <w:iCs w:val="1"/>
          <w:color w:val="auto"/>
        </w:rPr>
        <w:t xml:space="preserve">Section 5. Liquidation. </w:t>
      </w:r>
      <w:r>
        <w:rPr>
          <w:rFonts w:ascii="Arial" w:cs="Arial" w:eastAsia="Arial" w:hAnsi="Arial"/>
          <w:sz w:val="17"/>
          <w:szCs w:val="17"/>
          <w:color w:val="auto"/>
        </w:rPr>
        <w:t>(a) In the event the Corporation voluntarily or involuntarily liquidates, dissolves or winds up, the Holders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shall be entitled to receive liquidating distributions in an amount equal to the greater of (i) the Liquidation Preference per share of Series G Preferred Stock plus an amount equal to any accrued but unpaid dividends, whether or not declared, thereon to and including the date of such liquidation and (ii) the payment or distribution to which such Holders would have been entitled if the Series G Preferred Stock were converted into Non-Voting Common Stock (assuming receipt of the Stockholder Approvals and, if necessary, Regulatory Approval)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206" w:lineRule="exact"/>
        <w:rPr>
          <w:sz w:val="20"/>
          <w:szCs w:val="20"/>
          <w:color w:val="auto"/>
        </w:rPr>
      </w:pPr>
    </w:p>
    <w:p>
      <w:pPr>
        <w:ind w:firstLine="1305"/>
        <w:spacing w:after="0" w:line="257" w:lineRule="auto"/>
        <w:tabs>
          <w:tab w:leader="none" w:pos="19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G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215" w:lineRule="exact"/>
        <w:rPr>
          <w:rFonts w:ascii="Arial" w:cs="Arial" w:eastAsia="Arial" w:hAnsi="Arial"/>
          <w:sz w:val="18"/>
          <w:szCs w:val="18"/>
          <w:color w:val="auto"/>
        </w:rPr>
      </w:pPr>
    </w:p>
    <w:p>
      <w:pPr>
        <w:ind w:right="220" w:firstLine="1305"/>
        <w:spacing w:after="0" w:line="264" w:lineRule="auto"/>
        <w:tabs>
          <w:tab w:leader="none" w:pos="19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7" w:name="page88"/>
    <w:bookmarkEnd w:id="87"/>
    <w:p>
      <w:pPr>
        <w:ind w:left="1300"/>
        <w:spacing w:after="0"/>
        <w:rPr>
          <w:sz w:val="20"/>
          <w:szCs w:val="20"/>
          <w:color w:val="auto"/>
        </w:rPr>
      </w:pPr>
      <w:r>
        <w:rPr>
          <w:rFonts w:ascii="Arial" w:cs="Arial" w:eastAsia="Arial" w:hAnsi="Arial"/>
          <w:sz w:val="16"/>
          <w:szCs w:val="16"/>
          <w:i w:val="1"/>
          <w:iCs w:val="1"/>
          <w:color w:val="auto"/>
        </w:rPr>
        <w:t>Section 6. Maturity</w:t>
      </w:r>
      <w:r>
        <w:rPr>
          <w:rFonts w:ascii="Arial" w:cs="Arial" w:eastAsia="Arial" w:hAnsi="Arial"/>
          <w:sz w:val="16"/>
          <w:szCs w:val="16"/>
          <w:color w:val="auto"/>
        </w:rPr>
        <w:t>. The Series G Preferred Stock shall be perpetual unless converted in accordance with this Certificate of Designations.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252" w:lineRule="exact"/>
        <w:rPr>
          <w:sz w:val="20"/>
          <w:szCs w:val="20"/>
          <w:color w:val="auto"/>
        </w:rPr>
      </w:pPr>
    </w:p>
    <w:p>
      <w:pPr>
        <w:ind w:right="20" w:firstLine="1305"/>
        <w:spacing w:after="0" w:line="286" w:lineRule="auto"/>
        <w:tabs>
          <w:tab w:leader="none" w:pos="1991"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G Preferred Stock may not be redeemed by the Corporation prior to December 31, 2015.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Corporation, at its option, may redeem in whole at any time the shares of Series G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w:t>
      </w:r>
    </w:p>
    <w:p>
      <w:pPr>
        <w:spacing w:after="0" w:line="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125.0% of (A) the number of shares of Non-Voting Common Stock into which a share of Series G Preferred Stock would be convertible on the Trading Day immediately prior to the date fixed for redemption (assuming receipt of Stockholder Approvals and, if applicable, the Regulatory Approval) multiplied by (B) the Closing Price of Common Stock on such Trading Day. The redemption price for any shares of Series G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91" w:lineRule="exact"/>
        <w:rPr>
          <w:rFonts w:ascii="Arial" w:cs="Arial" w:eastAsia="Arial" w:hAnsi="Arial"/>
          <w:sz w:val="16"/>
          <w:szCs w:val="16"/>
          <w:color w:val="auto"/>
        </w:rPr>
      </w:pPr>
    </w:p>
    <w:p>
      <w:pPr>
        <w:ind w:right="140" w:firstLine="1305"/>
        <w:spacing w:after="0" w:line="308" w:lineRule="auto"/>
        <w:tabs>
          <w:tab w:leader="none" w:pos="2001"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No Sinking Fund</w:t>
      </w:r>
      <w:r>
        <w:rPr>
          <w:rFonts w:ascii="Arial" w:cs="Arial" w:eastAsia="Arial" w:hAnsi="Arial"/>
          <w:sz w:val="17"/>
          <w:szCs w:val="17"/>
          <w:color w:val="auto"/>
        </w:rPr>
        <w:t>. The Series G Preferred Stock will not be subject to any mandatory redemption, sinking fund or other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Holders of Series G Preferred Stock will have no right to require redemption of any shares of Series G Preferred Stock.</w:t>
      </w:r>
    </w:p>
    <w:p>
      <w:pPr>
        <w:spacing w:after="0" w:line="173" w:lineRule="exact"/>
        <w:rPr>
          <w:rFonts w:ascii="Arial" w:cs="Arial" w:eastAsia="Arial" w:hAnsi="Arial"/>
          <w:sz w:val="17"/>
          <w:szCs w:val="17"/>
          <w:color w:val="auto"/>
        </w:rPr>
      </w:pPr>
    </w:p>
    <w:p>
      <w:pPr>
        <w:ind w:firstLine="1305"/>
        <w:spacing w:after="0" w:line="269" w:lineRule="auto"/>
        <w:tabs>
          <w:tab w:leader="none" w:pos="1991"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Notice of every redemption of shares of Series G Preferred Stock shall be given by first class 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postage prepaid, 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failure to give such notice by mail, or any defect in such notice or in the mailing thereof, to any Holder of shares of Series G Preferred Stock designated for redemption shall not affect the validity of the proceedings for the redemption of any other shares of Series G Preferred Stock to be so redeemed except as to the Holder to whom the Corporation has failed to give such notice or except as to the Holder to whom notice was defective. Notwithstanding the foregoing, if the Series G Preferred Stock or any depositary shares representing interests in the Series G Preferred Stock are issued in book-entry form through The Depository Trust Company or any other similar facility, notice of redemption may be given to the Holders of Series G Preferred Stock at such time and in any manner permitted by such facility. Each such notice given to a Holder shall state: (1) the redemption date; (2) the number of shares of Series G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8" w:name="page89"/>
    <w:bookmarkEnd w:id="88"/>
    <w:p>
      <w:pPr>
        <w:ind w:right="20" w:firstLine="1305"/>
        <w:spacing w:after="0" w:line="283" w:lineRule="auto"/>
        <w:tabs>
          <w:tab w:leader="none" w:pos="2001"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redemption 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w:t>
      </w:r>
    </w:p>
    <w:p>
      <w:pPr>
        <w:spacing w:after="0" w:line="6" w:lineRule="exact"/>
        <w:rPr>
          <w:rFonts w:ascii="Arial" w:cs="Arial" w:eastAsia="Arial" w:hAnsi="Arial"/>
          <w:sz w:val="16"/>
          <w:szCs w:val="16"/>
          <w:color w:val="auto"/>
        </w:rPr>
      </w:pPr>
    </w:p>
    <w:p>
      <w:pPr>
        <w:ind w:right="320"/>
        <w:spacing w:after="0" w:line="323" w:lineRule="auto"/>
        <w:rPr>
          <w:rFonts w:ascii="Arial" w:cs="Arial" w:eastAsia="Arial" w:hAnsi="Arial"/>
          <w:sz w:val="16"/>
          <w:szCs w:val="16"/>
          <w:color w:val="auto"/>
        </w:rPr>
      </w:pPr>
      <w:r>
        <w:rPr>
          <w:rFonts w:ascii="Arial" w:cs="Arial" w:eastAsia="Arial" w:hAnsi="Arial"/>
          <w:sz w:val="16"/>
          <w:szCs w:val="16"/>
          <w:color w:val="auto"/>
        </w:rPr>
        <w:t>shares. Shares of outstanding Series G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66"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7"/>
          <w:szCs w:val="17"/>
          <w:i w:val="1"/>
          <w:iCs w:val="1"/>
          <w:color w:val="auto"/>
        </w:rPr>
        <w:t>Section 8. Mandatory Conversion</w:t>
      </w:r>
      <w:r>
        <w:rPr>
          <w:rFonts w:ascii="Arial" w:cs="Arial" w:eastAsia="Arial" w:hAnsi="Arial"/>
          <w:sz w:val="17"/>
          <w:szCs w:val="17"/>
          <w:color w:val="auto"/>
        </w:rPr>
        <w:t>. Effective as of the close of business on the Mandatory Conversion Date with respect to the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G Preferred Stock of a Holder, all such Holder’s shares of Series G Preferred Stock shall automatically convert into shares of Non-Voting Common Stock as set forth below. The number of shares of Non-Voting Common Stock into which a share of Series G Preferred Stock shall be convertible shall be determined by dividing (i) the Liquidation Preference by (ii) the Applicable Conversion Price (subject to the conversion procedures of Section 9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Series G Preferred Stock shall not convert into Non-Voting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252" w:lineRule="exact"/>
        <w:rPr>
          <w:sz w:val="20"/>
          <w:szCs w:val="20"/>
          <w:color w:val="auto"/>
        </w:rPr>
      </w:pPr>
    </w:p>
    <w:p>
      <w:pPr>
        <w:ind w:firstLine="1305"/>
        <w:spacing w:after="0" w:line="279" w:lineRule="auto"/>
        <w:tabs>
          <w:tab w:leader="none" w:pos="1991"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Holder shall, promptly upon receipt of each Regulatory Approval applicable to such Holder, if any, provide written notice to the Corporation of such receipt. 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198" w:lineRule="exact"/>
        <w:rPr>
          <w:sz w:val="20"/>
          <w:szCs w:val="20"/>
          <w:color w:val="auto"/>
        </w:rPr>
      </w:pPr>
    </w:p>
    <w:p>
      <w:pPr>
        <w:ind w:left="2020" w:hanging="715"/>
        <w:spacing w:after="0"/>
        <w:tabs>
          <w:tab w:leader="none" w:pos="2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89" w:name="page90"/>
    <w:bookmarkEnd w:id="89"/>
    <w:p>
      <w:pPr>
        <w:ind w:left="820" w:hanging="715"/>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252" w:lineRule="exact"/>
        <w:rPr>
          <w:rFonts w:ascii="Arial" w:cs="Arial" w:eastAsia="Arial" w:hAnsi="Arial"/>
          <w:sz w:val="18"/>
          <w:szCs w:val="18"/>
          <w:color w:val="auto"/>
        </w:rPr>
      </w:pPr>
    </w:p>
    <w:p>
      <w:pPr>
        <w:ind w:left="-540" w:right="120" w:firstLine="645"/>
        <w:spacing w:after="0" w:line="277" w:lineRule="auto"/>
        <w:tabs>
          <w:tab w:leader="none" w:pos="8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shares of Non-Voting Common Stock to be issued upon conversion of each share of Series G Preferred Stock held of record by such Holder and subject to such mandatory conversion;</w:t>
      </w:r>
    </w:p>
    <w:p>
      <w:pPr>
        <w:spacing w:after="0" w:line="197" w:lineRule="exact"/>
        <w:rPr>
          <w:rFonts w:ascii="Arial" w:cs="Arial" w:eastAsia="Arial" w:hAnsi="Arial"/>
          <w:sz w:val="18"/>
          <w:szCs w:val="18"/>
          <w:color w:val="auto"/>
        </w:rPr>
      </w:pPr>
    </w:p>
    <w:p>
      <w:pPr>
        <w:ind w:left="-540" w:right="120" w:firstLine="645"/>
        <w:spacing w:after="0" w:line="277" w:lineRule="auto"/>
        <w:tabs>
          <w:tab w:leader="none" w:pos="8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G Preferred Stock held of record by such Holder are to be surrendered for issuance of certificates representing shares of Non-Voting Common Stock; and</w:t>
      </w:r>
    </w:p>
    <w:p>
      <w:pPr>
        <w:spacing w:after="0" w:line="197" w:lineRule="exact"/>
        <w:rPr>
          <w:rFonts w:ascii="Arial" w:cs="Arial" w:eastAsia="Arial" w:hAnsi="Arial"/>
          <w:sz w:val="18"/>
          <w:szCs w:val="18"/>
          <w:color w:val="auto"/>
        </w:rPr>
      </w:pPr>
    </w:p>
    <w:p>
      <w:pPr>
        <w:ind w:left="-540" w:right="160" w:firstLine="645"/>
        <w:spacing w:after="0" w:line="277" w:lineRule="auto"/>
        <w:tabs>
          <w:tab w:leader="none" w:pos="81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G Preferred Stock held of record by such Holder prior to such mandatory conversion.</w:t>
      </w:r>
    </w:p>
    <w:p>
      <w:pPr>
        <w:spacing w:after="0" w:line="197" w:lineRule="exact"/>
        <w:rPr>
          <w:sz w:val="20"/>
          <w:szCs w:val="20"/>
          <w:color w:val="auto"/>
        </w:rPr>
      </w:pPr>
    </w:p>
    <w:p>
      <w:pPr>
        <w:ind w:left="-1200" w:right="120" w:firstLine="1305"/>
        <w:spacing w:after="0" w:line="276" w:lineRule="auto"/>
        <w:tabs>
          <w:tab w:leader="none" w:pos="801" w:val="left"/>
        </w:tabs>
        <w:numPr>
          <w:ilvl w:val="0"/>
          <w:numId w:val="76"/>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G Preferred Stock dividends shall no longer be declared on any such shares of Series G Preferred Stock and such shares of Series G Preferred Stock shall cease to be outstanding, in each case, subject to the right of the Holder to receive (i) shares of Non-Voting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99" w:lineRule="exact"/>
        <w:rPr>
          <w:rFonts w:ascii="Arial" w:cs="Arial" w:eastAsia="Arial" w:hAnsi="Arial"/>
          <w:sz w:val="17"/>
          <w:szCs w:val="17"/>
          <w:color w:val="auto"/>
        </w:rPr>
      </w:pPr>
    </w:p>
    <w:p>
      <w:pPr>
        <w:ind w:left="-1200" w:firstLine="1305"/>
        <w:spacing w:after="0" w:line="271" w:lineRule="auto"/>
        <w:tabs>
          <w:tab w:leader="none" w:pos="791"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 allowance or adjustment, except pursuant to Section 4 or Section 10, shall be made in respect of dividends payable to holders of the Non-Voting Common Stock of record as of any date prior to the close of business on the Mandatory Conversion Date with respect to any share of Series G Preferred Stock. Prior to the close of business on the Mandatory Conversion Date with respect to any share of Series G Preferred Stock, shares of Non-Voting Common Stock issuable upon conversion thereof, or other securities issuable upon conversion of, such share of Series G Preferred Stock shall not be deemed outstanding for any purpose, and the Holder thereof shall have no rights with respect to the Non-Voting Common Stock or other securities issuable upon conversion (including voting rights, rights to respond to tender offers for the Non-Voting Common Stock or other securities issuable upon conversion and rights to receive any dividends or other distributions on the Non-Voting Common Stock or other securities issuable upon conversion) by virtue of holding such share of Series G Preferred Stock.</w:t>
      </w:r>
    </w:p>
    <w:p>
      <w:pPr>
        <w:spacing w:after="0" w:line="205" w:lineRule="exact"/>
        <w:rPr>
          <w:rFonts w:ascii="Arial" w:cs="Arial" w:eastAsia="Arial" w:hAnsi="Arial"/>
          <w:sz w:val="17"/>
          <w:szCs w:val="17"/>
          <w:color w:val="auto"/>
        </w:rPr>
      </w:pPr>
    </w:p>
    <w:p>
      <w:pPr>
        <w:ind w:left="-1200" w:right="80" w:firstLine="1305"/>
        <w:spacing w:after="0" w:line="257" w:lineRule="auto"/>
        <w:tabs>
          <w:tab w:leader="none" w:pos="8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Shares of Series G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Corporation shall not take any such action if such action would reduce the authorized number of shares of Series 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below the number of shares of Series G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403225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90" w:name="page91"/>
    <w:bookmarkEnd w:id="90"/>
    <w:p>
      <w:pPr>
        <w:ind w:right="20" w:firstLine="1305"/>
        <w:spacing w:after="0" w:line="255" w:lineRule="auto"/>
        <w:tabs>
          <w:tab w:leader="none" w:pos="198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Person or Persons entitled to receive the Non-Voting Common Stock and/or cash, securities or other property issuable upon conversion of Series G Preferred Stock shall be treated for all purposes as the record holder(s) of such shares of Non-Voting Common Stock and/or securities as of the close of business on the Mandatory Conversion Date with respect thereto. In the event that a Holder shall not by written notice designate the name in which shares of Non-Voting Common Stock and/or cash, securities or other property (including payments of cash in lieu of fractional shares) to be issued or paid upon conversion of shares of Series G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216" w:lineRule="exact"/>
        <w:rPr>
          <w:rFonts w:ascii="Arial" w:cs="Arial" w:eastAsia="Arial" w:hAnsi="Arial"/>
          <w:sz w:val="18"/>
          <w:szCs w:val="18"/>
          <w:color w:val="auto"/>
        </w:rPr>
      </w:pPr>
    </w:p>
    <w:p>
      <w:pPr>
        <w:ind w:right="20" w:firstLine="1305"/>
        <w:spacing w:after="0" w:line="279" w:lineRule="auto"/>
        <w:tabs>
          <w:tab w:leader="none" w:pos="1971"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G Preferred Stock, certificates representing shares of Non-Voting Common Stock shall be issued and delivered to the Holder thereof or such Holder’s designee (or, at the Corporation’s option such shares shall be registered in book-entry form) upon presentation and surrender of the certificate evidencing the Series G Preferred Stock to the Corporation and, if required, the furnishing of appropriate endorsements and transfer documents and the payment of all transfer and similar taxes.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252" w:lineRule="exact"/>
        <w:rPr>
          <w:sz w:val="20"/>
          <w:szCs w:val="20"/>
          <w:color w:val="auto"/>
        </w:rPr>
      </w:pPr>
    </w:p>
    <w:p>
      <w:pPr>
        <w:ind w:left="1960" w:hanging="65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252" w:lineRule="exact"/>
        <w:rPr>
          <w:sz w:val="20"/>
          <w:szCs w:val="20"/>
          <w:color w:val="auto"/>
        </w:rPr>
      </w:pPr>
    </w:p>
    <w:p>
      <w:pPr>
        <w:jc w:val="both"/>
        <w:ind w:left="660" w:right="160" w:firstLine="645"/>
        <w:spacing w:after="0" w:line="264" w:lineRule="auto"/>
        <w:tabs>
          <w:tab w:leader="none" w:pos="201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0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tc>
        <w:tc>
          <w:tcPr>
            <w:tcW w:w="0" w:type="dxa"/>
            <w:vAlign w:val="bottom"/>
          </w:tcPr>
          <w:p>
            <w:pPr>
              <w:spacing w:after="0"/>
              <w:rPr>
                <w:sz w:val="1"/>
                <w:szCs w:val="1"/>
                <w:color w:val="auto"/>
              </w:rPr>
            </w:pPr>
          </w:p>
        </w:tc>
      </w:tr>
      <w:tr>
        <w:trPr>
          <w:trHeight w:val="329"/>
        </w:trPr>
        <w:tc>
          <w:tcPr>
            <w:tcW w:w="108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4480" w:type="dxa"/>
            <w:vAlign w:val="bottom"/>
          </w:tcPr>
          <w:p>
            <w:pPr>
              <w:spacing w:after="0"/>
              <w:rPr>
                <w:sz w:val="24"/>
                <w:szCs w:val="24"/>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OS</w:t>
            </w:r>
            <w:r>
              <w:rPr>
                <w:rFonts w:ascii="Arial" w:cs="Arial" w:eastAsia="Arial" w:hAnsi="Arial"/>
                <w:sz w:val="25"/>
                <w:szCs w:val="25"/>
                <w:color w:val="auto"/>
                <w:w w:val="79"/>
                <w:vertAlign w:val="superscript"/>
              </w:rPr>
              <w:t>1</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108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9560" w:type="dxa"/>
            <w:vAlign w:val="bottom"/>
            <w:gridSpan w:val="3"/>
          </w:tcPr>
          <w:p>
            <w:pPr>
              <w:ind w:left="320"/>
              <w:spacing w:after="0"/>
              <w:rPr>
                <w:sz w:val="20"/>
                <w:szCs w:val="20"/>
                <w:color w:val="auto"/>
              </w:rPr>
            </w:pPr>
            <w:r>
              <w:rPr>
                <w:rFonts w:ascii="Arial" w:cs="Arial" w:eastAsia="Arial" w:hAnsi="Arial"/>
                <w:sz w:val="18"/>
                <w:szCs w:val="18"/>
                <w:color w:val="auto"/>
                <w:w w:val="93"/>
              </w:rPr>
              <w:t>the number of shares of Company Common Stock outstanding immediately prior to Ex-Date for such dividend or distribution.</w:t>
            </w:r>
          </w:p>
        </w:tc>
        <w:tc>
          <w:tcPr>
            <w:tcW w:w="0" w:type="dxa"/>
            <w:vAlign w:val="bottom"/>
          </w:tcPr>
          <w:p>
            <w:pPr>
              <w:spacing w:after="0"/>
              <w:rPr>
                <w:sz w:val="1"/>
                <w:szCs w:val="1"/>
                <w:color w:val="auto"/>
              </w:rPr>
            </w:pPr>
          </w:p>
        </w:tc>
      </w:tr>
      <w:tr>
        <w:trPr>
          <w:trHeight w:val="450"/>
        </w:trPr>
        <w:tc>
          <w:tcPr>
            <w:tcW w:w="108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r>
          </w:p>
        </w:tc>
        <w:tc>
          <w:tcPr>
            <w:tcW w:w="9560" w:type="dxa"/>
            <w:vAlign w:val="bottom"/>
            <w:gridSpan w:val="3"/>
          </w:tcPr>
          <w:p>
            <w:pPr>
              <w:ind w:left="320"/>
              <w:spacing w:after="0"/>
              <w:rPr>
                <w:sz w:val="20"/>
                <w:szCs w:val="20"/>
                <w:color w:val="auto"/>
              </w:rPr>
            </w:pPr>
            <w:r>
              <w:rPr>
                <w:rFonts w:ascii="Arial" w:cs="Arial" w:eastAsia="Arial" w:hAnsi="Arial"/>
                <w:sz w:val="18"/>
                <w:szCs w:val="18"/>
                <w:color w:val="auto"/>
                <w:w w:val="91"/>
              </w:rPr>
              <w:t>the sum of the number of shares of Company Common Stock outstanding immediately prior to the Ex-Date for such dividend or</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distribution plus the total number of shares of Company Common Stock constituting such dividend or distribution.</w:t>
      </w:r>
    </w:p>
    <w:p>
      <w:pPr>
        <w:spacing w:after="0" w:line="236"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91" w:name="page92"/>
    <w:bookmarkEnd w:id="91"/>
    <w:p>
      <w:pPr>
        <w:jc w:val="both"/>
        <w:ind w:left="660" w:right="340" w:firstLine="645"/>
        <w:spacing w:after="0" w:line="264" w:lineRule="auto"/>
        <w:tabs>
          <w:tab w:leader="none" w:pos="202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p>
        </w:tc>
      </w:tr>
      <w:tr>
        <w:trPr>
          <w:trHeight w:val="329"/>
        </w:trPr>
        <w:tc>
          <w:tcPr>
            <w:tcW w:w="1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OS</w:t>
            </w:r>
            <w:r>
              <w:rPr>
                <w:rFonts w:ascii="Arial" w:cs="Arial" w:eastAsia="Arial" w:hAnsi="Arial"/>
                <w:sz w:val="25"/>
                <w:szCs w:val="25"/>
                <w:color w:val="auto"/>
                <w:w w:val="79"/>
                <w:vertAlign w:val="superscript"/>
              </w:rPr>
              <w:t>1</w:t>
            </w:r>
          </w:p>
        </w:tc>
        <w:tc>
          <w:tcPr>
            <w:tcW w:w="5440" w:type="dxa"/>
            <w:vAlign w:val="bottom"/>
          </w:tcPr>
          <w:p>
            <w:pPr>
              <w:spacing w:after="0"/>
              <w:rPr>
                <w:sz w:val="24"/>
                <w:szCs w:val="24"/>
                <w:color w:val="auto"/>
              </w:rPr>
            </w:pPr>
          </w:p>
        </w:tc>
      </w:tr>
      <w:tr>
        <w:trPr>
          <w:trHeight w:val="347"/>
        </w:trPr>
        <w:tc>
          <w:tcPr>
            <w:tcW w:w="1400" w:type="dxa"/>
            <w:vAlign w:val="bottom"/>
          </w:tcPr>
          <w:p>
            <w:pPr>
              <w:spacing w:after="0"/>
              <w:rPr>
                <w:sz w:val="20"/>
                <w:szCs w:val="20"/>
                <w:color w:val="auto"/>
              </w:rPr>
            </w:pPr>
            <w:r>
              <w:rPr>
                <w:rFonts w:ascii="Arial" w:cs="Arial" w:eastAsia="Arial" w:hAnsi="Arial"/>
                <w:sz w:val="18"/>
                <w:szCs w:val="18"/>
                <w:color w:val="auto"/>
              </w:rPr>
              <w:t>Where,</w:t>
            </w: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58"/>
        </w:trPr>
        <w:tc>
          <w:tcPr>
            <w:tcW w:w="140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0"/>
              </w:rPr>
              <w:t>the number of shares of Company Common Stock outstanding immediately prior to the effective date of such share subdivision, split or</w:t>
            </w:r>
          </w:p>
        </w:tc>
      </w:tr>
      <w:tr>
        <w:trPr>
          <w:trHeight w:val="230"/>
        </w:trPr>
        <w:tc>
          <w:tcPr>
            <w:tcW w:w="1400" w:type="dxa"/>
            <w:vAlign w:val="bottom"/>
          </w:tcPr>
          <w:p>
            <w:pPr>
              <w:ind w:left="340"/>
              <w:spacing w:after="0"/>
              <w:rPr>
                <w:sz w:val="20"/>
                <w:szCs w:val="20"/>
                <w:color w:val="auto"/>
              </w:rPr>
            </w:pPr>
            <w:r>
              <w:rPr>
                <w:rFonts w:ascii="Arial" w:cs="Arial" w:eastAsia="Arial" w:hAnsi="Arial"/>
                <w:sz w:val="18"/>
                <w:szCs w:val="18"/>
                <w:color w:val="auto"/>
              </w:rPr>
              <w:t>combination.</w:t>
            </w:r>
          </w:p>
        </w:tc>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461"/>
        </w:trPr>
        <w:tc>
          <w:tcPr>
            <w:tcW w:w="140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t>
            </w: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w w:val="91"/>
              </w:rPr>
              <w:t>the number of shares of Company Common Stock outstanding immediately after the opening of business on the effective date of such</w:t>
            </w:r>
          </w:p>
        </w:tc>
      </w:tr>
    </w:tbl>
    <w:p>
      <w:pPr>
        <w:ind w:left="340"/>
        <w:spacing w:after="0"/>
        <w:rPr>
          <w:sz w:val="20"/>
          <w:szCs w:val="20"/>
          <w:color w:val="auto"/>
        </w:rPr>
      </w:pPr>
      <w:r>
        <w:rPr>
          <w:rFonts w:ascii="Arial" w:cs="Arial" w:eastAsia="Arial" w:hAnsi="Arial"/>
          <w:sz w:val="18"/>
          <w:szCs w:val="18"/>
          <w:color w:val="auto"/>
        </w:rPr>
        <w:t>share subdivision, split or combination.</w:t>
      </w:r>
    </w:p>
    <w:p>
      <w:pPr>
        <w:spacing w:after="0" w:line="23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G Preferred Stock).</w:t>
      </w:r>
    </w:p>
    <w:p>
      <w:pPr>
        <w:spacing w:after="0" w:line="220" w:lineRule="exact"/>
        <w:rPr>
          <w:sz w:val="20"/>
          <w:szCs w:val="20"/>
          <w:color w:val="auto"/>
        </w:rPr>
      </w:pPr>
    </w:p>
    <w:p>
      <w:pPr>
        <w:ind w:left="660" w:right="20" w:firstLine="645"/>
        <w:spacing w:after="0" w:line="273" w:lineRule="auto"/>
        <w:tabs>
          <w:tab w:leader="none" w:pos="202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Issuance of Stock Purchase Rights</w:t>
      </w:r>
      <w:r>
        <w:rPr>
          <w:rFonts w:ascii="Arial" w:cs="Arial" w:eastAsia="Arial" w:hAnsi="Arial"/>
          <w:sz w:val="17"/>
          <w:szCs w:val="17"/>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 Y</w:t>
            </w:r>
          </w:p>
        </w:tc>
        <w:tc>
          <w:tcPr>
            <w:tcW w:w="0" w:type="dxa"/>
            <w:vAlign w:val="bottom"/>
          </w:tcPr>
          <w:p>
            <w:pPr>
              <w:spacing w:after="0"/>
              <w:rPr>
                <w:sz w:val="1"/>
                <w:szCs w:val="1"/>
                <w:color w:val="auto"/>
              </w:rPr>
            </w:pPr>
          </w:p>
        </w:tc>
      </w:tr>
      <w:tr>
        <w:trPr>
          <w:trHeight w:val="329"/>
        </w:trPr>
        <w:tc>
          <w:tcPr>
            <w:tcW w:w="106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4340" w:type="dxa"/>
            <w:vAlign w:val="bottom"/>
          </w:tcPr>
          <w:p>
            <w:pPr>
              <w:spacing w:after="0"/>
              <w:rPr>
                <w:sz w:val="24"/>
                <w:szCs w:val="2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OS</w:t>
            </w:r>
            <w:r>
              <w:rPr>
                <w:rFonts w:ascii="Arial" w:cs="Arial" w:eastAsia="Arial" w:hAnsi="Arial"/>
                <w:sz w:val="25"/>
                <w:szCs w:val="25"/>
                <w:color w:val="auto"/>
                <w:w w:val="91"/>
                <w:vertAlign w:val="subscript"/>
              </w:rPr>
              <w:t>0</w:t>
            </w:r>
            <w:r>
              <w:rPr>
                <w:rFonts w:ascii="Arial" w:cs="Arial" w:eastAsia="Arial" w:hAnsi="Arial"/>
                <w:sz w:val="18"/>
                <w:szCs w:val="18"/>
                <w:color w:val="auto"/>
                <w:w w:val="91"/>
              </w:rPr>
              <w:t xml:space="preserve"> + X</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60" w:type="dxa"/>
            <w:vAlign w:val="bottom"/>
            <w:vMerge w:val="continue"/>
          </w:tcPr>
          <w:p>
            <w:pPr>
              <w:spacing w:after="0"/>
              <w:rPr>
                <w:sz w:val="10"/>
                <w:szCs w:val="10"/>
                <w:color w:val="auto"/>
              </w:rPr>
            </w:pPr>
          </w:p>
        </w:tc>
        <w:tc>
          <w:tcPr>
            <w:tcW w:w="4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106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60" w:type="dxa"/>
            <w:vAlign w:val="bottom"/>
            <w:gridSpan w:val="3"/>
          </w:tcPr>
          <w:p>
            <w:pPr>
              <w:ind w:left="300"/>
              <w:spacing w:after="0"/>
              <w:rPr>
                <w:sz w:val="20"/>
                <w:szCs w:val="20"/>
                <w:color w:val="auto"/>
              </w:rPr>
            </w:pPr>
            <w:r>
              <w:rPr>
                <w:rFonts w:ascii="Arial" w:cs="Arial" w:eastAsia="Arial" w:hAnsi="Arial"/>
                <w:sz w:val="18"/>
                <w:szCs w:val="18"/>
                <w:color w:val="auto"/>
              </w:rPr>
              <w:t>the number of shares of Company Common Stock outstanding immediately prior to the Ex-Date for such distribution.</w:t>
            </w:r>
          </w:p>
        </w:tc>
        <w:tc>
          <w:tcPr>
            <w:tcW w:w="0" w:type="dxa"/>
            <w:vAlign w:val="bottom"/>
          </w:tcPr>
          <w:p>
            <w:pPr>
              <w:spacing w:after="0"/>
              <w:rPr>
                <w:sz w:val="1"/>
                <w:szCs w:val="1"/>
                <w:color w:val="auto"/>
              </w:rPr>
            </w:pPr>
          </w:p>
        </w:tc>
      </w:tr>
      <w:tr>
        <w:trPr>
          <w:trHeight w:val="448"/>
        </w:trPr>
        <w:tc>
          <w:tcPr>
            <w:tcW w:w="1060" w:type="dxa"/>
            <w:vAlign w:val="bottom"/>
          </w:tcPr>
          <w:p>
            <w:pPr>
              <w:ind w:left="340"/>
              <w:spacing w:after="0"/>
              <w:rPr>
                <w:sz w:val="20"/>
                <w:szCs w:val="20"/>
                <w:color w:val="auto"/>
              </w:rPr>
            </w:pPr>
            <w:r>
              <w:rPr>
                <w:rFonts w:ascii="Arial" w:cs="Arial" w:eastAsia="Arial" w:hAnsi="Arial"/>
                <w:sz w:val="18"/>
                <w:szCs w:val="18"/>
                <w:color w:val="auto"/>
              </w:rPr>
              <w:t>X =</w:t>
            </w: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rPr>
              <w:t>the total number of shares of Company Common Stock issuable pursuant to such rights or warrants.</w:t>
            </w:r>
          </w:p>
        </w:tc>
        <w:tc>
          <w:tcPr>
            <w:tcW w:w="0" w:type="dxa"/>
            <w:vAlign w:val="bottom"/>
          </w:tcPr>
          <w:p>
            <w:pPr>
              <w:spacing w:after="0"/>
              <w:rPr>
                <w:sz w:val="1"/>
                <w:szCs w:val="1"/>
                <w:color w:val="auto"/>
              </w:rPr>
            </w:pPr>
          </w:p>
        </w:tc>
      </w:tr>
      <w:tr>
        <w:trPr>
          <w:trHeight w:val="459"/>
        </w:trPr>
        <w:tc>
          <w:tcPr>
            <w:tcW w:w="1060" w:type="dxa"/>
            <w:vAlign w:val="bottom"/>
          </w:tcPr>
          <w:p>
            <w:pPr>
              <w:ind w:left="340"/>
              <w:spacing w:after="0"/>
              <w:rPr>
                <w:sz w:val="20"/>
                <w:szCs w:val="20"/>
                <w:color w:val="auto"/>
              </w:rPr>
            </w:pPr>
            <w:r>
              <w:rPr>
                <w:rFonts w:ascii="Arial" w:cs="Arial" w:eastAsia="Arial" w:hAnsi="Arial"/>
                <w:sz w:val="18"/>
                <w:szCs w:val="18"/>
                <w:color w:val="auto"/>
              </w:rPr>
              <w:t>Y =</w:t>
            </w:r>
          </w:p>
        </w:tc>
        <w:tc>
          <w:tcPr>
            <w:tcW w:w="10160" w:type="dxa"/>
            <w:vAlign w:val="bottom"/>
            <w:gridSpan w:val="3"/>
          </w:tcPr>
          <w:p>
            <w:pPr>
              <w:ind w:left="320"/>
              <w:spacing w:after="0"/>
              <w:rPr>
                <w:sz w:val="20"/>
                <w:szCs w:val="20"/>
                <w:color w:val="auto"/>
              </w:rPr>
            </w:pPr>
            <w:r>
              <w:rPr>
                <w:rFonts w:ascii="Arial" w:cs="Arial" w:eastAsia="Arial" w:hAnsi="Arial"/>
                <w:sz w:val="18"/>
                <w:szCs w:val="18"/>
                <w:color w:val="auto"/>
                <w:w w:val="89"/>
              </w:rPr>
              <w:t>the number of shares of Company Common Stock equal to the aggregate price payable to exercise such rights or warrants divided by the</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ind w:left="660"/>
        <w:spacing w:after="0" w:line="287"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G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96" w:lineRule="exact"/>
        <w:rPr>
          <w:sz w:val="20"/>
          <w:szCs w:val="20"/>
          <w:color w:val="auto"/>
        </w:rPr>
      </w:pPr>
    </w:p>
    <w:p>
      <w:pPr>
        <w:ind w:left="660" w:right="40" w:firstLine="645"/>
        <w:spacing w:after="0" w:line="291" w:lineRule="auto"/>
        <w:tabs>
          <w:tab w:leader="none" w:pos="2018"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Debt or Asset Distributions</w:t>
      </w:r>
      <w:r>
        <w:rPr>
          <w:rFonts w:ascii="Arial" w:cs="Arial" w:eastAsia="Arial" w:hAnsi="Arial"/>
          <w:sz w:val="16"/>
          <w:szCs w:val="16"/>
          <w:color w:val="auto"/>
        </w:rPr>
        <w:t>. If the Corporation distributes to all or substantially all holders of shares of Company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6"/>
          <w:szCs w:val="16"/>
          <w:u w:val="single" w:color="auto"/>
          <w:color w:val="auto"/>
        </w:rPr>
        <w:t>Distributed Property</w:t>
      </w:r>
      <w:r>
        <w:rPr>
          <w:rFonts w:ascii="Arial" w:cs="Arial" w:eastAsia="Arial" w:hAnsi="Arial"/>
          <w:sz w:val="16"/>
          <w:szCs w:val="16"/>
          <w:color w:val="auto"/>
        </w:rPr>
        <w:t>”), then the Conversion Price in effect immediately prior to the Ex-Date for such distribution will be multiplied by the following fraction: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 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19050</wp:posOffset>
            </wp:positionV>
            <wp:extent cx="5232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324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p>
    <w:p>
      <w:pPr>
        <w:spacing w:after="0"/>
        <w:rPr>
          <w:sz w:val="20"/>
          <w:szCs w:val="20"/>
          <w:color w:val="auto"/>
        </w:rPr>
      </w:pPr>
      <w:r>
        <w:rPr>
          <w:rFonts w:ascii="Arial" w:cs="Arial" w:eastAsia="Arial" w:hAnsi="Arial"/>
          <w:sz w:val="18"/>
          <w:szCs w:val="18"/>
          <w:color w:val="auto"/>
        </w:rPr>
        <w:t>Where,</w:t>
      </w:r>
    </w:p>
    <w:p>
      <w:pPr>
        <w:spacing w:after="0" w:line="16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Current Market Price per share of Common Stock on such date.</w:t>
      </w:r>
    </w:p>
    <w:p>
      <w:pPr>
        <w:spacing w:after="0" w:line="259" w:lineRule="exact"/>
        <w:rPr>
          <w:sz w:val="20"/>
          <w:szCs w:val="20"/>
          <w:color w:val="auto"/>
        </w:rPr>
      </w:pPr>
    </w:p>
    <w:p>
      <w:pPr>
        <w:ind w:left="1160" w:right="160" w:hanging="589"/>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3" w:name="page94"/>
    <w:bookmarkEnd w:id="93"/>
    <w:p>
      <w:pPr>
        <w:ind w:left="660" w:right="160"/>
        <w:spacing w:after="0" w:line="259" w:lineRule="auto"/>
        <w:rPr>
          <w:sz w:val="20"/>
          <w:szCs w:val="20"/>
          <w:color w:val="auto"/>
        </w:rPr>
      </w:pPr>
      <w:r>
        <w:rPr>
          <w:rFonts w:ascii="Arial" w:cs="Arial" w:eastAsia="Arial" w:hAnsi="Arial"/>
          <w:sz w:val="18"/>
          <w:szCs w:val="18"/>
          <w:color w:val="auto"/>
        </w:rPr>
        <w:t>In a “spin-off”, where the Corporation makes a distribution to all holders of shares of Company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960" w:type="dxa"/>
            <w:vAlign w:val="bottom"/>
            <w:gridSpan w:val="2"/>
          </w:tcPr>
          <w:p>
            <w:pPr>
              <w:jc w:val="center"/>
              <w:ind w:right="5160"/>
              <w:spacing w:after="0"/>
              <w:rPr>
                <w:sz w:val="20"/>
                <w:szCs w:val="20"/>
                <w:color w:val="auto"/>
              </w:rPr>
            </w:pPr>
            <w:r>
              <w:rPr>
                <w:rFonts w:ascii="Arial" w:cs="Arial" w:eastAsia="Arial" w:hAnsi="Arial"/>
                <w:sz w:val="18"/>
                <w:szCs w:val="18"/>
                <w:color w:val="auto"/>
                <w:w w:val="88"/>
              </w:rPr>
              <w:t>MP</w:t>
            </w:r>
            <w:r>
              <w:rPr>
                <w:rFonts w:ascii="Arial" w:cs="Arial" w:eastAsia="Arial" w:hAnsi="Arial"/>
                <w:sz w:val="25"/>
                <w:szCs w:val="25"/>
                <w:color w:val="auto"/>
                <w:w w:val="88"/>
                <w:vertAlign w:val="subscript"/>
              </w:rPr>
              <w:t>0</w:t>
            </w:r>
          </w:p>
        </w:tc>
        <w:tc>
          <w:tcPr>
            <w:tcW w:w="0" w:type="dxa"/>
            <w:vAlign w:val="bottom"/>
          </w:tcPr>
          <w:p>
            <w:pPr>
              <w:spacing w:after="0"/>
              <w:rPr>
                <w:sz w:val="1"/>
                <w:szCs w:val="1"/>
                <w:color w:val="auto"/>
              </w:rPr>
            </w:pPr>
          </w:p>
        </w:tc>
      </w:tr>
      <w:tr>
        <w:trPr>
          <w:trHeight w:val="329"/>
        </w:trPr>
        <w:tc>
          <w:tcPr>
            <w:tcW w:w="118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4140" w:type="dxa"/>
            <w:vAlign w:val="bottom"/>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MP</w:t>
            </w:r>
            <w:r>
              <w:rPr>
                <w:rFonts w:ascii="Arial" w:cs="Arial" w:eastAsia="Arial" w:hAnsi="Arial"/>
                <w:sz w:val="25"/>
                <w:szCs w:val="25"/>
                <w:color w:val="auto"/>
                <w:w w:val="89"/>
                <w:vertAlign w:val="subscript"/>
              </w:rPr>
              <w:t>0</w:t>
            </w:r>
            <w:r>
              <w:rPr>
                <w:rFonts w:ascii="Arial" w:cs="Arial" w:eastAsia="Arial" w:hAnsi="Arial"/>
                <w:sz w:val="18"/>
                <w:szCs w:val="18"/>
                <w:color w:val="auto"/>
                <w:w w:val="89"/>
              </w:rPr>
              <w:t>+ MP</w:t>
            </w:r>
            <w:r>
              <w:rPr>
                <w:rFonts w:ascii="Arial" w:cs="Arial" w:eastAsia="Arial" w:hAnsi="Arial"/>
                <w:sz w:val="25"/>
                <w:szCs w:val="25"/>
                <w:color w:val="auto"/>
                <w:w w:val="89"/>
                <w:vertAlign w:val="subscript"/>
              </w:rPr>
              <w:t>s</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8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8"/>
        </w:trPr>
        <w:tc>
          <w:tcPr>
            <w:tcW w:w="1180" w:type="dxa"/>
            <w:vAlign w:val="bottom"/>
          </w:tcPr>
          <w:p>
            <w:pPr>
              <w:ind w:left="340"/>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00" w:type="dxa"/>
            <w:vAlign w:val="bottom"/>
            <w:gridSpan w:val="3"/>
          </w:tcPr>
          <w:p>
            <w:pPr>
              <w:ind w:left="380"/>
              <w:spacing w:after="0"/>
              <w:rPr>
                <w:sz w:val="20"/>
                <w:szCs w:val="20"/>
                <w:color w:val="auto"/>
              </w:rPr>
            </w:pPr>
            <w:r>
              <w:rPr>
                <w:rFonts w:ascii="Arial" w:cs="Arial" w:eastAsia="Arial" w:hAnsi="Arial"/>
                <w:sz w:val="18"/>
                <w:szCs w:val="18"/>
                <w:color w:val="auto"/>
                <w:w w:val="91"/>
              </w:rPr>
              <w:t>the average of the Closing Prices of the Common Stock over the first ten Trading Days commencing on and including the fifth Trading</w:t>
            </w:r>
          </w:p>
        </w:tc>
        <w:tc>
          <w:tcPr>
            <w:tcW w:w="0" w:type="dxa"/>
            <w:vAlign w:val="bottom"/>
          </w:tcPr>
          <w:p>
            <w:pPr>
              <w:spacing w:after="0"/>
              <w:rPr>
                <w:sz w:val="1"/>
                <w:szCs w:val="1"/>
                <w:color w:val="auto"/>
              </w:rPr>
            </w:pPr>
          </w:p>
        </w:tc>
      </w:tr>
      <w:tr>
        <w:trPr>
          <w:trHeight w:val="230"/>
        </w:trPr>
        <w:tc>
          <w:tcPr>
            <w:tcW w:w="11280" w:type="dxa"/>
            <w:vAlign w:val="bottom"/>
            <w:gridSpan w:val="4"/>
          </w:tcPr>
          <w:p>
            <w:pPr>
              <w:ind w:left="340"/>
              <w:spacing w:after="0"/>
              <w:rPr>
                <w:sz w:val="20"/>
                <w:szCs w:val="20"/>
                <w:color w:val="auto"/>
              </w:rPr>
            </w:pPr>
            <w:r>
              <w:rPr>
                <w:rFonts w:ascii="Arial" w:cs="Arial" w:eastAsia="Arial" w:hAnsi="Arial"/>
                <w:sz w:val="18"/>
                <w:szCs w:val="18"/>
                <w:color w:val="auto"/>
              </w:rPr>
              <w:t>Day following the effective date of such distribution.</w:t>
            </w:r>
          </w:p>
        </w:tc>
        <w:tc>
          <w:tcPr>
            <w:tcW w:w="0" w:type="dxa"/>
            <w:vAlign w:val="bottom"/>
          </w:tcPr>
          <w:p>
            <w:pPr>
              <w:spacing w:after="0"/>
              <w:rPr>
                <w:sz w:val="1"/>
                <w:szCs w:val="1"/>
                <w:color w:val="auto"/>
              </w:rPr>
            </w:pPr>
          </w:p>
        </w:tc>
      </w:tr>
      <w:tr>
        <w:trPr>
          <w:trHeight w:val="474"/>
        </w:trPr>
        <w:tc>
          <w:tcPr>
            <w:tcW w:w="1180" w:type="dxa"/>
            <w:vAlign w:val="bottom"/>
          </w:tcPr>
          <w:p>
            <w:pPr>
              <w:ind w:left="340"/>
              <w:spacing w:after="0"/>
              <w:rPr>
                <w:sz w:val="20"/>
                <w:szCs w:val="20"/>
                <w:color w:val="auto"/>
              </w:rPr>
            </w:pPr>
            <w:r>
              <w:rPr>
                <w:rFonts w:ascii="Arial" w:cs="Arial" w:eastAsia="Arial" w:hAnsi="Arial"/>
                <w:sz w:val="18"/>
                <w:szCs w:val="18"/>
                <w:color w:val="auto"/>
              </w:rPr>
              <w:t>MP</w:t>
            </w:r>
            <w:r>
              <w:rPr>
                <w:rFonts w:ascii="Arial" w:cs="Arial" w:eastAsia="Arial" w:hAnsi="Arial"/>
                <w:sz w:val="25"/>
                <w:szCs w:val="25"/>
                <w:color w:val="auto"/>
                <w:vertAlign w:val="subscript"/>
              </w:rPr>
              <w:t>s</w:t>
            </w:r>
            <w:r>
              <w:rPr>
                <w:rFonts w:ascii="Arial" w:cs="Arial" w:eastAsia="Arial" w:hAnsi="Arial"/>
                <w:sz w:val="18"/>
                <w:szCs w:val="18"/>
                <w:color w:val="auto"/>
              </w:rPr>
              <w:t xml:space="preserve"> =</w:t>
            </w:r>
          </w:p>
        </w:tc>
        <w:tc>
          <w:tcPr>
            <w:tcW w:w="10100" w:type="dxa"/>
            <w:vAlign w:val="bottom"/>
            <w:gridSpan w:val="3"/>
          </w:tcPr>
          <w:p>
            <w:pPr>
              <w:ind w:left="380"/>
              <w:spacing w:after="0"/>
              <w:rPr>
                <w:sz w:val="20"/>
                <w:szCs w:val="20"/>
                <w:color w:val="auto"/>
              </w:rPr>
            </w:pPr>
            <w:r>
              <w:rPr>
                <w:rFonts w:ascii="Arial" w:cs="Arial" w:eastAsia="Arial" w:hAnsi="Arial"/>
                <w:sz w:val="18"/>
                <w:szCs w:val="18"/>
                <w:color w:val="auto"/>
                <w:w w:val="92"/>
              </w:rPr>
              <w:t>the average of the Closing Prices of the capital stock or equity interests representing the portion of the distribution applicable to one</w:t>
            </w:r>
          </w:p>
        </w:tc>
        <w:tc>
          <w:tcPr>
            <w:tcW w:w="0" w:type="dxa"/>
            <w:vAlign w:val="bottom"/>
          </w:tcPr>
          <w:p>
            <w:pPr>
              <w:spacing w:after="0"/>
              <w:rPr>
                <w:sz w:val="1"/>
                <w:szCs w:val="1"/>
                <w:color w:val="auto"/>
              </w:rPr>
            </w:pPr>
          </w:p>
        </w:tc>
      </w:tr>
    </w:tbl>
    <w:p>
      <w:pPr>
        <w:ind w:left="340" w:right="140"/>
        <w:spacing w:after="0" w:line="301" w:lineRule="auto"/>
        <w:rPr>
          <w:sz w:val="20"/>
          <w:szCs w:val="20"/>
          <w:color w:val="auto"/>
        </w:rPr>
      </w:pPr>
      <w:r>
        <w:rPr>
          <w:rFonts w:ascii="Arial" w:cs="Arial" w:eastAsia="Arial" w:hAnsi="Arial"/>
          <w:sz w:val="16"/>
          <w:szCs w:val="16"/>
          <w:color w:val="auto"/>
        </w:rPr>
        <w:t>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83"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after giving effect to any intervening adjustments that may have been made with respect to the Series G Preferred Stock).</w:t>
      </w:r>
    </w:p>
    <w:p>
      <w:pPr>
        <w:spacing w:after="0" w:line="214" w:lineRule="exact"/>
        <w:rPr>
          <w:sz w:val="20"/>
          <w:szCs w:val="20"/>
          <w:color w:val="auto"/>
        </w:rPr>
      </w:pPr>
    </w:p>
    <w:p>
      <w:pPr>
        <w:jc w:val="both"/>
        <w:ind w:left="660" w:right="20" w:firstLine="645"/>
        <w:spacing w:after="0" w:line="288" w:lineRule="auto"/>
        <w:tabs>
          <w:tab w:leader="none" w:pos="2013"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Cash Distributions</w:t>
      </w:r>
      <w:r>
        <w:rPr>
          <w:rFonts w:ascii="Arial" w:cs="Arial" w:eastAsia="Arial" w:hAnsi="Arial"/>
          <w:sz w:val="16"/>
          <w:szCs w:val="16"/>
          <w:color w:val="auto"/>
        </w:rPr>
        <w:t>. If the Corporation makes a distribution consisting exclusively of cash to all holders of the Company Common Stock, excluding (a) any cash dividend on the Company Common Stock to the extent a corresponding cash dividend pursuant to Section 4 is paid on the Series G Preferred Stock, (b) any cash that is distributed in a Reorganization Event or as part of a “spin-off” referred to in clause (iv) above,</w:t>
      </w:r>
    </w:p>
    <w:p>
      <w:pPr>
        <w:jc w:val="both"/>
        <w:ind w:left="660" w:right="360" w:hanging="4"/>
        <w:spacing w:after="0" w:line="255" w:lineRule="auto"/>
        <w:tabs>
          <w:tab w:leader="none" w:pos="9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160" w:type="dxa"/>
            <w:vAlign w:val="bottom"/>
          </w:tcPr>
          <w:p>
            <w:pPr>
              <w:spacing w:after="0"/>
              <w:rPr>
                <w:sz w:val="24"/>
                <w:szCs w:val="24"/>
                <w:color w:val="auto"/>
              </w:rPr>
            </w:pPr>
          </w:p>
        </w:tc>
        <w:tc>
          <w:tcPr>
            <w:tcW w:w="10260" w:type="dxa"/>
            <w:vAlign w:val="bottom"/>
            <w:gridSpan w:val="3"/>
          </w:tcPr>
          <w:p>
            <w:pPr>
              <w:jc w:val="center"/>
              <w:ind w:right="1160"/>
              <w:spacing w:after="0"/>
              <w:rPr>
                <w:sz w:val="20"/>
                <w:szCs w:val="20"/>
                <w:color w:val="auto"/>
              </w:rPr>
            </w:pPr>
            <w:r>
              <w:rPr>
                <w:rFonts w:ascii="Arial" w:cs="Arial" w:eastAsia="Arial" w:hAnsi="Arial"/>
                <w:sz w:val="18"/>
                <w:szCs w:val="18"/>
                <w:color w:val="auto"/>
                <w:w w:val="88"/>
              </w:rPr>
              <w:t>SP</w:t>
            </w:r>
            <w:r>
              <w:rPr>
                <w:rFonts w:ascii="Arial" w:cs="Arial" w:eastAsia="Arial" w:hAnsi="Arial"/>
                <w:sz w:val="25"/>
                <w:szCs w:val="25"/>
                <w:color w:val="auto"/>
                <w:w w:val="88"/>
                <w:vertAlign w:val="subscript"/>
              </w:rPr>
              <w:t>0</w:t>
            </w:r>
            <w:r>
              <w:rPr>
                <w:rFonts w:ascii="Arial" w:cs="Arial" w:eastAsia="Arial" w:hAnsi="Arial"/>
                <w:sz w:val="18"/>
                <w:szCs w:val="18"/>
                <w:color w:val="auto"/>
                <w:w w:val="88"/>
              </w:rPr>
              <w:t xml:space="preserve"> – DIV</w:t>
            </w:r>
          </w:p>
        </w:tc>
        <w:tc>
          <w:tcPr>
            <w:tcW w:w="0" w:type="dxa"/>
            <w:vAlign w:val="bottom"/>
          </w:tcPr>
          <w:p>
            <w:pPr>
              <w:spacing w:after="0"/>
              <w:rPr>
                <w:sz w:val="1"/>
                <w:szCs w:val="1"/>
                <w:color w:val="auto"/>
              </w:rPr>
            </w:pPr>
          </w:p>
        </w:tc>
      </w:tr>
      <w:tr>
        <w:trPr>
          <w:trHeight w:val="329"/>
        </w:trPr>
        <w:tc>
          <w:tcPr>
            <w:tcW w:w="116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418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7"/>
              </w:rPr>
              <w:t>SP</w:t>
            </w:r>
            <w:r>
              <w:rPr>
                <w:rFonts w:ascii="Arial" w:cs="Arial" w:eastAsia="Arial" w:hAnsi="Arial"/>
                <w:sz w:val="25"/>
                <w:szCs w:val="25"/>
                <w:color w:val="auto"/>
                <w:w w:val="77"/>
                <w:vertAlign w:val="subscript"/>
              </w:rPr>
              <w:t>0</w:t>
            </w: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6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1160" w:type="dxa"/>
            <w:vAlign w:val="bottom"/>
          </w:tcPr>
          <w:p>
            <w:pPr>
              <w:ind w:left="34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260" w:type="dxa"/>
            <w:vAlign w:val="bottom"/>
            <w:gridSpan w:val="3"/>
          </w:tcPr>
          <w:p>
            <w:pPr>
              <w:ind w:left="400"/>
              <w:spacing w:after="0"/>
              <w:rPr>
                <w:sz w:val="20"/>
                <w:szCs w:val="20"/>
                <w:color w:val="auto"/>
              </w:rPr>
            </w:pPr>
            <w:r>
              <w:rPr>
                <w:rFonts w:ascii="Arial" w:cs="Arial" w:eastAsia="Arial" w:hAnsi="Arial"/>
                <w:sz w:val="18"/>
                <w:szCs w:val="18"/>
                <w:color w:val="auto"/>
              </w:rPr>
              <w:t>the Closing Price per share of Common Stock on the Trading Day immediately preceding the Ex-Date.</w:t>
            </w:r>
          </w:p>
        </w:tc>
        <w:tc>
          <w:tcPr>
            <w:tcW w:w="0" w:type="dxa"/>
            <w:vAlign w:val="bottom"/>
          </w:tcPr>
          <w:p>
            <w:pPr>
              <w:spacing w:after="0"/>
              <w:rPr>
                <w:sz w:val="1"/>
                <w:szCs w:val="1"/>
                <w:color w:val="auto"/>
              </w:rPr>
            </w:pPr>
          </w:p>
        </w:tc>
      </w:tr>
      <w:tr>
        <w:trPr>
          <w:trHeight w:val="448"/>
        </w:trPr>
        <w:tc>
          <w:tcPr>
            <w:tcW w:w="1160" w:type="dxa"/>
            <w:vAlign w:val="bottom"/>
          </w:tcPr>
          <w:p>
            <w:pPr>
              <w:ind w:left="340"/>
              <w:spacing w:after="0"/>
              <w:rPr>
                <w:sz w:val="20"/>
                <w:szCs w:val="20"/>
                <w:color w:val="auto"/>
              </w:rPr>
            </w:pPr>
            <w:r>
              <w:rPr>
                <w:rFonts w:ascii="Arial" w:cs="Arial" w:eastAsia="Arial" w:hAnsi="Arial"/>
                <w:sz w:val="18"/>
                <w:szCs w:val="18"/>
                <w:color w:val="auto"/>
              </w:rPr>
              <w:t>DIV =</w:t>
            </w:r>
          </w:p>
        </w:tc>
        <w:tc>
          <w:tcPr>
            <w:tcW w:w="10260" w:type="dxa"/>
            <w:vAlign w:val="bottom"/>
            <w:gridSpan w:val="3"/>
          </w:tcPr>
          <w:p>
            <w:pPr>
              <w:ind w:left="360"/>
              <w:spacing w:after="0"/>
              <w:rPr>
                <w:sz w:val="20"/>
                <w:szCs w:val="20"/>
                <w:color w:val="auto"/>
              </w:rPr>
            </w:pPr>
            <w:r>
              <w:rPr>
                <w:rFonts w:ascii="Arial" w:cs="Arial" w:eastAsia="Arial" w:hAnsi="Arial"/>
                <w:sz w:val="18"/>
                <w:szCs w:val="18"/>
                <w:color w:val="auto"/>
                <w:w w:val="96"/>
              </w:rPr>
              <w:t>the amount per share of Common Stock of the cash distribution, as determined pursuant to the introduction to this paragraph (v).</w:t>
            </w:r>
          </w:p>
        </w:tc>
        <w:tc>
          <w:tcPr>
            <w:tcW w:w="0" w:type="dxa"/>
            <w:vAlign w:val="bottom"/>
          </w:tcPr>
          <w:p>
            <w:pPr>
              <w:spacing w:after="0"/>
              <w:rPr>
                <w:sz w:val="1"/>
                <w:szCs w:val="1"/>
                <w:color w:val="auto"/>
              </w:rPr>
            </w:pPr>
          </w:p>
        </w:tc>
      </w:tr>
      <w:tr>
        <w:trPr>
          <w:trHeight w:val="648"/>
        </w:trPr>
        <w:tc>
          <w:tcPr>
            <w:tcW w:w="116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94" w:name="page95"/>
    <w:bookmarkEnd w:id="94"/>
    <w:p>
      <w:pPr>
        <w:ind w:left="660" w:right="140"/>
        <w:spacing w:after="0" w:line="259" w:lineRule="auto"/>
        <w:rPr>
          <w:sz w:val="20"/>
          <w:szCs w:val="20"/>
          <w:color w:val="auto"/>
        </w:rPr>
      </w:pPr>
      <w:r>
        <w:rPr>
          <w:rFonts w:ascii="Arial" w:cs="Arial" w:eastAsia="Arial" w:hAnsi="Arial"/>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G Preferred Stock).</w:t>
      </w:r>
    </w:p>
    <w:p>
      <w:pPr>
        <w:spacing w:after="0" w:line="214" w:lineRule="exact"/>
        <w:rPr>
          <w:sz w:val="20"/>
          <w:szCs w:val="20"/>
          <w:color w:val="auto"/>
        </w:rPr>
      </w:pPr>
    </w:p>
    <w:p>
      <w:pPr>
        <w:ind w:left="660" w:right="40" w:firstLine="645"/>
        <w:spacing w:after="0" w:line="257" w:lineRule="auto"/>
        <w:tabs>
          <w:tab w:leader="none" w:pos="201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r>
        <w:rPr>
          <w:rFonts w:ascii="Arial" w:cs="Arial" w:eastAsia="Arial" w:hAnsi="Arial"/>
          <w:sz w:val="18"/>
          <w:szCs w:val="18"/>
          <w:color w:val="auto"/>
        </w:rPr>
        <w:t>. If the Corporation or any of its subsidiaries successfully completes a tender or exchange offer for the Company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40" w:type="dxa"/>
            <w:vAlign w:val="bottom"/>
            <w:gridSpan w:val="2"/>
          </w:tcPr>
          <w:p>
            <w:pPr>
              <w:jc w:val="center"/>
              <w:ind w:right="5040"/>
              <w:spacing w:after="0"/>
              <w:rPr>
                <w:sz w:val="20"/>
                <w:szCs w:val="20"/>
                <w:color w:val="auto"/>
              </w:rPr>
            </w:pPr>
            <w:r>
              <w:rPr>
                <w:rFonts w:ascii="Arial" w:cs="Arial" w:eastAsia="Arial" w:hAnsi="Arial"/>
                <w:sz w:val="18"/>
                <w:szCs w:val="18"/>
                <w:color w:val="auto"/>
                <w:w w:val="84"/>
              </w:rPr>
              <w:t>OS</w:t>
            </w:r>
            <w:r>
              <w:rPr>
                <w:rFonts w:ascii="Arial" w:cs="Arial" w:eastAsia="Arial" w:hAnsi="Arial"/>
                <w:sz w:val="25"/>
                <w:szCs w:val="25"/>
                <w:color w:val="auto"/>
                <w:w w:val="84"/>
                <w:vertAlign w:val="subscript"/>
              </w:rPr>
              <w:t>0</w:t>
            </w:r>
            <w:r>
              <w:rPr>
                <w:rFonts w:ascii="Arial" w:cs="Arial" w:eastAsia="Arial" w:hAnsi="Arial"/>
                <w:sz w:val="18"/>
                <w:szCs w:val="18"/>
                <w:color w:val="auto"/>
                <w:w w:val="84"/>
              </w:rPr>
              <w:t xml:space="preserve"> x SP</w:t>
            </w:r>
            <w:r>
              <w:rPr>
                <w:rFonts w:ascii="Arial" w:cs="Arial" w:eastAsia="Arial" w:hAnsi="Arial"/>
                <w:sz w:val="25"/>
                <w:szCs w:val="25"/>
                <w:color w:val="auto"/>
                <w:w w:val="84"/>
                <w:vertAlign w:val="subscript"/>
              </w:rPr>
              <w:t>0</w:t>
            </w:r>
          </w:p>
        </w:tc>
        <w:tc>
          <w:tcPr>
            <w:tcW w:w="0" w:type="dxa"/>
            <w:vAlign w:val="bottom"/>
          </w:tcPr>
          <w:p>
            <w:pPr>
              <w:spacing w:after="0"/>
              <w:rPr>
                <w:sz w:val="1"/>
                <w:szCs w:val="1"/>
                <w:color w:val="auto"/>
              </w:rPr>
            </w:pPr>
          </w:p>
        </w:tc>
      </w:tr>
      <w:tr>
        <w:trPr>
          <w:trHeight w:val="329"/>
        </w:trPr>
        <w:tc>
          <w:tcPr>
            <w:tcW w:w="126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3800" w:type="dxa"/>
            <w:vAlign w:val="bottom"/>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AC + (SP</w:t>
            </w:r>
            <w:r>
              <w:rPr>
                <w:rFonts w:ascii="Arial" w:cs="Arial" w:eastAsia="Arial" w:hAnsi="Arial"/>
                <w:sz w:val="25"/>
                <w:szCs w:val="25"/>
                <w:color w:val="auto"/>
                <w:w w:val="89"/>
                <w:vertAlign w:val="subscript"/>
              </w:rPr>
              <w:t>0</w:t>
            </w:r>
            <w:r>
              <w:rPr>
                <w:rFonts w:ascii="Arial" w:cs="Arial" w:eastAsia="Arial" w:hAnsi="Arial"/>
                <w:sz w:val="18"/>
                <w:szCs w:val="18"/>
                <w:color w:val="auto"/>
                <w:w w:val="89"/>
              </w:rPr>
              <w:t xml:space="preserve"> x OS</w:t>
            </w:r>
            <w:r>
              <w:rPr>
                <w:rFonts w:ascii="Arial" w:cs="Arial" w:eastAsia="Arial" w:hAnsi="Arial"/>
                <w:sz w:val="25"/>
                <w:szCs w:val="25"/>
                <w:color w:val="auto"/>
                <w:w w:val="89"/>
                <w:vertAlign w:val="superscript"/>
              </w:rPr>
              <w:t>1</w:t>
            </w:r>
            <w:r>
              <w:rPr>
                <w:rFonts w:ascii="Arial" w:cs="Arial" w:eastAsia="Arial" w:hAnsi="Arial"/>
                <w:sz w:val="18"/>
                <w:szCs w:val="18"/>
                <w:color w:val="auto"/>
                <w:w w:val="89"/>
              </w:rPr>
              <w:t>)</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6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4"/>
        </w:trPr>
        <w:tc>
          <w:tcPr>
            <w:tcW w:w="1260" w:type="dxa"/>
            <w:vAlign w:val="bottom"/>
          </w:tcPr>
          <w:p>
            <w:pPr>
              <w:ind w:left="340"/>
              <w:spacing w:after="0"/>
              <w:rPr>
                <w:sz w:val="20"/>
                <w:szCs w:val="20"/>
                <w:color w:val="auto"/>
              </w:rPr>
            </w:pPr>
            <w:r>
              <w:rPr>
                <w:rFonts w:ascii="Arial" w:cs="Arial" w:eastAsia="Arial" w:hAnsi="Arial"/>
                <w:sz w:val="18"/>
                <w:szCs w:val="18"/>
                <w:color w:val="auto"/>
              </w:rPr>
              <w:t>SP</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40" w:type="dxa"/>
            <w:vAlign w:val="bottom"/>
            <w:gridSpan w:val="3"/>
          </w:tcPr>
          <w:p>
            <w:pPr>
              <w:ind w:left="240"/>
              <w:spacing w:after="0"/>
              <w:rPr>
                <w:sz w:val="20"/>
                <w:szCs w:val="20"/>
                <w:color w:val="auto"/>
              </w:rPr>
            </w:pPr>
            <w:r>
              <w:rPr>
                <w:rFonts w:ascii="Arial" w:cs="Arial" w:eastAsia="Arial" w:hAnsi="Arial"/>
                <w:sz w:val="18"/>
                <w:szCs w:val="18"/>
                <w:color w:val="auto"/>
                <w:w w:val="90"/>
              </w:rPr>
              <w:t>the Closing Price per share of Common Stock on the Trading Day immediately succeeding the expiration of the tender or exchange offer.</w:t>
            </w:r>
          </w:p>
        </w:tc>
        <w:tc>
          <w:tcPr>
            <w:tcW w:w="0" w:type="dxa"/>
            <w:vAlign w:val="bottom"/>
          </w:tcPr>
          <w:p>
            <w:pPr>
              <w:spacing w:after="0"/>
              <w:rPr>
                <w:sz w:val="1"/>
                <w:szCs w:val="1"/>
                <w:color w:val="auto"/>
              </w:rPr>
            </w:pPr>
          </w:p>
        </w:tc>
      </w:tr>
      <w:tr>
        <w:trPr>
          <w:trHeight w:val="447"/>
        </w:trPr>
        <w:tc>
          <w:tcPr>
            <w:tcW w:w="126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bscript"/>
              </w:rPr>
              <w:t>0</w:t>
            </w:r>
            <w:r>
              <w:rPr>
                <w:rFonts w:ascii="Arial" w:cs="Arial" w:eastAsia="Arial" w:hAnsi="Arial"/>
                <w:sz w:val="18"/>
                <w:szCs w:val="18"/>
                <w:color w:val="auto"/>
              </w:rPr>
              <w:t xml:space="preserve"> =</w:t>
            </w:r>
          </w:p>
        </w:tc>
        <w:tc>
          <w:tcPr>
            <w:tcW w:w="10140" w:type="dxa"/>
            <w:vAlign w:val="bottom"/>
            <w:gridSpan w:val="3"/>
          </w:tcPr>
          <w:p>
            <w:pPr>
              <w:ind w:left="280"/>
              <w:spacing w:after="0"/>
              <w:rPr>
                <w:sz w:val="20"/>
                <w:szCs w:val="20"/>
                <w:color w:val="auto"/>
              </w:rPr>
            </w:pPr>
            <w:r>
              <w:rPr>
                <w:rFonts w:ascii="Arial" w:cs="Arial" w:eastAsia="Arial" w:hAnsi="Arial"/>
                <w:sz w:val="18"/>
                <w:szCs w:val="18"/>
                <w:color w:val="auto"/>
                <w:w w:val="93"/>
              </w:rPr>
              <w:t>the number of shares of Common Stock outstanding immediately prior to the expiration of the tender or exchange offer, including any</w:t>
            </w:r>
          </w:p>
        </w:tc>
        <w:tc>
          <w:tcPr>
            <w:tcW w:w="0" w:type="dxa"/>
            <w:vAlign w:val="bottom"/>
          </w:tcPr>
          <w:p>
            <w:pPr>
              <w:spacing w:after="0"/>
              <w:rPr>
                <w:sz w:val="1"/>
                <w:szCs w:val="1"/>
                <w:color w:val="auto"/>
              </w:rPr>
            </w:pPr>
          </w:p>
        </w:tc>
      </w:tr>
      <w:tr>
        <w:trPr>
          <w:trHeight w:val="230"/>
        </w:trPr>
        <w:tc>
          <w:tcPr>
            <w:tcW w:w="11400" w:type="dxa"/>
            <w:vAlign w:val="bottom"/>
            <w:gridSpan w:val="4"/>
          </w:tcPr>
          <w:p>
            <w:pPr>
              <w:ind w:left="340"/>
              <w:spacing w:after="0"/>
              <w:rPr>
                <w:sz w:val="20"/>
                <w:szCs w:val="20"/>
                <w:color w:val="auto"/>
              </w:rPr>
            </w:pPr>
            <w:r>
              <w:rPr>
                <w:rFonts w:ascii="Arial" w:cs="Arial" w:eastAsia="Arial" w:hAnsi="Arial"/>
                <w:sz w:val="18"/>
                <w:szCs w:val="18"/>
                <w:color w:val="auto"/>
              </w:rPr>
              <w:t>shares validly tendered and not withdrawn.</w:t>
            </w:r>
          </w:p>
        </w:tc>
        <w:tc>
          <w:tcPr>
            <w:tcW w:w="0" w:type="dxa"/>
            <w:vAlign w:val="bottom"/>
          </w:tcPr>
          <w:p>
            <w:pPr>
              <w:spacing w:after="0"/>
              <w:rPr>
                <w:sz w:val="1"/>
                <w:szCs w:val="1"/>
                <w:color w:val="auto"/>
              </w:rPr>
            </w:pPr>
          </w:p>
        </w:tc>
      </w:tr>
      <w:tr>
        <w:trPr>
          <w:trHeight w:val="445"/>
        </w:trPr>
        <w:tc>
          <w:tcPr>
            <w:tcW w:w="1260" w:type="dxa"/>
            <w:vAlign w:val="bottom"/>
          </w:tcPr>
          <w:p>
            <w:pPr>
              <w:ind w:left="340"/>
              <w:spacing w:after="0"/>
              <w:rPr>
                <w:sz w:val="20"/>
                <w:szCs w:val="20"/>
                <w:color w:val="auto"/>
              </w:rPr>
            </w:pPr>
            <w:r>
              <w:rPr>
                <w:rFonts w:ascii="Arial" w:cs="Arial" w:eastAsia="Arial" w:hAnsi="Arial"/>
                <w:sz w:val="18"/>
                <w:szCs w:val="18"/>
                <w:color w:val="auto"/>
              </w:rPr>
              <w:t>OS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0140" w:type="dxa"/>
            <w:vAlign w:val="bottom"/>
            <w:gridSpan w:val="3"/>
          </w:tcPr>
          <w:p>
            <w:pPr>
              <w:ind w:left="240"/>
              <w:spacing w:after="0"/>
              <w:rPr>
                <w:sz w:val="20"/>
                <w:szCs w:val="20"/>
                <w:color w:val="auto"/>
              </w:rPr>
            </w:pPr>
            <w:r>
              <w:rPr>
                <w:rFonts w:ascii="Arial" w:cs="Arial" w:eastAsia="Arial" w:hAnsi="Arial"/>
                <w:sz w:val="18"/>
                <w:szCs w:val="18"/>
                <w:color w:val="auto"/>
                <w:w w:val="94"/>
              </w:rPr>
              <w:t>the number of shares of Common Stock outstanding immediately after the expiration of the tender or exchange offer, giving effect to</w:t>
            </w:r>
          </w:p>
        </w:tc>
        <w:tc>
          <w:tcPr>
            <w:tcW w:w="0" w:type="dxa"/>
            <w:vAlign w:val="bottom"/>
          </w:tcPr>
          <w:p>
            <w:pPr>
              <w:spacing w:after="0"/>
              <w:rPr>
                <w:sz w:val="1"/>
                <w:szCs w:val="1"/>
                <w:color w:val="auto"/>
              </w:rPr>
            </w:pPr>
          </w:p>
        </w:tc>
      </w:tr>
      <w:tr>
        <w:trPr>
          <w:trHeight w:val="230"/>
        </w:trPr>
        <w:tc>
          <w:tcPr>
            <w:tcW w:w="11400" w:type="dxa"/>
            <w:vAlign w:val="bottom"/>
            <w:gridSpan w:val="4"/>
          </w:tcPr>
          <w:p>
            <w:pPr>
              <w:ind w:left="340"/>
              <w:spacing w:after="0"/>
              <w:rPr>
                <w:sz w:val="20"/>
                <w:szCs w:val="20"/>
                <w:color w:val="auto"/>
              </w:rPr>
            </w:pPr>
            <w:r>
              <w:rPr>
                <w:rFonts w:ascii="Arial" w:cs="Arial" w:eastAsia="Arial" w:hAnsi="Arial"/>
                <w:sz w:val="18"/>
                <w:szCs w:val="18"/>
                <w:color w:val="auto"/>
                <w:w w:val="98"/>
              </w:rPr>
              <w:t>consummation of the acquisition of all shares validly tendered or exchanged (and not withdrawn) in connection with such tender or exchange.</w:t>
            </w:r>
          </w:p>
        </w:tc>
        <w:tc>
          <w:tcPr>
            <w:tcW w:w="0" w:type="dxa"/>
            <w:vAlign w:val="bottom"/>
          </w:tcPr>
          <w:p>
            <w:pPr>
              <w:spacing w:after="0"/>
              <w:rPr>
                <w:sz w:val="1"/>
                <w:szCs w:val="1"/>
                <w:color w:val="auto"/>
              </w:rPr>
            </w:pPr>
          </w:p>
        </w:tc>
      </w:tr>
      <w:tr>
        <w:trPr>
          <w:trHeight w:val="445"/>
        </w:trPr>
        <w:tc>
          <w:tcPr>
            <w:tcW w:w="1260" w:type="dxa"/>
            <w:vAlign w:val="bottom"/>
          </w:tcPr>
          <w:p>
            <w:pPr>
              <w:ind w:left="340"/>
              <w:spacing w:after="0"/>
              <w:rPr>
                <w:sz w:val="20"/>
                <w:szCs w:val="20"/>
                <w:color w:val="auto"/>
              </w:rPr>
            </w:pPr>
            <w:r>
              <w:rPr>
                <w:rFonts w:ascii="Arial" w:cs="Arial" w:eastAsia="Arial" w:hAnsi="Arial"/>
                <w:sz w:val="18"/>
                <w:szCs w:val="18"/>
                <w:color w:val="auto"/>
              </w:rPr>
              <w:t>AC =</w:t>
            </w:r>
          </w:p>
        </w:tc>
        <w:tc>
          <w:tcPr>
            <w:tcW w:w="10140" w:type="dxa"/>
            <w:vAlign w:val="bottom"/>
            <w:gridSpan w:val="3"/>
          </w:tcPr>
          <w:p>
            <w:pPr>
              <w:ind w:left="240"/>
              <w:spacing w:after="0"/>
              <w:rPr>
                <w:sz w:val="20"/>
                <w:szCs w:val="20"/>
                <w:color w:val="auto"/>
              </w:rPr>
            </w:pPr>
            <w:r>
              <w:rPr>
                <w:rFonts w:ascii="Arial" w:cs="Arial" w:eastAsia="Arial" w:hAnsi="Arial"/>
                <w:sz w:val="18"/>
                <w:szCs w:val="18"/>
                <w:color w:val="auto"/>
                <w:w w:val="89"/>
              </w:rPr>
              <w:t>the aggregate cash and fair market value of the other consideration payable in the tender or exchange offer, as determined by the Board of</w:t>
            </w:r>
          </w:p>
        </w:tc>
        <w:tc>
          <w:tcPr>
            <w:tcW w:w="0" w:type="dxa"/>
            <w:vAlign w:val="bottom"/>
          </w:tcPr>
          <w:p>
            <w:pPr>
              <w:spacing w:after="0"/>
              <w:rPr>
                <w:sz w:val="1"/>
                <w:szCs w:val="1"/>
                <w:color w:val="auto"/>
              </w:rPr>
            </w:pPr>
          </w:p>
        </w:tc>
      </w:tr>
      <w:tr>
        <w:trPr>
          <w:trHeight w:val="230"/>
        </w:trPr>
        <w:tc>
          <w:tcPr>
            <w:tcW w:w="1260" w:type="dxa"/>
            <w:vAlign w:val="bottom"/>
          </w:tcPr>
          <w:p>
            <w:pPr>
              <w:ind w:left="340"/>
              <w:spacing w:after="0"/>
              <w:rPr>
                <w:sz w:val="20"/>
                <w:szCs w:val="20"/>
                <w:color w:val="auto"/>
              </w:rPr>
            </w:pPr>
            <w:r>
              <w:rPr>
                <w:rFonts w:ascii="Arial" w:cs="Arial" w:eastAsia="Arial" w:hAnsi="Arial"/>
                <w:sz w:val="18"/>
                <w:szCs w:val="18"/>
                <w:color w:val="auto"/>
              </w:rPr>
              <w:t>Directors.</w:t>
            </w:r>
          </w:p>
        </w:tc>
        <w:tc>
          <w:tcPr>
            <w:tcW w:w="3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In the event that the Corporation, or one of its subsidiaries, is obligated to purchase shares of Company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G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5" w:name="page96"/>
    <w:bookmarkEnd w:id="95"/>
    <w:p>
      <w:pPr>
        <w:ind w:left="-540" w:firstLine="645"/>
        <w:spacing w:after="0" w:line="255" w:lineRule="auto"/>
        <w:tabs>
          <w:tab w:leader="none" w:pos="82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Rights Plans</w:t>
      </w:r>
      <w:r>
        <w:rPr>
          <w:rFonts w:ascii="Arial" w:cs="Arial" w:eastAsia="Arial" w:hAnsi="Arial"/>
          <w:sz w:val="18"/>
          <w:szCs w:val="18"/>
          <w:color w:val="auto"/>
        </w:rPr>
        <w:t>. To the extent that the Corporation has a rights plan in effect with respect to the Company Common Stock on the Mandatory Conversion Date, upon conversion of any shares of the Series G Preferred Stock, Holders will receive, in addition to the shares of Non-Voting Common Stock, the rights under the rights plan, unless, prior to the Mandatory Conversion Date, the rights have separated from the shares of Non-Voting Common Stock, in which case the Conversion Price will be adjusted at the time of separation as if the Corporation had made a distribution to all holders of the Non-Voting Common Stock as described in clause (iii) above, subject to readjustment in the event of the expiration, termination or redemption of such rights (but after giving effect to any intervening adjustments that may have been made with respect to the Series G Preferred Stock).</w:t>
      </w:r>
    </w:p>
    <w:p>
      <w:pPr>
        <w:spacing w:after="0" w:line="216" w:lineRule="exact"/>
        <w:rPr>
          <w:sz w:val="20"/>
          <w:szCs w:val="20"/>
          <w:color w:val="auto"/>
        </w:rPr>
      </w:pPr>
    </w:p>
    <w:p>
      <w:pPr>
        <w:ind w:left="-1200" w:right="20" w:firstLine="1305"/>
        <w:spacing w:after="0" w:line="259" w:lineRule="auto"/>
        <w:tabs>
          <w:tab w:leader="none" w:pos="79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213" w:lineRule="exact"/>
        <w:rPr>
          <w:rFonts w:ascii="Arial" w:cs="Arial" w:eastAsia="Arial" w:hAnsi="Arial"/>
          <w:sz w:val="18"/>
          <w:szCs w:val="18"/>
          <w:color w:val="auto"/>
        </w:rPr>
      </w:pPr>
    </w:p>
    <w:p>
      <w:pPr>
        <w:ind w:left="-1200" w:right="120" w:firstLine="1305"/>
        <w:spacing w:after="0" w:line="302" w:lineRule="auto"/>
        <w:tabs>
          <w:tab w:leader="none" w:pos="791"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81" w:lineRule="exact"/>
        <w:rPr>
          <w:sz w:val="20"/>
          <w:szCs w:val="20"/>
          <w:color w:val="auto"/>
        </w:rPr>
      </w:pPr>
    </w:p>
    <w:p>
      <w:pPr>
        <w:ind w:left="-540" w:right="120" w:firstLine="645"/>
        <w:spacing w:after="0" w:line="259" w:lineRule="auto"/>
        <w:tabs>
          <w:tab w:leader="none" w:pos="8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G Preferred Stock (including without limitation pursuant to Section 4 hereof), without having to convert the Series G Preferred Stock, as if they held the full number of shares of Non-Voting Common Stock into which a share of the Series G Preferred Stock may then be converted.</w:t>
      </w:r>
    </w:p>
    <w:p>
      <w:pPr>
        <w:spacing w:after="0" w:line="213" w:lineRule="exact"/>
        <w:rPr>
          <w:rFonts w:ascii="Arial" w:cs="Arial" w:eastAsia="Arial" w:hAnsi="Arial"/>
          <w:sz w:val="18"/>
          <w:szCs w:val="18"/>
          <w:color w:val="auto"/>
        </w:rPr>
      </w:pPr>
    </w:p>
    <w:p>
      <w:pPr>
        <w:ind w:left="820" w:hanging="715"/>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252" w:lineRule="exact"/>
        <w:rPr>
          <w:rFonts w:ascii="Arial" w:cs="Arial" w:eastAsia="Arial" w:hAnsi="Arial"/>
          <w:sz w:val="18"/>
          <w:szCs w:val="18"/>
          <w:color w:val="auto"/>
        </w:rPr>
      </w:pPr>
    </w:p>
    <w:p>
      <w:pPr>
        <w:ind w:left="100" w:right="80" w:firstLine="653"/>
        <w:spacing w:after="0" w:line="264" w:lineRule="auto"/>
        <w:tabs>
          <w:tab w:leader="none" w:pos="14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208" w:lineRule="exact"/>
        <w:rPr>
          <w:rFonts w:ascii="Arial" w:cs="Arial" w:eastAsia="Arial" w:hAnsi="Arial"/>
          <w:sz w:val="18"/>
          <w:szCs w:val="18"/>
          <w:color w:val="auto"/>
        </w:rPr>
      </w:pPr>
    </w:p>
    <w:p>
      <w:pPr>
        <w:jc w:val="both"/>
        <w:ind w:left="100" w:right="160" w:firstLine="653"/>
        <w:spacing w:after="0" w:line="342" w:lineRule="auto"/>
        <w:tabs>
          <w:tab w:leader="none" w:pos="1483" w:val="left"/>
        </w:tabs>
        <w:numPr>
          <w:ilvl w:val="1"/>
          <w:numId w:val="88"/>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361950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96" w:name="page97"/>
    <w:bookmarkEnd w:id="96"/>
    <w:p>
      <w:pPr>
        <w:ind w:left="1300" w:firstLine="653"/>
        <w:spacing w:after="0" w:line="264" w:lineRule="auto"/>
        <w:tabs>
          <w:tab w:leader="none" w:pos="26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option, warrant, right or exercisable, exchangeable or convertible security outstanding as of the date shares of the Series G Preferred Stock were first issued and not substantially amended thereafter;</w:t>
      </w:r>
    </w:p>
    <w:p>
      <w:pPr>
        <w:spacing w:after="0" w:line="208" w:lineRule="exact"/>
        <w:rPr>
          <w:rFonts w:ascii="Arial" w:cs="Arial" w:eastAsia="Arial" w:hAnsi="Arial"/>
          <w:sz w:val="18"/>
          <w:szCs w:val="18"/>
          <w:color w:val="auto"/>
        </w:rPr>
      </w:pPr>
    </w:p>
    <w:p>
      <w:pPr>
        <w:ind w:left="2700" w:hanging="747"/>
        <w:spacing w:after="0"/>
        <w:tabs>
          <w:tab w:leader="none" w:pos="2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252" w:lineRule="exact"/>
        <w:rPr>
          <w:rFonts w:ascii="Arial" w:cs="Arial" w:eastAsia="Arial" w:hAnsi="Arial"/>
          <w:sz w:val="18"/>
          <w:szCs w:val="18"/>
          <w:color w:val="auto"/>
        </w:rPr>
      </w:pPr>
    </w:p>
    <w:p>
      <w:pPr>
        <w:ind w:left="2680" w:hanging="727"/>
        <w:spacing w:after="0"/>
        <w:tabs>
          <w:tab w:leader="none" w:pos="2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accrued and unpaid dividends on the Series G Preferred Stock.</w:t>
      </w:r>
    </w:p>
    <w:p>
      <w:pPr>
        <w:spacing w:after="0" w:line="252" w:lineRule="exact"/>
        <w:rPr>
          <w:sz w:val="20"/>
          <w:szCs w:val="20"/>
          <w:color w:val="auto"/>
        </w:rPr>
      </w:pPr>
    </w:p>
    <w:p>
      <w:pPr>
        <w:ind w:left="2000" w:hanging="695"/>
        <w:spacing w:after="0"/>
        <w:tabs>
          <w:tab w:leader="none" w:pos="2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Whenever the Conversion Price is to be adjusted in accordance with Section 10(a) or Section 10(b), the Corporation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22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 converted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there occurs:</w:t>
      </w:r>
    </w:p>
    <w:p>
      <w:pPr>
        <w:spacing w:after="0" w:line="197" w:lineRule="exact"/>
        <w:rPr>
          <w:sz w:val="20"/>
          <w:szCs w:val="20"/>
          <w:color w:val="auto"/>
        </w:rPr>
      </w:pPr>
    </w:p>
    <w:p>
      <w:pPr>
        <w:ind w:left="660" w:right="340" w:firstLine="645"/>
        <w:spacing w:after="0" w:line="342" w:lineRule="auto"/>
        <w:tabs>
          <w:tab w:leader="none" w:pos="1973"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consolidation, merger or other similar business combination of the Corporation with or into another Person, in each case pursuant to which the Non-Voting Common Stock will be converted into cash, securities or other property of the Corporation or another Person;</w:t>
      </w:r>
    </w:p>
    <w:p>
      <w:pPr>
        <w:spacing w:after="0" w:line="150" w:lineRule="exact"/>
        <w:rPr>
          <w:rFonts w:ascii="Arial" w:cs="Arial" w:eastAsia="Arial" w:hAnsi="Arial"/>
          <w:sz w:val="16"/>
          <w:szCs w:val="16"/>
          <w:color w:val="auto"/>
        </w:rPr>
      </w:pPr>
    </w:p>
    <w:p>
      <w:pPr>
        <w:ind w:left="660" w:right="20" w:firstLine="645"/>
        <w:spacing w:after="0" w:line="264" w:lineRule="auto"/>
        <w:tabs>
          <w:tab w:leader="none" w:pos="20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property and assets of the Corporation, in each case pursuant to which the Non-Voting Common Stock will be converted into cash, securities or other property of the Corporation or another Person;</w:t>
      </w:r>
    </w:p>
    <w:p>
      <w:pPr>
        <w:spacing w:after="0" w:line="208" w:lineRule="exact"/>
        <w:rPr>
          <w:rFonts w:ascii="Arial" w:cs="Arial" w:eastAsia="Arial" w:hAnsi="Arial"/>
          <w:sz w:val="18"/>
          <w:szCs w:val="18"/>
          <w:color w:val="auto"/>
        </w:rPr>
      </w:pPr>
    </w:p>
    <w:p>
      <w:pPr>
        <w:ind w:left="2020" w:hanging="715"/>
        <w:spacing w:after="0"/>
        <w:tabs>
          <w:tab w:leader="none" w:pos="20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reclassification of the Non-Voting Common Stock into securities including securities other than the Non-Voting Common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Stock; or</w:t>
      </w:r>
    </w:p>
    <w:p>
      <w:pPr>
        <w:spacing w:after="0" w:line="237" w:lineRule="exact"/>
        <w:rPr>
          <w:rFonts w:ascii="Arial" w:cs="Arial" w:eastAsia="Arial" w:hAnsi="Arial"/>
          <w:sz w:val="17"/>
          <w:szCs w:val="17"/>
          <w:color w:val="auto"/>
        </w:rPr>
      </w:pPr>
    </w:p>
    <w:p>
      <w:pPr>
        <w:ind w:left="660" w:right="340" w:firstLine="645"/>
        <w:spacing w:after="0" w:line="277" w:lineRule="auto"/>
        <w:tabs>
          <w:tab w:leader="none" w:pos="19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Non-Voting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7" w:name="page98"/>
    <w:bookmarkEnd w:id="97"/>
    <w:p>
      <w:pPr>
        <w:spacing w:after="0" w:line="268" w:lineRule="auto"/>
        <w:rPr>
          <w:sz w:val="20"/>
          <w:szCs w:val="20"/>
          <w:color w:val="auto"/>
        </w:rPr>
      </w:pPr>
      <w:r>
        <w:rPr>
          <w:rFonts w:ascii="Arial" w:cs="Arial" w:eastAsia="Arial" w:hAnsi="Arial"/>
          <w:sz w:val="17"/>
          <w:szCs w:val="17"/>
          <w:color w:val="auto"/>
        </w:rPr>
        <w:t>(any such event specified in this Section 10(a),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each share of such Holder’s Series G Preferred Stock outstanding immediately prior to such Reorganization Event shall remain outstanding but shall automatically convert, effective as of the close of business on the Mandatory Conversion Date with respect to the shares of Series G Preferred Stock of such Holder (with the term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applied for such purpose, as applicable, to the surviving entity in such Reorganization Event and its securities included in the Exchange Property (as defined below)), into the type and amount of securities, cash and other property receivable in such Reorganization Event by the holder (excluding the counterparty to the Reorganization Event or an Affiliate of such counterparty) of the greater of (i) the number of shares of Non-Voting Common Stock into which one share of Series G Preferred Stock would then be convertible assuming the receipt of the Stockholder Approvals and the Regulatory Approval and (ii) the number of shares of Non-Voting Common Stock that, if one share of Series G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212" w:lineRule="exact"/>
        <w:rPr>
          <w:sz w:val="20"/>
          <w:szCs w:val="20"/>
          <w:color w:val="auto"/>
        </w:rPr>
      </w:pPr>
    </w:p>
    <w:p>
      <w:pPr>
        <w:ind w:right="60" w:firstLine="1305"/>
        <w:spacing w:after="0" w:line="277" w:lineRule="auto"/>
        <w:tabs>
          <w:tab w:leader="none" w:pos="20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that holders of the shares of Non-Voting Common Stock have the opportunity to elect the form of consideration to be received in such transaction, the Holders shall likewise be allowed to make such an election.</w:t>
      </w:r>
    </w:p>
    <w:p>
      <w:pPr>
        <w:spacing w:after="0" w:line="197" w:lineRule="exact"/>
        <w:rPr>
          <w:rFonts w:ascii="Arial" w:cs="Arial" w:eastAsia="Arial" w:hAnsi="Arial"/>
          <w:sz w:val="18"/>
          <w:szCs w:val="18"/>
          <w:color w:val="auto"/>
        </w:rPr>
      </w:pPr>
    </w:p>
    <w:p>
      <w:pPr>
        <w:ind w:firstLine="1305"/>
        <w:spacing w:after="0" w:line="264" w:lineRule="auto"/>
        <w:tabs>
          <w:tab w:leader="none" w:pos="19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208" w:lineRule="exact"/>
        <w:rPr>
          <w:rFonts w:ascii="Arial" w:cs="Arial" w:eastAsia="Arial" w:hAnsi="Arial"/>
          <w:sz w:val="18"/>
          <w:szCs w:val="18"/>
          <w:color w:val="auto"/>
        </w:rPr>
      </w:pPr>
    </w:p>
    <w:p>
      <w:pPr>
        <w:jc w:val="both"/>
        <w:ind w:right="180" w:firstLine="1305"/>
        <w:spacing w:after="0" w:line="264" w:lineRule="auto"/>
        <w:tabs>
          <w:tab w:leader="none" w:pos="19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208" w:lineRule="exact"/>
        <w:rPr>
          <w:rFonts w:ascii="Arial" w:cs="Arial" w:eastAsia="Arial" w:hAnsi="Arial"/>
          <w:sz w:val="18"/>
          <w:szCs w:val="18"/>
          <w:color w:val="auto"/>
        </w:rPr>
      </w:pPr>
    </w:p>
    <w:p>
      <w:pPr>
        <w:jc w:val="both"/>
        <w:ind w:right="220" w:firstLine="1305"/>
        <w:spacing w:after="0" w:line="264" w:lineRule="auto"/>
        <w:tabs>
          <w:tab w:leader="none" w:pos="19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G Preferred Stock into the Exchange Property in a manner that is consistent with and gives effect to this Section 11.</w:t>
      </w:r>
    </w:p>
    <w:p>
      <w:pPr>
        <w:spacing w:after="0" w:line="208"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i w:val="1"/>
          <w:iCs w:val="1"/>
          <w:color w:val="auto"/>
        </w:rPr>
        <w:t>Section 12. Voting Rights</w:t>
      </w:r>
      <w:r>
        <w:rPr>
          <w:rFonts w:ascii="Arial" w:cs="Arial" w:eastAsia="Arial" w:hAnsi="Arial"/>
          <w:sz w:val="18"/>
          <w:szCs w:val="18"/>
          <w:color w:val="auto"/>
        </w:rPr>
        <w:t>. (a) Holders will not have any voting rights, including the right to elect any directors, except (i) voting rights, if</w:t>
      </w:r>
      <w:r>
        <w:rPr>
          <w:rFonts w:ascii="Arial" w:cs="Arial" w:eastAsia="Arial" w:hAnsi="Arial"/>
          <w:sz w:val="18"/>
          <w:szCs w:val="18"/>
          <w:i w:val="1"/>
          <w:iCs w:val="1"/>
          <w:color w:val="auto"/>
        </w:rPr>
        <w:t xml:space="preserve"> </w:t>
      </w:r>
      <w:r>
        <w:rPr>
          <w:rFonts w:ascii="Arial" w:cs="Arial" w:eastAsia="Arial" w:hAnsi="Arial"/>
          <w:sz w:val="18"/>
          <w:szCs w:val="18"/>
          <w:color w:val="auto"/>
        </w:rPr>
        <w:t>any, required by law, and (ii) voting rights, if any, described in this Section 12.</w:t>
      </w:r>
    </w:p>
    <w:p>
      <w:pPr>
        <w:spacing w:after="0" w:line="197" w:lineRule="exact"/>
        <w:rPr>
          <w:sz w:val="20"/>
          <w:szCs w:val="20"/>
          <w:color w:val="auto"/>
        </w:rPr>
      </w:pPr>
    </w:p>
    <w:p>
      <w:pPr>
        <w:ind w:right="20" w:firstLine="1305"/>
        <w:spacing w:after="0" w:line="259" w:lineRule="auto"/>
        <w:tabs>
          <w:tab w:leader="none" w:pos="20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 long as any shares of Series G Preferred Stock are outstanding, the vote or consent of the Holders of a majority of the shares of Series G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8" w:name="page99"/>
    <w:bookmarkEnd w:id="98"/>
    <w:p>
      <w:pPr>
        <w:ind w:left="660" w:right="120" w:firstLine="645"/>
        <w:spacing w:after="0" w:line="264" w:lineRule="auto"/>
        <w:tabs>
          <w:tab w:leader="none" w:pos="19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G Preferred Stock so as to affect them adversely; or</w:t>
      </w:r>
    </w:p>
    <w:p>
      <w:pPr>
        <w:spacing w:after="0" w:line="208" w:lineRule="exact"/>
        <w:rPr>
          <w:rFonts w:ascii="Arial" w:cs="Arial" w:eastAsia="Arial" w:hAnsi="Arial"/>
          <w:sz w:val="18"/>
          <w:szCs w:val="18"/>
          <w:color w:val="auto"/>
        </w:rPr>
      </w:pPr>
    </w:p>
    <w:p>
      <w:pPr>
        <w:ind w:left="660" w:right="320" w:firstLine="645"/>
        <w:spacing w:after="0" w:line="259" w:lineRule="auto"/>
        <w:tabs>
          <w:tab w:leader="none" w:pos="202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G Preferred Stock in the payment of dividends or in the distribution of assets on any liquidation, dissolution or winding up of the Corporation.</w:t>
      </w:r>
    </w:p>
    <w:p>
      <w:pPr>
        <w:spacing w:after="0" w:line="2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preferred stock ranking junior to the Series G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G Preferred Stock and, notwithstanding any provision of Georgia law, Holders will have no right to vote solely by reason of such an increase, creation or issuance.</w:t>
      </w:r>
    </w:p>
    <w:p>
      <w:pPr>
        <w:spacing w:after="0" w:line="215" w:lineRule="exact"/>
        <w:rPr>
          <w:sz w:val="20"/>
          <w:szCs w:val="20"/>
          <w:color w:val="auto"/>
        </w:rPr>
      </w:pPr>
    </w:p>
    <w:p>
      <w:pPr>
        <w:ind w:right="160" w:firstLine="1305"/>
        <w:spacing w:after="0" w:line="264" w:lineRule="auto"/>
        <w:tabs>
          <w:tab w:leader="none" w:pos="19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the foregoing, Holders shall not have any voting rights if, at or prior to the effective time of the act with respect to which such vote would otherwise be required, all outstanding shares of Series G Preferred Stock shall have been converted into shares of Non-Voting Common Stock.</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252" w:lineRule="exact"/>
        <w:rPr>
          <w:sz w:val="20"/>
          <w:szCs w:val="20"/>
          <w:color w:val="auto"/>
        </w:rPr>
      </w:pPr>
    </w:p>
    <w:p>
      <w:pPr>
        <w:ind w:left="2000" w:hanging="695"/>
        <w:spacing w:after="0"/>
        <w:tabs>
          <w:tab w:leader="none" w:pos="2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fractional shares of Non-Voting Common Stock will be issued as a result of any conversion of shares of Series G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38" w:lineRule="exact"/>
        <w:rPr>
          <w:sz w:val="20"/>
          <w:szCs w:val="20"/>
          <w:color w:val="auto"/>
        </w:rPr>
      </w:pPr>
    </w:p>
    <w:p>
      <w:pPr>
        <w:ind w:firstLine="1305"/>
        <w:spacing w:after="0" w:line="286" w:lineRule="auto"/>
        <w:tabs>
          <w:tab w:leader="none" w:pos="2001"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 lieu of any fractional share of Non-Voting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92" w:lineRule="exact"/>
        <w:rPr>
          <w:rFonts w:ascii="Arial" w:cs="Arial" w:eastAsia="Arial" w:hAnsi="Arial"/>
          <w:sz w:val="17"/>
          <w:szCs w:val="17"/>
          <w:color w:val="auto"/>
        </w:rPr>
      </w:pPr>
    </w:p>
    <w:p>
      <w:pPr>
        <w:ind w:firstLine="1305"/>
        <w:spacing w:after="0" w:line="264" w:lineRule="auto"/>
        <w:tabs>
          <w:tab w:leader="none" w:pos="1991"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more than one share of the Series G Preferred Stock is surrendered for conversion at one time by or for the same Holder, the number of full shares of Non-Voting Common Stock issuable upon conversion thereof shall be computed on the basis of the aggregate number of shares of the Series G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9" w:name="page100"/>
    <w:bookmarkEnd w:id="99"/>
    <w:p>
      <w:pPr>
        <w:ind w:left="100"/>
        <w:spacing w:after="0"/>
        <w:rPr>
          <w:sz w:val="20"/>
          <w:szCs w:val="20"/>
          <w:color w:val="auto"/>
        </w:rPr>
      </w:pPr>
      <w:r>
        <w:rPr>
          <w:rFonts w:ascii="Arial" w:cs="Arial" w:eastAsia="Arial" w:hAnsi="Arial"/>
          <w:sz w:val="18"/>
          <w:szCs w:val="18"/>
          <w:i w:val="1"/>
          <w:iCs w:val="1"/>
          <w:color w:val="auto"/>
        </w:rPr>
        <w:t>Section 14. Reservation of Non-Voting Common Stock.</w:t>
      </w:r>
    </w:p>
    <w:p>
      <w:pPr>
        <w:spacing w:after="0" w:line="252" w:lineRule="exact"/>
        <w:rPr>
          <w:sz w:val="20"/>
          <w:szCs w:val="20"/>
          <w:color w:val="auto"/>
        </w:rPr>
      </w:pPr>
    </w:p>
    <w:p>
      <w:pPr>
        <w:ind w:left="-1200" w:firstLine="1305"/>
        <w:spacing w:after="0" w:line="270" w:lineRule="auto"/>
        <w:tabs>
          <w:tab w:leader="none" w:pos="7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Following the receipt of the Stockholder Approvals, the Corporation shall at all times reserve and keep available out of its authorized and unissued Non-Voting Common Stock or shares acquired by the Corporation, solely for issuance upon the conversion of shares of Series G Preferred Stock as provided in this Certificate of Designations free from any preemptive or other similar rights, such number of shares of Non-Voting Common Stock as shall from time to time be issuable upon the conversion of all the shares of Series G Preferred Stock then outstanding. For purposes of this Section 14(a), the number of shares of Non-Voting Common Stock that shall be deliverable upon the conversion of all outstanding shares of Series G Preferred Stock shall be computed as if at the time of computation all such outstanding shares were held by a single Holder. Following the receipt of the Stockholder Approvals, the Corporation shall at all times reserve and keep available out of its authorized and unissued Common Stock or shares acquired by the Corporation, solely for issuance upon the conversion of shares of Non-Voting Common Stock issued upon conversion of the Series G Preferred Stock free from any preemptive or other similar rights, the same number of shares of Common Stock as the number of shares of Non-Voting Common Stock reserved pursuant to the first sentence of this Section 14(a).</w:t>
      </w:r>
    </w:p>
    <w:p>
      <w:pPr>
        <w:spacing w:after="0" w:line="204" w:lineRule="exact"/>
        <w:rPr>
          <w:rFonts w:ascii="Arial" w:cs="Arial" w:eastAsia="Arial" w:hAnsi="Arial"/>
          <w:sz w:val="17"/>
          <w:szCs w:val="17"/>
          <w:color w:val="auto"/>
        </w:rPr>
      </w:pPr>
    </w:p>
    <w:p>
      <w:pPr>
        <w:ind w:left="-1200" w:right="20" w:firstLine="1305"/>
        <w:spacing w:after="0" w:line="286" w:lineRule="auto"/>
        <w:tabs>
          <w:tab w:leader="none" w:pos="801"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be entitled to deliver upon conversion of shares of Series G Preferred Stock, as herein provided, shares of Non-Voting Common Stock acquired by the Corporation (in lieu of the issuance of authorized and unissued shares of Non-Voting Common Stock), so long as any such acquired shares are free and clear of all liens, charges, security interests or encumbrances.</w:t>
      </w:r>
    </w:p>
    <w:p>
      <w:pPr>
        <w:spacing w:after="0" w:line="192" w:lineRule="exact"/>
        <w:rPr>
          <w:rFonts w:ascii="Arial" w:cs="Arial" w:eastAsia="Arial" w:hAnsi="Arial"/>
          <w:sz w:val="17"/>
          <w:szCs w:val="17"/>
          <w:color w:val="auto"/>
        </w:rPr>
      </w:pPr>
    </w:p>
    <w:p>
      <w:pPr>
        <w:ind w:left="-1200" w:right="360" w:firstLine="1305"/>
        <w:spacing w:after="0" w:line="277" w:lineRule="auto"/>
        <w:tabs>
          <w:tab w:leader="none" w:pos="78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shares of Non-Voting Common Stock delivered upon conversion of the Series G Preferred Stock shall be duly authorized, validly issued, fully paid and non-assessable, free and clear of all liens, claims, security interests and other encumbrances.</w:t>
      </w:r>
    </w:p>
    <w:p>
      <w:pPr>
        <w:spacing w:after="0" w:line="197" w:lineRule="exact"/>
        <w:rPr>
          <w:rFonts w:ascii="Arial" w:cs="Arial" w:eastAsia="Arial" w:hAnsi="Arial"/>
          <w:sz w:val="18"/>
          <w:szCs w:val="18"/>
          <w:color w:val="auto"/>
        </w:rPr>
      </w:pPr>
    </w:p>
    <w:p>
      <w:pPr>
        <w:ind w:left="-1200" w:right="80" w:firstLine="1305"/>
        <w:spacing w:after="0" w:line="264" w:lineRule="auto"/>
        <w:tabs>
          <w:tab w:leader="none" w:pos="801"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G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208" w:lineRule="exact"/>
        <w:rPr>
          <w:rFonts w:ascii="Arial" w:cs="Arial" w:eastAsia="Arial" w:hAnsi="Arial"/>
          <w:sz w:val="18"/>
          <w:szCs w:val="18"/>
          <w:color w:val="auto"/>
        </w:rPr>
      </w:pPr>
    </w:p>
    <w:p>
      <w:pPr>
        <w:ind w:left="-1200" w:right="20" w:firstLine="1305"/>
        <w:spacing w:after="0" w:line="279" w:lineRule="auto"/>
        <w:tabs>
          <w:tab w:leader="none" w:pos="78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Corporation hereby covenants and agrees that, if at any time the Non-Voting Common Stock shall be listed on The NASDAQ Global Select Market or any other national securities exchange or automated quotation system, the Corporation will, if permitted by the rules of such exchange or automated quotation system, list and keep listed, so long as the Non-Voting Common Stock shall be so listed on such exchange or automated quotation system, all the Non-Voting Common Stock issuable upon conversion of the Series G Preferred Stock.</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252" w:lineRule="exact"/>
        <w:rPr>
          <w:sz w:val="20"/>
          <w:szCs w:val="20"/>
          <w:color w:val="auto"/>
        </w:rPr>
      </w:pPr>
    </w:p>
    <w:p>
      <w:pPr>
        <w:ind w:left="-1200" w:right="380" w:firstLine="1305"/>
        <w:spacing w:after="0" w:line="312" w:lineRule="auto"/>
        <w:tabs>
          <w:tab w:leader="none" w:pos="7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73" w:lineRule="exact"/>
        <w:rPr>
          <w:rFonts w:ascii="Arial" w:cs="Arial" w:eastAsia="Arial" w:hAnsi="Arial"/>
          <w:sz w:val="16"/>
          <w:szCs w:val="16"/>
          <w:color w:val="auto"/>
        </w:rPr>
      </w:pPr>
    </w:p>
    <w:p>
      <w:pPr>
        <w:ind w:left="-1200" w:firstLine="1305"/>
        <w:spacing w:after="0" w:line="259" w:lineRule="auto"/>
        <w:tabs>
          <w:tab w:leader="none" w:pos="79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certificates representing the Series G Preferred Stock on or after the Mandatory Conversion Date. In place of the delivery of a replacement certificate following the Mandatory Conversion Date, the Corporation, upon delivery of the evidence and indemnity described in clause (a) above, shall deliver the shares of Non-Voting Common Stock pursuant to the terms of the Series G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401955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517" w:right="279" w:bottom="1440" w:gutter="0" w:footer="0" w:header="0"/>
        </w:sectPr>
      </w:pPr>
    </w:p>
    <w:bookmarkStart w:id="100" w:name="page101"/>
    <w:bookmarkEnd w:id="100"/>
    <w:p>
      <w:pPr>
        <w:ind w:left="100"/>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252" w:lineRule="exact"/>
        <w:rPr>
          <w:sz w:val="20"/>
          <w:szCs w:val="20"/>
          <w:color w:val="auto"/>
        </w:rPr>
      </w:pPr>
    </w:p>
    <w:p>
      <w:pPr>
        <w:ind w:left="-1200" w:firstLine="1305"/>
        <w:spacing w:after="0" w:line="255" w:lineRule="auto"/>
        <w:tabs>
          <w:tab w:leader="none" w:pos="78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220" w:lineRule="exact"/>
        <w:rPr>
          <w:rFonts w:ascii="Arial" w:cs="Arial" w:eastAsia="Arial" w:hAnsi="Arial"/>
          <w:sz w:val="18"/>
          <w:szCs w:val="18"/>
          <w:color w:val="auto"/>
        </w:rPr>
      </w:pPr>
    </w:p>
    <w:p>
      <w:pPr>
        <w:ind w:left="-1200" w:firstLine="1305"/>
        <w:spacing w:after="0" w:line="290" w:lineRule="auto"/>
        <w:tabs>
          <w:tab w:leader="none" w:pos="79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Corporation shall pay any and all stock transfer and documentary stamp taxes that may be payable in respect of any issuance or delivery of shares of Series G Preferred Stock or shares of Non-Voting Common Stock or other securities issued on account of Series G Preferred Stock pursuant hereto or certificates representing such shares or securities. The Corporation shall not, however, be required to pay any such tax that may be payable in respect of any transfer involved in the issuance or delivery of shares of Series G Preferred Stock or Non-Voting Common Stock or other securities in a name other than that in which the shares of Series G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93" w:lineRule="exact"/>
        <w:rPr>
          <w:rFonts w:ascii="Arial" w:cs="Arial" w:eastAsia="Arial" w:hAnsi="Arial"/>
          <w:sz w:val="16"/>
          <w:szCs w:val="16"/>
          <w:color w:val="auto"/>
        </w:rPr>
      </w:pPr>
    </w:p>
    <w:p>
      <w:pPr>
        <w:ind w:left="-1200" w:firstLine="1305"/>
        <w:spacing w:after="0" w:line="308" w:lineRule="auto"/>
        <w:tabs>
          <w:tab w:leader="none" w:pos="78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All payments on the shares of Series G Preferred Stock shall be subject to withholding and backup withholding of tax to the extent required by applicable law, subject to applicable exemptions, and amounts withheld, if any, shall be treated as received by the holders thereof.</w:t>
      </w:r>
    </w:p>
    <w:p>
      <w:pPr>
        <w:spacing w:after="0" w:line="173" w:lineRule="exact"/>
        <w:rPr>
          <w:rFonts w:ascii="Arial" w:cs="Arial" w:eastAsia="Arial" w:hAnsi="Arial"/>
          <w:sz w:val="17"/>
          <w:szCs w:val="17"/>
          <w:color w:val="auto"/>
        </w:rPr>
      </w:pPr>
    </w:p>
    <w:p>
      <w:pPr>
        <w:ind w:left="-1200" w:right="20" w:firstLine="1305"/>
        <w:spacing w:after="0" w:line="264" w:lineRule="auto"/>
        <w:tabs>
          <w:tab w:leader="none" w:pos="80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share of Series G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208" w:lineRule="exact"/>
        <w:rPr>
          <w:rFonts w:ascii="Arial" w:cs="Arial" w:eastAsia="Arial" w:hAnsi="Arial"/>
          <w:sz w:val="18"/>
          <w:szCs w:val="18"/>
          <w:color w:val="auto"/>
        </w:rPr>
      </w:pPr>
    </w:p>
    <w:p>
      <w:pPr>
        <w:ind w:left="-1200" w:right="20" w:firstLine="1305"/>
        <w:spacing w:after="0" w:line="264" w:lineRule="auto"/>
        <w:tabs>
          <w:tab w:leader="none" w:pos="7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of Series G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208" w:lineRule="exact"/>
        <w:rPr>
          <w:rFonts w:ascii="Arial" w:cs="Arial" w:eastAsia="Arial" w:hAnsi="Arial"/>
          <w:sz w:val="18"/>
          <w:szCs w:val="18"/>
          <w:color w:val="auto"/>
        </w:rPr>
      </w:pPr>
    </w:p>
    <w:p>
      <w:pPr>
        <w:ind w:left="-1200" w:right="480" w:firstLine="1305"/>
        <w:spacing w:after="0" w:line="277" w:lineRule="auto"/>
        <w:tabs>
          <w:tab w:leader="none" w:pos="7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G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544195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101" w:name="page102"/>
    <w:bookmarkEnd w:id="101"/>
    <w:p>
      <w:pPr>
        <w:jc w:val="center"/>
        <w:ind w:right="-199"/>
        <w:spacing w:after="0"/>
        <w:rPr>
          <w:sz w:val="20"/>
          <w:szCs w:val="20"/>
          <w:color w:val="auto"/>
        </w:rPr>
      </w:pPr>
      <w:r>
        <w:rPr>
          <w:rFonts w:ascii="Arial" w:cs="Arial" w:eastAsia="Arial" w:hAnsi="Arial"/>
          <w:sz w:val="18"/>
          <w:szCs w:val="18"/>
          <w:b w:val="1"/>
          <w:bCs w:val="1"/>
          <w:color w:val="auto"/>
        </w:rPr>
        <w:t>ARTICLES OF AMENDMENT</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Junior Participating Preferred Stock, Series 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200" w:lineRule="exact"/>
        <w:rPr>
          <w:sz w:val="20"/>
          <w:szCs w:val="20"/>
          <w:color w:val="auto"/>
        </w:rPr>
      </w:pP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 United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Banks, Inc. this 22nd day of February, 2011.</w:t>
      </w:r>
    </w:p>
    <w:p>
      <w:pPr>
        <w:spacing w:after="0" w:line="376" w:lineRule="exact"/>
        <w:rPr>
          <w:sz w:val="20"/>
          <w:szCs w:val="20"/>
          <w:color w:val="auto"/>
        </w:rPr>
      </w:pPr>
    </w:p>
    <w:p>
      <w:pPr>
        <w:ind w:left="5160"/>
        <w:spacing w:after="0" w:line="207" w:lineRule="exact"/>
        <w:rPr>
          <w:sz w:val="20"/>
          <w:szCs w:val="20"/>
          <w:color w:val="auto"/>
        </w:rPr>
      </w:pPr>
      <w:r>
        <w:rPr>
          <w:rFonts w:ascii="Arial" w:cs="Arial" w:eastAsia="Arial" w:hAnsi="Arial"/>
          <w:sz w:val="18"/>
          <w:szCs w:val="18"/>
          <w:b w:val="1"/>
          <w:bCs w:val="1"/>
          <w:color w:val="auto"/>
        </w:rPr>
        <w:t>UNITED COMMUNITY BANKS, INC.</w:t>
      </w:r>
      <w:r>
        <w:rPr>
          <w:rFonts w:ascii="MS PGothic" w:cs="MS PGothic" w:eastAsia="MS PGothic" w:hAnsi="MS PGothic"/>
          <w:sz w:val="18"/>
          <w:szCs w:val="18"/>
          <w:color w:val="auto"/>
        </w:rPr>
        <w:t> </w:t>
      </w:r>
    </w:p>
    <w:p>
      <w:pPr>
        <w:spacing w:after="0" w:line="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Lois J. Rich</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Name:Lois J. Rich</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56" w:right="439" w:bottom="1440" w:gutter="0" w:footer="0" w:header="0"/>
        </w:sectPr>
      </w:pPr>
    </w:p>
    <w:bookmarkStart w:id="102" w:name="page103"/>
    <w:bookmarkEnd w:id="102"/>
    <w:p>
      <w:pPr>
        <w:ind w:left="10680"/>
        <w:spacing w:after="0"/>
        <w:rPr>
          <w:sz w:val="20"/>
          <w:szCs w:val="20"/>
          <w:color w:val="auto"/>
        </w:rPr>
      </w:pPr>
      <w:r>
        <w:rPr>
          <w:rFonts w:ascii="Arial" w:cs="Arial" w:eastAsia="Arial" w:hAnsi="Arial"/>
          <w:sz w:val="17"/>
          <w:szCs w:val="17"/>
          <w:b w:val="1"/>
          <w:bCs w:val="1"/>
          <w:color w:val="auto"/>
        </w:rPr>
        <w:t>Exhibit 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JUNIOR PARTICIPATING PREFERRED STOCK, SERIES 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Section 1. Designation And Amount. </w:t>
      </w:r>
      <w:r>
        <w:rPr>
          <w:rFonts w:ascii="Arial" w:cs="Arial" w:eastAsia="Arial" w:hAnsi="Arial"/>
          <w:sz w:val="16"/>
          <w:szCs w:val="16"/>
          <w:color w:val="auto"/>
        </w:rPr>
        <w:t>The shares of such series shall be designated as “Junior Participating Preferred Stock, Series E,” $1.00 par value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(the “</w:t>
      </w:r>
      <w:r>
        <w:rPr>
          <w:rFonts w:ascii="Arial" w:cs="Arial" w:eastAsia="Arial" w:hAnsi="Arial"/>
          <w:sz w:val="16"/>
          <w:szCs w:val="16"/>
          <w:b w:val="1"/>
          <w:bCs w:val="1"/>
          <w:i w:val="1"/>
          <w:iCs w:val="1"/>
          <w:color w:val="auto"/>
        </w:rPr>
        <w:t>Series E Preferred Stock</w:t>
      </w:r>
      <w:r>
        <w:rPr>
          <w:rFonts w:ascii="Arial" w:cs="Arial" w:eastAsia="Arial" w:hAnsi="Arial"/>
          <w:sz w:val="16"/>
          <w:szCs w:val="16"/>
          <w:color w:val="auto"/>
        </w:rPr>
        <w:t>”), and the number of shares constituting the Series E Preferred Stock shall be 1,000,000. Such number of shares may be increased or decreased by resolution of the Board of Directors; provided, that no decrease shall reduce the number of shares of Series E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E Preferred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Dividends And Distributions.</w:t>
      </w:r>
    </w:p>
    <w:p>
      <w:pPr>
        <w:spacing w:after="0" w:line="200" w:lineRule="exact"/>
        <w:rPr>
          <w:sz w:val="20"/>
          <w:szCs w:val="20"/>
          <w:color w:val="auto"/>
        </w:rPr>
      </w:pPr>
    </w:p>
    <w:p>
      <w:pPr>
        <w:spacing w:after="0" w:line="299" w:lineRule="exact"/>
        <w:rPr>
          <w:sz w:val="20"/>
          <w:szCs w:val="20"/>
          <w:color w:val="auto"/>
        </w:rPr>
      </w:pPr>
    </w:p>
    <w:p>
      <w:pPr>
        <w:ind w:firstLine="8"/>
        <w:spacing w:after="0" w:line="269" w:lineRule="auto"/>
        <w:tabs>
          <w:tab w:leader="none" w:pos="24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Subject to the rights of the holders of any shares of any series of Preferred Stock (or any similar stock) ranking prior and superior to the Series E Preferred Stock with respect to dividends, the holders of shares of Series E Preferred Stock shall be entitled to receive, when, as, and if declared by the Board of Directors out of funds legally available for the purpose, dividends in an amount per share (rounded to the nearest cent) equal to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E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right="100" w:firstLine="8"/>
        <w:spacing w:after="0" w:line="259"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Dividends paid on the shares of Series 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E Preferred Stock entitled to receive payment of a dividend or distribution declared thereon, which record date shall be not more than 60 days prior to the date fixed for the payment thereof.</w:t>
      </w:r>
    </w:p>
    <w:p>
      <w:pPr>
        <w:spacing w:after="0" w:line="200" w:lineRule="exact"/>
        <w:rPr>
          <w:sz w:val="20"/>
          <w:szCs w:val="20"/>
          <w:color w:val="auto"/>
        </w:rPr>
      </w:pPr>
    </w:p>
    <w:p>
      <w:pPr>
        <w:spacing w:after="0" w:line="25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Section 3. Voting Rights. </w:t>
      </w:r>
      <w:r>
        <w:rPr>
          <w:rFonts w:ascii="Arial" w:cs="Arial" w:eastAsia="Arial" w:hAnsi="Arial"/>
          <w:sz w:val="18"/>
          <w:szCs w:val="18"/>
          <w:color w:val="auto"/>
        </w:rPr>
        <w:t>In addition to any other voting rights required by law, the holders of shares of Series E Preferred Stock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w:t>
      </w:r>
    </w:p>
    <w:p>
      <w:pPr>
        <w:spacing w:after="0" w:line="200" w:lineRule="exact"/>
        <w:rPr>
          <w:sz w:val="20"/>
          <w:szCs w:val="20"/>
          <w:color w:val="auto"/>
        </w:rPr>
      </w:pPr>
    </w:p>
    <w:p>
      <w:pPr>
        <w:spacing w:after="0" w:line="236" w:lineRule="exact"/>
        <w:rPr>
          <w:sz w:val="20"/>
          <w:szCs w:val="20"/>
          <w:color w:val="auto"/>
        </w:rPr>
      </w:pPr>
    </w:p>
    <w:p>
      <w:pPr>
        <w:ind w:right="480" w:firstLine="8"/>
        <w:spacing w:after="0" w:line="342" w:lineRule="auto"/>
        <w:tabs>
          <w:tab w:leader="none" w:pos="24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E Preferred Stock shall entitle the holder thereof to 100 votes on all matters submitted to a vote of the shareholders of the Company. In the event the Company shall at any time declare or pay any dividend 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03" w:name="page104"/>
    <w:bookmarkEnd w:id="103"/>
    <w:p>
      <w:pPr>
        <w:ind w:right="40"/>
        <w:spacing w:after="0" w:line="297" w:lineRule="auto"/>
        <w:rPr>
          <w:sz w:val="20"/>
          <w:szCs w:val="20"/>
          <w:color w:val="auto"/>
        </w:rPr>
      </w:pPr>
      <w:r>
        <w:rPr>
          <w:rFonts w:ascii="Arial" w:cs="Arial" w:eastAsia="Arial" w:hAnsi="Arial"/>
          <w:sz w:val="16"/>
          <w:szCs w:val="16"/>
          <w:color w:val="auto"/>
        </w:rPr>
        <w:t>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28" w:lineRule="exact"/>
        <w:rPr>
          <w:sz w:val="20"/>
          <w:szCs w:val="20"/>
          <w:color w:val="auto"/>
        </w:rPr>
      </w:pPr>
    </w:p>
    <w:p>
      <w:pPr>
        <w:ind w:right="180" w:firstLine="8"/>
        <w:spacing w:after="0" w:line="264"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otherwise provided herein, in any other Certificate of Designations creating a series of Preferred Stock or any similar Stock, or by law, the holders of shares of Series E Preferred Stock and the holders of shares of Common Stock and any other capital stock of the Company having general voting rights shall vote together as one class on all matters submitted to a vote of shareholders of the Company.</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right="160" w:firstLine="8"/>
        <w:spacing w:after="0" w:line="342" w:lineRule="auto"/>
        <w:tabs>
          <w:tab w:leader="none" w:pos="2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E Preferred Stock shall have no special voting rights and their consent shall not be required (except to the extent they are entitled to vote with holders of Common Stock as set forth herein) for taking any corporate action.</w:t>
      </w:r>
    </w:p>
    <w:p>
      <w:pPr>
        <w:spacing w:after="0" w:line="390"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b w:val="1"/>
          <w:bCs w:val="1"/>
          <w:color w:val="auto"/>
        </w:rPr>
        <w:t xml:space="preserve">Section 4. Reacquired Shares. </w:t>
      </w:r>
      <w:r>
        <w:rPr>
          <w:rFonts w:ascii="Arial" w:cs="Arial" w:eastAsia="Arial" w:hAnsi="Arial"/>
          <w:sz w:val="16"/>
          <w:szCs w:val="16"/>
          <w:color w:val="auto"/>
        </w:rPr>
        <w:t>Any shares of Series E Preferred Stock purchased or otherwise acquired by the Company in any manner whatsoever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retired and canceled promptly after the acquisition thereof. All such shares shall upon their cancellation become authorized but unissued shares of Preferred Stock and may be reissued as part of a new series of the Preferred Stock subject to the conditions and restrictions on issuance set forth herein, in the Articles, or in any other Certificate of Designation creating a series of Preferred Stock or any similar stock or as otherwise required by law.</w:t>
      </w:r>
    </w:p>
    <w:p>
      <w:pPr>
        <w:spacing w:after="0" w:line="200" w:lineRule="exact"/>
        <w:rPr>
          <w:sz w:val="20"/>
          <w:szCs w:val="20"/>
          <w:color w:val="auto"/>
        </w:rPr>
      </w:pPr>
    </w:p>
    <w:p>
      <w:pPr>
        <w:spacing w:after="0" w:line="2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 xml:space="preserve">Section 5. Liquidation, Dissolution Or Winding Up. </w:t>
      </w:r>
      <w:r>
        <w:rPr>
          <w:rFonts w:ascii="Arial" w:cs="Arial" w:eastAsia="Arial" w:hAnsi="Arial"/>
          <w:sz w:val="16"/>
          <w:szCs w:val="16"/>
          <w:color w:val="auto"/>
        </w:rPr>
        <w:t>Upon any liquidation, dissolution or winding up of the Company, no distribution shall be made (a) to</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shares of stock ranking junior (either as to dividends or upon liquidation, dissolution or winding up) to the Series E Preferred Stock unless, prior thereto, the holders of shares of Series E Preferred Stock shall have received $100 per share, and any such additional amount such that the holders of shares of Series E Preferred Stock shall be entitled to receive an aggregate amount per share, subject to the provision for adjustment hereinafter set forth, equal to 100 times the aggregate amount to be distributed per share to holders of shares of Common Stock, or (b) to the holders of shares of stock ranking on a parity (either as to dividends or upon liquidation, dissolution or winding up) with the Series E Preferred Stock, except distributions made ratable on the Series E Preferred Stock and all such parity stock in proportion to the total amounts to which the holders of all such shares are entitled upon such liquidation, dissolution or winding up.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E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3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Section 6. Consolidation, Merger, Etc. </w:t>
      </w:r>
      <w:r>
        <w:rPr>
          <w:rFonts w:ascii="Arial" w:cs="Arial" w:eastAsia="Arial" w:hAnsi="Arial"/>
          <w:sz w:val="18"/>
          <w:szCs w:val="18"/>
          <w:color w:val="auto"/>
        </w:rPr>
        <w:t>In case the Company shall enter into any consolidation, merger, combination, or other transaction in which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are exchanged for or changed into other stock or securities, cash, and/or any other property, then in any such case each share of Series E Preferred Stock shall at the same time be similarly exchanged or changed into</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04" w:name="page105"/>
    <w:bookmarkEnd w:id="104"/>
    <w:p>
      <w:pPr>
        <w:spacing w:after="0" w:line="271" w:lineRule="auto"/>
        <w:rPr>
          <w:sz w:val="20"/>
          <w:szCs w:val="20"/>
          <w:color w:val="auto"/>
        </w:rPr>
      </w:pPr>
      <w:r>
        <w:rPr>
          <w:rFonts w:ascii="Arial" w:cs="Arial" w:eastAsia="Arial" w:hAnsi="Arial"/>
          <w:sz w:val="17"/>
          <w:szCs w:val="17"/>
          <w:color w:val="auto"/>
        </w:rPr>
        <w:t>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declare or pay any dividend on the Common Stock payable in shares of Common Stock, or effect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No Redemption. </w:t>
      </w:r>
      <w:r>
        <w:rPr>
          <w:rFonts w:ascii="Arial" w:cs="Arial" w:eastAsia="Arial" w:hAnsi="Arial"/>
          <w:sz w:val="18"/>
          <w:szCs w:val="18"/>
          <w:color w:val="auto"/>
        </w:rPr>
        <w:t>The shares of Series E Preferred Stock shall not be redeemable.</w:t>
      </w:r>
    </w:p>
    <w:p>
      <w:pPr>
        <w:spacing w:after="0" w:line="200" w:lineRule="exact"/>
        <w:rPr>
          <w:sz w:val="20"/>
          <w:szCs w:val="20"/>
          <w:color w:val="auto"/>
        </w:rPr>
      </w:pPr>
    </w:p>
    <w:p>
      <w:pPr>
        <w:spacing w:after="0" w:line="29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Section 8. Rank. </w:t>
      </w:r>
      <w:r>
        <w:rPr>
          <w:rFonts w:ascii="Arial" w:cs="Arial" w:eastAsia="Arial" w:hAnsi="Arial"/>
          <w:sz w:val="18"/>
          <w:szCs w:val="18"/>
          <w:color w:val="auto"/>
        </w:rPr>
        <w:t>The Series E Preferred Stock shall rank, with respect to the payment of dividends and the distribution of assets, junior to all series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class of the Company’s Preferred Stock and shall rank senior to the Common Stock as to such matters.</w:t>
      </w:r>
    </w:p>
    <w:p>
      <w:pPr>
        <w:spacing w:after="0" w:line="200" w:lineRule="exact"/>
        <w:rPr>
          <w:sz w:val="20"/>
          <w:szCs w:val="20"/>
          <w:color w:val="auto"/>
        </w:rPr>
      </w:pPr>
    </w:p>
    <w:p>
      <w:pPr>
        <w:spacing w:after="0" w:line="23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Section 9. Amendment. </w:t>
      </w:r>
      <w:r>
        <w:rPr>
          <w:rFonts w:ascii="Arial" w:cs="Arial" w:eastAsia="Arial" w:hAnsi="Arial"/>
          <w:sz w:val="18"/>
          <w:szCs w:val="18"/>
          <w:color w:val="auto"/>
        </w:rPr>
        <w:t>The Articles shall not be amended in any manner which would materially alter or change the powers, preferences, or special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Series E Preferred Stock so as to affect them adversely without the affirmative vote of the holders of at least a majority of the outstanding shares of Series E Preferred Stock, voting together as a single class.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105" w:name="page106"/>
    <w:bookmarkEnd w:id="105"/>
    <w:p>
      <w:pPr>
        <w:jc w:val="center"/>
        <w:ind w:right="-199"/>
        <w:spacing w:after="0"/>
        <w:rPr>
          <w:sz w:val="20"/>
          <w:szCs w:val="20"/>
          <w:color w:val="auto"/>
        </w:rPr>
      </w:pPr>
      <w:r>
        <w:rPr>
          <w:rFonts w:ascii="Arial" w:cs="Arial" w:eastAsia="Arial" w:hAnsi="Arial"/>
          <w:sz w:val="18"/>
          <w:szCs w:val="18"/>
          <w:b w:val="1"/>
          <w:bCs w:val="1"/>
          <w:color w:val="auto"/>
        </w:rPr>
        <w:t>ARTICLES OF AMENDMENT</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Cumulative Perpetual Preferred Stock, Series D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200" w:lineRule="exact"/>
        <w:rPr>
          <w:sz w:val="20"/>
          <w:szCs w:val="20"/>
          <w:color w:val="auto"/>
        </w:rPr>
      </w:pPr>
    </w:p>
    <w:p>
      <w:pPr>
        <w:spacing w:after="0" w:line="2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 United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Banks, Inc. this 22nd day of February, 2011.</w:t>
      </w:r>
    </w:p>
    <w:p>
      <w:pPr>
        <w:spacing w:after="0" w:line="376" w:lineRule="exact"/>
        <w:rPr>
          <w:sz w:val="20"/>
          <w:szCs w:val="20"/>
          <w:color w:val="auto"/>
        </w:rPr>
      </w:pPr>
    </w:p>
    <w:p>
      <w:pPr>
        <w:ind w:left="5160"/>
        <w:spacing w:after="0" w:line="207" w:lineRule="exact"/>
        <w:rPr>
          <w:sz w:val="20"/>
          <w:szCs w:val="20"/>
          <w:color w:val="auto"/>
        </w:rPr>
      </w:pPr>
      <w:r>
        <w:rPr>
          <w:rFonts w:ascii="Arial" w:cs="Arial" w:eastAsia="Arial" w:hAnsi="Arial"/>
          <w:sz w:val="18"/>
          <w:szCs w:val="18"/>
          <w:b w:val="1"/>
          <w:bCs w:val="1"/>
          <w:color w:val="auto"/>
        </w:rPr>
        <w:t>UNITED COMMUNITY BANKS, INC.</w:t>
      </w:r>
      <w:r>
        <w:rPr>
          <w:rFonts w:ascii="MS PGothic" w:cs="MS PGothic" w:eastAsia="MS PGothic" w:hAnsi="MS PGothic"/>
          <w:sz w:val="18"/>
          <w:szCs w:val="18"/>
          <w:color w:val="auto"/>
        </w:rPr>
        <w:t> </w:t>
      </w:r>
    </w:p>
    <w:p>
      <w:pPr>
        <w:spacing w:after="0" w:line="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Rex S. Schuette</w:t>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Name:Rex S. Schuette</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Executive Vice President and Chief Financial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99"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PERPETUAL PREFERRED STOCK, SERIES 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Pursuant to the authority vested in the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by the Restated Articles of Incorporation of United Community Banks,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as amended (the “</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the Board of Directors does hereby designate, create, authorize and provide for the issue of a series of preferred stock, which shall be designated as Cumulative Perpetual Preferred Stock, Series D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consisting of 25,000 shares having the following powers, preferences, participation and other special rights, qualifications, limitations, restrictions and other designations:</w:t>
      </w:r>
    </w:p>
    <w:p>
      <w:pPr>
        <w:spacing w:after="0" w:line="200" w:lineRule="exact"/>
        <w:rPr>
          <w:sz w:val="20"/>
          <w:szCs w:val="20"/>
          <w:color w:val="auto"/>
        </w:rPr>
      </w:pPr>
    </w:p>
    <w:p>
      <w:pPr>
        <w:spacing w:after="0" w:line="2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Matters</w:t>
      </w:r>
      <w:r>
        <w:rPr>
          <w:rFonts w:ascii="Arial" w:cs="Arial" w:eastAsia="Arial" w:hAnsi="Arial"/>
          <w:sz w:val="16"/>
          <w:szCs w:val="16"/>
          <w:color w:val="auto"/>
        </w:rPr>
        <w:t>. Each share of the Series D Preferred Stock shall be identical in all respects to every other share of the Series D Preferred Stock. The Series D Preferred Stock shall be perpetual, subject to the provisions of Section 5 of this Certificate of Designation. The Series D Preferred Stock shall rank at least equally with all Parity Stock outstanding as of the date hereof (except for any senior series that may be issued following the date hereof with the requisite consent of the holders of the Series D Preferred Stock and any other class or series whose vote is required) and shall rank senior to Junior Stock with respect to the payment of dividends and the distribution of assets in the event of liquidation, dissolution or winding up of the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8"/>
        <w:spacing w:after="0" w:line="297" w:lineRule="auto"/>
        <w:tabs>
          <w:tab w:leader="none" w:pos="2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Dividend Rate</w:t>
      </w:r>
      <w:r>
        <w:rPr>
          <w:rFonts w:ascii="Arial" w:cs="Arial" w:eastAsia="Arial" w:hAnsi="Arial"/>
          <w:sz w:val="16"/>
          <w:szCs w:val="16"/>
          <w:color w:val="auto"/>
        </w:rPr>
        <w:t xml:space="preserve">” means a rate per annum equal to (i) the sum of 10.00%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three-month United States Dollar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as announced and published on February 22, 2011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most recently published LIBOR, as announced and published from time to time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in effect on the last day of the month preceding the applicable Dividend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initial Applicable Dividend Rate shall be 10.00% and shall continue in effect until May 15, 2011. In the event that more than one LIBOR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as of the last day of the month preceding any Dividend Period, the highest LIBOR published will be used.</w:t>
      </w: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set forth in the preamble.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180" w:firstLine="8"/>
        <w:spacing w:after="0" w:line="277"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as they may be further amended from time to time.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700" w:firstLine="8"/>
        <w:spacing w:after="0" w:line="277"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means this Certificate of Designation or comparable instrument relating to the Series D Preferred Stock, as it may be amended from time to time.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40" w:hanging="232"/>
        <w:spacing w:after="0"/>
        <w:tabs>
          <w:tab w:leader="none" w:pos="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of the issuances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7" w:name="page108"/>
    <w:bookmarkEnd w:id="107"/>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20" w:hanging="212"/>
        <w:spacing w:after="0"/>
        <w:tabs>
          <w:tab w:leader="none" w:pos="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120" w:firstLine="8"/>
        <w:spacing w:after="0" w:line="308" w:lineRule="auto"/>
        <w:tabs>
          <w:tab w:leader="none" w:pos="21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means Common Stock and any other class or series of stock of the Corporation the terms of which expressly provide that it ranks junior to the Series D Preferred Stock as to dividend rights and/or as to rights on liquidation, dissolution or winding up of the Corporation.</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the Series D Preferred Stock.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0" w:firstLine="8"/>
        <w:spacing w:after="0" w:line="286" w:lineRule="auto"/>
        <w:tabs>
          <w:tab w:leader="none" w:pos="25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means any class of capital stock or series of stock of the Corporation (other than the Series D Preferred Stock) the terms of which expressly provide that such class or series will rank on senior or junior to the Series D Preferred Stock as to dividend rights and/or as to rights upon the liquidation, dissolution or winding up of the Corporation (in each case without regard to whether dividends accrue cumulatively or non-cumulatively).</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any and all series of preferred stock of the Corporation, including the Series D Preferred Stock.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8"/>
        <w:spacing w:after="0" w:line="269" w:lineRule="auto"/>
        <w:tabs>
          <w:tab w:leader="none" w:pos="24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 Holders of the Series D Preferred Stock shall be entitled to receive, on each share of the Series D Preferred Stock if, as and when declared by the Board of Directors or any duly authorized committee of the Board of Directors, but only out of assets legally available therefor, cumulative cash dividends with respect to each Dividend Period (as defined below) at the Applicable Dividend Rate on (i) the Liquidation Amount per share of the Series D Preferred Stock and (ii) the amount of accrued and unpaid dividends for any prior Dividend Period on such share of the Series D Preferred Stock, if any. Dividends shall begin to accrue and be cumulative from the Closing Date and shall compound on each subsequent Dividend Payment Date (</w:t>
      </w:r>
      <w:r>
        <w:rPr>
          <w:rFonts w:ascii="Arial" w:cs="Arial" w:eastAsia="Arial" w:hAnsi="Arial"/>
          <w:sz w:val="17"/>
          <w:szCs w:val="17"/>
          <w:i w:val="1"/>
          <w:iCs w:val="1"/>
          <w:color w:val="auto"/>
        </w:rPr>
        <w:t>i.e.</w:t>
      </w:r>
      <w:r>
        <w:rPr>
          <w:rFonts w:ascii="Arial" w:cs="Arial" w:eastAsia="Arial" w:hAnsi="Arial"/>
          <w:sz w:val="17"/>
          <w:szCs w:val="17"/>
          <w:color w:val="auto"/>
        </w:rPr>
        <w:t>, no dividends shall accrue on other dividends unless and until the first Dividend Payment Date for such other dividends has passed without such other dividends having been paid on such date), in each case whether or not declared, and shall be payable quarterly in arrears on each Dividend Payment Date, commencing May 15, 2011.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7"/>
          <w:szCs w:val="17"/>
          <w:u w:val="single" w:color="auto"/>
          <w:color w:val="auto"/>
        </w:rPr>
        <w:t>Dividend Period</w:t>
      </w:r>
      <w:r>
        <w:rPr>
          <w:rFonts w:ascii="Arial" w:cs="Arial" w:eastAsia="Arial" w:hAnsi="Arial"/>
          <w:sz w:val="17"/>
          <w:szCs w:val="17"/>
          <w:color w:val="auto"/>
        </w:rPr>
        <w:t>,” provided that the initial Dividend Period shall be the period from and including the Closing Date to, but excluding, May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8" w:name="page109"/>
    <w:bookmarkEnd w:id="108"/>
    <w:p>
      <w:pPr>
        <w:jc w:val="both"/>
        <w:ind w:right="60"/>
        <w:spacing w:after="0" w:line="312" w:lineRule="auto"/>
        <w:rPr>
          <w:sz w:val="20"/>
          <w:szCs w:val="20"/>
          <w:color w:val="auto"/>
        </w:rPr>
      </w:pPr>
      <w:r>
        <w:rPr>
          <w:rFonts w:ascii="Arial" w:cs="Arial" w:eastAsia="Arial" w:hAnsi="Arial"/>
          <w:sz w:val="16"/>
          <w:szCs w:val="16"/>
          <w:color w:val="auto"/>
        </w:rPr>
        <w:t>Dividends that are payable on the Series D Preferred Stock in respect of any Dividend Period shall be computed on the basis of a 360-day year consisting of twelve 30-day months. The amount of dividends payable on the Series D Preferred Stock on any date prior to the end of a Dividend Period, and for the initial Dividend Period, shall be computed on the basis of a 360-day year consisting of twelve 30-day months, and actual days elapsed over a 30-day month.</w:t>
      </w:r>
    </w:p>
    <w:p>
      <w:pPr>
        <w:spacing w:after="0" w:line="200" w:lineRule="exact"/>
        <w:rPr>
          <w:sz w:val="20"/>
          <w:szCs w:val="20"/>
          <w:color w:val="auto"/>
        </w:rPr>
      </w:pPr>
    </w:p>
    <w:p>
      <w:pPr>
        <w:spacing w:after="0" w:line="2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Dividends that are payable on the Series D Preferred Stock on any Dividend Payment Date will be payable to holders of record of the Series D Preferred Stock as they appear on the stock register of the Corporation on the applicable record date, which shall be the 15th calendar day immediately preceding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200" w:lineRule="exact"/>
        <w:rPr>
          <w:sz w:val="20"/>
          <w:szCs w:val="20"/>
          <w:color w:val="auto"/>
        </w:rPr>
      </w:pPr>
    </w:p>
    <w:p>
      <w:pPr>
        <w:spacing w:after="0" w:line="25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Holders of the Series D Preferred Stock shall not be entitled to any dividends, whether payable in cash, securities or other property, other than dividends (if any) declared and payable on the Series D Preferred Stock as specified in this Section 3 (subject to the other provisions of this Certificate of Designation).</w:t>
      </w:r>
    </w:p>
    <w:p>
      <w:pPr>
        <w:spacing w:after="0" w:line="394" w:lineRule="exact"/>
        <w:rPr>
          <w:sz w:val="20"/>
          <w:szCs w:val="20"/>
          <w:color w:val="auto"/>
        </w:rPr>
      </w:pPr>
    </w:p>
    <w:p>
      <w:pPr>
        <w:ind w:firstLine="8"/>
        <w:spacing w:after="0" w:line="284" w:lineRule="auto"/>
        <w:tabs>
          <w:tab w:leader="none" w:pos="25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the Series D Preferred Stock remains outstanding, no dividend or distribution shall be declared or paid on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the Series D Preferred Stock have been or are contemporaneously declared and paid in full (or have been declared and a sum sufficient for the payment thereof has been set aside for the benefit of the holders of shares of the Series 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Closing Date or any subsequent agreement for the accelerated exercise, settlement or exchange thereof for Common Stock. “</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Closing Date) resulting from the grant, vesting or exercise of equity-based compensation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550545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employees and equitably adjusted for any stock split, stock dividend, reverse stock split, reclassification or similar transaction.</w:t>
      </w:r>
    </w:p>
    <w:p>
      <w:pPr>
        <w:spacing w:after="0" w:line="200" w:lineRule="exact"/>
        <w:rPr>
          <w:sz w:val="20"/>
          <w:szCs w:val="20"/>
          <w:color w:val="auto"/>
        </w:rPr>
      </w:pPr>
    </w:p>
    <w:p>
      <w:pPr>
        <w:spacing w:after="0" w:line="29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the Series D Preferred Stock and any shares of Parity Stock, all dividends declared on the Series D Preferred Stock and/or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the Series 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w:t>
      </w:r>
    </w:p>
    <w:p>
      <w:pPr>
        <w:spacing w:after="0" w:line="200" w:lineRule="exact"/>
        <w:rPr>
          <w:sz w:val="20"/>
          <w:szCs w:val="20"/>
          <w:color w:val="auto"/>
        </w:rPr>
      </w:pPr>
    </w:p>
    <w:p>
      <w:pPr>
        <w:spacing w:after="0" w:line="2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D Preferred Stock shall not be entitled to participate in any such dividends.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60" w:firstLine="8"/>
        <w:spacing w:after="0" w:line="272" w:lineRule="auto"/>
        <w:tabs>
          <w:tab w:leader="none" w:pos="245"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 voluntary or involuntary, holders of the Series D Preferred Stock shall be entitled to receive for each share of the Series 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the Series 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jc w:val="both"/>
        <w:ind w:right="40" w:firstLine="8"/>
        <w:spacing w:after="0" w:line="279" w:lineRule="auto"/>
        <w:tabs>
          <w:tab w:leader="none" w:pos="255"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Partial Payment</w:t>
      </w:r>
      <w:r>
        <w:rPr>
          <w:rFonts w:ascii="Arial" w:cs="Arial" w:eastAsia="Arial" w:hAnsi="Arial"/>
          <w:sz w:val="17"/>
          <w:szCs w:val="17"/>
          <w:color w:val="auto"/>
        </w:rPr>
        <w:t>. If in any distribution described in Section 4(a) above the assets of the Corporation or proceeds thereof are not sufficient to pay in full the amounts payable with respect to all outstanding shares of the Series D Preferred Stock and the corresponding amounts payable with respect of any other stock of the Corporation ranking equally with the Series D Preferred Stock as to such distribution, holders of the Series D Preferred Stock and the holders of such other stock shall share ratably in any such distribution in proportion to the full respective distributions to which they are entitled.</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right="300" w:firstLine="8"/>
        <w:spacing w:after="0" w:line="342" w:lineRule="auto"/>
        <w:tabs>
          <w:tab w:leader="none" w:pos="24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Residual Distributions</w:t>
      </w:r>
      <w:r>
        <w:rPr>
          <w:rFonts w:ascii="Arial" w:cs="Arial" w:eastAsia="Arial" w:hAnsi="Arial"/>
          <w:sz w:val="16"/>
          <w:szCs w:val="16"/>
          <w:color w:val="auto"/>
        </w:rPr>
        <w:t>. If the Liquidation Preference has been paid in full to all holders of the Series D Preferred Stock and the corresponding amounts payable with respect of any other stock of the Corporation ranking equally with the Series D Preferred Stock as to such distribution has been paid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10" w:name="page111"/>
    <w:bookmarkEnd w:id="110"/>
    <w:p>
      <w:pPr>
        <w:ind w:right="180"/>
        <w:spacing w:after="0" w:line="277" w:lineRule="auto"/>
        <w:rPr>
          <w:sz w:val="20"/>
          <w:szCs w:val="20"/>
          <w:color w:val="auto"/>
        </w:rPr>
      </w:pPr>
      <w:r>
        <w:rPr>
          <w:rFonts w:ascii="Arial" w:cs="Arial" w:eastAsia="Arial" w:hAnsi="Arial"/>
          <w:sz w:val="18"/>
          <w:szCs w:val="18"/>
          <w:color w:val="auto"/>
        </w:rPr>
        <w:t>full, the holders of other stock of the Corporation shall be entitled to receive all remaining assets of the Corporation (or proceeds thereof) according to their respective rights and preferences.</w:t>
      </w:r>
    </w:p>
    <w:p>
      <w:pPr>
        <w:spacing w:after="0" w:line="200" w:lineRule="exact"/>
        <w:rPr>
          <w:sz w:val="20"/>
          <w:szCs w:val="20"/>
          <w:color w:val="auto"/>
        </w:rPr>
      </w:pPr>
    </w:p>
    <w:p>
      <w:pPr>
        <w:spacing w:after="0" w:line="241" w:lineRule="exact"/>
        <w:rPr>
          <w:sz w:val="20"/>
          <w:szCs w:val="20"/>
          <w:color w:val="auto"/>
        </w:rPr>
      </w:pPr>
    </w:p>
    <w:p>
      <w:pPr>
        <w:ind w:right="80" w:firstLine="8"/>
        <w:spacing w:after="0" w:line="273" w:lineRule="auto"/>
        <w:tabs>
          <w:tab w:leader="none" w:pos="255"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For purposes of this Section 4, the merger or consolidation of the Corporation with any other corporation or other entity, including a merger or consolidation in which the holders of the Series 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 but only to the extent that the holders of the Series D Preferred Stock receive in such transaction an amount equal to at least the sum of (i) the Liquidation Amount per share and (ii) except as otherwise provided below, any accrued and unpaid dividends (including, if applicable as provided in Section 3(a) above, dividends on such amount).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8"/>
        <w:spacing w:after="0" w:line="286" w:lineRule="auto"/>
        <w:tabs>
          <w:tab w:leader="none" w:pos="24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Series D Preferred Stock may not be redeemed prior to either (i) the third anniversary of the Closing Date or (ii) September 30, 2014, as determined by the Board of Directors in its sole discretion (the “</w:t>
      </w:r>
      <w:r>
        <w:rPr>
          <w:rFonts w:ascii="Arial" w:cs="Arial" w:eastAsia="Arial" w:hAnsi="Arial"/>
          <w:sz w:val="16"/>
          <w:szCs w:val="16"/>
          <w:u w:val="single" w:color="auto"/>
          <w:color w:val="auto"/>
        </w:rPr>
        <w:t>Optional Redemption Date</w:t>
      </w:r>
      <w:r>
        <w:rPr>
          <w:rFonts w:ascii="Arial" w:cs="Arial" w:eastAsia="Arial" w:hAnsi="Arial"/>
          <w:sz w:val="16"/>
          <w:szCs w:val="16"/>
          <w:color w:val="auto"/>
        </w:rPr>
        <w:t>”). On or after the Optional Redemption Date, the Corporation, at its option may redeem, in whole but not in part, at any time, out of funds legally available therefor, shares of the Series D Preferred Stock at the time outstanding, upon notice given as provided in Section 5(c) below, at a redemption price equal to the sum of (i) the Liquidation Amount per share and</w:t>
      </w:r>
    </w:p>
    <w:p>
      <w:pPr>
        <w:spacing w:after="0" w:line="1" w:lineRule="exact"/>
        <w:rPr>
          <w:rFonts w:ascii="Arial" w:cs="Arial" w:eastAsia="Arial" w:hAnsi="Arial"/>
          <w:sz w:val="16"/>
          <w:szCs w:val="16"/>
          <w:color w:val="auto"/>
        </w:rPr>
      </w:pPr>
    </w:p>
    <w:p>
      <w:pPr>
        <w:ind w:right="380" w:firstLine="8"/>
        <w:spacing w:after="0" w:line="261" w:lineRule="auto"/>
        <w:tabs>
          <w:tab w:leader="none" w:pos="2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otherwise provided below, any accrued and unpaid dividends (including, if applicable as provided in Section 3(a) above, dividends on such amount) (regardless of whether dividends are actually declared) to, but excluding, the date fixed for redemption.</w:t>
      </w:r>
    </w:p>
    <w:p>
      <w:pPr>
        <w:spacing w:after="0" w:line="200" w:lineRule="exact"/>
        <w:rPr>
          <w:sz w:val="20"/>
          <w:szCs w:val="20"/>
          <w:color w:val="auto"/>
        </w:rPr>
      </w:pPr>
    </w:p>
    <w:p>
      <w:pPr>
        <w:spacing w:after="0" w:line="2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redemption price for any shares of the Series D Preferred Stock shall be payable on the redemption date to the holder of such shares against surrender of the certificate(s) evidencing such shares to the Corporation or its agent, or for uncertificated shares that are issued in book-entry form on the books of the Corporation, against surrender on the books of the Corporation in accordance with the Corporation’s applicable direct registration system.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200" w:lineRule="exact"/>
        <w:rPr>
          <w:sz w:val="20"/>
          <w:szCs w:val="20"/>
          <w:color w:val="auto"/>
        </w:rPr>
      </w:pPr>
    </w:p>
    <w:p>
      <w:pPr>
        <w:spacing w:after="0" w:line="249" w:lineRule="exact"/>
        <w:rPr>
          <w:sz w:val="20"/>
          <w:szCs w:val="20"/>
          <w:color w:val="auto"/>
        </w:rPr>
      </w:pPr>
    </w:p>
    <w:p>
      <w:pPr>
        <w:ind w:right="80" w:firstLine="8"/>
        <w:spacing w:after="0" w:line="277"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D Preferred Stock will not be subject to any mandatory redemption, sinking fund or other similar provisions. Holders of the Series D Preferred Stock will have no right to require redemption or repurchase of any shares of the Series D Preferred Stock.</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8"/>
        <w:spacing w:after="0" w:line="290"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 of every redemption of shares of the Series 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the Series D Preferred Stock designated for redemption shall not affect the validity of the proceedings for the redemption of any other shares of the Series D Preferred Stock. Notwithstanding the foregoing, if shares of the Series D Preferred Stock are issued in book-entry form through The Depository Trust Company or any other similar facility, notice of redemption may be given to the holders of the Series D Preferred Stock at such time and in any manner permitted by such facility. Each notice of redemption given to a holder shall state: (1) the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11" w:name="page112"/>
    <w:bookmarkEnd w:id="111"/>
    <w:p>
      <w:pPr>
        <w:ind w:right="120"/>
        <w:spacing w:after="0" w:line="277" w:lineRule="auto"/>
        <w:rPr>
          <w:sz w:val="20"/>
          <w:szCs w:val="20"/>
          <w:color w:val="auto"/>
        </w:rPr>
      </w:pPr>
      <w:r>
        <w:rPr>
          <w:rFonts w:ascii="Arial" w:cs="Arial" w:eastAsia="Arial" w:hAnsi="Arial"/>
          <w:sz w:val="18"/>
          <w:szCs w:val="18"/>
          <w:color w:val="auto"/>
        </w:rPr>
        <w:t>date; (2) the number of shares of the Series D Preferred Stock to be redeemed; (3) the redemption price; and (4) the place or places where certificates for any such shares issued in certificated form are to be surrendered for payment of the redemption price.</w:t>
      </w:r>
    </w:p>
    <w:p>
      <w:pPr>
        <w:spacing w:after="0" w:line="200" w:lineRule="exact"/>
        <w:rPr>
          <w:sz w:val="20"/>
          <w:szCs w:val="20"/>
          <w:color w:val="auto"/>
        </w:rPr>
      </w:pPr>
    </w:p>
    <w:p>
      <w:pPr>
        <w:spacing w:after="0" w:line="241" w:lineRule="exact"/>
        <w:rPr>
          <w:sz w:val="20"/>
          <w:szCs w:val="20"/>
          <w:color w:val="auto"/>
        </w:rPr>
      </w:pPr>
    </w:p>
    <w:p>
      <w:pPr>
        <w:ind w:firstLine="8"/>
        <w:spacing w:after="0" w:line="253"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Effectiveness of Redemption</w:t>
      </w:r>
      <w:r>
        <w:rPr>
          <w:rFonts w:ascii="Arial" w:cs="Arial" w:eastAsia="Arial" w:hAnsi="Arial"/>
          <w:sz w:val="18"/>
          <w:szCs w:val="18"/>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benefit of the holders of the shares called for redemption, with a bank or trust company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20" w:firstLine="8"/>
        <w:spacing w:after="0" w:line="264" w:lineRule="auto"/>
        <w:tabs>
          <w:tab w:leader="none" w:pos="24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the Series D Preferred Stock that are redeemed, repurchased or otherwise acquired by the Corporation shall revert to authorized but unissued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cancelled shares of the Series D Preferred Stock may be reissued only as shares of any series of Preferred Stock other than the Series D Preferred Stock).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Conversion</w:t>
      </w:r>
      <w:r>
        <w:rPr>
          <w:rFonts w:ascii="Arial" w:cs="Arial" w:eastAsia="Arial" w:hAnsi="Arial"/>
          <w:sz w:val="17"/>
          <w:szCs w:val="17"/>
          <w:color w:val="auto"/>
        </w:rPr>
        <w:t>. Holders of the Series D Preferred Stock shares shall have no right to exchange or convert such shares into any other securities.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140" w:firstLine="8"/>
        <w:spacing w:after="0" w:line="264"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the Series D Preferred Stock shall not have any voting rights except as set forth below or as otherwise from time to time required by law. In exercising the voting rights set forth below, each holder shall be entitled to one vote for each share of the Series D Preferred Stock held by such holder.</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right="20" w:firstLine="8"/>
        <w:spacing w:after="0" w:line="259"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the Series D Preferred Stock are outstanding, in addition to any other vote or consent of stockholders required by law or by the Articles of Incorporation, the vote or consent of the holders of at least a majority of the shares of the Series D Preferred Stock at the time outstanding, voting as a separate class, given in person or by proxy, either in writing without a meeting or by vote at any meeting called for the purpose, shall be necessary for effecting or validating:</w:t>
      </w:r>
    </w:p>
    <w:p>
      <w:pPr>
        <w:spacing w:after="0" w:line="200" w:lineRule="exact"/>
        <w:rPr>
          <w:sz w:val="20"/>
          <w:szCs w:val="20"/>
          <w:color w:val="auto"/>
        </w:rPr>
      </w:pPr>
    </w:p>
    <w:p>
      <w:pPr>
        <w:spacing w:after="0" w:line="257" w:lineRule="exact"/>
        <w:rPr>
          <w:sz w:val="20"/>
          <w:szCs w:val="20"/>
          <w:color w:val="auto"/>
        </w:rPr>
      </w:pPr>
    </w:p>
    <w:p>
      <w:pPr>
        <w:ind w:right="80" w:firstLine="8"/>
        <w:spacing w:after="0" w:line="279" w:lineRule="auto"/>
        <w:tabs>
          <w:tab w:leader="none" w:pos="21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Authorization of Senior Stock</w:t>
      </w:r>
      <w:r>
        <w:rPr>
          <w:rFonts w:ascii="Arial" w:cs="Arial" w:eastAsia="Arial" w:hAnsi="Arial"/>
          <w:sz w:val="17"/>
          <w:szCs w:val="17"/>
          <w:color w:val="auto"/>
        </w:rPr>
        <w:t>. Any amendment or alteration of the Certificate of Designation for the Series D Preferred Stock or the Articles of Incorporation to authorize or create or increase the authorized amount of, or any issuance of, any shares of, or any securities convertible into or exchangeable or exercisable for shares of, any class or series of capital stock of the Corporation ranking senior to the Series D Preferred Stock with respect to either or both the payment of dividends and/or the distribution of assets on any liquidation, dissolution or winding up of the Corporation;</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right="380" w:firstLine="8"/>
        <w:spacing w:after="0" w:line="277" w:lineRule="auto"/>
        <w:tabs>
          <w:tab w:leader="none" w:pos="26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Amendment of the Series D Preferred Stock</w:t>
      </w:r>
      <w:r>
        <w:rPr>
          <w:rFonts w:ascii="Arial" w:cs="Arial" w:eastAsia="Arial" w:hAnsi="Arial"/>
          <w:sz w:val="18"/>
          <w:szCs w:val="18"/>
          <w:color w:val="auto"/>
        </w:rPr>
        <w:t>. Any amendment, alteration or repeal of any provision of the Certificate of Designations for the Series D Preferred Stock or the Articles of Incorporation (including, unless no vote on such merger or consolidation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2" w:name="page113"/>
    <w:bookmarkEnd w:id="112"/>
    <w:p>
      <w:pPr>
        <w:ind w:right="80"/>
        <w:spacing w:after="0" w:line="277" w:lineRule="auto"/>
        <w:rPr>
          <w:sz w:val="20"/>
          <w:szCs w:val="20"/>
          <w:color w:val="auto"/>
        </w:rPr>
      </w:pPr>
      <w:r>
        <w:rPr>
          <w:rFonts w:ascii="Arial" w:cs="Arial" w:eastAsia="Arial" w:hAnsi="Arial"/>
          <w:sz w:val="18"/>
          <w:szCs w:val="18"/>
          <w:color w:val="auto"/>
        </w:rPr>
        <w:t>by Section 7(b)(iii) below, any amendment, alteration or repeal by means of a merger, consolidation or otherwise) so as to materially and adversely affect the rights, preferences, privileges or voting powers of the Series D Preferred Stock; or</w:t>
      </w:r>
    </w:p>
    <w:p>
      <w:pPr>
        <w:spacing w:after="0" w:line="200" w:lineRule="exact"/>
        <w:rPr>
          <w:sz w:val="20"/>
          <w:szCs w:val="20"/>
          <w:color w:val="auto"/>
        </w:rPr>
      </w:pPr>
    </w:p>
    <w:p>
      <w:pPr>
        <w:spacing w:after="0" w:line="241" w:lineRule="exact"/>
        <w:rPr>
          <w:sz w:val="20"/>
          <w:szCs w:val="20"/>
          <w:color w:val="auto"/>
        </w:rPr>
      </w:pPr>
    </w:p>
    <w:p>
      <w:pPr>
        <w:ind w:firstLine="8"/>
        <w:spacing w:after="0" w:line="289" w:lineRule="auto"/>
        <w:tabs>
          <w:tab w:leader="none" w:pos="31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Any consummation of a binding share exchange or reclassification involving the Series D Preferred Stock, or of a merger or consolidation of the Corporation with another corporation or other entity, unless in each case (x) the shares of the Series D Preferred Stock remain outstanding (and there shall not have been any adverse effect to the rights, privileges, preferences or otherwise of such Series D Preferred Stock)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are securities in an issuer with a credit rating of at least as high a quality as the credit rating of the Corporation on the date immediately prior to the consummation of such transaction and further have such rights, preferences, privileges and voting powers, and limitations and restrictions thereof, taken as a whole, as are at least as favorable to the holders thereof than the rights, preferences, privileges and voting powers, and limitations and restrictions thereof, of the Series D Preferred Stock immediately prior to such consummation, taken as a whole;</w:t>
      </w:r>
    </w:p>
    <w:p>
      <w:pPr>
        <w:spacing w:after="0" w:line="200" w:lineRule="exact"/>
        <w:rPr>
          <w:sz w:val="20"/>
          <w:szCs w:val="20"/>
          <w:color w:val="auto"/>
        </w:rPr>
      </w:pPr>
    </w:p>
    <w:p>
      <w:pPr>
        <w:spacing w:after="0" w:line="23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for all purposes of this Section 7(b), any increase in the amount of the authorized Preferred Stock, or the creation and issuance, or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the Series 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Series D Preferred Stock.</w:t>
      </w:r>
    </w:p>
    <w:p>
      <w:pPr>
        <w:spacing w:after="0" w:line="200" w:lineRule="exact"/>
        <w:rPr>
          <w:sz w:val="20"/>
          <w:szCs w:val="20"/>
          <w:color w:val="auto"/>
        </w:rPr>
      </w:pPr>
    </w:p>
    <w:p>
      <w:pPr>
        <w:spacing w:after="0" w:line="249" w:lineRule="exact"/>
        <w:rPr>
          <w:sz w:val="20"/>
          <w:szCs w:val="20"/>
          <w:color w:val="auto"/>
        </w:rPr>
      </w:pPr>
    </w:p>
    <w:p>
      <w:pPr>
        <w:ind w:right="60" w:firstLine="8"/>
        <w:spacing w:after="0" w:line="259" w:lineRule="auto"/>
        <w:tabs>
          <w:tab w:leader="none" w:pos="24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the Series D Preferred Stock shall be required pursuant to Section 7(b) above if, at or prior to the time when any such vote or consent would otherwise be required pursuant to such Section, all outstanding shares of the Series D Preferred Stock shall have been redeemed, or shall have been called for redemption upon proper notice and sufficient funds shall have been deposited in trust for such redemption, in each case pursuant to Section 5 above.</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firstLine="8"/>
        <w:spacing w:after="0" w:line="255"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the Series 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Articles of Incorporation, the Bylaws, and applicable law and the rules of any national securities exchange or other trading facility on which the Series D Preferred Stock is listed or traded at the time.</w:t>
      </w:r>
    </w:p>
    <w:p>
      <w:pPr>
        <w:spacing w:after="0" w:line="200" w:lineRule="exact"/>
        <w:rPr>
          <w:sz w:val="20"/>
          <w:szCs w:val="20"/>
          <w:color w:val="auto"/>
        </w:rPr>
      </w:pPr>
    </w:p>
    <w:p>
      <w:pPr>
        <w:spacing w:after="0" w:line="26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Corporation and the transfer agent for the Series D Preferred Stock may deem and treat the record holder of any share of the Series D Preferred Stock as the true and lawful owner thereof for all purposes, and neither the Corporation nor such transfer agent shall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13" w:name="page114"/>
    <w:bookmarkEnd w:id="113"/>
    <w:p>
      <w:pPr>
        <w:spacing w:after="0" w:line="27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communications in respect of the Series D Preferred Stock shall be sufficiently given if given in writing and delivered in person or by first class mail, postage prepaid, or recognized courier service, if given by electronic mail or if given in such other manner as may be permitted in this Certificate of Designations, in the Articles of Incorporation or Bylaws or by applicable law. Notwithstanding the foregoing, if shares of the Series D Preferred Stock are issued in book-entry form through The Depository Trust Corporation or any similar facility, such notices may be given to the holders of the Series D Preferred Stock in any manner permitted by such facility.</w:t>
      </w:r>
    </w:p>
    <w:p>
      <w:pPr>
        <w:spacing w:after="0" w:line="200" w:lineRule="exact"/>
        <w:rPr>
          <w:sz w:val="20"/>
          <w:szCs w:val="20"/>
          <w:color w:val="auto"/>
        </w:rPr>
      </w:pPr>
    </w:p>
    <w:p>
      <w:pPr>
        <w:spacing w:after="0" w:line="24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the Series 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200" w:lineRule="exact"/>
        <w:rPr>
          <w:sz w:val="20"/>
          <w:szCs w:val="20"/>
          <w:color w:val="auto"/>
        </w:rPr>
      </w:pPr>
    </w:p>
    <w:p>
      <w:pPr>
        <w:spacing w:after="0" w:line="2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200" w:lineRule="exact"/>
        <w:rPr>
          <w:sz w:val="20"/>
          <w:szCs w:val="20"/>
          <w:color w:val="auto"/>
        </w:rPr>
      </w:pPr>
    </w:p>
    <w:p>
      <w:pPr>
        <w:spacing w:after="0" w:line="257"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the Series D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60" w:right="399" w:bottom="1440" w:gutter="0" w:footer="0" w:header="0"/>
        </w:sectPr>
      </w:pPr>
    </w:p>
    <w:bookmarkStart w:id="114" w:name="page115"/>
    <w:bookmarkEnd w:id="114"/>
    <w:p>
      <w:pPr>
        <w:jc w:val="center"/>
        <w:ind w:right="-99"/>
        <w:spacing w:after="0"/>
        <w:rPr>
          <w:sz w:val="20"/>
          <w:szCs w:val="20"/>
          <w:color w:val="auto"/>
        </w:rPr>
      </w:pPr>
      <w:r>
        <w:rPr>
          <w:rFonts w:ascii="Arial" w:cs="Arial" w:eastAsia="Arial" w:hAnsi="Arial"/>
          <w:sz w:val="18"/>
          <w:szCs w:val="18"/>
          <w:b w:val="1"/>
          <w:bCs w:val="1"/>
          <w:color w:val="auto"/>
        </w:rPr>
        <w:t>CERTIFICATE OF RIGHTS AND PREFERENCES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SERIES C CONVERTIBLE PREFERRED STOCK</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COMMUNITY BANKS, INC.</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1, 2010</w:t>
      </w:r>
    </w:p>
    <w:p>
      <w:pPr>
        <w:spacing w:after="0" w:line="200" w:lineRule="exact"/>
        <w:rPr>
          <w:sz w:val="20"/>
          <w:szCs w:val="20"/>
          <w:color w:val="auto"/>
        </w:rPr>
      </w:pPr>
    </w:p>
    <w:p>
      <w:pPr>
        <w:spacing w:after="0" w:line="29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Pursuant to Section 14-2-602 of the Georgia Business Corporation Code and Article V of the Restated Articles of Incorporation, as amended, of United Community Banks, Inc., a corporation organized and existing under the laws of the State of Georgia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the following resolution was duly adopted by the Board of Directors of the Company effective as of March 26, 2010 pursuant to authority conferred upon the Board of Directors by the Restated Articles of Incorporation of the Company, as amended, which authorize the issuance of up to Ten Million (10,000,000) shares of preferred stock, par value $1.00 per share.</w:t>
      </w:r>
    </w:p>
    <w:p>
      <w:pPr>
        <w:spacing w:after="0" w:line="200" w:lineRule="exact"/>
        <w:rPr>
          <w:sz w:val="20"/>
          <w:szCs w:val="20"/>
          <w:color w:val="auto"/>
        </w:rPr>
      </w:pPr>
    </w:p>
    <w:p>
      <w:pPr>
        <w:spacing w:after="0" w:line="2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RESOLVED, that pursuant to authority expressly granted to and vested in the Board of Directors of the Company and pursuant to the provisions of the Articles of Incorporation, the Board of Directors hereby creates a series of preferred stock, herein designated and authorized as the Series C Convertible Preferred Stock, par value $1.00 per share, which shall consist of Sixty-Five Thousand (65,000) of the shares of preferred stock which the Company now has authority to issue, and the Board of Directors hereby fixes the powers, designations and preferences and the relative, participating, optional and other special rights of the shares of such series, and the qualifications, limitations and restrictions thereof as follows:</w:t>
      </w:r>
    </w:p>
    <w:p>
      <w:pPr>
        <w:spacing w:after="0" w:line="200" w:lineRule="exact"/>
        <w:rPr>
          <w:sz w:val="20"/>
          <w:szCs w:val="20"/>
          <w:color w:val="auto"/>
        </w:rPr>
      </w:pPr>
    </w:p>
    <w:p>
      <w:pPr>
        <w:spacing w:after="0" w:line="243" w:lineRule="exact"/>
        <w:rPr>
          <w:sz w:val="20"/>
          <w:szCs w:val="20"/>
          <w:color w:val="auto"/>
        </w:rPr>
      </w:pPr>
    </w:p>
    <w:p>
      <w:pPr>
        <w:ind w:right="360" w:firstLine="8"/>
        <w:spacing w:after="0" w:line="277"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number of shares constituting the Series C Convertible Preferred Stock shall be Sixty-Five Thousand (65,000), all of which are issuable solely under the Agreement.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otherwise requires, when used herein the following terms shall have the meaning indicated.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the Securities Purchase Agreement dated as of April 1, 2010, by and between the Company and Fletcher pursuant to which Sixty-Five Thousand (65,000) shares of Series C Preferred Stock and a warrant are to be issued by the Company, including all schedules, annexes and exhibits thereto, and as such agreement may be amended from time to time.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Company, as amended.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99" w:right="339" w:bottom="1440" w:gutter="0" w:footer="0" w:header="0"/>
        </w:sectPr>
      </w:pPr>
    </w:p>
    <w:bookmarkStart w:id="115" w:name="page116"/>
    <w:bookmarkEnd w:id="115"/>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Common Stock may be traded on the Nasdaq, or if not admitted for trading on the Nasdaq, on any day other than a Saturday, Sunday or holiday on which banks in New York City are required or permitted to be closed.</w:t>
      </w:r>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with respect to any Person that is a corporation, any and all shares, interests, participations or other equivalents (however designated) of capital or capital stock of such Person and (ii) with respect to any Person that is not a corporation, any and all partnership, limited partnership, limited liability company or other equity interests of such Person.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Rights and Preference</w:t>
      </w:r>
      <w:r>
        <w:rPr>
          <w:rFonts w:ascii="Arial" w:cs="Arial" w:eastAsia="Arial" w:hAnsi="Arial"/>
          <w:sz w:val="18"/>
          <w:szCs w:val="18"/>
          <w:color w:val="auto"/>
        </w:rPr>
        <w:t>s” means this Certificate of Rights and Preferences of the Series C Preferred Stock.</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 Junior Preferred Stock</w:t>
      </w:r>
      <w:r>
        <w:rPr>
          <w:rFonts w:ascii="Arial" w:cs="Arial" w:eastAsia="Arial" w:hAnsi="Arial"/>
          <w:sz w:val="18"/>
          <w:szCs w:val="18"/>
          <w:color w:val="auto"/>
        </w:rPr>
        <w:t>” means the Company’s Common Stock Equivalent Junior Preferred Stock, par value $1.00 per share, issuable pursuant to Section 6 of the Agreement, and any Capital Stock for or into which such Common Stock Equivalent Junior Preferred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200" w:lineRule="exact"/>
        <w:rPr>
          <w:sz w:val="20"/>
          <w:szCs w:val="20"/>
          <w:color w:val="auto"/>
        </w:rPr>
      </w:pP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$1.00 per share, and any Capital Stock for or into which such common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200" w:lineRule="exact"/>
        <w:rPr>
          <w:sz w:val="20"/>
          <w:szCs w:val="20"/>
          <w:color w:val="auto"/>
        </w:rPr>
      </w:pPr>
    </w:p>
    <w:p>
      <w:pPr>
        <w:spacing w:after="0" w:line="2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United Community Banks, Inc., a Georgia corporation (or any Acquiring Person from and after the consummation of a Change of Control).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Six Dollars and Two Cents ($6.02), subject to adjustment as set forth herein.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Market Price</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Rate</w:t>
      </w:r>
      <w:r>
        <w:rPr>
          <w:rFonts w:ascii="Arial" w:cs="Arial" w:eastAsia="Arial" w:hAnsi="Arial"/>
          <w:sz w:val="17"/>
          <w:szCs w:val="17"/>
          <w:color w:val="auto"/>
        </w:rPr>
        <w:t xml:space="preserve">” means (i) prior to receipt of the Stockholder Consent, a rate equal to One Thousand Dollars ($1,000) per share multiplied by the lesser of (a) twelve percent (12%) per annum and (b) the sum of the three (3)-month London Interbank Offer Rate (LIBOR) determined as of the first day of the Dividend Period (or if the first day of the Dividend Period is not a Business Day, then the first Business Day after the first day of the Dividend Period) plus eight percent (8%) per annum,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(ii) after receipt of the Stockholder Consent, a rate equal to One Thousand Dollars ($1,000) per share multiplied by the lesser of (a) eight percent (8%) per annum and (b) the sum of the three (3)-month London Interbank Offer Rate (LIBOR) determined as of the first day of the Dividend Period (or if the first day of the Dividend Period is not a Business Day, then the first Business Day after the first day of the Dividend Period) plus four percent (4%) per annum,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Fletcher</w:t>
      </w:r>
      <w:r>
        <w:rPr>
          <w:rFonts w:ascii="Arial" w:cs="Arial" w:eastAsia="Arial" w:hAnsi="Arial"/>
          <w:sz w:val="18"/>
          <w:szCs w:val="18"/>
          <w:color w:val="auto"/>
        </w:rPr>
        <w:t>” means Fletcher International, Ltd. a company domiciled in Bermuda, together with its successors.</w:t>
      </w:r>
    </w:p>
    <w:p>
      <w:pPr>
        <w:spacing w:after="0" w:line="200" w:lineRule="exact"/>
        <w:rPr>
          <w:sz w:val="20"/>
          <w:szCs w:val="20"/>
          <w:color w:val="auto"/>
        </w:rPr>
      </w:pPr>
    </w:p>
    <w:p>
      <w:pPr>
        <w:spacing w:after="0" w:line="29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Fletcher and any one or more Persons to whom Fletcher sells, exchanges, transfers, assigns, gives, pledges, encumbers, hypothecates, alienates or distributes, whether directly or indirectly, any or all the Series C Preferred Stock or all or any portion of the right to purchase the Series C Preferred Stock under the Agreement.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Period</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 Date</w:t>
      </w:r>
      <w:r>
        <w:rPr>
          <w:rFonts w:ascii="Arial" w:cs="Arial" w:eastAsia="Arial" w:hAnsi="Arial"/>
          <w:sz w:val="17"/>
          <w:szCs w:val="17"/>
          <w:color w:val="auto"/>
        </w:rPr>
        <w:t>” means with respect to any shares of Series C Preferred Stock the original date of issuance of such shares of Series C Preferred Stock.</w:t>
      </w:r>
    </w:p>
    <w:p>
      <w:pPr>
        <w:spacing w:after="0" w:line="200" w:lineRule="exact"/>
        <w:rPr>
          <w:sz w:val="20"/>
          <w:szCs w:val="20"/>
          <w:color w:val="auto"/>
        </w:rPr>
      </w:pPr>
    </w:p>
    <w:p>
      <w:pPr>
        <w:spacing w:after="0" w:line="30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means Capital Stock that, with respect to dividends and distributions upon Liquidation, ranks junior to the Series C Preferred Stock, including but not limited to Common Stock, Common Stock Equivalent Junior Preferred Stock and any other class or series of Capital Stock issued by the Company or any Subsidiary of the Company on or after the date of the Agreement, but excluding any Parity Securities and Senior Securities issued (i) to Fletcher or its authorized assignees under the Agreement, (ii) with the approval of the Holders of a Majority of the Series C Preferred Stock or (iii) upon the conversion, redemption or exercise of securities described in clause (i) or (ii) in accordance with the terms thereof.</w:t>
      </w:r>
    </w:p>
    <w:p>
      <w:pPr>
        <w:spacing w:after="0" w:line="200" w:lineRule="exact"/>
        <w:rPr>
          <w:sz w:val="20"/>
          <w:szCs w:val="20"/>
          <w:color w:val="auto"/>
        </w:rPr>
      </w:pP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means the voluntary or involuntary liquidation, dissolution or winding up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consolidation, merger or share exchange shall not be deemed a Liquidation, nor shall a sale, assignment, conveyance, transfer, lease or other disposition by the Company of all or substantially all of its assets, which does not involve a distribution by the Company of cash or other property to the holders of Common Stock and Common Stock Equivalent Junior Preferred Stock, be deemed to be a Liquidation.</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the Series C Preferred Stock</w:t>
      </w:r>
      <w:r>
        <w:rPr>
          <w:rFonts w:ascii="Arial" w:cs="Arial" w:eastAsia="Arial" w:hAnsi="Arial"/>
          <w:sz w:val="18"/>
          <w:szCs w:val="18"/>
          <w:color w:val="auto"/>
        </w:rPr>
        <w:t>” means more than fifty percent (50%) of the then outstanding shares of Series C Preferred Stock.</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Cash Dividend</w:t>
      </w:r>
      <w:r>
        <w:rPr>
          <w:rFonts w:ascii="Arial" w:cs="Arial" w:eastAsia="Arial" w:hAnsi="Arial"/>
          <w:sz w:val="18"/>
          <w:szCs w:val="18"/>
          <w:color w:val="auto"/>
        </w:rPr>
        <w:t>” means all quarterly cash dividends out of capital surplus or retained earnings legally available therefore (determined in accordance with generally accepted accounting principles, consistently applied), in an amount and frequency consistent with past practice.</w:t>
      </w:r>
    </w:p>
    <w:p>
      <w:pPr>
        <w:spacing w:after="0" w:line="200" w:lineRule="exact"/>
        <w:rPr>
          <w:sz w:val="20"/>
          <w:szCs w:val="20"/>
          <w:color w:val="auto"/>
        </w:rPr>
      </w:pP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as to any Acquiring Person, any Person that (i) controls the Acquiring Person directly or indirectly through one or more intermediaries, (ii) is required to include the Acquiring Person in the consolidated financial statements contained in such Parent’s Annual Report on Form 10-K (if the Parent is required to file such a report) or would be required to so include the Acquiring Person in such Parent’s consolidated financial statements if they were prepared in accordance with U.S. generally accepted accounting principles and (iii) is not itself included in the consolidated financial statements of any other Person (other than its consolidated subsidiaries).</w:t>
      </w:r>
    </w:p>
    <w:p>
      <w:pPr>
        <w:spacing w:after="0" w:line="200" w:lineRule="exact"/>
        <w:rPr>
          <w:sz w:val="20"/>
          <w:szCs w:val="20"/>
          <w:color w:val="auto"/>
        </w:rPr>
      </w:pPr>
    </w:p>
    <w:p>
      <w:pPr>
        <w:spacing w:after="0" w:line="2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xml:space="preserve">” means any class or series of Capital Stock that, with respect to dividends or distributions upon Liquidation,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 Preferred Stock.</w:t>
      </w:r>
    </w:p>
    <w:p>
      <w:pPr>
        <w:spacing w:after="0" w:line="200" w:lineRule="exact"/>
        <w:rPr>
          <w:sz w:val="20"/>
          <w:szCs w:val="20"/>
          <w:color w:val="auto"/>
        </w:rPr>
      </w:pP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trust, incorporated or unincorporated association, limited liability company, joint venture, joint stock company, government (or an agency or political subdivision thereof) or other entity of any kind.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Company’s preferred stock authorized pursuant to the provisions of the Articles of Incorporation.</w:t>
      </w:r>
    </w:p>
    <w:p>
      <w:pPr>
        <w:spacing w:after="0" w:line="200" w:lineRule="exact"/>
        <w:rPr>
          <w:sz w:val="20"/>
          <w:szCs w:val="20"/>
          <w:color w:val="auto"/>
        </w:rPr>
      </w:pPr>
    </w:p>
    <w:p>
      <w:pPr>
        <w:spacing w:after="0" w:line="29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Prevailing Market Price</w:t>
      </w:r>
      <w:r>
        <w:rPr>
          <w:rFonts w:ascii="Arial" w:cs="Arial" w:eastAsia="Arial" w:hAnsi="Arial"/>
          <w:sz w:val="16"/>
          <w:szCs w:val="16"/>
          <w:color w:val="auto"/>
        </w:rPr>
        <w:t xml:space="preserve">” means, with respect to any reference date, the average of the Daily Market Prices of the Common Stock (or, for purposes of determining the Prevailing Market Price of the common stock of an Acquiring Person or its Parent under </w:t>
      </w:r>
      <w:r>
        <w:rPr>
          <w:rFonts w:ascii="Arial" w:cs="Arial" w:eastAsia="Arial" w:hAnsi="Arial"/>
          <w:sz w:val="16"/>
          <w:szCs w:val="16"/>
          <w:u w:val="single" w:color="auto"/>
          <w:color w:val="auto"/>
        </w:rPr>
        <w:t>Section 6(f)</w:t>
      </w:r>
      <w:r>
        <w:rPr>
          <w:rFonts w:ascii="Arial" w:cs="Arial" w:eastAsia="Arial" w:hAnsi="Arial"/>
          <w:sz w:val="16"/>
          <w:szCs w:val="16"/>
          <w:color w:val="auto"/>
        </w:rPr>
        <w:t>, the common stock of such Acquiring Person or such Parent) for the twenty-five (25) Business Days ending on and including the third (3rd) Business Day before such reference date.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Five Dollars and Twenty-Five Cents ($5.25), subject to adjustment as set forth herein.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or any successor statute, and the rules and regulations promulgated thereunder.</w:t>
      </w:r>
    </w:p>
    <w:p>
      <w:pPr>
        <w:spacing w:after="0" w:line="200" w:lineRule="exact"/>
        <w:rPr>
          <w:sz w:val="20"/>
          <w:szCs w:val="20"/>
          <w:color w:val="auto"/>
        </w:rPr>
      </w:pPr>
    </w:p>
    <w:p>
      <w:pPr>
        <w:spacing w:after="0" w:line="3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class or series of Capital Stock that, with respect to dividends or distributions upon Liquidation, ranks senior to the Series C Preferred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xml:space="preserve">” means the Series C Convertible Preferred Stock of the Company or successor as contemplated by </w:t>
      </w:r>
      <w:r>
        <w:rPr>
          <w:rFonts w:ascii="Arial" w:cs="Arial" w:eastAsia="Arial" w:hAnsi="Arial"/>
          <w:sz w:val="18"/>
          <w:szCs w:val="18"/>
          <w:u w:val="single" w:color="auto"/>
          <w:color w:val="auto"/>
        </w:rPr>
        <w:t>Section 6(f)</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Value</w:t>
      </w:r>
      <w:r>
        <w:rPr>
          <w:rFonts w:ascii="Arial" w:cs="Arial" w:eastAsia="Arial" w:hAnsi="Arial"/>
          <w:sz w:val="16"/>
          <w:szCs w:val="16"/>
          <w:color w:val="auto"/>
        </w:rPr>
        <w:t xml:space="preserve">” is an amount equal to One Thousand Dollars ($1,000) per share of Series C Preferred Stock plus (x) any unpaid dividends on the Series C Preferred Stock (as of the date of determination, which for purposes of </w:t>
      </w:r>
      <w:r>
        <w:rPr>
          <w:rFonts w:ascii="Arial" w:cs="Arial" w:eastAsia="Arial" w:hAnsi="Arial"/>
          <w:sz w:val="16"/>
          <w:szCs w:val="16"/>
          <w:u w:val="single" w:color="auto"/>
          <w:color w:val="auto"/>
        </w:rPr>
        <w:t>Sections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6(b)</w:t>
      </w:r>
      <w:r>
        <w:rPr>
          <w:rFonts w:ascii="Arial" w:cs="Arial" w:eastAsia="Arial" w:hAnsi="Arial"/>
          <w:sz w:val="16"/>
          <w:szCs w:val="16"/>
          <w:color w:val="auto"/>
        </w:rPr>
        <w:t xml:space="preserve"> shall be the Conversion Closing Date and Redemption Closing Date, respectively), whether or not declared and whether or not earnings are available in respect of such dividends (i.e., the Stated Value shall increase in each Dividend Period by the Dividend Rate if and to the extent that dividends for such Dividend Period are not declared and paid by the respective Dividend Payment Date) and (y) any unpaid dividends declared on the Common Stock and Common Stock Equivalent Junior Preferred Stock in an amount equal to the product of (A) the per-share dividend other than the Ordinary Cash Dividend paid on Common Stock and Common Stock Equivalent Junior Preferred Stock multiplied by (B) the number of shares of Common Stock and/or the number of one-hundredths of a share of Common Stock Equivalent Junior Preferred Stock issuable upon redemption or conversion (whichever number of shares is greater) of a share of Series C Preferred Stock on the date such dividend is declared on the Common Stock and Common Stock Equivalent Junior Preferred Stock. In the event the Company shall declare a distribution on the Common Stock and Common Stock Equivalent Junior Preferred Stock payable in securities or property other than cash, the value of such securities or property will be the fair market value. Any securities shall be valued as follows: (i) if traded on a national securities exchange (as defined in the Exchange Act), the value shall be deemed to be the average of the closing prices of the securities on such exchange or system over the twenty-five (25) Business Day period ending three (3) calendar days prior to such declaration; (ii) if actively traded over-the-counter, the value shall be deemed to be the average of the closing bid or sale prices (whichever is applicable) over the twenty-five (25) Business Day period ending three (3) calendar days prior to such declaration; and (iii) if there is no active public market, the value shall be the fair market value thereof, as determined in good faith by the Board.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 Date</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(i) a corporation, a majority of whose stock with voting power, under ordinary circumstances, to elect directors is at the time of determination, directly or indirectly, owned by such Person or by one or more Subsidiaries of such Person, or (ii) any other entity (other than a corporation) in which such Person or one or more Subsidiaries of such Person, directly or indirectly, at the date of determination thereof has a least a majority ownership interest.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foregoing definitions will be equally applicable to both the singular and plural forms of the defined terms.</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8"/>
        <w:spacing w:after="0" w:line="284" w:lineRule="auto"/>
        <w:tabs>
          <w:tab w:leader="none" w:pos="2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Holders shall be entitled to receive out of the assets of the Company legally available for that purpose, cash dividends at the Dividend Rate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addition, Holders for each share of Series C Preferred Stock then owned by such Holder shall be entitled to receive out of the assets of the Company legally available for that purpose, dividends or other distributions declared on the Common Stock and Common Stock Equivalent Junior Preferred Stock in the same form as such dividends or distributions in an amount equal to the product of (x) the amount of any per-share dividend or distribution other than the Ordinary Cash Dividends paid on the Common Stock and Common Stock Equivalent Junior Preferred Stock multiplied by (y) the number of shares of Common Stock and/or the number of one-hundredths of a share of Common Stock Equivalent Junior Preferred Stock issuable upon redemption or conversion (whichever number of shares is greater) of a share of the Series C Preferred Shares on the date such dividend is declared,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Such dividends shall be payable quarterly in arrears, when and as declared by the Board (or a duly appointed committee of directors), on April 15, July 15, October 15 and January 15 of each year commencing on April 15, 2010 and, in the case of dividends resulting from dividends or distributions declared on Common Stock and Common Stock Equivalent Junior Preferred Stock, no later than the date on which such dividends or distributions are paid to holders of the Common Stock and Common Stock Equivalent Junior Preferred Stock (each such date being herein referred to as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 period from the Issue Date to March 31, 2010, and each quarterly period between consecutive Dividend Payment Dates shall hereinafter be referred to as a “</w:t>
      </w:r>
      <w:r>
        <w:rPr>
          <w:rFonts w:ascii="Arial" w:cs="Arial" w:eastAsia="Arial" w:hAnsi="Arial"/>
          <w:sz w:val="16"/>
          <w:szCs w:val="16"/>
          <w:u w:val="single" w:color="auto"/>
          <w:color w:val="auto"/>
        </w:rPr>
        <w:t>Dividend Period</w:t>
      </w:r>
      <w:r>
        <w:rPr>
          <w:rFonts w:ascii="Arial" w:cs="Arial" w:eastAsia="Arial" w:hAnsi="Arial"/>
          <w:sz w:val="16"/>
          <w:szCs w:val="16"/>
          <w:color w:val="auto"/>
        </w:rPr>
        <w:t>.” The dividend for any Dividend Period for any share of Series C Preferred Stock that is not outstanding on every calendar day of the Dividend Period shall be prorated based on the number of calendar days such share was outstanding during the period. Each such dividend shall be paid to the Holders of record of the Series C Preferred Stock as their names appear on the share register of the Company on the Dividend Payment Date. Dividends on account of arrears for any past Dividend Periods may be declared and paid at any time, without reference to any Dividend Payment Date (including, without limitation, for purposes of computing the Stated Value of any shares of Series C Preferred Stock in connection with the conversion or redemption thereof or any Liquidation of the Company), to Holders of record on a date designated by the Board, not exceeding thirty (30) calendar days preceding the payment date thereof, as may be fixed by the Board. For purposes of determining the amount of dividends accrued as of the first Dividend Payment Date and as of any date that is not a Dividend Payment Date, such amount shall be calculated on the basis of the Dividend Rate for the actual number of calendar days elapsed from and including the Issue Date (in case of the first Dividend Payment Date and any date prior to the first Dividend Payment Date) or the last preceding Dividend Payment Date (in case of any other date) to the date as of which such determination is to be made, based on a three hundred sixty five (365) day year.</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0" w:name="page121"/>
    <w:bookmarkEnd w:id="120"/>
    <w:p>
      <w:pPr>
        <w:ind w:left="-8" w:right="40" w:firstLine="8"/>
        <w:spacing w:after="0" w:line="255" w:lineRule="auto"/>
        <w:tabs>
          <w:tab w:leader="none" w:pos="2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So long as any shares of the Series C Preferred Stock shall be outstanding, (i) the Company shall not and shall not allow its Subsidiaries (other than direct or indirect wholly-owned Subsidiaries) to declare or pay any dividend whatsoever, whether in cash, property or otherwise, set aside any cash or property for the payment of any dividends, or make any other distribution on any Junior Securities or Parity Securities and (ii) the Company shall not and shall not allow its Subsidiaries to repurchase, redeem or otherwise acquire for value or set aside any cash or property for the repurchase or redemption of any Junior Securities or Parity Securities, unless in each such case all dividends to which the Holders of the Series C Preferred Stock shall have been entitled to receive for all previous Dividend Periods shall have been paid and dividends on the Series C Preferred Stock for the subsequent four Dividend Periods shall have been designated and set aside in cash.</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8" w:firstLine="8"/>
        <w:spacing w:after="0" w:line="257" w:lineRule="auto"/>
        <w:tabs>
          <w:tab w:leader="none" w:pos="23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whenever, at any time or times after the Company has obtained the approval of the stockholders of the Company to increase the authorized number of shares of Common Stock, the Company shall fail to redeem any Series C Preferred Stock by the date it is obligated to do so under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 and such failure is ongoing, then (x) the Dividend Rate with respect to such Series C Preferred Stock that is subject to such redemption shall mean a rate equal to twenty two percent (22%) per annum times the Stated Value until such date that the failure to redeem no longer exists.</w:t>
      </w: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8" w:right="80" w:firstLine="8"/>
        <w:spacing w:after="0" w:line="264" w:lineRule="auto"/>
        <w:tabs>
          <w:tab w:leader="none" w:pos="2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be entitled to deduct and withhold from any dividend on the Series C Preferred Stock such amounts as the Company is required to deduct and withhold with respect to such dividend under the Internal Revenue Code of 1986, as amended, or any other provision of state, local or foreign tax law.</w:t>
      </w:r>
    </w:p>
    <w:p>
      <w:pPr>
        <w:spacing w:after="0" w:line="200" w:lineRule="exact"/>
        <w:rPr>
          <w:sz w:val="20"/>
          <w:szCs w:val="20"/>
          <w:color w:val="auto"/>
        </w:rPr>
      </w:pPr>
    </w:p>
    <w:p>
      <w:pPr>
        <w:spacing w:after="0" w:line="251" w:lineRule="exact"/>
        <w:rPr>
          <w:sz w:val="20"/>
          <w:szCs w:val="20"/>
          <w:color w:val="auto"/>
        </w:rPr>
      </w:pPr>
    </w:p>
    <w:p>
      <w:pPr>
        <w:ind w:left="-8" w:right="40" w:firstLine="8"/>
        <w:spacing w:after="0" w:line="271" w:lineRule="auto"/>
        <w:tabs>
          <w:tab w:leader="none" w:pos="172"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In the event of any Liquidation, after payment or provision for payment by the Company of the debts and other liabilities of the Company and the liquidation preference of any Senior Securities that rank senior to the Series C Preferred Stock with respect to distributions upon Liquidation, each Holder shall be entitled to receive an amount in cash for each share of the then outstanding Series C Preferred Stock held by such Holder equal to the greater of (a) the Stated Value per share to and including the date full payment is tendered to the Holders with respect to such Liquidation and (b) the amount the Holders would have received if the Holders had converted all outstanding shares of Series C Preferred Stock into Common Stock and/or Common Stock Equivalent Junior Preferred Stock in accordance with the provisions of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or redeemed all outstanding shares of Series C Preferred Stock into Common Stock and/or Common Stock Equivalent Junior Preferred Stock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(whichever is greater), in each case as of the Business Day immediately preceding the</w:t>
      </w:r>
    </w:p>
    <w:p>
      <w:pPr>
        <w:spacing w:after="0" w:line="200" w:lineRule="exact"/>
        <w:rPr>
          <w:sz w:val="20"/>
          <w:szCs w:val="20"/>
          <w:color w:val="auto"/>
        </w:rPr>
      </w:pPr>
    </w:p>
    <w:p>
      <w:pPr>
        <w:spacing w:after="0" w:line="2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579120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121" w:name="page122"/>
    <w:bookmarkEnd w:id="121"/>
    <w:p>
      <w:pPr>
        <w:spacing w:after="0" w:line="288" w:lineRule="auto"/>
        <w:rPr>
          <w:sz w:val="20"/>
          <w:szCs w:val="20"/>
          <w:color w:val="auto"/>
        </w:rPr>
      </w:pPr>
      <w:r>
        <w:rPr>
          <w:rFonts w:ascii="Arial" w:cs="Arial" w:eastAsia="Arial" w:hAnsi="Arial"/>
          <w:sz w:val="16"/>
          <w:szCs w:val="16"/>
          <w:color w:val="auto"/>
        </w:rPr>
        <w:t>date of such Liquidation (such greater amount being referred to herein as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xml:space="preserve">”), before any distribution shall be made to the holders of any Junior Securities (and any Senior Securities or Parity Securities that, with respect to distributions upon Liquidation, rank junior to the Series C Preferred Stock) upon the Liquidation of the Company. In case the assets of the Company available for payment to the Holders are insufficient to pay the full Liquidation Preference on all outstanding shares of the Series C Preferred Stock and all outstanding shares of Parity Securities and Senior Securities that, with respect to distributions upon Liquidation,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C Preferred Stock in the amounts to which the holders of such shares are entitled, then the entire assets of the Company available for payment to the Holders and to the holders of such Parity Securities and Senior Securities shall be distributed ratably among the Holders of the Series C Preferred Stock and the holders of such Parity Securities and Senior Securities, based upon the aggregate amount due on such shares upon Liquidation. Written notice of any Liquidation of the Company, stating a payment date and the place where the distributable amounts shall be payable, shall be given by facsimile and overnight delivery not less than ten (10) calendar days prior to the payment date stated therein, to the Holders of record of the Series C Preferred Stock, if any, at their respective addresses as the same shall appear on the books of the Company.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shall have the following voting rights with respect to the Series C Preferred Stock:</w:t>
      </w:r>
    </w:p>
    <w:p>
      <w:pPr>
        <w:spacing w:after="0" w:line="200" w:lineRule="exact"/>
        <w:rPr>
          <w:sz w:val="20"/>
          <w:szCs w:val="20"/>
          <w:color w:val="auto"/>
        </w:rPr>
      </w:pPr>
    </w:p>
    <w:p>
      <w:pPr>
        <w:spacing w:after="0" w:line="295" w:lineRule="exact"/>
        <w:rPr>
          <w:sz w:val="20"/>
          <w:szCs w:val="20"/>
          <w:color w:val="auto"/>
        </w:rPr>
      </w:pPr>
    </w:p>
    <w:p>
      <w:pPr>
        <w:ind w:right="320" w:firstLine="8"/>
        <w:spacing w:after="0" w:line="277" w:lineRule="auto"/>
        <w:tabs>
          <w:tab w:leader="none" w:pos="2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Each share of Series C Preferred Stock shall entitle the holder thereof to the voting rights specified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no other voting rights except as required by law.</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8"/>
        <w:spacing w:after="0" w:line="276" w:lineRule="auto"/>
        <w:tabs>
          <w:tab w:leader="none" w:pos="2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consent of the Holders of at least a Majority of the Series C Preferred Stock, voting separately as a single class with one vote per share, in person or by proxy, either in writing without a meeting or at an annual or a special meeting of such Holders called for the purpose, shall be necessary to amend, alter or repeal, by way of merger or otherwise, any of the provisions of the Articles of Incorporation, including the Certificate of Rights and Preferences, or Bylaws of the Company so as to significantly and adversely affect any of the rights or preferences of the Holders of the Series C Preferred Stock. Without limiting the generality of the preceding sentence, such change includes any action that would:</w:t>
      </w:r>
    </w:p>
    <w:p>
      <w:pPr>
        <w:spacing w:after="0" w:line="200" w:lineRule="exact"/>
        <w:rPr>
          <w:sz w:val="20"/>
          <w:szCs w:val="20"/>
          <w:color w:val="auto"/>
        </w:rPr>
      </w:pPr>
    </w:p>
    <w:p>
      <w:pPr>
        <w:spacing w:after="0" w:line="243" w:lineRule="exact"/>
        <w:rPr>
          <w:sz w:val="20"/>
          <w:szCs w:val="20"/>
          <w:color w:val="auto"/>
        </w:rPr>
      </w:pPr>
    </w:p>
    <w:p>
      <w:pPr>
        <w:ind w:right="120" w:firstLine="8"/>
        <w:spacing w:after="0" w:line="264" w:lineRule="auto"/>
        <w:tabs>
          <w:tab w:leader="none" w:pos="2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Dividend Rate on the Series C Preferred Stock or defer the date from which dividends will accrue, or cancel accrued and unpaid dividends, or change the relative seniority rights of the holders of Series C Preferred Stock as to the payment of dividends in relation to the holders of any other Capital Stock of the Company;</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right="80" w:firstLine="8"/>
        <w:spacing w:after="0" w:line="264" w:lineRule="auto"/>
        <w:tabs>
          <w:tab w:leader="none" w:pos="2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Reduce the amount payable to the holders of the Series C Preferred Stock upon the voluntary or involuntary liquidation, dissolution, or winding up of the Company, or change the relative seniority of the liquidation preferences of the holders of the Series C Preferred Stock to the rights upon liquidation of the holders of any other Capital Stock of the Company;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2" w:name="page123"/>
    <w:bookmarkEnd w:id="122"/>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the Series C Preferred Stock redeemable at the option of the Company;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80" w:firstLine="8"/>
        <w:spacing w:after="0" w:line="277" w:lineRule="auto"/>
        <w:tabs>
          <w:tab w:leader="none" w:pos="3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Authorize, create or issue any shares of Senior Securities (or amend the provisions of any existing class of Capital Stock to make such class of Capital Stock a class of Senior Securities); or</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60" w:hanging="252"/>
        <w:spacing w:after="0"/>
        <w:tabs>
          <w:tab w:leader="none" w:pos="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Decrease (other than by redemption or conversion) the total number of authorized shares of Series C Preferred Stock.</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Conversion and Redemption</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260" w:hanging="252"/>
        <w:spacing w:after="0"/>
        <w:tabs>
          <w:tab w:leader="none" w:pos="2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Procedure for Conversion at the Option of the Company</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8"/>
        <w:spacing w:after="0" w:line="270" w:lineRule="auto"/>
        <w:tabs>
          <w:tab w:leader="none" w:pos="215"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on or after the three year anniversary of the Stockholder Consent Date, on any date on which the Prevailing Market Price exceeds the Conversion Price by one hundred and fifty percent (150%) or more, the Company shall have the option to convert all, but not less than all, of the then outstanding shares of Series C Preferred Stock by delivering a duly executed written Preferred Stock conversion notice, substantially in the form attached as Annex F to the Agreement (the “</w:t>
      </w:r>
      <w:r>
        <w:rPr>
          <w:rFonts w:ascii="Arial" w:cs="Arial" w:eastAsia="Arial" w:hAnsi="Arial"/>
          <w:sz w:val="17"/>
          <w:szCs w:val="17"/>
          <w:u w:val="single" w:color="auto"/>
          <w:color w:val="auto"/>
        </w:rPr>
        <w:t>Conversion Notice</w:t>
      </w:r>
      <w:r>
        <w:rPr>
          <w:rFonts w:ascii="Arial" w:cs="Arial" w:eastAsia="Arial" w:hAnsi="Arial"/>
          <w:sz w:val="17"/>
          <w:szCs w:val="17"/>
          <w:color w:val="auto"/>
        </w:rPr>
        <w:t>” and the date such notice is deemed delivered hereunder, the “</w:t>
      </w:r>
      <w:r>
        <w:rPr>
          <w:rFonts w:ascii="Arial" w:cs="Arial" w:eastAsia="Arial" w:hAnsi="Arial"/>
          <w:sz w:val="17"/>
          <w:szCs w:val="17"/>
          <w:u w:val="single" w:color="auto"/>
          <w:color w:val="auto"/>
        </w:rPr>
        <w:t>Conversion Notice Date</w:t>
      </w:r>
      <w:r>
        <w:rPr>
          <w:rFonts w:ascii="Arial" w:cs="Arial" w:eastAsia="Arial" w:hAnsi="Arial"/>
          <w:sz w:val="17"/>
          <w:szCs w:val="17"/>
          <w:color w:val="auto"/>
        </w:rPr>
        <w:t xml:space="preserve">”), by facsimile, mail or overnight courier delivery, to the Holder. The closing of such conversion shall take place, subject to the satisfaction or waiver of the conditions set forth in </w:t>
      </w:r>
      <w:r>
        <w:rPr>
          <w:rFonts w:ascii="Arial" w:cs="Arial" w:eastAsia="Arial" w:hAnsi="Arial"/>
          <w:sz w:val="17"/>
          <w:szCs w:val="17"/>
          <w:u w:val="single" w:color="auto"/>
          <w:color w:val="auto"/>
        </w:rPr>
        <w:t>Section 6(a)(iii)</w:t>
      </w:r>
      <w:r>
        <w:rPr>
          <w:rFonts w:ascii="Arial" w:cs="Arial" w:eastAsia="Arial" w:hAnsi="Arial"/>
          <w:sz w:val="17"/>
          <w:szCs w:val="17"/>
          <w:color w:val="auto"/>
        </w:rPr>
        <w:t>, (a) on the twentieth (20th) Business Day following and excluding the Conversion Notice Date or (b) any other date upon which the exercising Holder and the Company mutually agree (the “</w:t>
      </w:r>
      <w:r>
        <w:rPr>
          <w:rFonts w:ascii="Arial" w:cs="Arial" w:eastAsia="Arial" w:hAnsi="Arial"/>
          <w:sz w:val="17"/>
          <w:szCs w:val="17"/>
          <w:u w:val="single" w:color="auto"/>
          <w:color w:val="auto"/>
        </w:rPr>
        <w:t>Conversion Closing Date</w:t>
      </w:r>
      <w:r>
        <w:rPr>
          <w:rFonts w:ascii="Arial" w:cs="Arial" w:eastAsia="Arial" w:hAnsi="Arial"/>
          <w:sz w:val="17"/>
          <w:szCs w:val="17"/>
          <w:color w:val="auto"/>
        </w:rPr>
        <w:t>”). The Conversion Notice shall apply only to shares of Series C Preferred Stock for which no Redemption Notice has been tendered to the Company before the twentieth (20th) Business Day after the Conversion Notice Date, regardless of when the applicable redemption is consummated.</w:t>
      </w: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jc w:val="both"/>
        <w:ind w:right="80" w:firstLine="8"/>
        <w:spacing w:after="0" w:line="291" w:lineRule="auto"/>
        <w:tabs>
          <w:tab w:leader="none" w:pos="265"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Conversion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stock shall be converted into that number of shares of Common Stock and/or number of one-hundredths (1/100th) of a share of Common Stock Equivalent Junior Preferred Stock equal to (a) the aggregate Stated Value of such shares divided by</w:t>
      </w:r>
    </w:p>
    <w:p>
      <w:pPr>
        <w:ind w:right="20"/>
        <w:spacing w:after="0" w:line="273" w:lineRule="auto"/>
        <w:rPr>
          <w:rFonts w:ascii="Arial" w:cs="Arial" w:eastAsia="Arial" w:hAnsi="Arial"/>
          <w:sz w:val="16"/>
          <w:szCs w:val="16"/>
          <w:color w:val="auto"/>
        </w:rPr>
      </w:pPr>
      <w:r>
        <w:rPr>
          <w:rFonts w:ascii="Arial" w:cs="Arial" w:eastAsia="Arial" w:hAnsi="Arial"/>
          <w:sz w:val="17"/>
          <w:szCs w:val="17"/>
          <w:color w:val="auto"/>
        </w:rPr>
        <w:t>(b) the Conversion Price (the “</w:t>
      </w:r>
      <w:r>
        <w:rPr>
          <w:rFonts w:ascii="Arial" w:cs="Arial" w:eastAsia="Arial" w:hAnsi="Arial"/>
          <w:sz w:val="17"/>
          <w:szCs w:val="17"/>
          <w:u w:val="single" w:color="auto"/>
          <w:color w:val="auto"/>
        </w:rPr>
        <w:t>Conversion Stock Amount</w:t>
      </w:r>
      <w:r>
        <w:rPr>
          <w:rFonts w:ascii="Arial" w:cs="Arial" w:eastAsia="Arial" w:hAnsi="Arial"/>
          <w:sz w:val="17"/>
          <w:szCs w:val="17"/>
          <w:color w:val="auto"/>
        </w:rPr>
        <w:t>”). On the Conversion Closing Date, the Holder shall surrender the certificate representing the shares of Series C Preferred Stock to be converted to the Company at the address set forth for notices to the Company specified in Section 18 of the Agreement, and the Company shall deliver to such Holder as specified in the Conversion Notice the Conversion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3" w:name="page124"/>
    <w:bookmarkEnd w:id="123"/>
    <w:p>
      <w:pPr>
        <w:ind w:firstLine="8"/>
        <w:spacing w:after="0" w:line="277" w:lineRule="auto"/>
        <w:tabs>
          <w:tab w:leader="none" w:pos="31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converting Holder’s obligation to close that each of the following is satisfied, unless expressly waived by such Holder in writing (which Holder may do or refrain from doing in its sole discretion):</w:t>
      </w:r>
    </w:p>
    <w:p>
      <w:pPr>
        <w:spacing w:after="0" w:line="200" w:lineRule="exact"/>
        <w:rPr>
          <w:sz w:val="20"/>
          <w:szCs w:val="20"/>
          <w:color w:val="auto"/>
        </w:rPr>
      </w:pPr>
    </w:p>
    <w:p>
      <w:pPr>
        <w:spacing w:after="0" w:line="241" w:lineRule="exact"/>
        <w:rPr>
          <w:sz w:val="20"/>
          <w:szCs w:val="20"/>
          <w:color w:val="auto"/>
        </w:rPr>
      </w:pPr>
    </w:p>
    <w:p>
      <w:pPr>
        <w:ind w:right="100" w:firstLine="8"/>
        <w:spacing w:after="0" w:line="255" w:lineRule="auto"/>
        <w:tabs>
          <w:tab w:leader="none" w:pos="2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 the representations and warranties made by the Company in the Agreement shall be true and correct as of the Conversion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conversion shall be duly listed and admitted to trading on the Nasdaq Global Select Market, the Nasdaq Global Market or the New York Stock Exchange; and (z) such Holder shall have received a certificate of the Chief Executive Officer and the Chief Financial Officer of the Company dated such date and to the effect of clauses (x), (y) and (z).</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right="60" w:firstLine="8"/>
        <w:spacing w:after="0" w:line="277" w:lineRule="auto"/>
        <w:tabs>
          <w:tab w:leader="none" w:pos="2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the Conversion Closing Date, the Company shall have delivered to the Holder (x) a Conversion Notice, substantially in the form attached as Annex G to the Agreement and (y) the legal opinion described in Section 12(b) of the Agreement.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right="80" w:firstLine="8"/>
        <w:spacing w:after="0" w:line="255" w:lineRule="auto"/>
        <w:tabs>
          <w:tab w:leader="none" w:pos="2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Series C Preferred Stock or provide or recognize any other preferences, limitations, powers or other rights provided by this Certificate of Rights and Preferences to the extent that, if the Series C Preferred Stock would have been converted,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2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shall use its best efforts to cause each of the foregoing conditions to be satisfied at the earliest practicable date after a Conversion Notice. If such conditions are not satisfied or waived prior to the twentieth (20th) Business Day following and excluding the date the Conversion Notice is delivered, then the Company may, at its sole option, and at any time, withdraw the Conversion Notice by written notice to the Holder regardless of whether such conditions have been satisfied or waived as of the withdrawal date and, after such withdrawal, shall have no further obligations with respect to such Conversion Notice and may submit a Conversion Notice with respect to the shares referenced in the withdrawn Conversion Notice pursuant to </w:t>
      </w:r>
      <w:r>
        <w:rPr>
          <w:rFonts w:ascii="Arial" w:cs="Arial" w:eastAsia="Arial" w:hAnsi="Arial"/>
          <w:sz w:val="18"/>
          <w:szCs w:val="18"/>
          <w:u w:val="single" w:color="auto"/>
          <w:color w:val="auto"/>
        </w:rPr>
        <w:t>Section 6(a)(i)</w:t>
      </w:r>
      <w:r>
        <w:rPr>
          <w:rFonts w:ascii="Arial" w:cs="Arial" w:eastAsia="Arial" w:hAnsi="Arial"/>
          <w:sz w:val="18"/>
          <w:szCs w:val="18"/>
          <w:color w:val="auto"/>
        </w:rPr>
        <w:t xml:space="preserve"> hereof, subject to the closing conditions in this </w:t>
      </w:r>
      <w:r>
        <w:rPr>
          <w:rFonts w:ascii="Arial" w:cs="Arial" w:eastAsia="Arial" w:hAnsi="Arial"/>
          <w:sz w:val="18"/>
          <w:szCs w:val="18"/>
          <w:u w:val="single" w:color="auto"/>
          <w:color w:val="auto"/>
        </w:rPr>
        <w:t>Section 6(a)(iii)</w:t>
      </w:r>
      <w:r>
        <w:rPr>
          <w:rFonts w:ascii="Arial" w:cs="Arial" w:eastAsia="Arial" w:hAnsi="Arial"/>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24" w:name="page125"/>
    <w:bookmarkEnd w:id="124"/>
    <w:p>
      <w:pPr>
        <w:ind w:left="-8" w:firstLine="8"/>
        <w:spacing w:after="0" w:line="257" w:lineRule="auto"/>
        <w:tabs>
          <w:tab w:leader="none" w:pos="29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Holder of record</w:t>
      </w:r>
      <w:r>
        <w:rPr>
          <w:rFonts w:ascii="Arial" w:cs="Arial" w:eastAsia="Arial" w:hAnsi="Arial"/>
          <w:sz w:val="18"/>
          <w:szCs w:val="18"/>
          <w:color w:val="auto"/>
        </w:rPr>
        <w:t xml:space="preserve">. Each conversion of Series C Preferred Stock shall be deemed to have been effected immediately before the close of business on the Business Day on which the Conversion Notice is delivered (except, that, for purposes of calculation of the Stated Value, dividends shall accrue until and including the Conversion Closing Date), and at such time the Person or Persons in whose name or names any certificate or certificates for shares of Common Stock or Common Stock Equivalent Junior Preferred Securities shall be issuable upon such conversion as provided in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shall be deemed to have become the holder or holders of record thereof.</w:t>
      </w:r>
    </w:p>
    <w:p>
      <w:pPr>
        <w:spacing w:after="0" w:line="200" w:lineRule="exact"/>
        <w:rPr>
          <w:sz w:val="20"/>
          <w:szCs w:val="20"/>
          <w:color w:val="auto"/>
        </w:rPr>
      </w:pPr>
    </w:p>
    <w:p>
      <w:pPr>
        <w:spacing w:after="0" w:line="258" w:lineRule="exact"/>
        <w:rPr>
          <w:sz w:val="20"/>
          <w:szCs w:val="20"/>
          <w:color w:val="auto"/>
        </w:rPr>
      </w:pPr>
    </w:p>
    <w:p>
      <w:pPr>
        <w:ind w:left="252" w:hanging="252"/>
        <w:spacing w:after="0"/>
        <w:tabs>
          <w:tab w:leader="none" w:pos="25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Procedure for Redemption at the Option of the Holder</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8" w:right="100" w:firstLine="8"/>
        <w:spacing w:after="0" w:line="289" w:lineRule="auto"/>
        <w:tabs>
          <w:tab w:leader="none" w:pos="20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at any time after the Company has obtained the approval of the stockholders of the Company to increase the authorized number of shares of Common Stock, a Holder of Series C Preferred Stock may at the option of the Holder require the Company to redeem any or all shares of Series C Preferred Stock held by such Holder for Common Stock and/or Common Stock Equivalent Junior Preferred Stock on one or more occasions by delivering an optional redemption notice (a “</w:t>
      </w:r>
      <w:r>
        <w:rPr>
          <w:rFonts w:ascii="Arial" w:cs="Arial" w:eastAsia="Arial" w:hAnsi="Arial"/>
          <w:sz w:val="16"/>
          <w:szCs w:val="16"/>
          <w:u w:val="single" w:color="auto"/>
          <w:color w:val="auto"/>
        </w:rPr>
        <w:t>Redemption Notice</w:t>
      </w:r>
      <w:r>
        <w:rPr>
          <w:rFonts w:ascii="Arial" w:cs="Arial" w:eastAsia="Arial" w:hAnsi="Arial"/>
          <w:sz w:val="16"/>
          <w:szCs w:val="16"/>
          <w:color w:val="auto"/>
        </w:rPr>
        <w:t xml:space="preserve">”) to the Company substantially in the form attached as Annex H to the Agreement; provided, however, that until the Company has obtained the approval of the stockholders of the Company to increase the authorized number of shares of Common Stock, a Holder of Series C Preferred Stock may require the Company to redeem any or all of such shares of Series C Preferred Stock for Common Stock Equivalent Junior Preferred Stock. The closing of such redemption shall take place, subject to the satisfaction or waiver of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 on the second (2nd) Business Day, or if the Holder so elects, the third (3rd) Business Day, following and excluding the date the Redemption Notice is delivered or (b) any other date upon which the exercising Holder and the Company mutually agree (the “</w:t>
      </w:r>
      <w:r>
        <w:rPr>
          <w:rFonts w:ascii="Arial" w:cs="Arial" w:eastAsia="Arial" w:hAnsi="Arial"/>
          <w:sz w:val="16"/>
          <w:szCs w:val="16"/>
          <w:u w:val="single" w:color="auto"/>
          <w:color w:val="auto"/>
        </w:rPr>
        <w:t>Redemption Closing Date</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8" w:right="80" w:firstLine="8"/>
        <w:spacing w:after="0" w:line="293" w:lineRule="auto"/>
        <w:tabs>
          <w:tab w:leader="none" w:pos="25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Redemption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Series C Preferred Stock shall be redeemed into that number of shares of Common Stock and/or number of one-hundredths (1/100th) of a share of Common Stock Equivalent Junior Preferred Stock equal to (a) the aggregate Stated Value of such shares divided by (b) the Redemption Price (the “</w:t>
      </w:r>
      <w:r>
        <w:rPr>
          <w:rFonts w:ascii="Arial" w:cs="Arial" w:eastAsia="Arial" w:hAnsi="Arial"/>
          <w:sz w:val="16"/>
          <w:szCs w:val="16"/>
          <w:u w:val="single" w:color="auto"/>
          <w:color w:val="auto"/>
        </w:rPr>
        <w:t>Redemption Stock Amount</w:t>
      </w:r>
      <w:r>
        <w:rPr>
          <w:rFonts w:ascii="Arial" w:cs="Arial" w:eastAsia="Arial" w:hAnsi="Arial"/>
          <w:sz w:val="16"/>
          <w:szCs w:val="16"/>
          <w:color w:val="auto"/>
        </w:rPr>
        <w:t>”). On the Redemption Closing Date, the Holder shall surrender the certificate representing the shares of Series C Preferred Stock to be redeemed to the Company at the address set forth for notices to the Company specified in Section 18 of the Agreement and the Company shall deliver to such Holder as specified in the Redemption Notice the Redemption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424180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25" w:name="page126"/>
    <w:bookmarkEnd w:id="125"/>
    <w:p>
      <w:pPr>
        <w:ind w:left="-8" w:firstLine="8"/>
        <w:spacing w:after="0" w:line="277" w:lineRule="auto"/>
        <w:tabs>
          <w:tab w:leader="none" w:pos="30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redeeming Holder’s obligation to close that each of the following is satisfied, unless expressly waived by such Holder in writing:</w:t>
      </w:r>
    </w:p>
    <w:p>
      <w:pPr>
        <w:spacing w:after="0" w:line="200" w:lineRule="exact"/>
        <w:rPr>
          <w:sz w:val="20"/>
          <w:szCs w:val="20"/>
          <w:color w:val="auto"/>
        </w:rPr>
      </w:pPr>
    </w:p>
    <w:p>
      <w:pPr>
        <w:spacing w:after="0" w:line="241" w:lineRule="exact"/>
        <w:rPr>
          <w:sz w:val="20"/>
          <w:szCs w:val="20"/>
          <w:color w:val="auto"/>
        </w:rPr>
      </w:pPr>
    </w:p>
    <w:p>
      <w:pPr>
        <w:ind w:left="-8" w:right="60" w:firstLine="8"/>
        <w:spacing w:after="0" w:line="255" w:lineRule="auto"/>
        <w:tabs>
          <w:tab w:leader="none" w:pos="28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 the representations and warranties made by the Company in the Agreement shall be true and correct as of the Redemption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redemption shall be duly listed and admitted to trading on the Nasdaq Global Select Market, the Nasdaq Global Market or the New York Stock Exchange; and such Holder shall have received a certificate of the Chief Executive Officer and (z) the Chief Financial Officer of the Company dated such date and to the effect of clauses (w), (x) and (y).</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8" w:right="180" w:firstLine="8"/>
        <w:spacing w:after="0" w:line="277" w:lineRule="auto"/>
        <w:tabs>
          <w:tab w:leader="none" w:pos="27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the Redemption Closing Date, the Company shall have delivered to the Holder (x) a Preferred Stock redemption delivery notice, substantially in the form attached as Annex I to the Agreement and (y) the legal opinion described in Section 12(b) of the Agreement.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92" w:hanging="292"/>
        <w:spacing w:after="0"/>
        <w:tabs>
          <w:tab w:leader="none" w:pos="29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of the Redemption Closing Date, the Company shall have notified the Holder of all Restatements.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 w:right="160" w:firstLine="8"/>
        <w:spacing w:after="0" w:line="255" w:lineRule="auto"/>
        <w:tabs>
          <w:tab w:leader="none" w:pos="28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Preferred Stock or provide or recognize any other preferences, limitations, powers or other rights provided by this Certificate of Rights and Preferences to the extent that, if the Series C Preferred Stock would have been redeemed,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25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579120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26" w:name="page127"/>
    <w:bookmarkEnd w:id="126"/>
    <w:p>
      <w:pPr>
        <w:ind w:left="-8" w:firstLine="8"/>
        <w:spacing w:after="0" w:line="255" w:lineRule="auto"/>
        <w:tabs>
          <w:tab w:leader="none" w:pos="29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Holder of record</w:t>
      </w:r>
      <w:r>
        <w:rPr>
          <w:rFonts w:ascii="Arial" w:cs="Arial" w:eastAsia="Arial" w:hAnsi="Arial"/>
          <w:sz w:val="18"/>
          <w:szCs w:val="18"/>
          <w:color w:val="auto"/>
        </w:rPr>
        <w:t xml:space="preserve">. Each redemption of Series C Preferred Stock shall be deemed to have been effected immediately before the close of business on the Business Day on which the Redemption Notice is delivered (except, that, for the purposes of calculation of the Stated Value, dividends shall accrue until and including the Redemption Closing Date), and at such time the Person or Persons in whose name or names any certificate or certificates for shares of Common Stock (or Other Securities) shall be issuable upon such redemption as provided in </w:t>
      </w:r>
      <w:r>
        <w:rPr>
          <w:rFonts w:ascii="Arial" w:cs="Arial" w:eastAsia="Arial" w:hAnsi="Arial"/>
          <w:sz w:val="18"/>
          <w:szCs w:val="18"/>
          <w:u w:val="single" w:color="auto"/>
          <w:color w:val="auto"/>
        </w:rPr>
        <w:t>Section 6(b)(ii)</w:t>
      </w:r>
      <w:r>
        <w:rPr>
          <w:rFonts w:ascii="Arial" w:cs="Arial" w:eastAsia="Arial" w:hAnsi="Arial"/>
          <w:sz w:val="18"/>
          <w:szCs w:val="18"/>
          <w:color w:val="auto"/>
        </w:rPr>
        <w:t xml:space="preserve"> shall be deemed to have become the holder or holders of record thereof. The foregoing notwithstanding, such redemption shall not be deemed effective if and as of the date that the Holder delivers written notice of withdrawal to the Company as set forth in </w:t>
      </w:r>
      <w:r>
        <w:rPr>
          <w:rFonts w:ascii="Arial" w:cs="Arial" w:eastAsia="Arial" w:hAnsi="Arial"/>
          <w:sz w:val="18"/>
          <w:szCs w:val="18"/>
          <w:u w:val="single" w:color="auto"/>
          <w:color w:val="auto"/>
        </w:rPr>
        <w:t>Section 6(b)(v)</w:t>
      </w:r>
      <w:r>
        <w:rPr>
          <w:rFonts w:ascii="Arial" w:cs="Arial" w:eastAsia="Arial" w:hAnsi="Arial"/>
          <w:sz w:val="18"/>
          <w:szCs w:val="18"/>
          <w:color w:val="auto"/>
        </w:rPr>
        <w:t xml:space="preserve"> below.</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ind w:left="-8" w:firstLine="8"/>
        <w:spacing w:after="0" w:line="269" w:lineRule="auto"/>
        <w:tabs>
          <w:tab w:leader="none" w:pos="247"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Withdrawal of Redemption Notice</w:t>
      </w:r>
      <w:r>
        <w:rPr>
          <w:rFonts w:ascii="Arial" w:cs="Arial" w:eastAsia="Arial" w:hAnsi="Arial"/>
          <w:sz w:val="17"/>
          <w:szCs w:val="17"/>
          <w:color w:val="auto"/>
        </w:rPr>
        <w:t xml:space="preserve">. If the conditions set forth in </w:t>
      </w:r>
      <w:r>
        <w:rPr>
          <w:rFonts w:ascii="Arial" w:cs="Arial" w:eastAsia="Arial" w:hAnsi="Arial"/>
          <w:sz w:val="17"/>
          <w:szCs w:val="17"/>
          <w:u w:val="single" w:color="auto"/>
          <w:color w:val="auto"/>
        </w:rPr>
        <w:t>Section 6(b)(iii)</w:t>
      </w:r>
      <w:r>
        <w:rPr>
          <w:rFonts w:ascii="Arial" w:cs="Arial" w:eastAsia="Arial" w:hAnsi="Arial"/>
          <w:sz w:val="17"/>
          <w:szCs w:val="17"/>
          <w:color w:val="auto"/>
        </w:rPr>
        <w:t xml:space="preserve"> are not satisfied or waived on or prior to the Redemption Closing Date or if the Company fails to perform its obligations on any Redemption Closing Date (including delivery of all shares of Series C Preferred Stock issuable on such date), then in addition to all remedies available to Holder at law or in equity, Holder may, at its sole option, and at any time, withdraw the Redemption Notice by written notice to the Company regardless of whether such conditions have been satisfied or waived as of the withdrawal date and, after such withdrawal, shall have no further obligations with respect to such Redemption Notice and may submit a Redemption Notice on any future date with respect to such Series C Preferred Stock and the Redemption Price for such subsequent Redemption Notice shall be the lesser of (x) the Redemption Price in the withdrawn Redemption Notice and (y) the Redemption Price in effect as of the date of the subsequent Redemption Notice. If the Company fails to deliver (A) shares of Common Stock as provided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on or before the later of the twentieth (20th) Business Day following and excluding (1) the Redemption Closing Date or (2) three (3) Business Days after the Stockholder Consent Date (if and to the extent such approval is required to issue such shares of Common Stock) or (B) shares of Common Stock Equivalent Junior Preferred Stock on or before the twentieth (20th) Business Day following and excluding the Redemption Closing Date, then the Redemption Price shall equal the lesser of Four Dollars and Forty-One Cents ($4.41) and the Redemption Price in effect immediately before such date.</w:t>
      </w:r>
    </w:p>
    <w:p>
      <w:pPr>
        <w:spacing w:after="0" w:line="200" w:lineRule="exact"/>
        <w:rPr>
          <w:rFonts w:ascii="Arial" w:cs="Arial" w:eastAsia="Arial" w:hAnsi="Arial"/>
          <w:sz w:val="17"/>
          <w:szCs w:val="17"/>
          <w:color w:val="auto"/>
        </w:rPr>
      </w:pPr>
    </w:p>
    <w:p>
      <w:pPr>
        <w:spacing w:after="0" w:line="250" w:lineRule="exact"/>
        <w:rPr>
          <w:rFonts w:ascii="Arial" w:cs="Arial" w:eastAsia="Arial" w:hAnsi="Arial"/>
          <w:sz w:val="17"/>
          <w:szCs w:val="17"/>
          <w:color w:val="auto"/>
        </w:rPr>
      </w:pPr>
    </w:p>
    <w:p>
      <w:pPr>
        <w:ind w:left="-8" w:right="440" w:firstLine="8"/>
        <w:spacing w:after="0" w:line="264" w:lineRule="auto"/>
        <w:tabs>
          <w:tab w:leader="none" w:pos="29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Partial redemption</w:t>
      </w:r>
      <w:r>
        <w:rPr>
          <w:rFonts w:ascii="Arial" w:cs="Arial" w:eastAsia="Arial" w:hAnsi="Arial"/>
          <w:sz w:val="18"/>
          <w:szCs w:val="18"/>
          <w:color w:val="auto"/>
        </w:rPr>
        <w:t>. If any redemption is for only part of the shares represented by the certificate surrendered, the Company shall deliver on the Redemption Closing Date a new Series C Preferred Stock certificate of like tenor, calling in the aggregate on the face or faces thereof for the number of shares of Series C Preferred Stock in the name and to an address specified by the Holder.</w:t>
      </w:r>
    </w:p>
    <w:p>
      <w:pPr>
        <w:spacing w:after="0" w:line="200" w:lineRule="exact"/>
        <w:rPr>
          <w:sz w:val="20"/>
          <w:szCs w:val="20"/>
          <w:color w:val="auto"/>
        </w:rPr>
      </w:pPr>
    </w:p>
    <w:p>
      <w:pPr>
        <w:spacing w:after="0" w:line="25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579120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760" w:right="279" w:bottom="1440" w:gutter="0" w:footer="0" w:header="0"/>
        </w:sectPr>
      </w:pPr>
    </w:p>
    <w:bookmarkStart w:id="127" w:name="page128"/>
    <w:bookmarkEnd w:id="127"/>
    <w:p>
      <w:pPr>
        <w:ind w:left="-8" w:right="80" w:firstLine="8"/>
        <w:spacing w:after="0" w:line="270" w:lineRule="auto"/>
        <w:tabs>
          <w:tab w:leader="none" w:pos="237"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Maximum Voting Stock Amount</w:t>
      </w:r>
      <w:r>
        <w:rPr>
          <w:rFonts w:ascii="Arial" w:cs="Arial" w:eastAsia="Arial" w:hAnsi="Arial"/>
          <w:sz w:val="17"/>
          <w:szCs w:val="17"/>
          <w:color w:val="auto"/>
        </w:rPr>
        <w:t>. The Company shall not effect any conversion or redemption of the Series C Preferred Stock, and the Holders shall not have the right to convert or redeem any portion of the Series C Preferred Stock, into Common Stock to the extent such conversion, redemption or exercise would result in aggregate issuances upon conversion or redemption of the Series C Preferred Stock in excess of nine and seventy-five one hundredths percent (9.75%)(the “</w:t>
      </w:r>
      <w:r>
        <w:rPr>
          <w:rFonts w:ascii="Arial" w:cs="Arial" w:eastAsia="Arial" w:hAnsi="Arial"/>
          <w:sz w:val="17"/>
          <w:szCs w:val="17"/>
          <w:u w:val="single" w:color="auto"/>
          <w:color w:val="auto"/>
        </w:rPr>
        <w:t>Maximum Voting Stock Amount</w:t>
      </w:r>
      <w:r>
        <w:rPr>
          <w:rFonts w:ascii="Arial" w:cs="Arial" w:eastAsia="Arial" w:hAnsi="Arial"/>
          <w:sz w:val="17"/>
          <w:szCs w:val="17"/>
          <w:color w:val="auto"/>
        </w:rPr>
        <w:t>”) of the number of shares of Common Stock that would be outstanding after giving effect to such conversion or redemption. Holders of a Majority of the Series C Preferred Stock shall have the right to permanently reduce the percentage used in the determination of the Maximum Voting Stock Amount to four and seventy-five one hundredths percent (4.75%) at any time, effective upon delivery of written notice of such election to the Company. In the event that the Company cannot effect a conversion or redemption of the Series C Preferred Stock into Common Stock pursuant to the terms of this Section 6(c), the conversion or redemption shall be effected into an equal number of shares of Common Stock Equivalent Junior Preferred Stock of the Company.</w:t>
      </w: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8" w:firstLine="8"/>
        <w:spacing w:after="0" w:line="269" w:lineRule="auto"/>
        <w:tabs>
          <w:tab w:leader="none" w:pos="24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shall at all times reserve for issuance such number of its shares of Common Stock and Common Stock Equivalent Junior Preferred Stock as shall be required under the Agreement. The Company will procure, at its sole expense, the listing of the Common Stock issuable upon conversion or redemption of the Series C Preferred Stock (including upon the conversion of Common Stock Equivalent Junior Preferred Stock issuable upon the conversion or redemption of the Series C Preferred Stock) and shares issuable as dividends hereunder, subject to issuance or notice of issuance, on all stock exchanges and quotation systems on which the Common Stock is then listed or quoted, no later than the date on which such Series C Preferred Stock is issued to the Holder and thereafter shall use its best efforts to prevent delisting or removal from quotation of such shares. The Company will pay any and all documentary stamp or similar issue or transfer taxes that may be payable in respect of the issuance or delivery of shares of Common Stock and/or Common Stock Equivalent Junior Preferred Stock on conversion or redemption of shares of the Series C Preferred Stock. The Company shall not, however, be required to pay any tax which may be payable in respect of any transfer involving the issue and delivery of shares of Common Stock and/or Common Stock Equivalent Junior Preferred Stock in a name other than that in which the shares of Series C Preferred Stock so converted or redeemed were registered, and no such issue and delivery shall be made unless and until the person requesting such issue has paid to the Company the amount of any such tax, or has established, to the reasonable satisfaction of the Company, that such tax has been paid.</w:t>
      </w:r>
    </w:p>
    <w:p>
      <w:pPr>
        <w:spacing w:after="0" w:line="200" w:lineRule="exact"/>
        <w:rPr>
          <w:rFonts w:ascii="Arial" w:cs="Arial" w:eastAsia="Arial" w:hAnsi="Arial"/>
          <w:sz w:val="17"/>
          <w:szCs w:val="17"/>
          <w:color w:val="auto"/>
        </w:rPr>
      </w:pPr>
    </w:p>
    <w:p>
      <w:pPr>
        <w:spacing w:after="0" w:line="250" w:lineRule="exact"/>
        <w:rPr>
          <w:rFonts w:ascii="Arial" w:cs="Arial" w:eastAsia="Arial" w:hAnsi="Arial"/>
          <w:sz w:val="17"/>
          <w:szCs w:val="17"/>
          <w:color w:val="auto"/>
        </w:rPr>
      </w:pPr>
    </w:p>
    <w:p>
      <w:pPr>
        <w:ind w:left="-8" w:right="20" w:firstLine="8"/>
        <w:spacing w:after="0" w:line="271" w:lineRule="auto"/>
        <w:tabs>
          <w:tab w:leader="none" w:pos="23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 fractional shares or scrip representing fractional shares of Common Stock or, other than fractional shares in increments of one-hundredth (1/100th) of a share, of Common Stock Equivalent Junior Preferred Stock shall be issued upon the conversion or redemption of the Series C Preferred Stock. If any such conversion or redemption would otherwise require the issuance of a fractional share of Common Stock or, other than fractional shares in increments of one-hundredth (1/100th) of a share, of Common Stock Equivalent Junior Preferred Stock, an amount equal to such fraction multiplied by the current Daily Market Price per share of Common Stock on the date of conversion or redemption shall be paid to the Holder in cash by the Company. If more than one share of Series C Preferred Stock shall be surrendered for conversion or redemption at one time by or for the same Holder, the number of shares of Common Stock and/or Common Stock Equivalent Junior Preferred Stock issuable upon conversion or redemption thereof shall be computed on the basis of the aggregate number of shares of Series C Preferred Stock so surrendered.</w:t>
      </w: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733425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28" w:name="page129"/>
    <w:bookmarkEnd w:id="128"/>
    <w:p>
      <w:pPr>
        <w:ind w:left="240" w:hanging="232"/>
        <w:spacing w:after="0"/>
        <w:tabs>
          <w:tab w:leader="none" w:pos="2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8"/>
        <w:spacing w:after="0" w:line="286" w:lineRule="auto"/>
        <w:tabs>
          <w:tab w:leader="none" w:pos="21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the Company on or after the date of the Agreement is party to any Change of Control, proper provision shall be made so that, upon the basis and the terms and in the manner provided herein, the Holder of each unconverted and unredeemed share of Series C Preferred Stock, upon conversion or redemption thereof at any time after the consummation of such Change of Control, shall be entitled to, and appropriate adjustments will be made to ensure that the Holder will receive, equivalent rights as those provided in this Certificate of Rights and Preferences, including, without limitation, the voting, dividend, conversion, redemption and liquidation rights contained herein with respect to the Acquiring Person. The Company shall, prior to the consummation of any Change of Control, provide that each Person (other than the Company) that may be required to deliver any stock, securities, cash or property upon conversion of Series C Preferred Stock as provided herein shall assume, by written instrument delivered to, and reasonably satisfactory to, the Holders of a Majority of the Series C Preferred Stock, (a) the obligations of the Company under this Certificate of Rights and Preferences (and if the Company shall survive the consummation of such transaction, such assumption shall be in addition to, and shall not release the Company from, any continuing obligations of the Company under this Certificate of Rights and Preferences) and (b) the obligation to deliver to the Holders of Series C Preferred Stock such shares of stock, securities, cash or property as, in accordance with the provisions of this Certificate of Rights and Preferences, such Holders may be entitled to receive, and such Person shall have similarly delivered to such Holders an opinion of counsel for such Person, which counsel shall be reasonably satisfactory to Holders of a Majority of the Series C Preferred Stock, stating that the rights of such Holders under this Certificate of Rights and Preferences shall thereafter continue in full force and effect with respect to such Acquiring Person in accordance with the terms hereof.</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right="100" w:firstLine="8"/>
        <w:spacing w:after="0" w:line="264" w:lineRule="auto"/>
        <w:tabs>
          <w:tab w:leader="none" w:pos="2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event of a Change of Control, all references to the Conversion Price or the Redemption Price herein shall be references to the Stock Adjustment Measuring Price. “</w:t>
      </w:r>
      <w:r>
        <w:rPr>
          <w:rFonts w:ascii="Arial" w:cs="Arial" w:eastAsia="Arial" w:hAnsi="Arial"/>
          <w:sz w:val="18"/>
          <w:szCs w:val="18"/>
          <w:u w:val="single" w:color="auto"/>
          <w:color w:val="auto"/>
        </w:rPr>
        <w:t>Stock Adjustment Measuring Price</w:t>
      </w:r>
      <w:r>
        <w:rPr>
          <w:rFonts w:ascii="Arial" w:cs="Arial" w:eastAsia="Arial" w:hAnsi="Arial"/>
          <w:sz w:val="18"/>
          <w:szCs w:val="18"/>
          <w:color w:val="auto"/>
        </w:rPr>
        <w:t>” means an amount equal to the Conversion Price or the Redemption Price, as applicable, multiplied by a fraction,</w:t>
      </w:r>
    </w:p>
    <w:p>
      <w:pPr>
        <w:spacing w:after="0" w:line="200" w:lineRule="exact"/>
        <w:rPr>
          <w:sz w:val="20"/>
          <w:szCs w:val="20"/>
          <w:color w:val="auto"/>
        </w:rPr>
      </w:pPr>
    </w:p>
    <w:p>
      <w:pPr>
        <w:spacing w:after="0" w:line="251" w:lineRule="exact"/>
        <w:rPr>
          <w:sz w:val="20"/>
          <w:szCs w:val="20"/>
          <w:color w:val="auto"/>
        </w:rPr>
      </w:pPr>
    </w:p>
    <w:p>
      <w:pPr>
        <w:ind w:right="40" w:firstLine="8"/>
        <w:spacing w:after="0" w:line="264" w:lineRule="auto"/>
        <w:tabs>
          <w:tab w:leader="none" w:pos="2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numerator of which is the Daily Market Price of the securities for Common Stock is exchanged in the Change of Control (or if none, the most widely-held class of voting securities of the Acquiring Person) determined as of the Business Day immediately preceding and excluding the date on which the Change of Control is consummated;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9" w:name="page130"/>
    <w:bookmarkEnd w:id="129"/>
    <w:p>
      <w:pPr>
        <w:ind w:right="20" w:firstLine="8"/>
        <w:spacing w:after="0" w:line="277" w:lineRule="auto"/>
        <w:tabs>
          <w:tab w:leader="none" w:pos="2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denominator of which is the Daily Market Price of the Common Stock of the Company determined as of the Business Day immediately preceding and excluding the date on which the Change of Control is consummated.</w:t>
      </w:r>
    </w:p>
    <w:p>
      <w:pPr>
        <w:spacing w:after="0" w:line="200" w:lineRule="exact"/>
        <w:rPr>
          <w:sz w:val="20"/>
          <w:szCs w:val="20"/>
          <w:color w:val="auto"/>
        </w:rPr>
      </w:pPr>
    </w:p>
    <w:p>
      <w:pPr>
        <w:spacing w:after="0" w:line="241" w:lineRule="exact"/>
        <w:rPr>
          <w:sz w:val="20"/>
          <w:szCs w:val="20"/>
          <w:color w:val="auto"/>
        </w:rPr>
      </w:pPr>
    </w:p>
    <w:p>
      <w:pPr>
        <w:ind w:firstLine="8"/>
        <w:spacing w:after="0" w:line="273" w:lineRule="auto"/>
        <w:tabs>
          <w:tab w:leader="none" w:pos="31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Prior to the effective date of a Change of Control, the Company shall continue to have the right to submit to each Holder Conversion Notices and each Holder shall continue to have the right to submit to the Company Redemption Notices and consummate closings of any such conversions or redemptions, in each party’s sole discretion, in accordance with the terms and conditions of this Certificate of Rights and Preferences. In addition, the Holder at its sole option may elect to submit to the Company a special notice (a “</w:t>
      </w:r>
      <w:r>
        <w:rPr>
          <w:rFonts w:ascii="Arial" w:cs="Arial" w:eastAsia="Arial" w:hAnsi="Arial"/>
          <w:sz w:val="17"/>
          <w:szCs w:val="17"/>
          <w:u w:val="single" w:color="auto"/>
          <w:color w:val="auto"/>
        </w:rPr>
        <w:t>Contingent Notice</w:t>
      </w:r>
      <w:r>
        <w:rPr>
          <w:rFonts w:ascii="Arial" w:cs="Arial" w:eastAsia="Arial" w:hAnsi="Arial"/>
          <w:sz w:val="17"/>
          <w:szCs w:val="17"/>
          <w:color w:val="auto"/>
        </w:rPr>
        <w:t>”) to redeem the Series C Preferred Stock (including any Series C Preferred Stock issued pursuant to a Contingent Investment Notice (as defined in the Agreement) under the Agreement) in whole or in part in connection with such Change of Control; in which case, notwithstanding anything to the contrary herein:</w:t>
      </w:r>
    </w:p>
    <w:p>
      <w:pPr>
        <w:spacing w:after="0" w:line="200" w:lineRule="exact"/>
        <w:rPr>
          <w:sz w:val="20"/>
          <w:szCs w:val="20"/>
          <w:color w:val="auto"/>
        </w:rPr>
      </w:pPr>
    </w:p>
    <w:p>
      <w:pPr>
        <w:spacing w:after="0" w:line="249" w:lineRule="exact"/>
        <w:rPr>
          <w:sz w:val="20"/>
          <w:szCs w:val="20"/>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effectiveness of such contingent redemption shall be conditional upon the effectiveness of the Change of Control;</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until the effective date of such Change of Control, the Holder shall have the right to deliver a notice to withdraw such Contingent Notice; and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300" w:hanging="292"/>
        <w:spacing w:after="0"/>
        <w:tabs>
          <w:tab w:leader="none" w:pos="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such Contingent Notice shall not have been withdrawn, then on the effective date of such Change of Control, such Holder shall receive the same</w:t>
      </w:r>
    </w:p>
    <w:p>
      <w:pPr>
        <w:spacing w:after="0" w:line="34" w:lineRule="exact"/>
        <w:rPr>
          <w:rFonts w:ascii="Arial" w:cs="Arial" w:eastAsia="Arial" w:hAnsi="Arial"/>
          <w:sz w:val="17"/>
          <w:szCs w:val="17"/>
          <w:color w:val="auto"/>
        </w:rPr>
      </w:pPr>
    </w:p>
    <w:p>
      <w:pPr>
        <w:ind w:right="140"/>
        <w:spacing w:after="0" w:line="295" w:lineRule="auto"/>
        <w:rPr>
          <w:rFonts w:ascii="Arial" w:cs="Arial" w:eastAsia="Arial" w:hAnsi="Arial"/>
          <w:sz w:val="17"/>
          <w:szCs w:val="17"/>
          <w:color w:val="auto"/>
        </w:rPr>
      </w:pPr>
      <w:r>
        <w:rPr>
          <w:rFonts w:ascii="Arial" w:cs="Arial" w:eastAsia="Arial" w:hAnsi="Arial"/>
          <w:sz w:val="16"/>
          <w:szCs w:val="16"/>
          <w:color w:val="auto"/>
        </w:rPr>
        <w:t>consideration, in the form of cash, securities or other assets (the “</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per share of Common Stock and Common Stock Equivalent Junior Preferred Stock issuable to any other holder of shares of Common Stock and Common Stock Equivalent Junior Preferred Stock in connection with such Change of Control based upon the number of shares of Common Stock and Common Stock Equivalent Junior Preferred Stock which the Holder would have held if the Holder had consummated such redemption on the Business Day immediately preceding the date on which such Change of Control occurs.</w:t>
      </w:r>
    </w:p>
    <w:p>
      <w:pPr>
        <w:spacing w:after="0" w:line="200" w:lineRule="exact"/>
        <w:rPr>
          <w:sz w:val="20"/>
          <w:szCs w:val="20"/>
          <w:color w:val="auto"/>
        </w:rPr>
      </w:pPr>
    </w:p>
    <w:p>
      <w:pPr>
        <w:spacing w:after="0" w:line="232" w:lineRule="exact"/>
        <w:rPr>
          <w:sz w:val="20"/>
          <w:szCs w:val="20"/>
          <w:color w:val="auto"/>
        </w:rPr>
      </w:pPr>
    </w:p>
    <w:p>
      <w:pPr>
        <w:ind w:right="260" w:firstLine="8"/>
        <w:spacing w:after="0" w:line="297" w:lineRule="auto"/>
        <w:tabs>
          <w:tab w:leader="none" w:pos="18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Status of Converted and Redeemed Shares; Limitations on Series C Preferred Stock</w:t>
      </w:r>
      <w:r>
        <w:rPr>
          <w:rFonts w:ascii="Arial" w:cs="Arial" w:eastAsia="Arial" w:hAnsi="Arial"/>
          <w:sz w:val="16"/>
          <w:szCs w:val="16"/>
          <w:color w:val="auto"/>
        </w:rPr>
        <w:t xml:space="preserve">. The Company shall return to the status of unauthorized and undesignated shares of Preferred Stock each share of Series C Preferred Stock which shall be converted, redeemed or for any other reason acquired by the Company, and such shares thereafter may have such characteristics and designations as the Board may determine (subject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 of Series C Preferred Stock which shall be converted, redeemed or otherwise acquired by the Company shall thereafter be reissued, sold or transferred by the Company as Series C Preferred Stock. The Company will not issue any further shares of Series C Preferred Stock.</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30" w:name="page131"/>
    <w:bookmarkEnd w:id="130"/>
    <w:p>
      <w:pPr>
        <w:ind w:left="-8" w:firstLine="8"/>
        <w:spacing w:after="0" w:line="302" w:lineRule="auto"/>
        <w:tabs>
          <w:tab w:leader="none" w:pos="172"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Subdivision of Common Stock</w:t>
      </w:r>
      <w:r>
        <w:rPr>
          <w:rFonts w:ascii="Arial" w:cs="Arial" w:eastAsia="Arial" w:hAnsi="Arial"/>
          <w:sz w:val="16"/>
          <w:szCs w:val="16"/>
          <w:color w:val="auto"/>
        </w:rPr>
        <w:t>. Notwithstanding anything herein to the contrary, if the Company at any time subdivides (by any stock split, stock dividend, recapitalization, reorganization, reclassification or otherwise) the shares of Common Stock and/or Common Stock Equivalent Junior Preferred Stock into a greater number of shares, then, after the date of record for effecting each such subdivision, all measurements and references herein related to share prices for such securities will be proportionately decreased and all references to share numbers for such securities herein will be proportionately increased.</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8" w:right="60" w:firstLine="8"/>
        <w:spacing w:after="0" w:line="253" w:lineRule="auto"/>
        <w:tabs>
          <w:tab w:leader="none" w:pos="17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Nonperformance</w:t>
      </w:r>
      <w:r>
        <w:rPr>
          <w:rFonts w:ascii="Arial" w:cs="Arial" w:eastAsia="Arial" w:hAnsi="Arial"/>
          <w:sz w:val="18"/>
          <w:szCs w:val="18"/>
          <w:color w:val="auto"/>
        </w:rPr>
        <w:t>. If the Company, shall (i) at any time fail to deliver the shares of Common Stock Equivalent Junior Preferred Stock required to be delivered to the Holder pursuant hereto or (ii) at any time after the Company has obtained the approval of the stockholders of the Company to increase the authorized number of shares of Common Stock, fail to deliver the shares of Common Stock or required to be delivered to the Holder pursuant hereto, for any reason other than the failure of any condition precedent to the Company’s obligations hereunder or the failure by the Holder to comply with its obligations hereunder, then the Company shall (without limitation to the Holder’s other remedies at law or in equity): (i) indemnify and hold the Holder harmless against any loss, claim or damage arising from or as a result of such failure by the Company (regardless of whether any of the foregoing results from a third-party claim or otherwise) and (ii) reimburse the Holder for all of its reasonable out-of-pocket expenses (which includes fees and expenses of its counsel) incurred by the Holder in connection herewith and the transactions contemplated herein (regardless of whether any of the foregoing results from a third-party claim or otherwise).</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72" w:hanging="272"/>
        <w:spacing w:after="0"/>
        <w:tabs>
          <w:tab w:leader="none" w:pos="27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Holder may, in its sole discretion, freely assign, pledge, hypothecate or transfer all shares of Series C Preferred Stock.</w:t>
      </w: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[The rest of this page is intentionally left blank.]</w:t>
      </w: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733425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760" w:right="279" w:bottom="1440" w:gutter="0" w:footer="0" w:header="0"/>
        </w:sectPr>
      </w:pPr>
    </w:p>
    <w:bookmarkStart w:id="131" w:name="page132"/>
    <w:bookmarkEnd w:id="131"/>
    <w:p>
      <w:pPr>
        <w:spacing w:after="0" w:line="277" w:lineRule="auto"/>
        <w:rPr>
          <w:sz w:val="20"/>
          <w:szCs w:val="20"/>
          <w:color w:val="auto"/>
        </w:rPr>
      </w:pPr>
      <w:r>
        <w:rPr>
          <w:rFonts w:ascii="Arial" w:cs="Arial" w:eastAsia="Arial" w:hAnsi="Arial"/>
          <w:sz w:val="18"/>
          <w:szCs w:val="18"/>
          <w:color w:val="auto"/>
        </w:rPr>
        <w:t>IN WITNESS WHEREOF, this Certificate of Rights and Preferences has been signed on behalf of the Company by its Chief Financial Officer and attested to by its Corporate Secretary, all as of the date first set forth above.</w:t>
      </w:r>
    </w:p>
    <w:p>
      <w:pPr>
        <w:spacing w:after="0" w:line="381" w:lineRule="exact"/>
        <w:rPr>
          <w:sz w:val="20"/>
          <w:szCs w:val="20"/>
          <w:color w:val="auto"/>
        </w:rPr>
      </w:pPr>
    </w:p>
    <w:p>
      <w:pPr>
        <w:ind w:left="5220"/>
        <w:spacing w:after="0" w:line="207" w:lineRule="exact"/>
        <w:rPr>
          <w:sz w:val="20"/>
          <w:szCs w:val="20"/>
          <w:color w:val="auto"/>
        </w:rPr>
      </w:pPr>
      <w:r>
        <w:rPr>
          <w:rFonts w:ascii="Arial" w:cs="Arial" w:eastAsia="Arial" w:hAnsi="Arial"/>
          <w:sz w:val="18"/>
          <w:szCs w:val="18"/>
          <w:color w:val="auto"/>
        </w:rPr>
        <w:t>UNITED COMMUNITY BANKS, INC.</w:t>
      </w:r>
      <w:r>
        <w:rPr>
          <w:rFonts w:ascii="MS PGothic" w:cs="MS PGothic" w:eastAsia="MS PGothic" w:hAnsi="MS PGothic"/>
          <w:sz w:val="18"/>
          <w:szCs w:val="18"/>
          <w:color w:val="auto"/>
        </w:rPr>
        <w:t> </w:t>
      </w:r>
    </w:p>
    <w:p>
      <w:pPr>
        <w:spacing w:after="0" w:line="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Rex S. Schuette</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Rex S. Schuette</w:t>
      </w:r>
    </w:p>
    <w:p>
      <w:pPr>
        <w:spacing w:after="0" w:line="9"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Lori McKay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Lori McKay</w:t>
      </w:r>
    </w:p>
    <w:p>
      <w:pPr>
        <w:spacing w:after="0" w:line="9"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Corporate Secretary</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Certificate of Rights and Preferences]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t>CERTIFICATE OF DESIGNATION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EQUIVALENT JUNIOR 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Pursuant to Section 14-2-602 of the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Georgia Business Corporation Code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United Community Banks, Inc., a corporation organized under the laws of the State of 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that:</w:t>
      </w:r>
    </w:p>
    <w:p>
      <w:pPr>
        <w:spacing w:after="0" w:line="252" w:lineRule="exact"/>
        <w:rPr>
          <w:sz w:val="20"/>
          <w:szCs w:val="20"/>
          <w:color w:val="auto"/>
        </w:rPr>
      </w:pPr>
    </w:p>
    <w:p>
      <w:pPr>
        <w:jc w:val="both"/>
        <w:ind w:left="660" w:firstLine="645"/>
        <w:spacing w:after="0" w:line="264" w:lineRule="auto"/>
        <w:tabs>
          <w:tab w:leader="none" w:pos="15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 meeting duly convened and held on March 26, 2010,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duly adopted the following resolutions authorizing the issuance and sale by the Corporation of a series of the Corporation’s preferred stock, $1.00 par value per share, to be known as the Common Stock Equivalent Junior Preferred Stock:</w:t>
      </w:r>
    </w:p>
    <w:p>
      <w:pPr>
        <w:spacing w:after="0" w:line="204" w:lineRule="exact"/>
        <w:rPr>
          <w:sz w:val="20"/>
          <w:szCs w:val="20"/>
          <w:color w:val="auto"/>
        </w:rPr>
      </w:pPr>
    </w:p>
    <w:p>
      <w:pPr>
        <w:jc w:val="both"/>
        <w:ind w:left="1300" w:right="6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xml:space="preserve">, that the powers, preferences, participation and other special rights, qualifications, limitations, restrictions and other designations of the Corporation’s Common Stock Equivalent Junior Preferred Stock, including those established by the Board and the number of authorized shares thereof, are authorized and approved as set forth in the Certificate of Designation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and made a part of these resolutions by reference.”</w:t>
      </w:r>
    </w:p>
    <w:p>
      <w:pPr>
        <w:spacing w:after="0" w:line="196" w:lineRule="exact"/>
        <w:rPr>
          <w:sz w:val="20"/>
          <w:szCs w:val="20"/>
          <w:color w:val="auto"/>
        </w:rPr>
      </w:pPr>
    </w:p>
    <w:p>
      <w:pPr>
        <w:ind w:left="660" w:hanging="4"/>
        <w:spacing w:after="0" w:line="277" w:lineRule="auto"/>
        <w:tabs>
          <w:tab w:leader="none" w:pos="84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Attached hereto, and thereby made a part hereof, is such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from the Board’s resolution designating the Common Stock Equivalent Junior Preferred Stock.</w:t>
      </w:r>
    </w:p>
    <w:p>
      <w:pPr>
        <w:spacing w:after="0" w:line="193" w:lineRule="exact"/>
        <w:rPr>
          <w:sz w:val="20"/>
          <w:szCs w:val="20"/>
          <w:color w:val="auto"/>
        </w:rPr>
      </w:pPr>
    </w:p>
    <w:p>
      <w:pPr>
        <w:ind w:firstLine="648"/>
        <w:spacing w:after="0" w:line="218"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Designation is executed on behalf of the Corporation by its duly authorized officer this 31</w:t>
      </w:r>
      <w:r>
        <w:rPr>
          <w:rFonts w:ascii="Arial" w:cs="Arial" w:eastAsia="Arial" w:hAnsi="Arial"/>
          <w:sz w:val="25"/>
          <w:szCs w:val="25"/>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2010.</w:t>
      </w:r>
    </w:p>
    <w:p>
      <w:pPr>
        <w:spacing w:after="0" w:line="22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46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23495</wp:posOffset>
            </wp:positionV>
            <wp:extent cx="20669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66925" cy="1714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Rex S. Schuette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EQUIVALENT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JUNIOR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authority vested in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by the Restated Articles of Incorporation of United Community Banks,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as amended (the “</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the Board does hereby designate, create, authorize and provide for the issue of a series of preferred stock, $1.00 par value per share, which shall be designated as “Common Stock Equivalent Junior Preferred Stock” (the “</w:t>
      </w:r>
      <w:r>
        <w:rPr>
          <w:rFonts w:ascii="Arial" w:cs="Arial" w:eastAsia="Arial" w:hAnsi="Arial"/>
          <w:sz w:val="18"/>
          <w:szCs w:val="18"/>
          <w:u w:val="single" w:color="auto"/>
          <w:color w:val="auto"/>
        </w:rPr>
        <w:t>Junior Preferred Stock</w:t>
      </w:r>
      <w:r>
        <w:rPr>
          <w:rFonts w:ascii="Arial" w:cs="Arial" w:eastAsia="Arial" w:hAnsi="Arial"/>
          <w:sz w:val="18"/>
          <w:szCs w:val="18"/>
          <w:color w:val="auto"/>
        </w:rPr>
        <w:t>”), consisting of 1,000,000 shares having the following powers, preferences, participation and other special rights, qualifications, limitations, restrictions and other designations:</w:t>
      </w:r>
    </w:p>
    <w:p>
      <w:pPr>
        <w:spacing w:after="0" w:line="21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6"/>
          <w:szCs w:val="16"/>
          <w:b w:val="1"/>
          <w:b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specified in Section VI(c).</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Rate</w:t>
      </w:r>
      <w:r>
        <w:rPr>
          <w:rFonts w:ascii="Arial" w:cs="Arial" w:eastAsia="Arial" w:hAnsi="Arial"/>
          <w:sz w:val="18"/>
          <w:szCs w:val="18"/>
          <w:color w:val="auto"/>
        </w:rPr>
        <w:t>” means the Initial Conversion Rate, subject to adjustment pursuant to Section II(b), as applicable, for any such event occurring subsequent to the initial determination of such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specified in the preamble.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specified in the preamble.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Capacity Amendment</w:t>
      </w:r>
      <w:r>
        <w:rPr>
          <w:rFonts w:ascii="Arial" w:cs="Arial" w:eastAsia="Arial" w:hAnsi="Arial"/>
          <w:sz w:val="18"/>
          <w:szCs w:val="18"/>
          <w:color w:val="auto"/>
        </w:rPr>
        <w:t>” means an amendment to the Articles of Incorporation increasing the number of shares of Common Stock that the Corporation is authorized to issue to more than 100,000,000.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specified in Section VI(b).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Dividend Equivalent Amount</w:t>
      </w:r>
      <w:r>
        <w:rPr>
          <w:rFonts w:ascii="Arial" w:cs="Arial" w:eastAsia="Arial" w:hAnsi="Arial"/>
          <w:sz w:val="18"/>
          <w:szCs w:val="18"/>
          <w:color w:val="auto"/>
        </w:rPr>
        <w:t>” has the meaning specified in Section III(a).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with respect to a share of Junior Preferred Stock, the date on which such share is converted into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Holder</w:t>
      </w:r>
      <w:r>
        <w:rPr>
          <w:rFonts w:ascii="Arial" w:cs="Arial" w:eastAsia="Arial" w:hAnsi="Arial"/>
          <w:sz w:val="18"/>
          <w:szCs w:val="18"/>
          <w:color w:val="auto"/>
        </w:rPr>
        <w:t>” means a Holder, other than the initial Holder or an affiliate thereof, who acquires one or more shares of Junior Preferred Stock following a Permitted Transfer.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shall mean the notice given by a Convertible Holder to the Corporation, specifying the number of shares of Junior Preferred Stock to be converted into Common Stock and certifying that such Person is a Convertible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specified in the preamble.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specified in Section VI(a).</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any shares of Junior Preferred Stock are registered, which may be treated by the Corporation as the absolute owner of such shares for all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Conversion Rate</w:t>
      </w:r>
      <w:r>
        <w:rPr>
          <w:rFonts w:ascii="Arial" w:cs="Arial" w:eastAsia="Arial" w:hAnsi="Arial"/>
          <w:sz w:val="18"/>
          <w:szCs w:val="18"/>
          <w:color w:val="auto"/>
        </w:rPr>
        <w:t>” means, for each share of Junior Preferred Stock, one hundred (100) shares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the date that the Junior Preferred Stock is first issued.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Preferred Stock</w:t>
      </w:r>
      <w:r>
        <w:rPr>
          <w:rFonts w:ascii="Arial" w:cs="Arial" w:eastAsia="Arial" w:hAnsi="Arial"/>
          <w:sz w:val="18"/>
          <w:szCs w:val="18"/>
          <w:color w:val="auto"/>
        </w:rPr>
        <w:t>” has the meaning specified in the preamble.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shall mean any class of capital stock or series of Preferred Stock of the Corporation established by the Board after the Issue Date, the terms of which do not expressly provide that such class or series ranks senior to or on parity with the Junior Preferred Stock as to dividend rights or rights upon the liquidation, winding-up or dissolution of the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Event</w:t>
      </w:r>
      <w:r>
        <w:rPr>
          <w:rFonts w:ascii="Arial" w:cs="Arial" w:eastAsia="Arial" w:hAnsi="Arial"/>
          <w:sz w:val="18"/>
          <w:szCs w:val="18"/>
          <w:color w:val="auto"/>
        </w:rPr>
        <w:t>” has the meaning specified in Section V(a).</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shall mean any class of capital stock or series of Preferred Stock established by the Board after the Issue Date, the terms of which expressly provide that such class or series will rank on parity with the Junior Preferred Stock as to dividend rights or rights upon the liquidation, winding-up or dissolution of the Corporation.</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means a sale or other transfer (i) to an affiliate of the initial Holder or to the Corporation; (ii) in a widespread public distribution; (iii) in transfer in which no transferee (or group of associated transferees) would receive 2 percent or more of any class of voting securities of the Corporation; or (iv) to a transferee that would control more than 50 percent of the voting securities of the Corporation without any transfer from the initial Holder.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dividend, distribution or other transaction or event in which the holders of the Common Stock (or other applicable security) have the right to receive any cash, securities or other property or in which the Common Stock (or other applicable security) is exchanged for or converted into any combination of cash, securities or other property, the date fixed for determination of holders of the Common Stock (or other applicable security) entitled to receive such cash, securities or other property (whether such date is fixed by the Board or a duly authorized committee of the Board or by statute, contract or otherwise).</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Stock</w:t>
      </w:r>
      <w:r>
        <w:rPr>
          <w:rFonts w:ascii="Arial" w:cs="Arial" w:eastAsia="Arial" w:hAnsi="Arial"/>
          <w:sz w:val="18"/>
          <w:szCs w:val="18"/>
          <w:color w:val="auto"/>
        </w:rPr>
        <w:t>” shall mean each class of capital stock or series of Preferred Stock established by the Board after the Issue Date, the terms of which expressly provide that such class or series will rank senior to the Junior Preferred Stock as to dividend rights or rights upon the liquidation, winding-up or dissolution of the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means the requisite approval by the stockholders of the Corporation of the Capacity Amendment.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shall mean the Corporation’s duly appointed transfer agent, registrar, redemption, conversion and dividend disbursing agent for the Junior Preferred Stock and transfer agent and registrar for any Common Stock issued upon conversion of the Junior Preferred Stock, or any successor duly appointed by the Corporation.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5" w:name="page136"/>
    <w:bookmarkEnd w:id="135"/>
    <w:p>
      <w:pPr>
        <w:spacing w:after="0"/>
        <w:tabs>
          <w:tab w:leader="none" w:pos="1400" w:val="left"/>
        </w:tabs>
        <w:rPr>
          <w:sz w:val="20"/>
          <w:szCs w:val="20"/>
          <w:color w:val="auto"/>
        </w:rPr>
      </w:pPr>
      <w:r>
        <w:rPr>
          <w:rFonts w:ascii="Arial" w:cs="Arial" w:eastAsia="Arial" w:hAnsi="Arial"/>
          <w:sz w:val="18"/>
          <w:szCs w:val="18"/>
          <w:b w:val="1"/>
          <w:bCs w:val="1"/>
          <w:color w:val="auto"/>
        </w:rPr>
        <w:t>Section II.</w:t>
      </w:r>
      <w:r>
        <w:rPr>
          <w:sz w:val="20"/>
          <w:szCs w:val="20"/>
          <w:color w:val="auto"/>
        </w:rPr>
        <w:tab/>
      </w:r>
      <w:r>
        <w:rPr>
          <w:rFonts w:ascii="Arial" w:cs="Arial" w:eastAsia="Arial" w:hAnsi="Arial"/>
          <w:sz w:val="15"/>
          <w:szCs w:val="15"/>
          <w:b w:val="1"/>
          <w:bCs w:val="1"/>
          <w:color w:val="auto"/>
        </w:rPr>
        <w:t>Conversion</w:t>
      </w:r>
    </w:p>
    <w:p>
      <w:pPr>
        <w:spacing w:after="0" w:line="256" w:lineRule="exact"/>
        <w:rPr>
          <w:sz w:val="20"/>
          <w:szCs w:val="20"/>
          <w:color w:val="auto"/>
        </w:rPr>
      </w:pPr>
    </w:p>
    <w:p>
      <w:pPr>
        <w:jc w:val="both"/>
        <w:ind w:firstLine="656"/>
        <w:spacing w:after="0" w:line="255" w:lineRule="auto"/>
        <w:tabs>
          <w:tab w:leader="none" w:pos="13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No share of Junior Preferred Stock (or fraction thereof) may be converted into Common Stock unless held by a Convertible Holder. Each share of Junior Preferred Stock (or fraction thereof) held by a Convertible Holder shall be convertible at any time following the Stockholder Approval into a number of shares of Common Stock equal to the product of (i) the fraction of a share of Junior Preferred Stock converted and (ii) the Applicable Conversion Rate in effect on the Conversion Date, plus cash in lieu of any fractional shares of Common Stock pursuant to Section II(c)(iv). For all purposes with respect to the conversion of Junior Preferred Stock, references herein to “Common Stock” shall include and mean any cash, securities or other property (including payments of cash in lieu of fractional shares of Common Stock) that may be due upon such conversion and references to “Junior Preferred Stock” shall include and mean any fractional shares thereof.</w:t>
      </w:r>
    </w:p>
    <w:p>
      <w:pPr>
        <w:spacing w:after="0" w:line="216" w:lineRule="exact"/>
        <w:rPr>
          <w:rFonts w:ascii="Arial" w:cs="Arial" w:eastAsia="Arial" w:hAnsi="Arial"/>
          <w:sz w:val="18"/>
          <w:szCs w:val="18"/>
          <w:color w:val="auto"/>
        </w:rPr>
      </w:pPr>
    </w:p>
    <w:p>
      <w:pPr>
        <w:jc w:val="both"/>
        <w:ind w:firstLine="8"/>
        <w:spacing w:after="0" w:line="288" w:lineRule="auto"/>
        <w:tabs>
          <w:tab w:leader="none" w:pos="85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Adjustments to Conversion Rate. If, at any time while Junior Preferred Stock remains outstanding, (i) the Corporation issues to holders of the Common Stock as a class shares of Common Stock or other securities of the Corporation as a dividend or distribution on the Common Stock, or (ii) the Corporation effects a share split or share combination of the Common Stock, (each,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then the Corporation shall adjust the Initial Conversion Rate or Applicable Conversion Rate, as applicable, or other terms of the Junior Preferred Stock in effect immediately prior to such event so that each Holder of shares of Junior Preferred Stock thereafter surrendered for conversion shall be entitled to receive the number of shares of Common Stock that such Holder would have owned or would have been entitled to receive upon or by reason of any of the events described above, had such shares of the Junior Preferred Stock been converted into shares of Common Stock immediately prior to the occurrence of such event. An adjustment made pursuant to this Section II(b) shall become effective retroactively (x) in the case of any such dividend or distribution, to the day immediately following the close of business on the Record Date for the determination of holders of Common Stock entitled to receive such dividend or distribution or (y) in the case of any such subdivision, split, combination or reclassification, to the close of business on the day upon which such corporate action becomes effective.</w:t>
      </w:r>
    </w:p>
    <w:p>
      <w:pPr>
        <w:spacing w:after="0" w:line="196" w:lineRule="exact"/>
        <w:rPr>
          <w:rFonts w:ascii="Arial" w:cs="Arial" w:eastAsia="Arial" w:hAnsi="Arial"/>
          <w:sz w:val="16"/>
          <w:szCs w:val="16"/>
          <w:color w:val="auto"/>
        </w:rPr>
      </w:pPr>
    </w:p>
    <w:p>
      <w:pPr>
        <w:ind w:left="1360" w:hanging="704"/>
        <w:spacing w:after="0"/>
        <w:tabs>
          <w:tab w:leader="none" w:pos="136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Shares of Junior Preferred Stock shall be converted into shares of Common Stock in accordance with the following procedures:</w:t>
      </w:r>
    </w:p>
    <w:p>
      <w:pPr>
        <w:spacing w:after="0" w:line="263" w:lineRule="exact"/>
        <w:rPr>
          <w:rFonts w:ascii="Arial" w:cs="Arial" w:eastAsia="Arial" w:hAnsi="Arial"/>
          <w:sz w:val="17"/>
          <w:szCs w:val="17"/>
          <w:color w:val="auto"/>
        </w:rPr>
      </w:pPr>
    </w:p>
    <w:p>
      <w:pPr>
        <w:jc w:val="both"/>
        <w:ind w:left="660" w:firstLine="645"/>
        <w:spacing w:after="0" w:line="257" w:lineRule="auto"/>
        <w:tabs>
          <w:tab w:leader="none" w:pos="1987" w:val="left"/>
        </w:tabs>
        <w:numPr>
          <w:ilvl w:val="2"/>
          <w:numId w:val="149"/>
        </w:numPr>
        <w:rPr>
          <w:rFonts w:ascii="Arial" w:cs="Arial" w:eastAsia="Arial" w:hAnsi="Arial"/>
          <w:sz w:val="18"/>
          <w:szCs w:val="18"/>
          <w:color w:val="auto"/>
        </w:rPr>
      </w:pPr>
      <w:r>
        <w:rPr>
          <w:rFonts w:ascii="Arial" w:cs="Arial" w:eastAsia="Arial" w:hAnsi="Arial"/>
          <w:sz w:val="18"/>
          <w:szCs w:val="18"/>
          <w:color w:val="auto"/>
        </w:rPr>
        <w:t>At all times after the Stockholder Approval, a Convertible Holder may exercise a conversion right by the delivery of a Conversion Notice to the office of the Transfer Agent during normal business hours and (if so required by the Corporation or the Transfer Agent) an instrument of transfer, in form satisfactory to the Corporation and to the Transfer Agent, duly executed by such Convertible Holder or his duly authorized attorney, and funds in the amount of any applicable transfer tax (unless provision satisfactory to the Corporation is otherwise made therefor), if required pursuant to Section II(c)(iii).</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6" w:name="page137"/>
    <w:bookmarkEnd w:id="136"/>
    <w:p>
      <w:pPr>
        <w:jc w:val="both"/>
        <w:ind w:left="-540" w:firstLine="645"/>
        <w:spacing w:after="0" w:line="269" w:lineRule="auto"/>
        <w:tabs>
          <w:tab w:leader="none" w:pos="97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As promptly as practicable after the delivery of a Conversion Notice and the payment in cash of any amount required by the provisions of Sections 2(c)(i) and 2(c)(iii), the Corporation will deliver or cause to be delivered at the office of the Transfer Agent to or upon the written order of the Convertible Holder, certificates or a confirmation of book-entry transfer of shares representing the number of fully paid and non-assessable shares of Common Stock issuable upon such conversion, issued in such name or names as the Convertible Holder may direct. Such conversion shall be deemed to have been made immediately prior to the close of business on the date of the delivery of the Conversion Notice, and all rights of the Convertible Holder shall cease with respect to such shares of Junior Preferred Stock at such time and the Person or Persons in whose name or names the shares of Common Stock issued upon conversion are to be issued shall be treated for all purposes as having become the record holder or holders of such shares of Common Stock at such time; provided, however, that any delivery of a Conversion Notice and payment on any date when the stock transfer books of the Corporation shall be closed shall constitute the Person or Persons in whose name or names the shares of Common Stock are to be issued as the record holder or holders thereof for all purposes immediately prior to the close of business on the next succeeding day on which such stock transfer books are open.</w:t>
      </w:r>
    </w:p>
    <w:p>
      <w:pPr>
        <w:spacing w:after="0" w:line="209" w:lineRule="exact"/>
        <w:rPr>
          <w:rFonts w:ascii="Arial" w:cs="Arial" w:eastAsia="Arial" w:hAnsi="Arial"/>
          <w:sz w:val="17"/>
          <w:szCs w:val="17"/>
          <w:color w:val="auto"/>
        </w:rPr>
      </w:pPr>
    </w:p>
    <w:p>
      <w:pPr>
        <w:jc w:val="both"/>
        <w:ind w:left="-540" w:firstLine="645"/>
        <w:spacing w:after="0" w:line="257" w:lineRule="auto"/>
        <w:tabs>
          <w:tab w:leader="none" w:pos="9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issuance of shares of Common Stock upon conversion of shares of Junior Preferred Stock shall be made without charge for any stamp or other similar tax in respect of such issuance. However, if any such shares to be issued upon conversion are to be issued in a name other than that of the Holder of the share or shares of Junior Preferred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w:t>
      </w:r>
    </w:p>
    <w:p>
      <w:pPr>
        <w:spacing w:after="0" w:line="215" w:lineRule="exact"/>
        <w:rPr>
          <w:rFonts w:ascii="Arial" w:cs="Arial" w:eastAsia="Arial" w:hAnsi="Arial"/>
          <w:sz w:val="18"/>
          <w:szCs w:val="18"/>
          <w:color w:val="auto"/>
        </w:rPr>
      </w:pPr>
    </w:p>
    <w:p>
      <w:pPr>
        <w:jc w:val="both"/>
        <w:ind w:left="-540" w:firstLine="645"/>
        <w:spacing w:after="0" w:line="290" w:lineRule="auto"/>
        <w:tabs>
          <w:tab w:leader="none" w:pos="89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 fractional shares of Common Stock or scrip shall be issued upon conversion of shares of Junior Preferred Stock. If more than one share of Junior Preferred Stock shall be surrendered for conversion at any one time by the same Holder, the number of full shares of Common Stock issuable upon conversion thereof shall be computed on the basis of the aggregate number of shares of Junior Preferred Stock so surrendered. Instead of any fractional shares of Common Stock that would otherwise be issuable upon conversion of any shares of Junior Preferred Stock, the Corporation shall pay to the Holder an amount in cash in respect of such fractional interest equal to the value of such fractional interest based on the closing sales price of the Common Stock on such national securities exchange or automated quotation system on which the Common Stock is then listed or authorized for quotation or, if the Common Stock is not so listed or authorized for quotation, an amount determined in good faith by the Board to be the fair value of the Common Stock at the close of business on the business day immediately preceding the applicable Conversion Date.</w:t>
      </w:r>
    </w:p>
    <w:p>
      <w:pPr>
        <w:spacing w:after="0" w:line="193" w:lineRule="exact"/>
        <w:rPr>
          <w:rFonts w:ascii="Arial" w:cs="Arial" w:eastAsia="Arial" w:hAnsi="Arial"/>
          <w:sz w:val="16"/>
          <w:szCs w:val="16"/>
          <w:color w:val="auto"/>
        </w:rPr>
      </w:pPr>
    </w:p>
    <w:p>
      <w:pPr>
        <w:jc w:val="both"/>
        <w:ind w:left="-540" w:firstLine="645"/>
        <w:spacing w:after="0" w:line="257" w:lineRule="auto"/>
        <w:tabs>
          <w:tab w:leader="none" w:pos="89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all times after the Stockholder Approval, the Corporation shall be required to reserve or keep available, out of its authorized but unissued Common Stock, or have sufficient authorized Common Stock to cover, the shares of Common Stock deliverable upon the conversion of the Junior Preferred Stock The Corporation shall take all action necessary so that all shares of Common Stock that may be issued upon conversion of shares of Junior Preferred Stock will upon issue be validly issued, fully paid and nonassessable, and free from all liens and charges in respect of the issuance or delivery thereof.</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37" w:name="page138"/>
    <w:bookmarkEnd w:id="137"/>
    <w:p>
      <w:pPr>
        <w:jc w:val="both"/>
        <w:ind w:firstLine="8"/>
        <w:spacing w:after="0" w:line="259" w:lineRule="auto"/>
        <w:tabs>
          <w:tab w:leader="none" w:pos="78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From and after a Conversion Date, dividends hereunder shall no longer accrue with respect to shares of Junior Preferred Stock converted on such date, and such converted shares of Junior Preferred Stock shall cease to be outstanding, subject to the rights of Holders of such Junior Preferred Stock to receive any previously accrued and unpaid dividends on such shares and any other payments to which they are otherwise entitled pursuant to Section III or Section VI.</w:t>
      </w:r>
    </w:p>
    <w:p>
      <w:pPr>
        <w:spacing w:after="0" w:line="21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6"/>
          <w:szCs w:val="16"/>
          <w:b w:val="1"/>
          <w:bCs w:val="1"/>
          <w:color w:val="auto"/>
        </w:rPr>
        <w:t>Dividend Rights</w:t>
      </w:r>
    </w:p>
    <w:p>
      <w:pPr>
        <w:spacing w:after="0" w:line="256" w:lineRule="exact"/>
        <w:rPr>
          <w:sz w:val="20"/>
          <w:szCs w:val="20"/>
          <w:color w:val="auto"/>
        </w:rPr>
      </w:pPr>
    </w:p>
    <w:p>
      <w:pPr>
        <w:jc w:val="both"/>
        <w:ind w:firstLine="8"/>
        <w:spacing w:after="0" w:line="269" w:lineRule="auto"/>
        <w:tabs>
          <w:tab w:leader="none" w:pos="70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From and after the Issue Date, (i) Holders shall be entitled to receive, when, as and if declared by the Board or any duly authorized committee of the Board, but only out of assets legally available therefor, all dividends or other distributions in the form of cash or assets (other than shares of Common Stock) declared and paid or made in respect of the shares of Common Stock, at the same time and on the same terms as holders of Common Stock, in an amount per one-hundredth of a share of Junior Preferred Stock equal to the product of (A) the Applicable Conversion Rate then in effect and (B) any per share dividend or other distribution in the form of cash or assets (other than shares of Common Stock) declared and paid or made in respect of each share of Common Stock (the “</w:t>
      </w:r>
      <w:r>
        <w:rPr>
          <w:rFonts w:ascii="Arial" w:cs="Arial" w:eastAsia="Arial" w:hAnsi="Arial"/>
          <w:sz w:val="17"/>
          <w:szCs w:val="17"/>
          <w:u w:val="single" w:color="auto"/>
          <w:color w:val="auto"/>
        </w:rPr>
        <w:t>Common Equivalent Dividend Amount</w:t>
      </w:r>
      <w:r>
        <w:rPr>
          <w:rFonts w:ascii="Arial" w:cs="Arial" w:eastAsia="Arial" w:hAnsi="Arial"/>
          <w:sz w:val="17"/>
          <w:szCs w:val="17"/>
          <w:color w:val="auto"/>
        </w:rPr>
        <w:t>”), and (ii) no cash dividend or other cash distribution shall be declared and paid or made in respect of Common Stock unless the Board or any duly authorized committee of the Board declares and pays to Holders of the Junior Preferred Stock, at the same time and on the same terms as holders of Common Stock, the Common Equivalent Dividend Amount per one-hundredth of a share of Junior Preferred Stock. Notwithstanding any provision in this Section III(a) to the contrary, Holders of the Junior Preferred Stock shall not be entitled to receive any dividend or other distribution in the form of cash or assets (other than shares of Common Stock) paid or made with respect to the Common Stock after the Issue Date (x) if the Record Date for determination of holders of Common Stock entitled to receive such dividend or distribution occurs prior to the Issue Date, or (y) with respect to shares of Junior Preferred Stock converted on or prior to such Record Date.</w:t>
      </w:r>
    </w:p>
    <w:p>
      <w:pPr>
        <w:spacing w:after="0" w:line="206" w:lineRule="exact"/>
        <w:rPr>
          <w:rFonts w:ascii="Arial" w:cs="Arial" w:eastAsia="Arial" w:hAnsi="Arial"/>
          <w:sz w:val="17"/>
          <w:szCs w:val="17"/>
          <w:color w:val="auto"/>
        </w:rPr>
      </w:pPr>
    </w:p>
    <w:p>
      <w:pPr>
        <w:jc w:val="both"/>
        <w:ind w:firstLine="8"/>
        <w:spacing w:after="0" w:line="264" w:lineRule="auto"/>
        <w:tabs>
          <w:tab w:leader="none" w:pos="73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dividend or other distribution pursuant to Section III(a) above will be payable to Holders of record of Junior Preferred Stock as they appear in the records of the Corporation at the close of business on the Record Date for the corresponding dividend or distribution to the holders of shares of Common Stock.</w:t>
      </w:r>
    </w:p>
    <w:p>
      <w:pPr>
        <w:spacing w:after="0" w:line="208" w:lineRule="exact"/>
        <w:rPr>
          <w:rFonts w:ascii="Arial" w:cs="Arial" w:eastAsia="Arial" w:hAnsi="Arial"/>
          <w:sz w:val="18"/>
          <w:szCs w:val="18"/>
          <w:color w:val="auto"/>
        </w:rPr>
      </w:pPr>
    </w:p>
    <w:p>
      <w:pPr>
        <w:jc w:val="both"/>
        <w:ind w:firstLine="8"/>
        <w:spacing w:after="0" w:line="276" w:lineRule="auto"/>
        <w:tabs>
          <w:tab w:leader="none" w:pos="70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the extent the Corporation declares dividends on the Junior Preferred Stock and Common Stock but does not make full payment of such declared dividends, the Corporation will allocate the dividend payments on a pro rata basis among the holders of shares of Junior Preferred Stock and the holders of Common Stock so that the amount of dividends actually paid per share on the Junior Preferred Stock and Common Stock shall in all cases bear to each other the same ratio as the then Applicable Conversion Rate. The foregoing right shall not be cumulative and shall not in any way create any claim or right in favor of Holders in the event that dividends have not been declared or paid in respect of any prior calendar quarter.</w:t>
      </w:r>
    </w:p>
    <w:p>
      <w:pPr>
        <w:spacing w:after="0" w:line="199" w:lineRule="exact"/>
        <w:rPr>
          <w:rFonts w:ascii="Arial" w:cs="Arial" w:eastAsia="Arial" w:hAnsi="Arial"/>
          <w:sz w:val="17"/>
          <w:szCs w:val="17"/>
          <w:color w:val="auto"/>
        </w:rPr>
      </w:pPr>
    </w:p>
    <w:p>
      <w:pPr>
        <w:jc w:val="both"/>
        <w:ind w:firstLine="8"/>
        <w:spacing w:after="0" w:line="264" w:lineRule="auto"/>
        <w:tabs>
          <w:tab w:leader="none" w:pos="93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Holders of Junior Preferred Stock shall not be entitled to any dividends, whether payable in cash, securities or other property, on the Junior Preferred Stock other than dividends (if any) declared and payable on Junior Preferred Stock as specified in this Section III and dividends of Common Stock or other securities of the Corporation pursuant to Section II(b).</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8" w:name="page139"/>
    <w:bookmarkEnd w:id="138"/>
    <w:p>
      <w:pPr>
        <w:jc w:val="both"/>
        <w:ind w:firstLine="656"/>
        <w:spacing w:after="0" w:line="259" w:lineRule="auto"/>
        <w:tabs>
          <w:tab w:leader="none" w:pos="14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 provision in this Certificate of Designation to the contrary, Holders of Junior Preferred Stock shall not be entitled to receive any dividends with respect to any such shares converted into Common Stock, except to the extent that any such dividends have been declared by the Board or any duly authorized committee of the Board (and the Record Date for such dividend occurs) after the Issue Date and prior to the applicable Conversion Date of such shares.</w:t>
      </w:r>
    </w:p>
    <w:p>
      <w:pPr>
        <w:spacing w:after="0" w:line="21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IV.</w:t>
      </w:r>
      <w:r>
        <w:rPr>
          <w:sz w:val="20"/>
          <w:szCs w:val="20"/>
          <w:color w:val="auto"/>
        </w:rPr>
        <w:tab/>
      </w:r>
      <w:r>
        <w:rPr>
          <w:rFonts w:ascii="Arial" w:cs="Arial" w:eastAsia="Arial" w:hAnsi="Arial"/>
          <w:sz w:val="16"/>
          <w:szCs w:val="16"/>
          <w:b w:val="1"/>
          <w:bCs w:val="1"/>
          <w:color w:val="auto"/>
        </w:rPr>
        <w:t>Voting</w:t>
      </w:r>
    </w:p>
    <w:p>
      <w:pPr>
        <w:spacing w:after="0" w:line="256" w:lineRule="exact"/>
        <w:rPr>
          <w:sz w:val="20"/>
          <w:szCs w:val="20"/>
          <w:color w:val="auto"/>
        </w:rPr>
      </w:pPr>
    </w:p>
    <w:p>
      <w:pPr>
        <w:jc w:val="both"/>
        <w:ind w:firstLine="656"/>
        <w:spacing w:after="0" w:line="264" w:lineRule="auto"/>
        <w:tabs>
          <w:tab w:leader="none" w:pos="14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Shares of Junior Preferred Stock shall have no voting rights except as set forth in Section IV(b) or as otherwise required by Georgia law from time to time. In exercising the voting rights set forth in Section IV(b), each Holder shall be entitled to one vote for each share of Junior Preferred Stock held by such Holder.</w:t>
      </w:r>
    </w:p>
    <w:p>
      <w:pPr>
        <w:spacing w:after="0" w:line="208" w:lineRule="exact"/>
        <w:rPr>
          <w:rFonts w:ascii="Arial" w:cs="Arial" w:eastAsia="Arial" w:hAnsi="Arial"/>
          <w:sz w:val="18"/>
          <w:szCs w:val="18"/>
          <w:color w:val="auto"/>
        </w:rPr>
      </w:pPr>
    </w:p>
    <w:p>
      <w:pPr>
        <w:jc w:val="both"/>
        <w:ind w:firstLine="656"/>
        <w:spacing w:after="0" w:line="291" w:lineRule="auto"/>
        <w:tabs>
          <w:tab w:leader="none" w:pos="161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So long as any shares of Junior Preferred Stock remain outstanding, unless a greater percentage shall then be required by law, the Corporation shall not, without the affirmative vote or written consent of the Holders (voting or consenting separately as one class) of at least a majority of the outstanding shares of Junior Preferred Stock, amend, alter or repeal or otherwise change (including in connection with any merger, consolidation or other similar transaction) any provision of the Articles of Incorporation, including this Certificate of Designation, if the amendment, authorization or repeal would significantly and adversely affect the rights or preferences of the Junior Preferred Stock. Notwithstanding the foregoing, except as otherwise required by law, the Corporation may, without the consent of any Holder, authorize, increase the authorized amount of, or issue shares of Senior Stock or Parity Stock, and in taking such actions, the Corporation shall not be deemed to have significantly adversely affected the existing terms of the Junior Preferred Stock.</w:t>
      </w:r>
    </w:p>
    <w:p>
      <w:pPr>
        <w:spacing w:after="0" w:line="19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6"/>
          <w:szCs w:val="16"/>
          <w:b w:val="1"/>
          <w:bCs w:val="1"/>
          <w:color w:val="auto"/>
        </w:rPr>
        <w:t>Liquidation</w:t>
      </w:r>
    </w:p>
    <w:p>
      <w:pPr>
        <w:spacing w:after="0" w:line="256" w:lineRule="exact"/>
        <w:rPr>
          <w:sz w:val="20"/>
          <w:szCs w:val="20"/>
          <w:color w:val="auto"/>
        </w:rPr>
      </w:pPr>
    </w:p>
    <w:p>
      <w:pPr>
        <w:jc w:val="both"/>
        <w:ind w:firstLine="8"/>
        <w:spacing w:after="0" w:line="255" w:lineRule="auto"/>
        <w:tabs>
          <w:tab w:leader="none" w:pos="69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of the affairs of the Corporation, whether voluntary or involuntary, which occurs while any Junior Preferred Stock remains outstanding (each a “</w:t>
      </w:r>
      <w:r>
        <w:rPr>
          <w:rFonts w:ascii="Arial" w:cs="Arial" w:eastAsia="Arial" w:hAnsi="Arial"/>
          <w:sz w:val="18"/>
          <w:szCs w:val="18"/>
          <w:u w:val="single" w:color="auto"/>
          <w:color w:val="auto"/>
        </w:rPr>
        <w:t>Liquidation Event</w:t>
      </w:r>
      <w:r>
        <w:rPr>
          <w:rFonts w:ascii="Arial" w:cs="Arial" w:eastAsia="Arial" w:hAnsi="Arial"/>
          <w:sz w:val="18"/>
          <w:szCs w:val="18"/>
          <w:color w:val="auto"/>
        </w:rPr>
        <w:t>”), Holders of shares of Junior Preferred Stock shall, subject to the prior rights of any holders of Senior Stock, be entitled to receive and be paid out of the assets of the Corporation available for distribution to its stockholders, for each such share (or fraction thereof), a liquidating distribution in an amount equal to that received by holders of the Common Stock for each share of Common Stock into which such share of Junior Preferred Stock (or fraction thereof) was convertible at the Applicable Conversion Rate immediately prior to such Liquidation Event.</w:t>
      </w:r>
    </w:p>
    <w:p>
      <w:pPr>
        <w:spacing w:after="0" w:line="220" w:lineRule="exact"/>
        <w:rPr>
          <w:rFonts w:ascii="Arial" w:cs="Arial" w:eastAsia="Arial" w:hAnsi="Arial"/>
          <w:sz w:val="18"/>
          <w:szCs w:val="18"/>
          <w:color w:val="auto"/>
        </w:rPr>
      </w:pPr>
    </w:p>
    <w:p>
      <w:pPr>
        <w:jc w:val="both"/>
        <w:ind w:firstLine="8"/>
        <w:spacing w:after="0" w:line="259" w:lineRule="auto"/>
        <w:tabs>
          <w:tab w:leader="none" w:pos="73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in any distribution described in Section V(a) above, the assets of the Corporation or proceeds thereof are not sufficient to pay in full the amounts payable with respect to all outstanding shares of Junior Preferred Stock and the corresponding amounts payable with respect to the Common Stock or any other Parity Stock as to such distribution, Holders of Junior Preferred Stock and the holders of Common Stock or any other Parity Stock shall share ratably in any such distribution in proportion to the full respective distributions to which they are entitled.</w:t>
      </w:r>
    </w:p>
    <w:p>
      <w:pPr>
        <w:spacing w:after="0" w:line="213" w:lineRule="exact"/>
        <w:rPr>
          <w:rFonts w:ascii="Arial" w:cs="Arial" w:eastAsia="Arial" w:hAnsi="Arial"/>
          <w:sz w:val="18"/>
          <w:szCs w:val="18"/>
          <w:color w:val="auto"/>
        </w:rPr>
      </w:pPr>
    </w:p>
    <w:p>
      <w:pPr>
        <w:jc w:val="both"/>
        <w:ind w:firstLine="656"/>
        <w:spacing w:after="0" w:line="302" w:lineRule="auto"/>
        <w:tabs>
          <w:tab w:leader="none" w:pos="169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For purposes of this Section V, neither the sale, conveyance, exchange or transfer (for cash, shares of stock, securities or other consideration) of all or substantially all of the property and assets of the Corporation (other than in connection with the voluntary or involuntary liquidation, winding up or dissolution of the Corporation) nor the merger, consolidation or any other business combination transaction of the Corporation into or with any other corporation or Person shall be deemed to be a voluntary or involuntary dissolution, liquidation or winding up of the affairs of the Corporation.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9" w:name="page140"/>
    <w:bookmarkEnd w:id="139"/>
    <w:p>
      <w:pPr>
        <w:jc w:val="both"/>
        <w:ind w:firstLine="656"/>
        <w:spacing w:after="0" w:line="279" w:lineRule="auto"/>
        <w:tabs>
          <w:tab w:leader="none" w:pos="135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of the Corporation, the Corporation shall, within ten (10) days after the date the Board approves such action, or at least twenty (20) days prior to any stockholder’s meeting called to approve such action, if applicable, or within twenty (20) days after the commencement of any involuntary proceeding, whichever is earlier, give each Holder initial written notice of the proposed action. Such initial written notice shall describe the material terms and conditions of such proposed action.</w:t>
      </w:r>
    </w:p>
    <w:p>
      <w:pPr>
        <w:spacing w:after="0" w:line="19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VI.</w:t>
      </w:r>
      <w:r>
        <w:rPr>
          <w:sz w:val="20"/>
          <w:szCs w:val="20"/>
          <w:color w:val="auto"/>
        </w:rPr>
        <w:tab/>
      </w:r>
      <w:r>
        <w:rPr>
          <w:rFonts w:ascii="Arial" w:cs="Arial" w:eastAsia="Arial" w:hAnsi="Arial"/>
          <w:sz w:val="16"/>
          <w:szCs w:val="16"/>
          <w:b w:val="1"/>
          <w:bCs w:val="1"/>
          <w:color w:val="auto"/>
        </w:rPr>
        <w:t>Adjustments for Change of Control</w:t>
      </w:r>
    </w:p>
    <w:p>
      <w:pPr>
        <w:spacing w:after="0" w:line="256" w:lineRule="exact"/>
        <w:rPr>
          <w:sz w:val="20"/>
          <w:szCs w:val="20"/>
          <w:color w:val="auto"/>
        </w:rPr>
      </w:pPr>
    </w:p>
    <w:p>
      <w:pPr>
        <w:jc w:val="both"/>
        <w:ind w:firstLine="8"/>
        <w:spacing w:after="0" w:line="289" w:lineRule="auto"/>
        <w:tabs>
          <w:tab w:leader="none" w:pos="7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Upon the occurrence of a Change of Control (as defined herein) while any shares of Junior Preferred Stock remain outstanding, each share of Junior Preferred Stock (or fraction thereof) outstanding immediately prior to such Change of Control shall, without the consent of Holders, become convertible into the types and amounts of securities, cash, and other property that is or was receivable in such Change of Control by a holder of the number of shares of Common Stock into which such share of Junior Preferred Stock (or fraction thereof) was convertible immediately prior to such Change of Control (such securities, cash, and other property,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receipt of the Exchange Property would cause the Holder to the Holder to acquire control of a bank, as “control” is defined in Section 2(a)(2) of the Bank Holding Company Act of 1956, as amended, and the implementing regulations of the Board of Governors of the Federal Reserve System, require the Holder to file a Change in Bank Control Act notice or require the Holder to make any similar regulatory filing, proper provision shall be made for such Holder to receive shares of non-voting securities in lieu of any voting securities included in the Exchange Property, the terms of which non-voting securities shall be as nearly equivalent as practicable to those of the Junior Preferred Stock.</w:t>
      </w:r>
    </w:p>
    <w:p>
      <w:pPr>
        <w:spacing w:after="0" w:line="193" w:lineRule="exact"/>
        <w:rPr>
          <w:rFonts w:ascii="Arial" w:cs="Arial" w:eastAsia="Arial" w:hAnsi="Arial"/>
          <w:sz w:val="16"/>
          <w:szCs w:val="16"/>
          <w:color w:val="auto"/>
        </w:rPr>
      </w:pPr>
    </w:p>
    <w:p>
      <w:pPr>
        <w:ind w:left="740" w:hanging="732"/>
        <w:spacing w:after="0"/>
        <w:tabs>
          <w:tab w:leader="none" w:pos="7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firstLine="1364"/>
        <w:spacing w:after="0" w:line="312" w:lineRule="auto"/>
        <w:tabs>
          <w:tab w:leader="none" w:pos="164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an acquisition of more than fifty percent (50%) of the equity securities of the Corporation (measured by vote or value) by means of merger or other form of corporate reorganization in which outstanding shares of the Corporation are exchanged for securities or other consideration issued, or caused to be issued, by the Acquiring Person (as defined below) or its Parent, Subsidiary or Affiliate (each as defined in Rule 12b-2 of the Exchange Act);</w:t>
      </w:r>
    </w:p>
    <w:p>
      <w:pPr>
        <w:spacing w:after="0" w:line="174" w:lineRule="exact"/>
        <w:rPr>
          <w:sz w:val="20"/>
          <w:szCs w:val="20"/>
          <w:color w:val="auto"/>
        </w:rPr>
      </w:pPr>
    </w:p>
    <w:p>
      <w:pPr>
        <w:ind w:right="180" w:firstLine="1350"/>
        <w:spacing w:after="0" w:line="277" w:lineRule="auto"/>
        <w:tabs>
          <w:tab w:leader="none" w:pos="165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of the assets of the Corporation (on a consolidated basis) in a single transaction or series of related transactions;</w:t>
      </w:r>
    </w:p>
    <w:p>
      <w:pPr>
        <w:spacing w:after="0" w:line="197" w:lineRule="exact"/>
        <w:rPr>
          <w:rFonts w:ascii="Arial" w:cs="Arial" w:eastAsia="Arial" w:hAnsi="Arial"/>
          <w:sz w:val="18"/>
          <w:szCs w:val="18"/>
          <w:color w:val="auto"/>
        </w:rPr>
      </w:pPr>
    </w:p>
    <w:p>
      <w:pPr>
        <w:ind w:right="60" w:firstLine="1350"/>
        <w:spacing w:after="0" w:line="264" w:lineRule="auto"/>
        <w:tabs>
          <w:tab w:leader="none" w:pos="170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tender offer, exchange offer, stock purchase or other transaction or event or series of related transactions or events by or involving the Corporation in which a single entity or group becomes the direct or indirect owner of more than fifty percent (50%) of the equity securities of the Corporation (measured by vote or value);</w:t>
      </w:r>
    </w:p>
    <w:p>
      <w:pPr>
        <w:spacing w:after="0" w:line="208" w:lineRule="exact"/>
        <w:rPr>
          <w:rFonts w:ascii="Arial" w:cs="Arial" w:eastAsia="Arial" w:hAnsi="Arial"/>
          <w:sz w:val="18"/>
          <w:szCs w:val="18"/>
          <w:color w:val="auto"/>
        </w:rPr>
      </w:pPr>
    </w:p>
    <w:p>
      <w:pPr>
        <w:ind w:left="1660" w:hanging="310"/>
        <w:spacing w:after="0"/>
        <w:tabs>
          <w:tab w:leader="none" w:pos="1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capital reorganization or reclassification of the Common Stock or other securities.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Notwithstanding anything contained herein to the contrary, a change in the state of incorporation of the Corporation shall not in and of itself constitute a Change of Control.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0" w:name="page141"/>
    <w:bookmarkEnd w:id="140"/>
    <w:p>
      <w:pPr>
        <w:jc w:val="both"/>
        <w:ind w:firstLine="8"/>
        <w:spacing w:after="0" w:line="288" w:lineRule="auto"/>
        <w:tabs>
          <w:tab w:leader="none" w:pos="7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means, in connection with any Change of Control any of the following, at the Holder’s election, (i) the continuing or surviving Person of a consolidation or merger with the Corporation (if other than the Corporation), (ii) the transferee of all or substantially all of the properties or assets of the Corporation, (iii) the corporation consolidating with or merging into the Corporation in a consolidation or merger in connection with which the Common Stock is changed into or exchanged for stock or other securities of any other Person or cash or any other property, (iv) the entity or group acting in concert acquiring or possessing the power to cast the majority of the eligible votes at a meeting of the Corporation’s stockholders at which directors are elected, or, (v) in the case of a capital reorganization or reclassification, the Corporation, or (vi) at the Holder’s election, any Person that (x) controls the Acquiring Person directly or indirectly through one or more intermediaries, (y) is required to include the Acquiring Person in the consolidated financial statements contained in such Person’s Annual Report on Form 10 K (if such Person is required to file such a report) or would be required to so include the Acquiring Person in such Person’s consolidated financial statements if they were prepared in accordance with U.S. generally accepted accounting principles and (z) is not itself included in the consolidated financial statements of any other Person (other than its consolidated subsidiaries).</w:t>
      </w:r>
    </w:p>
    <w:p>
      <w:pPr>
        <w:spacing w:after="0" w:line="196" w:lineRule="exact"/>
        <w:rPr>
          <w:rFonts w:ascii="Arial" w:cs="Arial" w:eastAsia="Arial" w:hAnsi="Arial"/>
          <w:sz w:val="16"/>
          <w:szCs w:val="16"/>
          <w:color w:val="auto"/>
        </w:rPr>
      </w:pPr>
    </w:p>
    <w:p>
      <w:pPr>
        <w:ind w:firstLine="8"/>
        <w:spacing w:after="0" w:line="277" w:lineRule="auto"/>
        <w:tabs>
          <w:tab w:leader="none" w:pos="73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holders of shares of Common Stock have the opportunity to elect the form of consideration to be received in a Change of Control, the Holders of Junior Preferred Stock shall be entitled to receive the same election.</w:t>
      </w:r>
    </w:p>
    <w:p>
      <w:pPr>
        <w:spacing w:after="0" w:line="197" w:lineRule="exact"/>
        <w:rPr>
          <w:rFonts w:ascii="Arial" w:cs="Arial" w:eastAsia="Arial" w:hAnsi="Arial"/>
          <w:sz w:val="18"/>
          <w:szCs w:val="18"/>
          <w:color w:val="auto"/>
        </w:rPr>
      </w:pPr>
    </w:p>
    <w:p>
      <w:pPr>
        <w:jc w:val="both"/>
        <w:ind w:right="20" w:firstLine="8"/>
        <w:spacing w:after="0" w:line="286" w:lineRule="auto"/>
        <w:tabs>
          <w:tab w:leader="none" w:pos="69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Corporation (or any successor) shall, within 20 days of the occurrence of any Change of Control or, if earlier, the date on which similar notice is given to holders of Common Stock, provide written notice to the Holders of such occurrence and of the type and amount of the cash, securities or other property that constitutes the Exchange Property. Failure to deliver such notice shall not affect the operation of this Section VI.</w:t>
      </w:r>
    </w:p>
    <w:p>
      <w:pPr>
        <w:spacing w:after="0" w:line="18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VII.</w:t>
      </w:r>
      <w:r>
        <w:rPr>
          <w:sz w:val="20"/>
          <w:szCs w:val="20"/>
          <w:color w:val="auto"/>
        </w:rPr>
        <w:tab/>
      </w:r>
      <w:r>
        <w:rPr>
          <w:rFonts w:ascii="Arial" w:cs="Arial" w:eastAsia="Arial" w:hAnsi="Arial"/>
          <w:sz w:val="16"/>
          <w:szCs w:val="16"/>
          <w:b w:val="1"/>
          <w:bCs w:val="1"/>
          <w:color w:val="auto"/>
        </w:rPr>
        <w:t>Reports as to Adjustments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Whenever the number of shares of Common Stock into which the shares of Junior Preferred Stock are convertible is adjusted as provided in Section II(b), the Corporation shall, as soon as is reasonable practicable, compute such adjustment and furnish to the Holders a certificate of the Corporation, setting forth the number of shares of Common Stock into which each share of Junior Preferred Stock (or fraction thereof) is convertible as a result of such adjustment, a brief statement of the facts requiring such adjustment, the computation thereof and when such adjustment will become effective.</w:t>
      </w:r>
    </w:p>
    <w:p>
      <w:pPr>
        <w:spacing w:after="0" w:line="19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VIII.</w:t>
      </w:r>
      <w:r>
        <w:rPr>
          <w:sz w:val="20"/>
          <w:szCs w:val="20"/>
          <w:color w:val="auto"/>
        </w:rPr>
        <w:tab/>
      </w:r>
      <w:r>
        <w:rPr>
          <w:rFonts w:ascii="Arial" w:cs="Arial" w:eastAsia="Arial" w:hAnsi="Arial"/>
          <w:sz w:val="16"/>
          <w:szCs w:val="16"/>
          <w:b w:val="1"/>
          <w:bCs w:val="1"/>
          <w:color w:val="auto"/>
        </w:rPr>
        <w:t>Transfer Restrictions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Shares of Junior Preferred Stock may not be transferred to any Person other than pursuant to a Permitted Transfer, and any attempt to transfer one or more shares of Junior Preferred Stock (or fraction thereof) to a Person other than pursuant to a Permitted Transfer shall be void and of no effect.</w:t>
      </w:r>
    </w:p>
    <w:p>
      <w:pPr>
        <w:spacing w:after="0" w:line="17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IX.</w:t>
      </w:r>
      <w:r>
        <w:rPr>
          <w:sz w:val="20"/>
          <w:szCs w:val="20"/>
          <w:color w:val="auto"/>
        </w:rPr>
        <w:tab/>
      </w:r>
      <w:r>
        <w:rPr>
          <w:rFonts w:ascii="Arial" w:cs="Arial" w:eastAsia="Arial" w:hAnsi="Arial"/>
          <w:sz w:val="16"/>
          <w:szCs w:val="16"/>
          <w:b w:val="1"/>
          <w:bCs w:val="1"/>
          <w:color w:val="auto"/>
        </w:rPr>
        <w:t>Exclusion of Other Rights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may otherwise be required by law, shares of Junior Preferred Stock shall not have any powers, preferences, participation and other special rights, qualifications, limitations, restrictions and other designations, other than those specifically set forth herein (as this Certificate of Designation may be amended from time to time) and in the Articles of Incorporation. The shares of Junior Preferred Stock shall have no preemptive or subscription rights.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1" w:name="page142"/>
    <w:bookmarkEnd w:id="141"/>
    <w:p>
      <w:pPr>
        <w:spacing w:after="0"/>
        <w:tabs>
          <w:tab w:leader="none" w:pos="1400" w:val="left"/>
        </w:tabs>
        <w:rPr>
          <w:sz w:val="20"/>
          <w:szCs w:val="20"/>
          <w:color w:val="auto"/>
        </w:rPr>
      </w:pPr>
      <w:r>
        <w:rPr>
          <w:rFonts w:ascii="Arial" w:cs="Arial" w:eastAsia="Arial" w:hAnsi="Arial"/>
          <w:sz w:val="18"/>
          <w:szCs w:val="18"/>
          <w:b w:val="1"/>
          <w:bCs w:val="1"/>
          <w:color w:val="auto"/>
        </w:rPr>
        <w:t>Section X.</w:t>
      </w:r>
      <w:r>
        <w:rPr>
          <w:sz w:val="20"/>
          <w:szCs w:val="20"/>
          <w:color w:val="auto"/>
        </w:rPr>
        <w:tab/>
      </w:r>
      <w:r>
        <w:rPr>
          <w:rFonts w:ascii="Arial" w:cs="Arial" w:eastAsia="Arial" w:hAnsi="Arial"/>
          <w:sz w:val="16"/>
          <w:szCs w:val="16"/>
          <w:b w:val="1"/>
          <w:bCs w:val="1"/>
          <w:color w:val="auto"/>
        </w:rPr>
        <w:t>Severability of Provisions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any powers, preferences, participation and other special rights, qualifications, limitations, restrictions and other designations of the Junior Preferred Stock set forth in this Certificate of Designation (as this Certificate of Designation may be amended from time to time) is invalid, unlawful or incapable of being enforced by reason of any rule of law or public policy, all other powers, preferences, participation and other special rights, qualifications, limitations, restrictions and other designations of the Junior Preferred Stock set forth in this Certificate of Designation (as so amended) which can be given effect without the invalid, unlawful or unenforceable powers, preferences, participation and other special rights, qualifications, limitations, restrictions and other designations of the Junior Preferred Stock shall, nevertheless, remain in full force and effect, and no powers, preferences, participation and other special rights, qualifications, limitations, restrictions and other designations of the Junior Preferred Stock herein set forth shall be deemed dependent upon any other such powers, preferences, participation and other special rights, qualifications, limitations, restrictions and other designations of the Junior Preferred Stock unless so expressed herein.</w:t>
      </w:r>
    </w:p>
    <w:p>
      <w:pPr>
        <w:spacing w:after="0" w:line="22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XI.</w:t>
      </w:r>
      <w:r>
        <w:rPr>
          <w:sz w:val="20"/>
          <w:szCs w:val="20"/>
          <w:color w:val="auto"/>
        </w:rPr>
        <w:tab/>
      </w:r>
      <w:r>
        <w:rPr>
          <w:rFonts w:ascii="Arial" w:cs="Arial" w:eastAsia="Arial" w:hAnsi="Arial"/>
          <w:sz w:val="17"/>
          <w:szCs w:val="17"/>
          <w:b w:val="1"/>
          <w:bCs w:val="1"/>
          <w:color w:val="auto"/>
        </w:rPr>
        <w:t>Rank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anything set forth in the Articles of Incorporation or this Certificate of Designation to the contrary, the Board or any authorized committee of the Board, without the vote of Holders of the Junior Preferred Stock, may authorize and issue additional shares of stock ranking junior or senior to, or on parity with, the Junior Preferred Stock as to dividends and the distribution of assets upon any voluntary or involuntary liquidation, dissolution or winding up of the affairs of the Corporation or any other powers, preferences, participation and other special rights, qualifications, limitations, restrictions and other designations.</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XII.</w:t>
      </w:r>
      <w:r>
        <w:rPr>
          <w:sz w:val="20"/>
          <w:szCs w:val="20"/>
          <w:color w:val="auto"/>
        </w:rPr>
        <w:tab/>
      </w:r>
      <w:r>
        <w:rPr>
          <w:rFonts w:ascii="Arial" w:cs="Arial" w:eastAsia="Arial" w:hAnsi="Arial"/>
          <w:sz w:val="16"/>
          <w:szCs w:val="16"/>
          <w:b w:val="1"/>
          <w:bCs w:val="1"/>
          <w:color w:val="auto"/>
        </w:rPr>
        <w:t>No Redemption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may not, at any time, redeem the outstanding shares of the Junior Preferred Stock, except upon the unanimous consent of the Holders of all outstanding shares of Junior Preferred Stock.</w:t>
      </w:r>
    </w:p>
    <w:p>
      <w:pPr>
        <w:spacing w:after="0" w:line="19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XIII.</w:t>
      </w:r>
      <w:r>
        <w:rPr>
          <w:sz w:val="20"/>
          <w:szCs w:val="20"/>
          <w:color w:val="auto"/>
        </w:rPr>
        <w:tab/>
      </w:r>
      <w:r>
        <w:rPr>
          <w:rFonts w:ascii="Arial" w:cs="Arial" w:eastAsia="Arial" w:hAnsi="Arial"/>
          <w:sz w:val="15"/>
          <w:szCs w:val="15"/>
          <w:b w:val="1"/>
          <w:bCs w:val="1"/>
          <w:color w:val="auto"/>
        </w:rPr>
        <w:t>Repurchases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limitations imposed herein, the Corporation may purchase and sell shares of Junior Preferred Stock (or fraction thereof) from time to time to such extent, in such manner, and upon such terms as the Board or any duly authorized committee of the Board may determine.</w:t>
      </w:r>
    </w:p>
    <w:p>
      <w:pPr>
        <w:spacing w:after="0" w:line="19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Section XIV.</w:t>
      </w:r>
      <w:r>
        <w:rPr>
          <w:sz w:val="20"/>
          <w:szCs w:val="20"/>
          <w:color w:val="auto"/>
        </w:rPr>
        <w:tab/>
      </w:r>
      <w:r>
        <w:rPr>
          <w:rFonts w:ascii="Arial" w:cs="Arial" w:eastAsia="Arial" w:hAnsi="Arial"/>
          <w:sz w:val="16"/>
          <w:szCs w:val="16"/>
          <w:b w:val="1"/>
          <w:bCs w:val="1"/>
          <w:color w:val="auto"/>
        </w:rPr>
        <w:t>No Sinking Fund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Shares of Junior Preferred Stock are not subject to the operation of a sinking fund or any similar provisions.</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XV.</w:t>
      </w:r>
      <w:r>
        <w:rPr>
          <w:sz w:val="20"/>
          <w:szCs w:val="20"/>
          <w:color w:val="auto"/>
        </w:rPr>
        <w:tab/>
      </w:r>
      <w:r>
        <w:rPr>
          <w:rFonts w:ascii="Arial" w:cs="Arial" w:eastAsia="Arial" w:hAnsi="Arial"/>
          <w:sz w:val="15"/>
          <w:szCs w:val="15"/>
          <w:b w:val="1"/>
          <w:bCs w:val="1"/>
          <w:color w:val="auto"/>
        </w:rPr>
        <w:t>Notices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notices, requests and other communications to a Holder of Junior Preferred Stock shall be in writing (including facsimile transmission) and shall be given at the address of such Holder as shown on the books of the Corporation. A Holder of Junior Preferred Stock may waive any notice required hereunder by a writing signed before or after the time required for notice or the action in question. Notice shall be deemed given on the earlier of the date received or three business days after the date such notice is mailed by first-class mail, postage prepaid.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Restated Articles of Incorporation of the corporation are amended by striking the first paragraph of Article V thereof and inserting the following:</w:t>
      </w:r>
    </w:p>
    <w:p>
      <w:pPr>
        <w:spacing w:after="0" w:line="200" w:lineRule="exact"/>
        <w:rPr>
          <w:sz w:val="20"/>
          <w:szCs w:val="20"/>
          <w:color w:val="auto"/>
        </w:rPr>
      </w:pPr>
    </w:p>
    <w:p>
      <w:pPr>
        <w:spacing w:after="0" w:line="3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corporation shall have authority to issue 200,000,000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Restated Articles of Incorporation of the corporation are further amended by striking Article XI in its entirety and insert in lieu the following:</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otherwise provided by law, any amendment or repeal of any provision of the Articles of Incorporation or Article II (Stockholders’ Meetings) or III (Board of Directors) of the Bylaws of the corporation requires the affirmative vote of holders of a majority of the shares of capital stock of the corporation then issued and outstanding and entitled to vote on such matters.”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to the Restated Articles of Incorporation was adopted on February 10, 2010, and was duly approved by the shareholders entitled to vote thereon in accordance with the provisions of Section 14-2-1003 of the Georgia Business Corporation Code.</w:t>
      </w: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of United Community</w:t>
      </w:r>
      <w:r>
        <w:rPr>
          <w:rFonts w:ascii="Arial" w:cs="Arial" w:eastAsia="Arial" w:hAnsi="Arial"/>
          <w:sz w:val="18"/>
          <w:szCs w:val="18"/>
          <w:b w:val="1"/>
          <w:bCs w:val="1"/>
          <w:color w:val="auto"/>
        </w:rPr>
        <w:t xml:space="preserve"> </w:t>
      </w:r>
      <w:r>
        <w:rPr>
          <w:rFonts w:ascii="Arial" w:cs="Arial" w:eastAsia="Arial" w:hAnsi="Arial"/>
          <w:sz w:val="18"/>
          <w:szCs w:val="18"/>
          <w:color w:val="auto"/>
        </w:rPr>
        <w:t>Banks, Inc. this 27th day of May, 2010.</w:t>
      </w:r>
    </w:p>
    <w:p>
      <w:pPr>
        <w:spacing w:after="0" w:line="376" w:lineRule="exact"/>
        <w:rPr>
          <w:sz w:val="20"/>
          <w:szCs w:val="20"/>
          <w:color w:val="auto"/>
        </w:rPr>
      </w:pPr>
    </w:p>
    <w:p>
      <w:pPr>
        <w:ind w:left="5340"/>
        <w:spacing w:after="0" w:line="207" w:lineRule="exact"/>
        <w:rPr>
          <w:sz w:val="20"/>
          <w:szCs w:val="20"/>
          <w:color w:val="auto"/>
        </w:rPr>
      </w:pPr>
      <w:r>
        <w:rPr>
          <w:rFonts w:ascii="Arial" w:cs="Arial" w:eastAsia="Arial" w:hAnsi="Arial"/>
          <w:sz w:val="18"/>
          <w:szCs w:val="18"/>
          <w:b w:val="1"/>
          <w:bCs w:val="1"/>
          <w:color w:val="auto"/>
        </w:rPr>
        <w:t>UNITED COMMUNITY BANKS, INC.</w:t>
      </w:r>
      <w:r>
        <w:rPr>
          <w:rFonts w:ascii="MS PGothic" w:cs="MS PGothic" w:eastAsia="MS PGothic" w:hAnsi="MS PGothic"/>
          <w:sz w:val="18"/>
          <w:szCs w:val="18"/>
          <w:color w:val="auto"/>
        </w:rPr>
        <w:t> </w:t>
      </w:r>
    </w:p>
    <w:p>
      <w:pPr>
        <w:spacing w:after="0" w:line="5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Jimmy C. Tallent</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Jimmy C. Tallent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1478915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8890"/>
                    </a:xfrm>
                    <a:prstGeom prst="rect">
                      <a:avLst/>
                    </a:prstGeom>
                    <a:noFill/>
                  </pic:spPr>
                </pic:pic>
              </a:graphicData>
            </a:graphic>
          </wp:anchor>
        </w:drawing>
        <w:t>ARTICLES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The Restated Articles of Incorporation, as amended, of the corporation are amended by adding the powers, rights, and preferences, and the qualifications, limitations, and restrictions thereof, of the Fixed Rate Cumulative Perpetual Preferred Stock, Series B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amendment was adopted by the board of directors of the corporation at a meeting held on October 23, 2008. Pursuant to O.C.G.A. § 14-2-602 and Article V of the Restated Articles of Incorporation, as amended, of the corporation, shareholder consent was not required.</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has executed these Articles of Amendment to the Restated Articles of Incorporation, as amended, of United Community Bank, Inc. this 4th day of December, 2008.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UNITED COMMUNITY BANK,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58623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FIXED RATE CUMULATIVE PERPETUAL PREFERRED STOCK, SERIES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Part 1. </w:t>
      </w:r>
      <w:r>
        <w:rPr>
          <w:rFonts w:ascii="Arial" w:cs="Arial" w:eastAsia="Arial" w:hAnsi="Arial"/>
          <w:sz w:val="18"/>
          <w:szCs w:val="18"/>
          <w:u w:val="single" w:color="auto"/>
          <w:color w:val="auto"/>
        </w:rPr>
        <w:t>Designation and Number of Shares</w:t>
      </w:r>
      <w:r>
        <w:rPr>
          <w:rFonts w:ascii="Arial" w:cs="Arial" w:eastAsia="Arial" w:hAnsi="Arial"/>
          <w:sz w:val="18"/>
          <w:szCs w:val="18"/>
          <w:color w:val="auto"/>
        </w:rPr>
        <w:t>. There is hereby created out of the authorized and unissued shares of preferred stock of the Corporation a series of preferred stock designated as the “Fixed Rate Cumulative Perpetual Preferred Stock, Series B” (the “</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The authorized number of shares of Designated Preferred Stock shall be 180,000.</w:t>
      </w:r>
    </w:p>
    <w:p>
      <w:pPr>
        <w:spacing w:after="0" w:line="20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 xml:space="preserve">Part 2. </w:t>
      </w:r>
      <w:r>
        <w:rPr>
          <w:rFonts w:ascii="Arial" w:cs="Arial" w:eastAsia="Arial" w:hAnsi="Arial"/>
          <w:sz w:val="17"/>
          <w:szCs w:val="17"/>
          <w:u w:val="single" w:color="auto"/>
          <w:color w:val="auto"/>
        </w:rPr>
        <w:t>Standard Provisions</w:t>
      </w:r>
      <w:r>
        <w:rPr>
          <w:rFonts w:ascii="Arial" w:cs="Arial" w:eastAsia="Arial" w:hAnsi="Arial"/>
          <w:sz w:val="17"/>
          <w:szCs w:val="17"/>
          <w:color w:val="auto"/>
        </w:rPr>
        <w:t>. The Standard Provisions contained in Annex A attached hereto are incorporated herein by reference in their entirety and shall be deemed to be a part of this Certificate of Designations to the same extent as if such provisions had been set forth in full herein.</w:t>
      </w:r>
    </w:p>
    <w:p>
      <w:pPr>
        <w:spacing w:after="0" w:line="17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Part 3.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are used in this Certificate of Designations (including the Standard Provisions in Annex A hereto) as defined below:</w:t>
      </w:r>
    </w:p>
    <w:p>
      <w:pPr>
        <w:spacing w:after="0" w:line="197" w:lineRule="exact"/>
        <w:rPr>
          <w:sz w:val="20"/>
          <w:szCs w:val="20"/>
          <w:color w:val="auto"/>
        </w:rPr>
      </w:pPr>
    </w:p>
    <w:p>
      <w:pPr>
        <w:ind w:left="1180" w:hanging="524"/>
        <w:spacing w:after="0"/>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$1.00 per share, of the Corporation.</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252" w:lineRule="exact"/>
        <w:rPr>
          <w:rFonts w:ascii="Arial" w:cs="Arial" w:eastAsia="Arial" w:hAnsi="Arial"/>
          <w:sz w:val="18"/>
          <w:szCs w:val="18"/>
          <w:color w:val="auto"/>
        </w:rPr>
      </w:pPr>
    </w:p>
    <w:p>
      <w:pPr>
        <w:ind w:right="20" w:firstLine="656"/>
        <w:spacing w:after="0" w:line="308" w:lineRule="auto"/>
        <w:tabs>
          <w:tab w:leader="none" w:pos="116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means the Common Stock and any other class or series of stock of the Corporation the terms of which expressly provide that it ranks junior to Designated Preferred Stock as to dividend rights and/or as to rights on liquidation, dissolution or winding up of the Corporation.</w:t>
      </w:r>
    </w:p>
    <w:p>
      <w:pPr>
        <w:spacing w:after="0" w:line="173" w:lineRule="exact"/>
        <w:rPr>
          <w:rFonts w:ascii="Arial" w:cs="Arial" w:eastAsia="Arial" w:hAnsi="Arial"/>
          <w:sz w:val="17"/>
          <w:szCs w:val="17"/>
          <w:color w:val="auto"/>
        </w:rPr>
      </w:pPr>
    </w:p>
    <w:p>
      <w:pPr>
        <w:ind w:left="1140" w:hanging="484"/>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Designated Preferred Stock.</w:t>
      </w:r>
    </w:p>
    <w:p>
      <w:pPr>
        <w:spacing w:after="0" w:line="252" w:lineRule="exact"/>
        <w:rPr>
          <w:rFonts w:ascii="Arial" w:cs="Arial" w:eastAsia="Arial" w:hAnsi="Arial"/>
          <w:sz w:val="18"/>
          <w:szCs w:val="18"/>
          <w:color w:val="auto"/>
        </w:rPr>
      </w:pPr>
    </w:p>
    <w:p>
      <w:pPr>
        <w:ind w:left="1180" w:hanging="524"/>
        <w:spacing w:after="0"/>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$45,000,000.</w:t>
      </w:r>
    </w:p>
    <w:p>
      <w:pPr>
        <w:spacing w:after="0" w:line="252" w:lineRule="exact"/>
        <w:rPr>
          <w:rFonts w:ascii="Arial" w:cs="Arial" w:eastAsia="Arial" w:hAnsi="Arial"/>
          <w:sz w:val="18"/>
          <w:szCs w:val="18"/>
          <w:color w:val="auto"/>
        </w:rPr>
      </w:pPr>
    </w:p>
    <w:p>
      <w:pPr>
        <w:ind w:right="160" w:firstLine="656"/>
        <w:spacing w:after="0" w:line="259" w:lineRule="auto"/>
        <w:tabs>
          <w:tab w:leader="none" w:pos="11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means any class or series of stock of the Corporation (other than Designated Preferred Stock) the terms of which do not expressly provide that such class or series will rank senior or junior to Designated Preferred Stock as to dividend rights and/or as to rights on liquidation, dissolution or winding up of the Corporation (in each case without regard to whether dividends accrue cumulatively or non-cumulatively). Without limiting the foregoing, Parity Stock shall include the Corporation’s Series A Non-Cumulative Preferred Stock.</w:t>
      </w:r>
    </w:p>
    <w:p>
      <w:pPr>
        <w:spacing w:after="0" w:line="213" w:lineRule="exact"/>
        <w:rPr>
          <w:rFonts w:ascii="Arial" w:cs="Arial" w:eastAsia="Arial" w:hAnsi="Arial"/>
          <w:sz w:val="18"/>
          <w:szCs w:val="18"/>
          <w:color w:val="auto"/>
        </w:rPr>
      </w:pPr>
    </w:p>
    <w:p>
      <w:pPr>
        <w:ind w:left="1180" w:hanging="524"/>
        <w:spacing w:after="0"/>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the Original Issue Date.</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Part 4. </w:t>
      </w:r>
      <w:r>
        <w:rPr>
          <w:rFonts w:ascii="Arial" w:cs="Arial" w:eastAsia="Arial" w:hAnsi="Arial"/>
          <w:sz w:val="18"/>
          <w:szCs w:val="18"/>
          <w:u w:val="single" w:color="auto"/>
          <w:color w:val="auto"/>
        </w:rPr>
        <w:t>Certain Voting Matters</w:t>
      </w:r>
      <w:r>
        <w:rPr>
          <w:rFonts w:ascii="Arial" w:cs="Arial" w:eastAsia="Arial" w:hAnsi="Arial"/>
          <w:sz w:val="18"/>
          <w:szCs w:val="18"/>
          <w:color w:val="auto"/>
        </w:rPr>
        <w:t>. Holders of shares of Designated Preferred Stock will be entitled to one vote for each such share on any matter on which holders of Designated Preferred Stock are entitled to vote, including any action by written consent.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ANNEX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STANDARD PROVISIONS</w:t>
      </w:r>
    </w:p>
    <w:p>
      <w:pPr>
        <w:spacing w:after="0" w:line="25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Matters</w:t>
      </w:r>
      <w:r>
        <w:rPr>
          <w:rFonts w:ascii="Arial" w:cs="Arial" w:eastAsia="Arial" w:hAnsi="Arial"/>
          <w:sz w:val="17"/>
          <w:szCs w:val="17"/>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Designations. The Designated Preferred Stock shall rank equally with Parity Stock and shall rank senior to Junior Stock with respect to the payment of dividends and the distribution of assets in the event of any dissolution, liquidation or winding up of the Corporation.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Standard Definitions</w:t>
      </w:r>
      <w:r>
        <w:rPr>
          <w:rFonts w:ascii="Arial" w:cs="Arial" w:eastAsia="Arial" w:hAnsi="Arial"/>
          <w:sz w:val="18"/>
          <w:szCs w:val="18"/>
          <w:color w:val="auto"/>
        </w:rPr>
        <w:t>. As used herein with respect to Designated Preferred Stock:</w:t>
      </w:r>
    </w:p>
    <w:p>
      <w:pPr>
        <w:spacing w:after="0" w:line="252" w:lineRule="exact"/>
        <w:rPr>
          <w:sz w:val="20"/>
          <w:szCs w:val="20"/>
          <w:color w:val="auto"/>
        </w:rPr>
      </w:pPr>
    </w:p>
    <w:p>
      <w:pPr>
        <w:ind w:right="60" w:firstLine="656"/>
        <w:spacing w:after="0" w:line="264" w:lineRule="auto"/>
        <w:tabs>
          <w:tab w:leader="none" w:pos="125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means (i) during the period from the Original Issue Date to, but excluding, the first day of the first Dividend Period commencing on or after the fifth anniversary of the Original Issue Date, 5% per annum and (ii) from and after the first day of the first Dividend Period commencing on or after the fifth anniversary of the Original Issue Date, 9% per annum.</w:t>
      </w:r>
    </w:p>
    <w:p>
      <w:pPr>
        <w:spacing w:after="0" w:line="208" w:lineRule="exact"/>
        <w:rPr>
          <w:rFonts w:ascii="Arial" w:cs="Arial" w:eastAsia="Arial" w:hAnsi="Arial"/>
          <w:sz w:val="18"/>
          <w:szCs w:val="18"/>
          <w:color w:val="auto"/>
        </w:rPr>
      </w:pPr>
    </w:p>
    <w:p>
      <w:pPr>
        <w:ind w:right="460" w:firstLine="656"/>
        <w:spacing w:after="0" w:line="277" w:lineRule="auto"/>
        <w:tabs>
          <w:tab w:leader="none" w:pos="12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Federal Banking Agency</w:t>
      </w:r>
      <w:r>
        <w:rPr>
          <w:rFonts w:ascii="Arial" w:cs="Arial" w:eastAsia="Arial" w:hAnsi="Arial"/>
          <w:sz w:val="18"/>
          <w:szCs w:val="18"/>
          <w:color w:val="auto"/>
        </w:rPr>
        <w:t>” means the “appropriate Federal banking agency“ with respect to the Corporation as defined in Section 3(q) of the Federal Deposit Insurance Act (12 U.S.C. Section 1813(q)), or any successor provision.</w:t>
      </w:r>
    </w:p>
    <w:p>
      <w:pPr>
        <w:spacing w:after="0" w:line="197" w:lineRule="exact"/>
        <w:rPr>
          <w:rFonts w:ascii="Arial" w:cs="Arial" w:eastAsia="Arial" w:hAnsi="Arial"/>
          <w:sz w:val="18"/>
          <w:szCs w:val="18"/>
          <w:color w:val="auto"/>
        </w:rPr>
      </w:pPr>
    </w:p>
    <w:p>
      <w:pPr>
        <w:ind w:right="360" w:firstLine="656"/>
        <w:spacing w:after="0" w:line="277" w:lineRule="auto"/>
        <w:tabs>
          <w:tab w:leader="none" w:pos="125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a merger, consolidation, statutory share exchange or similar transaction that requires the approval of the Corporation“s stockholders.</w:t>
      </w:r>
    </w:p>
    <w:p>
      <w:pPr>
        <w:spacing w:after="0" w:line="197" w:lineRule="exact"/>
        <w:rPr>
          <w:rFonts w:ascii="Arial" w:cs="Arial" w:eastAsia="Arial" w:hAnsi="Arial"/>
          <w:sz w:val="18"/>
          <w:szCs w:val="18"/>
          <w:color w:val="auto"/>
        </w:rPr>
      </w:pPr>
    </w:p>
    <w:p>
      <w:pPr>
        <w:ind w:right="160" w:firstLine="656"/>
        <w:spacing w:after="0" w:line="277" w:lineRule="auto"/>
        <w:tabs>
          <w:tab w:leader="none" w:pos="126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197" w:lineRule="exact"/>
        <w:rPr>
          <w:rFonts w:ascii="Arial" w:cs="Arial" w:eastAsia="Arial" w:hAnsi="Arial"/>
          <w:sz w:val="18"/>
          <w:szCs w:val="18"/>
          <w:color w:val="auto"/>
        </w:rPr>
      </w:pPr>
    </w:p>
    <w:p>
      <w:pPr>
        <w:ind w:left="1260" w:hanging="604"/>
        <w:spacing w:after="0"/>
        <w:tabs>
          <w:tab w:leader="none" w:pos="12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”means the bylaws of the Corporation, as they may be amended from time to time.</w:t>
      </w:r>
    </w:p>
    <w:p>
      <w:pPr>
        <w:spacing w:after="0" w:line="252" w:lineRule="exact"/>
        <w:rPr>
          <w:rFonts w:ascii="Arial" w:cs="Arial" w:eastAsia="Arial" w:hAnsi="Arial"/>
          <w:sz w:val="18"/>
          <w:szCs w:val="18"/>
          <w:color w:val="auto"/>
        </w:rPr>
      </w:pPr>
    </w:p>
    <w:p>
      <w:pPr>
        <w:ind w:right="120" w:firstLine="656"/>
        <w:spacing w:after="0" w:line="277" w:lineRule="auto"/>
        <w:tabs>
          <w:tab w:leader="none" w:pos="123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Certificate of Designations or comparable instrument relating to the Designated Preferred Stock, of which these Standard Provisions form a part, as it may be amended from time to time.</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Charter”</w:t>
      </w:r>
      <w:r>
        <w:rPr>
          <w:rFonts w:ascii="Arial" w:cs="Arial" w:eastAsia="Arial" w:hAnsi="Arial"/>
          <w:sz w:val="17"/>
          <w:szCs w:val="17"/>
          <w:color w:val="auto"/>
        </w:rPr>
        <w:t xml:space="preserve"> means the Corporation“s certificate or articles of incorporation, articles of association, or similar organizational document.</w:t>
      </w:r>
    </w:p>
    <w:p>
      <w:pPr>
        <w:spacing w:after="0" w:line="263" w:lineRule="exact"/>
        <w:rPr>
          <w:rFonts w:ascii="Arial" w:cs="Arial" w:eastAsia="Arial" w:hAnsi="Arial"/>
          <w:sz w:val="17"/>
          <w:szCs w:val="17"/>
          <w:color w:val="auto"/>
        </w:rPr>
      </w:pPr>
    </w:p>
    <w:p>
      <w:pPr>
        <w:ind w:left="1280" w:hanging="624"/>
        <w:spacing w:after="0"/>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6" w:name="page147"/>
    <w:bookmarkEnd w:id="146"/>
    <w:p>
      <w:pPr>
        <w:ind w:left="1280" w:hanging="624"/>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on which shares of Designated Preferred Stock are first issued.</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Director</w:t>
      </w:r>
      <w:r>
        <w:rPr>
          <w:rFonts w:ascii="Arial" w:cs="Arial" w:eastAsia="Arial" w:hAnsi="Arial"/>
          <w:sz w:val="18"/>
          <w:szCs w:val="18"/>
          <w:color w:val="auto"/>
        </w:rPr>
        <w:t>” has the meaning set forth in Section 7(b).</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means any and all series of preferred stock of the Corporation, including the Designated Preferred Stock.</w:t>
      </w:r>
    </w:p>
    <w:p>
      <w:pPr>
        <w:spacing w:after="0" w:line="252" w:lineRule="exact"/>
        <w:rPr>
          <w:rFonts w:ascii="Arial" w:cs="Arial" w:eastAsia="Arial" w:hAnsi="Arial"/>
          <w:sz w:val="18"/>
          <w:szCs w:val="18"/>
          <w:color w:val="auto"/>
        </w:rPr>
      </w:pPr>
    </w:p>
    <w:p>
      <w:pPr>
        <w:ind w:right="120" w:firstLine="656"/>
        <w:spacing w:after="0" w:line="257" w:lineRule="auto"/>
        <w:tabs>
          <w:tab w:leader="none" w:pos="126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Offering</w:t>
      </w:r>
      <w:r>
        <w:rPr>
          <w:rFonts w:ascii="Arial" w:cs="Arial" w:eastAsia="Arial" w:hAnsi="Arial"/>
          <w:sz w:val="18"/>
          <w:szCs w:val="18"/>
          <w:color w:val="auto"/>
        </w:rPr>
        <w:t>” means the sale and issuance for cash by the Corporation to persons other than the Corporation or any of its subsidiaries after the Original Issue Date of shares of perpetual Preferred Stock, Common Stock or any combination of such stock, that, in each case, qualify as and may be included in Tier 1 capital of the Corporation at the time of issuance under the applicable risk-based capital guidelines of the Corporation’s Appropriate Federal Banking Agency (other than any such sales and issuances made pursuant to agreements or arrangements entered into, or pursuant to financing plans which were publicly announced, on or prior to October 13, 2008).</w:t>
      </w:r>
    </w:p>
    <w:p>
      <w:pPr>
        <w:spacing w:after="0" w:line="215" w:lineRule="exact"/>
        <w:rPr>
          <w:rFonts w:ascii="Arial" w:cs="Arial" w:eastAsia="Arial" w:hAnsi="Arial"/>
          <w:sz w:val="18"/>
          <w:szCs w:val="18"/>
          <w:color w:val="auto"/>
        </w:rPr>
      </w:pPr>
    </w:p>
    <w:p>
      <w:pPr>
        <w:ind w:left="1280" w:hanging="624"/>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Provisions</w:t>
      </w:r>
      <w:r>
        <w:rPr>
          <w:rFonts w:ascii="Arial" w:cs="Arial" w:eastAsia="Arial" w:hAnsi="Arial"/>
          <w:sz w:val="17"/>
          <w:szCs w:val="17"/>
          <w:color w:val="auto"/>
        </w:rPr>
        <w:t>” mean these Standard Provisions that form a part of the Certificate of Designations relating to the Designated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237" w:lineRule="exact"/>
        <w:rPr>
          <w:rFonts w:ascii="Arial" w:cs="Arial" w:eastAsia="Arial" w:hAnsi="Arial"/>
          <w:sz w:val="17"/>
          <w:szCs w:val="17"/>
          <w:color w:val="auto"/>
        </w:rPr>
      </w:pPr>
    </w:p>
    <w:p>
      <w:pPr>
        <w:ind w:left="1280" w:hanging="624"/>
        <w:spacing w:after="0"/>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Preferred Stock”</w:t>
      </w:r>
      <w:r>
        <w:rPr>
          <w:rFonts w:ascii="Arial" w:cs="Arial" w:eastAsia="Arial" w:hAnsi="Arial"/>
          <w:sz w:val="18"/>
          <w:szCs w:val="18"/>
          <w:color w:val="auto"/>
        </w:rPr>
        <w:t xml:space="preserve"> has the meaning set forth in Section 5(a).</w:t>
      </w:r>
    </w:p>
    <w:p>
      <w:pPr>
        <w:spacing w:after="0" w:line="252" w:lineRule="exact"/>
        <w:rPr>
          <w:rFonts w:ascii="Arial" w:cs="Arial" w:eastAsia="Arial" w:hAnsi="Arial"/>
          <w:sz w:val="18"/>
          <w:szCs w:val="18"/>
          <w:color w:val="auto"/>
        </w:rPr>
      </w:pPr>
    </w:p>
    <w:p>
      <w:pPr>
        <w:ind w:right="340" w:firstLine="656"/>
        <w:spacing w:after="0" w:line="264" w:lineRule="auto"/>
        <w:tabs>
          <w:tab w:leader="none" w:pos="12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Parity Stock</w:t>
      </w:r>
      <w:r>
        <w:rPr>
          <w:rFonts w:ascii="Arial" w:cs="Arial" w:eastAsia="Arial" w:hAnsi="Arial"/>
          <w:sz w:val="18"/>
          <w:szCs w:val="18"/>
          <w:color w:val="auto"/>
        </w:rPr>
        <w:t>” means, with regard to any matter as to which the holders of Designated Preferred Stock are entitled to vote as specified in Sections 7(a) and 7(b) of these Standard Provisions that form a part of the Certificate of Designations, any and all series of Parity Stock upon which like voting rights have been conferred and are exercisable with respect to such matter.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 Dividends.</w:t>
      </w:r>
    </w:p>
    <w:p>
      <w:pPr>
        <w:spacing w:after="0" w:line="252" w:lineRule="exact"/>
        <w:rPr>
          <w:sz w:val="20"/>
          <w:szCs w:val="20"/>
          <w:color w:val="auto"/>
        </w:rPr>
      </w:pPr>
    </w:p>
    <w:p>
      <w:pPr>
        <w:ind w:firstLine="656"/>
        <w:spacing w:after="0" w:line="269" w:lineRule="auto"/>
        <w:tabs>
          <w:tab w:leader="none" w:pos="1253"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cumulative cash dividends with respect to each Dividend Period (as defined below) at a rate per annum equal to the Applicable Dividend Rate on (i) the Liquidation Amount per share of Designated Preferred Stock and (ii) the amount of accrued and unpaid dividends for any prior Dividend Period on such share of Designated Preferred Stock, if any. Such dividends shall begin to accrue and be cumulative from the Original Issue Date, shall compound on each subsequent Dividend Payment Date (</w:t>
      </w:r>
      <w:r>
        <w:rPr>
          <w:rFonts w:ascii="Arial" w:cs="Arial" w:eastAsia="Arial" w:hAnsi="Arial"/>
          <w:sz w:val="17"/>
          <w:szCs w:val="17"/>
          <w:i w:val="1"/>
          <w:iCs w:val="1"/>
          <w:color w:val="auto"/>
        </w:rPr>
        <w:t>i.e.</w:t>
      </w:r>
      <w:r>
        <w:rPr>
          <w:rFonts w:ascii="Arial" w:cs="Arial" w:eastAsia="Arial" w:hAnsi="Arial"/>
          <w:sz w:val="17"/>
          <w:szCs w:val="17"/>
          <w:color w:val="auto"/>
        </w:rPr>
        <w:t>, no dividends shall accrue on other dividends unless and until the first Dividend Payment Date for such other dividends has passed without such other dividends having been paid on such date) and shall be payable quarterly in arrears on each Dividend Payment Date, commencing with the first such Dividend Payment Date to occur at least 20 calendar days after the Original Issue Date.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7"/>
          <w:szCs w:val="17"/>
          <w:u w:val="single" w:color="auto"/>
          <w:color w:val="auto"/>
        </w:rPr>
        <w:t>Dividend Period</w:t>
      </w:r>
      <w:r>
        <w:rPr>
          <w:rFonts w:ascii="Arial" w:cs="Arial" w:eastAsia="Arial" w:hAnsi="Arial"/>
          <w:sz w:val="17"/>
          <w:szCs w:val="17"/>
          <w:color w:val="auto"/>
        </w:rPr>
        <w:t>,” provided that the initial Dividend Period shall be the period from and including the Original Issue Date to, but excluding, the next Dividend Payment Date.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7" w:name="page148"/>
    <w:bookmarkEnd w:id="147"/>
    <w:p>
      <w:pPr>
        <w:ind w:right="100" w:firstLine="648"/>
        <w:spacing w:after="0" w:line="259" w:lineRule="auto"/>
        <w:rPr>
          <w:sz w:val="20"/>
          <w:szCs w:val="20"/>
          <w:color w:val="auto"/>
        </w:rPr>
      </w:pPr>
      <w:r>
        <w:rPr>
          <w:rFonts w:ascii="Arial" w:cs="Arial" w:eastAsia="Arial" w:hAnsi="Arial"/>
          <w:sz w:val="18"/>
          <w:szCs w:val="18"/>
          <w:color w:val="auto"/>
        </w:rPr>
        <w:t>Dividends that are payable on Designated Preferred Stock in respect of any Dividend Period shall be computed on the basis of a 360-day year consisting of twelve 30-day months. The amount of dividends payable on Designated Preferred Stock on any date prior to the end of a Dividend Period, and for the initial Dividend Period, shall be computed on the basis of a 360-day year consisting of twelve 30-day months, and actual days elapsed over a 30-day month.</w:t>
      </w:r>
    </w:p>
    <w:p>
      <w:pPr>
        <w:spacing w:after="0" w:line="21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Dividends that are payable on Designated Preferred Stock on any Dividend Payment Date will be payable to holders of record of Designated Preferred Stock as they appear on the stock register of the Corporation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Any such day that is a Dividend Record Date shall be a Dividend Record Date whether or not such day is a Business Day.</w:t>
      </w:r>
    </w:p>
    <w:p>
      <w:pPr>
        <w:spacing w:after="0" w:line="20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Designations).</w:t>
      </w:r>
    </w:p>
    <w:p>
      <w:pPr>
        <w:spacing w:after="0" w:line="208" w:lineRule="exact"/>
        <w:rPr>
          <w:sz w:val="20"/>
          <w:szCs w:val="20"/>
          <w:color w:val="auto"/>
        </w:rPr>
      </w:pPr>
    </w:p>
    <w:p>
      <w:pPr>
        <w:ind w:firstLine="656"/>
        <w:spacing w:after="0" w:line="284" w:lineRule="auto"/>
        <w:tabs>
          <w:tab w:leader="none" w:pos="1263"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Designated Preferred Stock remains outstanding, no dividend or distribution shall be declared or paid on the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Designated Preferred Stock have been or are contemporaneously declared and paid in full (or have been declared and a sum sufficient for the payment thereof has been set aside for the benefit of the holders of shares of Designated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Signing Date or any subsequent agreement for the accelerated exercise, settlement or exchange thereof for Common Stock. “</w:t>
      </w:r>
      <w:r>
        <w:rPr>
          <w:rFonts w:ascii="Arial" w:cs="Arial" w:eastAsia="Arial" w:hAnsi="Arial"/>
          <w:sz w:val="16"/>
          <w:szCs w:val="16"/>
          <w:u w:val="single" w:color="auto"/>
          <w:color w:val="auto"/>
        </w:rPr>
        <w:t>Share 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Original Issue Date) resulting from the grant, vesting or exercise of equity-based compensation to employees and equitably adjusted for any stock split, stock dividend, reverse stock split, reclassification or similar transaction.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8" w:name="page149"/>
    <w:bookmarkEnd w:id="148"/>
    <w:p>
      <w:pPr>
        <w:ind w:firstLine="648"/>
        <w:spacing w:after="0" w:line="286"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Designated Preferred Stock and any shares of Parity Stock, all dividends declared on Designated Preferred Stock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Designated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 If the Board of Directors or a duly authorized committee of the Board of Directors determines not to pay any dividend or a full dividend on a Dividend Payment Date, the Corporation will provide written notice to the holders of Designated Preferred Stock prior to such Dividend Payment Date.</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149" w:name="page150"/>
    <w:bookmarkEnd w:id="149"/>
    <w:p>
      <w:pPr>
        <w:ind w:left="6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252" w:lineRule="exact"/>
        <w:rPr>
          <w:sz w:val="20"/>
          <w:szCs w:val="20"/>
          <w:color w:val="auto"/>
        </w:rPr>
      </w:pPr>
    </w:p>
    <w:p>
      <w:pPr>
        <w:ind w:left="-20" w:firstLine="656"/>
        <w:spacing w:after="0" w:line="272" w:lineRule="auto"/>
        <w:tabs>
          <w:tab w:leader="none" w:pos="123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 voluntary or involuntary, holders of Designated Preferred Stock shall be entitled to receive for each share of Designated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Designated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ind w:left="-20" w:right="60" w:firstLine="656"/>
        <w:spacing w:after="0" w:line="302" w:lineRule="auto"/>
        <w:tabs>
          <w:tab w:leader="none" w:pos="124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Corporation or proceeds thereof are not sufficient to pay in full the amounts payable with respect to all outstanding shares of Designated Preferred Stock and the corresponding amounts payable with respect of any other stock of the Corporation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181" w:lineRule="exact"/>
        <w:rPr>
          <w:rFonts w:ascii="Arial" w:cs="Arial" w:eastAsia="Arial" w:hAnsi="Arial"/>
          <w:sz w:val="16"/>
          <w:szCs w:val="16"/>
          <w:color w:val="auto"/>
        </w:rPr>
      </w:pPr>
    </w:p>
    <w:p>
      <w:pPr>
        <w:ind w:left="-20" w:firstLine="656"/>
        <w:spacing w:after="0" w:line="259" w:lineRule="auto"/>
        <w:tabs>
          <w:tab w:leader="none" w:pos="123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Residual Distributions</w:t>
      </w:r>
      <w:r>
        <w:rPr>
          <w:rFonts w:ascii="Arial" w:cs="Arial" w:eastAsia="Arial" w:hAnsi="Arial"/>
          <w:sz w:val="18"/>
          <w:szCs w:val="18"/>
          <w:color w:val="auto"/>
        </w:rPr>
        <w:t>. If the Liquidation Preference has been paid in full to all holders of Designated Preferred Stock and the corresponding amounts payable with respect of any other stock of the Corporation ranking equally with Designated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213" w:lineRule="exact"/>
        <w:rPr>
          <w:rFonts w:ascii="Arial" w:cs="Arial" w:eastAsia="Arial" w:hAnsi="Arial"/>
          <w:sz w:val="18"/>
          <w:szCs w:val="18"/>
          <w:color w:val="auto"/>
        </w:rPr>
      </w:pPr>
    </w:p>
    <w:p>
      <w:pPr>
        <w:jc w:val="both"/>
        <w:ind w:left="-20" w:right="140" w:firstLine="656"/>
        <w:spacing w:after="0" w:line="259" w:lineRule="auto"/>
        <w:tabs>
          <w:tab w:leader="none" w:pos="124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For purposes of this Section 4, the merger or consolidation of the Corporation with any other corporation or other entity, including a merger or consolidation in which the holders of Designated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52" w:lineRule="exact"/>
        <w:rPr>
          <w:sz w:val="20"/>
          <w:szCs w:val="20"/>
          <w:color w:val="auto"/>
        </w:rPr>
      </w:pPr>
    </w:p>
    <w:p>
      <w:pPr>
        <w:ind w:left="-20" w:firstLine="656"/>
        <w:spacing w:after="0" w:line="272" w:lineRule="auto"/>
        <w:tabs>
          <w:tab w:leader="none" w:pos="123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Except as provided below, the Designated Preferred Stock may not be redeemed prior to the first Dividend Payment Date falling on or after the third anniversary of the Original Issue Date. On or after the first Dividend Payment Date falling on or after the third anniversary of the Original Issue Date, the Corporation, at its option, subject to the approval of the Appropriate Federal Banking Agency, may redeem, in whole or in part, at any time and from time to time, out of funds legally available therefor,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150" w:name="page151"/>
    <w:bookmarkEnd w:id="150"/>
    <w:p>
      <w:pPr>
        <w:ind w:right="40" w:firstLine="648"/>
        <w:spacing w:after="0" w:line="283" w:lineRule="auto"/>
        <w:rPr>
          <w:sz w:val="20"/>
          <w:szCs w:val="20"/>
          <w:color w:val="auto"/>
        </w:rPr>
      </w:pPr>
      <w:r>
        <w:rPr>
          <w:rFonts w:ascii="Arial" w:cs="Arial" w:eastAsia="Arial" w:hAnsi="Arial"/>
          <w:sz w:val="16"/>
          <w:szCs w:val="16"/>
          <w:color w:val="auto"/>
        </w:rPr>
        <w:t xml:space="preserve">Notwithstanding the foregoing, prior to the first Dividend Payment Date falling on or after the third anniversary of the Original Issue Date, the Corporation, at its option, subject to the approval of the Appropriate Federal Banking Agency, may redeem, in whole or in part, at any time and from time to time,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Corporation (or any successor by Business Combination) has received aggregate gross proceeds of not less than the Minimum Amount (plus the “Minimum Amount” as defined in the relevant certificate of designations for each other outstanding series of preferred stock of such successor that was originally issued to the United States Department of the Treasury (the “</w:t>
      </w:r>
      <w:r>
        <w:rPr>
          <w:rFonts w:ascii="Arial" w:cs="Arial" w:eastAsia="Arial" w:hAnsi="Arial"/>
          <w:sz w:val="16"/>
          <w:szCs w:val="16"/>
          <w:u w:val="single" w:color="auto"/>
          <w:color w:val="auto"/>
        </w:rPr>
        <w:t>Successor Preferred Stock”</w:t>
      </w:r>
      <w:r>
        <w:rPr>
          <w:rFonts w:ascii="Arial" w:cs="Arial" w:eastAsia="Arial" w:hAnsi="Arial"/>
          <w:sz w:val="16"/>
          <w:szCs w:val="16"/>
          <w:color w:val="auto"/>
        </w:rPr>
        <w:t>) in connection with the Troubled Asset Relief Program Capital Purchase Program) from one or more Qualified Equity Offerings (including Qualified Equity Offerings of such successor), and</w:t>
      </w:r>
    </w:p>
    <w:p>
      <w:pPr>
        <w:spacing w:after="0" w:line="7" w:lineRule="exact"/>
        <w:rPr>
          <w:sz w:val="20"/>
          <w:szCs w:val="20"/>
          <w:color w:val="auto"/>
        </w:rPr>
      </w:pPr>
    </w:p>
    <w:p>
      <w:pPr>
        <w:jc w:val="both"/>
        <w:ind w:right="480" w:firstLine="8"/>
        <w:spacing w:after="0" w:line="255"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aggregate redemption price of the Designated Preferred Stock (and any Successor Preferred Stock) redeemed pursuant to this paragraph may not exceed the aggregate net cash proceeds received by the Corporation (or any successor by Business Combination) from such Qualified Equity Offerings (including Qualified Equity Offerings of such successor).</w:t>
      </w:r>
    </w:p>
    <w:p>
      <w:pPr>
        <w:spacing w:after="0" w:line="2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redemption price for any shares of Designated Preferred Stock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215" w:lineRule="exact"/>
        <w:rPr>
          <w:sz w:val="20"/>
          <w:szCs w:val="20"/>
          <w:color w:val="auto"/>
        </w:rPr>
      </w:pPr>
    </w:p>
    <w:p>
      <w:pPr>
        <w:ind w:right="540" w:firstLine="656"/>
        <w:spacing w:after="0" w:line="342" w:lineRule="auto"/>
        <w:tabs>
          <w:tab w:leader="none" w:pos="1263"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No Sinking Fund</w:t>
      </w:r>
      <w:r>
        <w:rPr>
          <w:rFonts w:ascii="Arial" w:cs="Arial" w:eastAsia="Arial" w:hAnsi="Arial"/>
          <w:sz w:val="16"/>
          <w:szCs w:val="16"/>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50" w:lineRule="exact"/>
        <w:rPr>
          <w:rFonts w:ascii="Arial" w:cs="Arial" w:eastAsia="Arial" w:hAnsi="Arial"/>
          <w:sz w:val="16"/>
          <w:szCs w:val="16"/>
          <w:color w:val="auto"/>
        </w:rPr>
      </w:pPr>
    </w:p>
    <w:p>
      <w:pPr>
        <w:ind w:firstLine="656"/>
        <w:spacing w:after="0" w:line="269" w:lineRule="auto"/>
        <w:tabs>
          <w:tab w:leader="none" w:pos="1253"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every redemption of shares of Designated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Corporation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1" w:name="page152"/>
    <w:bookmarkEnd w:id="151"/>
    <w:p>
      <w:pPr>
        <w:ind w:firstLine="656"/>
        <w:spacing w:after="0" w:line="297" w:lineRule="auto"/>
        <w:tabs>
          <w:tab w:leader="none" w:pos="1263"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xml:space="preserve">. In case of any redemption of part of the shares of Designated Preferred Stock at the time outstanding, the shares to be redeemed shall be selected either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in such other manner as the Board of Directors or a duly authorized committee thereof may determine to be fair and equitable. Subject to the provisions hereof, the Board of Directors or a duly authorized committee thereof shall have full power and authority to prescribe the terms and conditions upon which shares of Designated Preferred Stock shall be redeemed from time to time. If fewer than all the shares represented by any certificate are redeemed, a new certificate shall be issued representing the unredeemed shares without charge to the holder thereof.</w:t>
      </w:r>
    </w:p>
    <w:p>
      <w:pPr>
        <w:spacing w:after="0" w:line="185" w:lineRule="exact"/>
        <w:rPr>
          <w:rFonts w:ascii="Arial" w:cs="Arial" w:eastAsia="Arial" w:hAnsi="Arial"/>
          <w:sz w:val="16"/>
          <w:szCs w:val="16"/>
          <w:color w:val="auto"/>
        </w:rPr>
      </w:pPr>
    </w:p>
    <w:p>
      <w:pPr>
        <w:ind w:right="40" w:firstLine="656"/>
        <w:spacing w:after="0" w:line="253" w:lineRule="auto"/>
        <w:tabs>
          <w:tab w:leader="none" w:pos="1253"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Effectiveness of Redemption</w:t>
      </w:r>
      <w:r>
        <w:rPr>
          <w:rFonts w:ascii="Arial" w:cs="Arial" w:eastAsia="Arial" w:hAnsi="Arial"/>
          <w:sz w:val="18"/>
          <w:szCs w:val="18"/>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221" w:lineRule="exact"/>
        <w:rPr>
          <w:rFonts w:ascii="Arial" w:cs="Arial" w:eastAsia="Arial" w:hAnsi="Arial"/>
          <w:sz w:val="18"/>
          <w:szCs w:val="18"/>
          <w:color w:val="auto"/>
        </w:rPr>
      </w:pPr>
    </w:p>
    <w:p>
      <w:pPr>
        <w:jc w:val="both"/>
        <w:ind w:right="20" w:firstLine="656"/>
        <w:spacing w:after="0" w:line="264" w:lineRule="auto"/>
        <w:tabs>
          <w:tab w:leader="none" w:pos="127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Designated Preferred Stock that are redeemed, repurchased or otherwise acquired by the Corporation shall revert to authorized but unissued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cancelled shares of Designated Preferred Stock may be reissued only as shares of any series of Preferred Stock other than Designated Preferred Stock).</w:t>
      </w:r>
    </w:p>
    <w:p>
      <w:pPr>
        <w:spacing w:after="0" w:line="20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Conversion</w:t>
      </w:r>
      <w:r>
        <w:rPr>
          <w:rFonts w:ascii="Arial" w:cs="Arial" w:eastAsia="Arial" w:hAnsi="Arial"/>
          <w:sz w:val="18"/>
          <w:szCs w:val="18"/>
          <w:color w:val="auto"/>
        </w:rPr>
        <w:t>. Holders of Designated Preferred Stock shares shall have no right to exchange or convert such shares into any other securities.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52" w:lineRule="exact"/>
        <w:rPr>
          <w:sz w:val="20"/>
          <w:szCs w:val="20"/>
          <w:color w:val="auto"/>
        </w:rPr>
      </w:pPr>
    </w:p>
    <w:p>
      <w:pPr>
        <w:ind w:right="140" w:firstLine="656"/>
        <w:spacing w:after="0" w:line="277" w:lineRule="auto"/>
        <w:tabs>
          <w:tab w:leader="none" w:pos="1253"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Designated Preferred Stock shall not have any voting rights except as set forth below or as otherwise from time to time required by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52" w:name="page153"/>
    <w:bookmarkEnd w:id="152"/>
    <w:p>
      <w:pPr>
        <w:ind w:left="-20" w:firstLine="656"/>
        <w:spacing w:after="0" w:line="285" w:lineRule="auto"/>
        <w:tabs>
          <w:tab w:leader="none" w:pos="1243"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Whenever, at any time or times, dividends payable on the shares of Designated Preferred Stock have not been paid for an aggregate of six quarterly Dividend Periods or more, whether or not consecutive, the authorized number of directors of the Corporation shall automatically be increased by two and the holders of the Designated Preferred Stock shall have the right, with holders of shares of any one or more other classes or series of Voting Parity Stock outstanding at the time, voting together as a class, to elect two directors (hereinafter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and each a “</w:t>
      </w:r>
      <w:r>
        <w:rPr>
          <w:rFonts w:ascii="Arial" w:cs="Arial" w:eastAsia="Arial" w:hAnsi="Arial"/>
          <w:sz w:val="16"/>
          <w:szCs w:val="16"/>
          <w:u w:val="single" w:color="auto"/>
          <w:color w:val="auto"/>
        </w:rPr>
        <w:t>Preferred Director”</w:t>
      </w:r>
      <w:r>
        <w:rPr>
          <w:rFonts w:ascii="Arial" w:cs="Arial" w:eastAsia="Arial" w:hAnsi="Arial"/>
          <w:sz w:val="16"/>
          <w:szCs w:val="16"/>
          <w:color w:val="auto"/>
        </w:rPr>
        <w:t xml:space="preserve">) to fill such newly created directorships at the Corporation’s next annual meeting of stockholders (or at a special meeting called for that purpose prior to such next annual meeting) and at each subsequent annual meeting of stockholders until all accrued and unpaid dividends for all past Dividend Periods, including the latest completed Dividend Period (including, if applicable as provided in Section 3(a) above, dividends on such amount), on all outstanding shares of Designated Preferred Stock have been declared and paid in full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be a qualification for election for any Preferred Director that the election of such Preferred Director shall not cause the Corporation to violate any corporate governance requirements of any securities exchange or other trading facility on which securities of the Corporation may then be listed or traded that listed or traded companies must have a majority of independent directors. Upon any termination of the right of the holders of shares of Designated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together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197" w:lineRule="exact"/>
        <w:rPr>
          <w:rFonts w:ascii="Arial" w:cs="Arial" w:eastAsia="Arial" w:hAnsi="Arial"/>
          <w:sz w:val="16"/>
          <w:szCs w:val="16"/>
          <w:color w:val="auto"/>
        </w:rPr>
      </w:pPr>
    </w:p>
    <w:p>
      <w:pPr>
        <w:ind w:left="-20" w:right="120" w:firstLine="656"/>
        <w:spacing w:after="0" w:line="259" w:lineRule="auto"/>
        <w:tabs>
          <w:tab w:leader="none" w:pos="123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Designated Preferred Stock are outstanding, in addition to any other vote or consent of stockholders required by law or by the Charter, the vote or consent of the holders of at least 66 2/3% of the shares of Designated Preferred Stock at the time outstanding, voting as a separate class, given in person or by proxy, either in writing without a meeting or by vote at any meeting called for the purpose, shall be necessary for effecting or validating:</w:t>
      </w:r>
    </w:p>
    <w:p>
      <w:pPr>
        <w:spacing w:after="0" w:line="213" w:lineRule="exact"/>
        <w:rPr>
          <w:rFonts w:ascii="Arial" w:cs="Arial" w:eastAsia="Arial" w:hAnsi="Arial"/>
          <w:sz w:val="18"/>
          <w:szCs w:val="18"/>
          <w:color w:val="auto"/>
        </w:rPr>
      </w:pPr>
    </w:p>
    <w:p>
      <w:pPr>
        <w:jc w:val="both"/>
        <w:ind w:left="640" w:firstLine="533"/>
        <w:spacing w:after="0" w:line="302" w:lineRule="auto"/>
        <w:tabs>
          <w:tab w:leader="none" w:pos="1904"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Authorization of Senior Stock</w:t>
      </w:r>
      <w:r>
        <w:rPr>
          <w:rFonts w:ascii="Arial" w:cs="Arial" w:eastAsia="Arial" w:hAnsi="Arial"/>
          <w:sz w:val="16"/>
          <w:szCs w:val="16"/>
          <w:color w:val="auto"/>
        </w:rPr>
        <w:t>. Any amendment or alteration of the Certificate of Designations for the Designated Preferred Stock or the Charter to authorize or create or increase the authorized amount of, or any issuance of, any shares of, or any securities convertible into or exchangeable or exercisable for shares of, any class or series of capital stock of the Corporation ranking senior to Designated Preferred Stock with respect to either or both the payment of dividends and/or the distribution of assets on any liquidation, dissolution or winding up of the Corporation;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611" w:right="239" w:bottom="1440" w:gutter="0" w:footer="0" w:header="0"/>
        </w:sectPr>
      </w:pPr>
    </w:p>
    <w:bookmarkStart w:id="153" w:name="page154"/>
    <w:bookmarkEnd w:id="153"/>
    <w:p>
      <w:pPr>
        <w:jc w:val="both"/>
        <w:ind w:left="660" w:firstLine="529"/>
        <w:spacing w:after="0" w:line="259" w:lineRule="auto"/>
        <w:tabs>
          <w:tab w:leader="none" w:pos="183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Amendment of Designated Preferred Stock</w:t>
      </w:r>
      <w:r>
        <w:rPr>
          <w:rFonts w:ascii="Arial" w:cs="Arial" w:eastAsia="Arial" w:hAnsi="Arial"/>
          <w:sz w:val="18"/>
          <w:szCs w:val="18"/>
          <w:color w:val="auto"/>
        </w:rPr>
        <w:t>. Any amendment, alteration or repeal of any provision of the Certificate of Designations for the Designated Preferred Stock or the Charter (including, unless no vote on such merger or consolidation is required by Section 7(c)(iii) below, any amendment, alteration or repeal by means of a merger, consolidation or otherwise) so as to adversely affect the rights, preferences, privileges or voting powers of the Designated Preferred Stock; or</w:t>
      </w:r>
    </w:p>
    <w:p>
      <w:pPr>
        <w:spacing w:after="0" w:line="213" w:lineRule="exact"/>
        <w:rPr>
          <w:rFonts w:ascii="Arial" w:cs="Arial" w:eastAsia="Arial" w:hAnsi="Arial"/>
          <w:sz w:val="18"/>
          <w:szCs w:val="18"/>
          <w:color w:val="auto"/>
        </w:rPr>
      </w:pPr>
    </w:p>
    <w:p>
      <w:pPr>
        <w:jc w:val="both"/>
        <w:ind w:left="660" w:firstLine="527"/>
        <w:spacing w:after="0" w:line="271" w:lineRule="auto"/>
        <w:tabs>
          <w:tab w:leader="none" w:pos="182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Share Exchanges, Reclassifications, Mergers and Consolidations</w:t>
      </w:r>
      <w:r>
        <w:rPr>
          <w:rFonts w:ascii="Arial" w:cs="Arial" w:eastAsia="Arial" w:hAnsi="Arial"/>
          <w:sz w:val="17"/>
          <w:szCs w:val="17"/>
          <w:color w:val="auto"/>
        </w:rPr>
        <w:t>. Any consummation of a binding share exchange or reclassification involving the Designated Preferred Stock, or of a merger or consolidation of the Corporation with another corporation or other entity, unless in each case (x) the shares of Designated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Designated Preferred Stock immediately prior to such consummation, taken as a whole;</w:t>
      </w:r>
    </w:p>
    <w:p>
      <w:pPr>
        <w:spacing w:after="0" w:line="2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for all purposes of this Section 7(c), any increase in the amount of the authorized Preferred Stock, including any increase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amount of Designated Preferred Stock necessary to satisfy preemptive or similar rights granted by the Corporation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Designated Preferred Stock.</w:t>
      </w:r>
    </w:p>
    <w:p>
      <w:pPr>
        <w:spacing w:after="0" w:line="194" w:lineRule="exact"/>
        <w:rPr>
          <w:sz w:val="20"/>
          <w:szCs w:val="20"/>
          <w:color w:val="auto"/>
        </w:rPr>
      </w:pPr>
    </w:p>
    <w:p>
      <w:pPr>
        <w:ind w:firstLine="656"/>
        <w:spacing w:after="0" w:line="259" w:lineRule="auto"/>
        <w:tabs>
          <w:tab w:leader="none" w:pos="1263"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Designated Preferred Stock shall be required pursuant to Section 7(c)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213" w:lineRule="exact"/>
        <w:rPr>
          <w:rFonts w:ascii="Arial" w:cs="Arial" w:eastAsia="Arial" w:hAnsi="Arial"/>
          <w:sz w:val="18"/>
          <w:szCs w:val="18"/>
          <w:color w:val="auto"/>
        </w:rPr>
      </w:pPr>
    </w:p>
    <w:p>
      <w:pPr>
        <w:ind w:right="20" w:firstLine="656"/>
        <w:spacing w:after="0" w:line="255" w:lineRule="auto"/>
        <w:tabs>
          <w:tab w:leader="none" w:pos="1253"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54" w:name="page155"/>
    <w:bookmarkEnd w:id="154"/>
    <w:p>
      <w:pPr>
        <w:ind w:right="80"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Corporation and the transfer agent for Designated Preferred Stock may deem and treat the record holder of any share of Designated Preferred Stock as the true and lawful owner thereof for all purposes, and neither the Corporation nor such transfer agent shall be affected by any notice to the contrary.</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Designations, in the Charter or Bylaws or by applicable law. Notwithstanding the foregoing, if shares of Designated Preferred Stock are issued in book-entry form through The Depository Trust Corporation or any similar facility, such notices may be given to the holders of Designated Preferred Stock in any manner permitted by such facility.</w:t>
      </w:r>
    </w:p>
    <w:p>
      <w:pPr>
        <w:spacing w:after="0" w:line="21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Designated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20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21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Restated Articles of Incorporation of the corporation are amended by striking the first paragraph of Article V thereof and inserting the following: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00" w:lineRule="exact"/>
        <w:rPr>
          <w:sz w:val="20"/>
          <w:szCs w:val="20"/>
          <w:color w:val="auto"/>
        </w:rPr>
      </w:pPr>
    </w:p>
    <w:p>
      <w:pPr>
        <w:spacing w:after="0" w:line="29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corporation shall have authority to issue 100,000,000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pacing w:after="0" w:line="200" w:lineRule="exact"/>
        <w:rPr>
          <w:sz w:val="20"/>
          <w:szCs w:val="20"/>
          <w:color w:val="auto"/>
        </w:rPr>
      </w:pPr>
    </w:p>
    <w:p>
      <w:pPr>
        <w:spacing w:after="0" w:line="29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amendment was adopted by the board of directors of the corporation at a meeting held on March 5, 2004 and by the shareholders of the corporation at a meeting held on April 28, 2004.</w:t>
      </w:r>
    </w:p>
    <w:p>
      <w:pPr>
        <w:spacing w:after="0" w:line="200" w:lineRule="exact"/>
        <w:rPr>
          <w:sz w:val="20"/>
          <w:szCs w:val="20"/>
          <w:color w:val="auto"/>
        </w:rPr>
      </w:pPr>
    </w:p>
    <w:p>
      <w:pPr>
        <w:spacing w:after="0" w:line="24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 WITNESS WHEREOF, the undersigned has executed these Articles of Amendment to the Articles of Incorporation of United Community Bank, Inc. this 28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April, 2004.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UNITED COMMUNITY BANK, INC.</w:t>
            </w:r>
          </w:p>
        </w:tc>
        <w:tc>
          <w:tcPr>
            <w:tcW w:w="0" w:type="dxa"/>
            <w:vAlign w:val="bottom"/>
          </w:tcPr>
          <w:p>
            <w:pPr>
              <w:spacing w:after="0"/>
              <w:rPr>
                <w:sz w:val="1"/>
                <w:szCs w:val="1"/>
                <w:color w:val="auto"/>
              </w:rPr>
            </w:pPr>
          </w:p>
        </w:tc>
      </w:tr>
      <w:tr>
        <w:trPr>
          <w:trHeight w:val="392"/>
        </w:trPr>
        <w:tc>
          <w:tcPr>
            <w:tcW w:w="23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 </w:t>
            </w:r>
          </w:p>
        </w:tc>
        <w:tc>
          <w:tcPr>
            <w:tcW w:w="2340" w:type="dxa"/>
            <w:vAlign w:val="bottom"/>
            <w:vMerge w:val="restart"/>
          </w:tcPr>
          <w:p>
            <w:pPr>
              <w:ind w:left="2180"/>
              <w:spacing w:after="0" w:line="181" w:lineRule="exact"/>
              <w:rPr>
                <w:sz w:val="20"/>
                <w:szCs w:val="20"/>
                <w:color w:val="auto"/>
              </w:rPr>
            </w:pPr>
            <w:r>
              <w:rPr>
                <w:rFonts w:ascii="MS PGothic" w:cs="MS PGothic" w:eastAsia="MS PGothic" w:hAnsi="MS PGothic"/>
                <w:sz w:val="18"/>
                <w:szCs w:val="18"/>
                <w:color w:val="auto"/>
              </w:rPr>
              <w:t> </w:t>
            </w:r>
          </w:p>
        </w:tc>
        <w:tc>
          <w:tcPr>
            <w:tcW w:w="500" w:type="dxa"/>
            <w:vAlign w:val="bottom"/>
          </w:tcPr>
          <w:p>
            <w:pPr>
              <w:spacing w:after="0"/>
              <w:rPr>
                <w:sz w:val="24"/>
                <w:szCs w:val="24"/>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JIMMY C. TALLENT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320" w:type="dxa"/>
            <w:vAlign w:val="bottom"/>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6760" w:type="dxa"/>
            <w:vAlign w:val="bottom"/>
            <w:gridSpan w:val="3"/>
          </w:tcPr>
          <w:p>
            <w:pPr>
              <w:ind w:left="80"/>
              <w:spacing w:after="0"/>
              <w:rPr>
                <w:sz w:val="20"/>
                <w:szCs w:val="20"/>
                <w:color w:val="auto"/>
              </w:rPr>
            </w:pPr>
            <w:r>
              <w:rPr>
                <w:rFonts w:ascii="Arial" w:cs="Arial" w:eastAsia="Arial" w:hAnsi="Arial"/>
                <w:sz w:val="18"/>
                <w:szCs w:val="18"/>
                <w:color w:val="auto"/>
              </w:rPr>
              <w:t>By:  Jimmy C. Tallent</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145"/>
        </w:trPr>
        <w:tc>
          <w:tcPr>
            <w:tcW w:w="23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organized pursuant to the provisions of the Georgia Business Corporation Code.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perpetual duration.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0" w:lineRule="exact"/>
        <w:rPr>
          <w:sz w:val="20"/>
          <w:szCs w:val="20"/>
          <w:color w:val="auto"/>
        </w:rPr>
      </w:pPr>
    </w:p>
    <w:p>
      <w:pPr>
        <w:spacing w:after="0" w:line="29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corporation is a corporation for profit and is organized for the following general purposes: to be a bank holding company; to carry on any lawful businesses or activities relating thereto; and to engage in any lawful act or activity for which corporations may be organized under the Georgia Business Corporation Code.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0" w:lineRule="exact"/>
        <w:rPr>
          <w:sz w:val="20"/>
          <w:szCs w:val="20"/>
          <w:color w:val="auto"/>
        </w:rPr>
      </w:pPr>
    </w:p>
    <w:p>
      <w:pPr>
        <w:spacing w:after="0" w:line="2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corporation shall have authority to issue 50,000,000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200" w:lineRule="exact"/>
        <w:rPr>
          <w:sz w:val="20"/>
          <w:szCs w:val="20"/>
          <w:color w:val="auto"/>
        </w:rPr>
      </w:pP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is hereby expressly authorized to issue, at any time and from time to time, shares of Preferred Stock in one or more series. The number of shares within such series shall be designated by the Board of Directors in one or more resolutions, and the shares of each series so designated shall have such preferences with respect to Common Stock and other series of Preferred Stock, and such other rights, restrictions or limitations with respect to voting, dividends, conversion, exchange, redemption and any other matters, as may be set forth in one or more resolutions adopted by the Board of Directors. To the extent required by law, Articles of Amendment setting forth any such designations, preferences, rights, restrictions or limitations shall be filed with the Georgia Secretary of State prior to the issuance of any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703580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57" w:name="page158"/>
    <w:bookmarkEnd w:id="157"/>
    <w:p>
      <w:pPr>
        <w:spacing w:after="0" w:line="277" w:lineRule="auto"/>
        <w:rPr>
          <w:sz w:val="20"/>
          <w:szCs w:val="20"/>
          <w:color w:val="auto"/>
        </w:rPr>
      </w:pPr>
      <w:r>
        <w:rPr>
          <w:rFonts w:ascii="Arial" w:cs="Arial" w:eastAsia="Arial" w:hAnsi="Arial"/>
          <w:sz w:val="18"/>
          <w:szCs w:val="18"/>
          <w:color w:val="auto"/>
        </w:rPr>
        <w:t>The authority of the Board of Directors with respect to the establishment of each series of Preferred Stock shall include, without limiting the generality of the foregoing, determination of the following matters which may vary between series:</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8"/>
        <w:spacing w:after="0" w:line="277" w:lineRule="auto"/>
        <w:tabs>
          <w:tab w:leader="none" w:pos="2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payments of dividends on shares of that series;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8"/>
        <w:spacing w:after="0" w:line="277" w:lineRule="auto"/>
        <w:tabs>
          <w:tab w:leader="none" w:pos="2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provisions for adjustment of the conversion rate in such events as the Board of Directors shall determine;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8"/>
        <w:spacing w:after="0" w:line="308" w:lineRule="auto"/>
        <w:tabs>
          <w:tab w:leader="none" w:pos="25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Whether the shares of that series shall be redeemable, and, if so, the terms and conditions of such redemption, including the date or dates upon or after which they shall be redeemable, and the amount per share payable in case of redemption, which amount may vary under different conditions;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240" w:hanging="232"/>
        <w:spacing w:after="0"/>
        <w:tabs>
          <w:tab w:leader="none" w:pos="2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Whether that series shall have a sinking fund for the redemption or purchase of shares of that series, and, if so, the terms and amount of such sinking fund;</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right="20" w:firstLine="8"/>
        <w:spacing w:after="0" w:line="277" w:lineRule="auto"/>
        <w:tabs>
          <w:tab w:leader="none" w:pos="2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winding-up of the corporation, and the relative rights of priority, if any, of payment of shares of that series;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8"/>
        <w:spacing w:after="0" w:line="277" w:lineRule="auto"/>
        <w:tabs>
          <w:tab w:leader="none" w:pos="2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other relative preferences, rights, restrictions or limitations of that series, including but not limited to any obligations of the corporation to repurchase shares of that series upon the occurrence of specified events.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the 10,000,000 shares of authorized Preferred Stock, 287,411 shares shall be designated Series A Non-Cumulative Preferred Stock and shall have the preferences, limitations and relative rights set forth below:</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64" w:lineRule="auto"/>
        <w:tabs>
          <w:tab w:leader="none" w:pos="18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Designation and Number of Shares. The series will be known as the "Series A Non-Cumulative Preferred Stock" (the "Series A Preferred Stock"), and will be a series consisting of 287,411 shares of the authorized but unissued preferred stock of the corporation. The Series A Preferred Stock shall have a par value of $1.00 per share and a stated value of $10 per share (the "Stated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8" w:name="page159"/>
    <w:bookmarkEnd w:id="158"/>
    <w:p>
      <w:pPr>
        <w:jc w:val="both"/>
        <w:ind w:firstLine="8"/>
        <w:spacing w:after="0" w:line="270" w:lineRule="auto"/>
        <w:tabs>
          <w:tab w:leader="none" w:pos="18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Dividends. The corporation is under no obligation to pay dividends on the Series A Preferred Stock. Provided, however, no dividend shall be paid on the Common Stock until dividends have been declared and are payable to the holders of record of the Series A Preferred Stock from the date of issuance of such stock at the Dividend Rate for each of the Quarterly Dividend Periods which shall commence on October 1, January 1, April 1, and July 1, in each year and shall end on and include the day next preceding the first day of the next Quarterly Dividend Period. Each such dividend shall be paid to the holders of record of shares of Series A Preferred Stock as they appear on the stock register of the corporation on such record date. The amount of dividends per share payable for each Quarterly Dividend Period shall be computed by dividing the Dividend Rate by four and applying such rate against the Stated Value per share of the Series A Preferred Stock. Dividends payable on the Series A Preferred Stock for any period less than a full Quarterly Dividend Period and for any portion of the initial dividend period between issuance and the day next preceding the first October 1, January 1, April 1 or July 1 following such issuance shall be computed on the basis of a 360-day year of four 90-day quarters and the actual number of days elapsed in the period for which they are payable. The dividend rate shall be 6% per annum (the "Dividend Rate").</w:t>
      </w:r>
    </w:p>
    <w:p>
      <w:pPr>
        <w:spacing w:after="0" w:line="200" w:lineRule="exact"/>
        <w:rPr>
          <w:rFonts w:ascii="Arial" w:cs="Arial" w:eastAsia="Arial" w:hAnsi="Arial"/>
          <w:sz w:val="17"/>
          <w:szCs w:val="17"/>
          <w:color w:val="auto"/>
        </w:rPr>
      </w:pPr>
    </w:p>
    <w:p>
      <w:pPr>
        <w:spacing w:after="0" w:line="247" w:lineRule="exact"/>
        <w:rPr>
          <w:rFonts w:ascii="Arial" w:cs="Arial" w:eastAsia="Arial" w:hAnsi="Arial"/>
          <w:sz w:val="17"/>
          <w:szCs w:val="17"/>
          <w:color w:val="auto"/>
        </w:rPr>
      </w:pPr>
    </w:p>
    <w:p>
      <w:pPr>
        <w:ind w:left="180" w:hanging="172"/>
        <w:spacing w:after="0"/>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 Preference.</w:t>
      </w:r>
    </w:p>
    <w:p>
      <w:pPr>
        <w:spacing w:after="0" w:line="200" w:lineRule="exact"/>
        <w:rPr>
          <w:sz w:val="20"/>
          <w:szCs w:val="20"/>
          <w:color w:val="auto"/>
        </w:rPr>
      </w:pPr>
    </w:p>
    <w:p>
      <w:pPr>
        <w:spacing w:after="0" w:line="295" w:lineRule="exact"/>
        <w:rPr>
          <w:sz w:val="20"/>
          <w:szCs w:val="20"/>
          <w:color w:val="auto"/>
        </w:rPr>
      </w:pPr>
    </w:p>
    <w:p>
      <w:pPr>
        <w:jc w:val="both"/>
        <w:ind w:firstLine="8"/>
        <w:spacing w:after="0" w:line="269" w:lineRule="auto"/>
        <w:tabs>
          <w:tab w:leader="none" w:pos="21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corporation, either voluntarily or involuntarily, the holders of the Series A Preferred Stock shall be entitled to receive prior and in preference to any distribution of any of the assets or surplus funds of the corporation to the holders of Common Stock, an amount equal to (A) the Stated Value per share, plus (B) a further amount equal to any dividends accrued but unpaid on such shares. If, upon such liquidation, dissolution, or winding up of the corporation, the assets of the corporation available for distribution to the shareholders of the corporation are insufficient to provide for the payment of the full aforesaid preferential amount, such assets as are so available shall be distributed among the holders of the Series A Preferred Stock pro rata in accordance with the number of shares of Series A Preferred Stock held by them. The consolidation or merger of the corporation with or into another corporation, or a sale, whether for cash, shares of stock, securities or properties, of all or substantially all of the assets of the corporation (a "Reorganization"), shall not be deemed or construed to be a liquidation, dissolution or winding up of the corporation within the meaning of this Paragraph. In the case of any Reorganization, the corporation shall enter into an agreement with such other entity for the benefit of the holders of Series A Preferred Stock that shall contain such provisions to protect the interests of such holders as the Board of Directors of the corporation shall reasonably consider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706120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9" w:name="page160"/>
    <w:bookmarkEnd w:id="159"/>
    <w:p>
      <w:pPr>
        <w:jc w:val="both"/>
        <w:ind w:left="-8" w:firstLine="8"/>
        <w:spacing w:after="0" w:line="264" w:lineRule="auto"/>
        <w:tabs>
          <w:tab w:leader="none" w:pos="26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After the payment or the setting apart for payment to the holders of the Series A Preferred Stock of the preferential amounts so payable to them, if assets remain in the corporation, the holders of the Common Stock of the corporation shall receive all of the remaining assets of the corporation pro rata in accordance with the number of shares of Common Stock held by them.</w:t>
      </w:r>
    </w:p>
    <w:p>
      <w:pPr>
        <w:spacing w:after="0" w:line="200" w:lineRule="exact"/>
        <w:rPr>
          <w:sz w:val="20"/>
          <w:szCs w:val="20"/>
          <w:color w:val="auto"/>
        </w:rPr>
      </w:pPr>
    </w:p>
    <w:p>
      <w:pPr>
        <w:spacing w:after="0" w:line="251" w:lineRule="exact"/>
        <w:rPr>
          <w:sz w:val="20"/>
          <w:szCs w:val="20"/>
          <w:color w:val="auto"/>
        </w:rPr>
      </w:pPr>
    </w:p>
    <w:p>
      <w:pPr>
        <w:jc w:val="both"/>
        <w:ind w:left="-8" w:firstLine="8"/>
        <w:spacing w:after="0" w:line="259" w:lineRule="auto"/>
        <w:tabs>
          <w:tab w:leader="none" w:pos="25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Noncash Distributions. If any of the assets of the corporation are to be distributed other than in cash under this paragraph 3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Series A Preferred Stock or Common Stock of the appraiser’s valuation.</w:t>
      </w:r>
    </w:p>
    <w:p>
      <w:pPr>
        <w:spacing w:after="0" w:line="200" w:lineRule="exact"/>
        <w:rPr>
          <w:sz w:val="20"/>
          <w:szCs w:val="20"/>
          <w:color w:val="auto"/>
        </w:rPr>
      </w:pPr>
    </w:p>
    <w:p>
      <w:pPr>
        <w:spacing w:after="0" w:line="257" w:lineRule="exact"/>
        <w:rPr>
          <w:sz w:val="20"/>
          <w:szCs w:val="20"/>
          <w:color w:val="auto"/>
        </w:rPr>
      </w:pPr>
    </w:p>
    <w:p>
      <w:pPr>
        <w:ind w:left="172" w:hanging="172"/>
        <w:spacing w:after="0"/>
        <w:tabs>
          <w:tab w:leader="none" w:pos="17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Voting Rights. Series A Preferred Stock has no voting rights except as required by the Georgia Business Corporation Code.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72" w:hanging="172"/>
        <w:spacing w:after="0"/>
        <w:tabs>
          <w:tab w:leader="none" w:pos="17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Conversion. The Series A Preferred Stock is not convertible into Common Stock.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72" w:hanging="172"/>
        <w:spacing w:after="0"/>
        <w:tabs>
          <w:tab w:leader="none" w:pos="17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Optional Redemption of Series A Preferred Stock.</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8" w:firstLine="494"/>
        <w:spacing w:after="0" w:line="259" w:lineRule="auto"/>
        <w:tabs>
          <w:tab w:leader="none" w:pos="7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Subject to the following limitations, the corporation, at its sole option and upon the approval of the Board of Governors of the Federal Reserve System or the Federal Reserve Bank of Atlanta as its designee, may redeem the whole or any part of the then outstanding Series A Preferred Stock by paying in cash for each share redeemed an amount equal to the Stated Value of each share redeemed plus the full dividends accrued but unpaid on each such share (whether or not declared) through the redemption date (the "Redemption Price").</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both"/>
        <w:ind w:left="-8" w:firstLine="494"/>
        <w:spacing w:after="0" w:line="279" w:lineRule="auto"/>
        <w:tabs>
          <w:tab w:leader="none" w:pos="73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If less than all of the Series A Preferred Stock at any time outstanding shall be called for redemption hereunder, the shares to be redeemed shall be selected on a pro rata basis (with rounding to the nearest whole share) and upon such terms and conditions as the Board of Directors may determine (subject to the limitations and provisions contained herein). The corporation, at its option, may nonetheless redeem all of the shares of Series A Preferred Stock of any Record Holder if, as a result of a straight pro rata redemption, that Record Holder would then hold less than 1000 shares.</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jc w:val="both"/>
        <w:ind w:left="-8" w:firstLine="494"/>
        <w:spacing w:after="0" w:line="270" w:lineRule="auto"/>
        <w:tabs>
          <w:tab w:leader="none" w:pos="7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Notice of redemption shall be mailed, certified mail, postage prepaid, not less than 10 days nor more than 60 days prior to the redemption date specified in that notice, to each Record Holder of the shares to be redeemed at the address appearing on the corporation’s stock records of the Series A Preferred Stock. Neither failure to mail such notice to one or more of such holders nor any defect in such notice shall affect the sufficiency of the proceedings of redemption as to other holders. Each such notice shall state: (A) the redemption date; (B) the applicable Redemption Price; (C) the number of shares of Series A Preferred Stock to be redeemed and, if less than all the outstanding shares of Series A Preferred Stock are to be redeemed, the basis upon which the corporation proposes to determine such lesser number of shares to be redeemed and the number of shares of such Record Holders that would be redeemed on such basis if such Record Holder continued to hold all of its shares on the Partial Redemption Determination Date (as defined below); (D) the place or places at which the certificates representing such shares are to be surrendered for payment of the Redemption Price; and (E) that dividends on the shares to be redeemed will cease to accrue on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705485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160" w:name="page161"/>
    <w:bookmarkEnd w:id="160"/>
    <w:p>
      <w:pPr>
        <w:jc w:val="both"/>
        <w:ind w:left="-8" w:firstLine="8"/>
        <w:spacing w:after="0" w:line="293" w:lineRule="auto"/>
        <w:tabs>
          <w:tab w:leader="none" w:pos="24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case of a redemption of less than all the outstanding shares of Series A Preferred Stock, the corporation’s final determination of the number of shares of each Record Holder to be redeemed shall be made with respect to Record Holders of Series A Preferred Stock as of the close of business five business days immediately preceding the redemption date (the "Partial Redemption Determination Date"). The transfer of shares of Series A Preferred Stock so determined for redemption shall not be permitted after the Partial Redemption Determination Date. The corporation may require that any transfer of shares of Series A Preferred Stock permitted by it between the date of the above notice to Record Holders and the partial Redemption Determination Date refer to the corporation’s notice of redemption and otherwise reflect that the transferor will acquire such shares subject to possible redemption as stated in such notice.</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jc w:val="both"/>
        <w:ind w:left="-8" w:firstLine="8"/>
        <w:spacing w:after="0" w:line="269" w:lineRule="auto"/>
        <w:tabs>
          <w:tab w:leader="none" w:pos="24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notice of redemption has been given pursuant to clause (c) above and if, on or before the redemption date specified in such notice, the funds necessary for such redemption have been irrevocably tendered by the corporation to the Record Holders of the shares being redeemed, or otherwise irrevocably designated or set aside in trust for the pro rata benefit of the holders of the shares so called for redemption in a manner permitted by the Georgia Business Corporation Code, then from and after the redemption date, notwithstanding that any certificate for shares so called for redemption shall not have been surrendered for cancellation or that any such shares may have been transferred (whether with or without the corporation’s permission), (A) all of the shares so called for redemption (as finally determined on the Partial Redemption Determination Date in case of a partial redemption) shall no longer be deemed outstanding, (B) all dividends shall cease to accrue thereon, and (C) all voting and other rights with respect to such shares shall cease and terminate (except the rights to receive the Redemption Price upon a surrender of certificate(s) representing such shares). Upon surrender, in accordance with said notice, of the certificates for any shares so called for redemption, properly endorsed, such shares shall be redeemed by the corporation at the Redemption Price. If fewer than all the shares represented by any such certificate are redeemed, a new certificate representing the unredeemed shares shall be issued without cost to the Record Holder thereof.</w:t>
      </w: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jc w:val="both"/>
        <w:ind w:left="-8" w:firstLine="8"/>
        <w:spacing w:after="0" w:line="290" w:lineRule="auto"/>
        <w:tabs>
          <w:tab w:leader="none" w:pos="22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On or before the redemption date, the corporation, in lieu of tendering the Redemption Price directly to the respective Record Holders, may deposit with an agent that is a bank or a trust company (the "Paying Agent"), or otherwise designate or set aside as provided in clause (e) above, funds sufficient to pay the Redemption Price for all shares of Series A Preferred Stock to be redeemed on the redemption date, other than any such shares that may have been previously delivered for other consideration in a transaction otherwise permitted by this Designation. Any interest earned on funds so designated, set aside, or deposited with a Paying Agent shall be retainable by or payable to the corporation, and holders of shares of Series A Preferred Stock shall have no rights with respect thereto. Any funds so deposited with a Paying Agent that shall remain unclaimed by the Record Holders of redeemed shares at the end of six months after the redemption date, together with any previously unpaid interest earned thereon, shall be released or repaid by the Paying Agent to the corporation, and thereafter such Record Holders shall look only to the corporation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7. Certain General Matters.</w:t>
      </w:r>
    </w:p>
    <w:p>
      <w:pPr>
        <w:spacing w:after="0" w:line="200" w:lineRule="exact"/>
        <w:rPr>
          <w:sz w:val="20"/>
          <w:szCs w:val="20"/>
          <w:color w:val="auto"/>
        </w:rPr>
      </w:pPr>
    </w:p>
    <w:p>
      <w:pPr>
        <w:spacing w:after="0" w:line="295" w:lineRule="exact"/>
        <w:rPr>
          <w:sz w:val="20"/>
          <w:szCs w:val="20"/>
          <w:color w:val="auto"/>
        </w:rPr>
      </w:pPr>
    </w:p>
    <w:p>
      <w:pPr>
        <w:jc w:val="both"/>
        <w:ind w:firstLine="8"/>
        <w:spacing w:after="0" w:line="264" w:lineRule="auto"/>
        <w:tabs>
          <w:tab w:leader="none" w:pos="2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corporation shall have the rights, in connection with any issuance or transfer of a share of Series A Preferred Stock, to establish by contract with the proposed holder thereof any lawful restriction or limitation respecting the transfer or other disposition of, or any exercise of right appurtenant to, such share with which such proposed holder shall agree.</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both"/>
        <w:ind w:firstLine="8"/>
        <w:spacing w:after="0" w:line="312" w:lineRule="auto"/>
        <w:tabs>
          <w:tab w:leader="none" w:pos="26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 any case where any redemption date shall not be a business day, then notwithstanding any other provision hereof, payment of a redemption price need not be made on such date but may be made on the next succeeding business day with the same force and effect as if made on the redemption day;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computing such payment, no interest shall accrue for the period from and after such redemption date, as the case may be.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holder of any of the shares of any class of the corporation shall be entitled as of right to subscribe for, purchase or otherwise acquire any shares of any class of the corporation which the corporation proposes to issue or any rights or options which the corporation proposes to grant for the purchase of shares of any class of the corporation or for the purchase of any shares, bonds, securities, or obligations of the corporation which are convertible into or exchangeable for, or which carry any rights, to subscribe for, purchase, or otherwise acquire shares of any class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not commence business until it shall have received at least $500.00 in payment for the issuance of shares of its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0" w:lineRule="exact"/>
        <w:rPr>
          <w:sz w:val="20"/>
          <w:szCs w:val="20"/>
          <w:color w:val="auto"/>
        </w:rPr>
      </w:pPr>
    </w:p>
    <w:p>
      <w:pPr>
        <w:spacing w:after="0" w:line="2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but not in limitation of, the general powers conferred by law, the corporation shall have the power to make distributions to its shareholders out of its capital surplus, to purchase its own shares out of its unreserved and unrestricted capital surplus available therefor and to carry on any lawful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0" w:lineRule="exact"/>
        <w:rPr>
          <w:sz w:val="20"/>
          <w:szCs w:val="20"/>
          <w:color w:val="auto"/>
        </w:rPr>
      </w:pP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discharging the duties of their respective positions and in determining what is believed to be in the best interests of the corporation, the Board of Directors of the corporation, committees of the Board of Directors, and individual directors, in addition to considering the effects of any action on the corporation or its shareholders, may consider interests of the employees, customers, suppliers, and creditors of the corporation and its subsidiaries, the communities in which offices or other establishments of the corporation and its subsidiaries are located, and all other factors such directors consider pertinent; provided, however, that such consideration shall be deemed solely to grant discretionary authority to the directors and shall not be deemed to provide to any constituency any right to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director of the corporation shall be personally liable to the corporation or its shareholders for monetary damages for breach of his duty of care or other duty as a director, provided, that this provision shall eliminate or limit the liability of a director only to the extent permitted from time to time by the Georgia Business Corporation Code or any successor laws or laws.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otherwise provided by law, any amendment or repeal of any provision of the Articles of Incorporation or the Bylaws of the corporation requires the affirmative vote of holders of two-thirds of the shares of capital stock of the corporation then issued and outstanding and entitled to vote on such matters. Notwithstanding anything herein to the contrary, the number of authorized shares of any class of capital stock of the corporation may be increased by the affirmative vote of holders of a simple majority of the shares of capital stock of the corporation then issued and outstanding and entitled to vote on such matters.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w:t>
      </w:r>
    </w:p>
    <w:p>
      <w:pPr>
        <w:spacing w:after="0" w:line="200" w:lineRule="exact"/>
        <w:rPr>
          <w:sz w:val="20"/>
          <w:szCs w:val="20"/>
          <w:color w:val="auto"/>
        </w:rPr>
      </w:pP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(A) In addition to any affirmative vote required by law, and subject to the provisions of any series of Preferred Stock which may at the time be outstanding, the affirmative vote of the holders of not less than 75% of the outstanding shares of Common Stock of the corporation and the affirmative vote of the holders of not less than 75% of the outstanding shares of Common Stock of the corporation other than those beneficially owned (as defined below) by an Interested Shareholder (as defined below) (the "two-tier requirement"), shall be required for the approval or authorization of any Business Combination (as defined below) of the corporation with such Interested Shareholder; provided that the two-tier voting requirement shall not be applicable if the Business Combination was approved by three-fourths of all Directors.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(B) The term "Business Combination" as used in this Article XII shall mean:</w:t>
      </w:r>
    </w:p>
    <w:p>
      <w:pPr>
        <w:spacing w:after="0" w:line="200" w:lineRule="exact"/>
        <w:rPr>
          <w:sz w:val="20"/>
          <w:szCs w:val="20"/>
          <w:color w:val="auto"/>
        </w:rPr>
      </w:pPr>
    </w:p>
    <w:p>
      <w:pPr>
        <w:spacing w:after="0" w:line="295" w:lineRule="exact"/>
        <w:rPr>
          <w:sz w:val="20"/>
          <w:szCs w:val="20"/>
          <w:color w:val="auto"/>
        </w:rPr>
      </w:pPr>
    </w:p>
    <w:p>
      <w:pPr>
        <w:jc w:val="both"/>
        <w:ind w:firstLine="8"/>
        <w:spacing w:after="0" w:line="264" w:lineRule="auto"/>
        <w:tabs>
          <w:tab w:leader="none" w:pos="22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Subsidiary (as hereafter defined) with (a) any Interested Shareholder (as hereinafter defined) or (b) any other corporation (whether or not itself an Interested Shareholder) which is, or after such merger or consolidation would be, an Affiliate (as hereinafter defined) of an Interested Shareholder; or</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jc w:val="both"/>
        <w:ind w:firstLine="8"/>
        <w:spacing w:after="0" w:line="264" w:lineRule="auto"/>
        <w:tabs>
          <w:tab w:leader="none" w:pos="29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 or more;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63" w:name="page164"/>
    <w:bookmarkEnd w:id="163"/>
    <w:p>
      <w:pPr>
        <w:jc w:val="both"/>
        <w:ind w:firstLine="8"/>
        <w:spacing w:after="0" w:line="264" w:lineRule="auto"/>
        <w:tabs>
          <w:tab w:leader="none" w:pos="32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$1,000,000 or more; or</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firstLine="8"/>
        <w:spacing w:after="0" w:line="277" w:lineRule="auto"/>
        <w:tabs>
          <w:tab w:leader="none" w:pos="31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 Interested Shareholder or any Affiliate of any Interested Shareholder; or</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firstLine="8"/>
        <w:spacing w:after="0" w:line="279" w:lineRule="auto"/>
        <w:tabs>
          <w:tab w:leader="none" w:pos="2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or convertible securities of the corporation or any Subsidiary which is directly or indirectly owned by any Interested Shareholder or any Affiliate of any Interested Shareholder.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II. For purposes of this Article XII:</w:t>
      </w:r>
    </w:p>
    <w:p>
      <w:pPr>
        <w:spacing w:after="0" w:line="200" w:lineRule="exact"/>
        <w:rPr>
          <w:sz w:val="20"/>
          <w:szCs w:val="20"/>
          <w:color w:val="auto"/>
        </w:rPr>
      </w:pPr>
    </w:p>
    <w:p>
      <w:pPr>
        <w:spacing w:after="0" w:line="295" w:lineRule="exact"/>
        <w:rPr>
          <w:sz w:val="20"/>
          <w:szCs w:val="20"/>
          <w:color w:val="auto"/>
        </w:rPr>
      </w:pPr>
    </w:p>
    <w:p>
      <w:pPr>
        <w:ind w:left="300" w:hanging="292"/>
        <w:spacing w:after="0"/>
        <w:tabs>
          <w:tab w:leader="none" w:pos="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8"/>
        <w:spacing w:after="0" w:line="277" w:lineRule="auto"/>
        <w:tabs>
          <w:tab w:leader="none" w:pos="28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"Interested Shareholder" shall mean any person (other than the corporation, any Subsidiary or either the corporation or any Subsidiary acting as Trustee or in a similar fiduciary capacity) who or which:</w:t>
      </w:r>
    </w:p>
    <w:p>
      <w:pPr>
        <w:spacing w:after="0" w:line="200" w:lineRule="exact"/>
        <w:rPr>
          <w:sz w:val="20"/>
          <w:szCs w:val="20"/>
          <w:color w:val="auto"/>
        </w:rPr>
      </w:pPr>
    </w:p>
    <w:p>
      <w:pPr>
        <w:spacing w:after="0" w:line="241" w:lineRule="exact"/>
        <w:rPr>
          <w:sz w:val="20"/>
          <w:szCs w:val="20"/>
          <w:color w:val="auto"/>
        </w:rPr>
      </w:pPr>
    </w:p>
    <w:p>
      <w:pPr>
        <w:ind w:left="220" w:hanging="212"/>
        <w:spacing w:after="0"/>
        <w:tabs>
          <w:tab w:leader="none" w:pos="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is the beneficial owner of more than 10% of the outstanding Common Stock; 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8"/>
        <w:spacing w:after="0" w:line="277" w:lineRule="auto"/>
        <w:tabs>
          <w:tab w:leader="none" w:pos="26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10% or more of then outstanding Common Stock; or</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right="20" w:firstLine="8"/>
        <w:spacing w:after="0" w:line="264" w:lineRule="auto"/>
        <w:tabs>
          <w:tab w:leader="none" w:pos="31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acquired any shares of Common Stock which were at any time within the two-year period immediately prior to the date in question beneficially owned by any Interested Shareholder, if such acquisition shall have occurred in the course of a transaction or series of transactions not involving a public offering within the meaning of the Securities Act of 1993.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 A person shall be a "beneficial owner" of any Common Stock:</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 which such person or any of its Affiliates or Associates (as hereinafter defined) beneficially owns, directly or indirectly;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4" w:name="page165"/>
    <w:bookmarkEnd w:id="164"/>
    <w:p>
      <w:pPr>
        <w:jc w:val="both"/>
        <w:ind w:left="-8" w:firstLine="8"/>
        <w:spacing w:after="0" w:line="264" w:lineRule="auto"/>
        <w:tabs>
          <w:tab w:leader="none" w:pos="25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8" w:right="20" w:firstLine="8"/>
        <w:spacing w:after="0" w:line="277" w:lineRule="auto"/>
        <w:tabs>
          <w:tab w:leader="none" w:pos="31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Common Stock.</w:t>
      </w:r>
    </w:p>
    <w:p>
      <w:pPr>
        <w:spacing w:after="0" w:line="200" w:lineRule="exact"/>
        <w:rPr>
          <w:sz w:val="20"/>
          <w:szCs w:val="20"/>
          <w:color w:val="auto"/>
        </w:rPr>
      </w:pPr>
    </w:p>
    <w:p>
      <w:pPr>
        <w:spacing w:after="0" w:line="241" w:lineRule="exact"/>
        <w:rPr>
          <w:sz w:val="20"/>
          <w:szCs w:val="20"/>
          <w:color w:val="auto"/>
        </w:rPr>
      </w:pPr>
    </w:p>
    <w:p>
      <w:pPr>
        <w:jc w:val="both"/>
        <w:ind w:left="-8" w:firstLine="8"/>
        <w:spacing w:after="0" w:line="259" w:lineRule="auto"/>
        <w:tabs>
          <w:tab w:leader="none" w:pos="31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the purposes of determining whether a person is an Interested Shareholder pursuant to paragraph B of this Section II, the number of shares of Common Stock deemed to be outstanding shall include shares deemed owned through application of paragraph C(ii)(a) of this Section II but shall not include any other shares of Common Stock which may be issuable pursuant to any agreement, arrangement or understanding, or upon exercise of conversion rights, warrants or options, or otherwise.</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8" w:firstLine="8"/>
        <w:spacing w:after="0" w:line="277" w:lineRule="auto"/>
        <w:tabs>
          <w:tab w:leader="none" w:pos="28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An "Affiliate" of a specified person is a person that directly, through one or more intermediaries, controls, or is controlled by, or is under common control with, the person specified.</w:t>
      </w:r>
    </w:p>
    <w:p>
      <w:pPr>
        <w:spacing w:after="0" w:line="200" w:lineRule="exact"/>
        <w:rPr>
          <w:sz w:val="20"/>
          <w:szCs w:val="20"/>
          <w:color w:val="auto"/>
        </w:rPr>
      </w:pPr>
    </w:p>
    <w:p>
      <w:pPr>
        <w:spacing w:after="0" w:line="241" w:lineRule="exact"/>
        <w:rPr>
          <w:sz w:val="20"/>
          <w:szCs w:val="20"/>
          <w:color w:val="auto"/>
        </w:rPr>
      </w:pPr>
    </w:p>
    <w:p>
      <w:pPr>
        <w:jc w:val="both"/>
        <w:ind w:left="-8" w:firstLine="8"/>
        <w:spacing w:after="0" w:line="279" w:lineRule="auto"/>
        <w:tabs>
          <w:tab w:leader="none" w:pos="27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term "Associate" used to indicate a relationship with any person means (1) any firm, corporation or other entity (other than the corporation or any Subsidiary) of which such person is an officer or partner or is, directly or indirectly, the beneficial owner of 10% or more of any class of equity securities, (2) any trust or other estate in which such person has a substantial beneficial interest or as to which such person serves as trustee or in a similar fiduciary capacity, and (3) any relative or spouse or such person, or any relative of such spouse who has the same home as such person.</w:t>
      </w:r>
    </w:p>
    <w:p>
      <w:pPr>
        <w:spacing w:after="0" w:line="200" w:lineRule="exact"/>
        <w:rPr>
          <w:sz w:val="20"/>
          <w:szCs w:val="20"/>
          <w:color w:val="auto"/>
        </w:rPr>
      </w:pPr>
    </w:p>
    <w:p>
      <w:pPr>
        <w:spacing w:after="0" w:line="242" w:lineRule="exact"/>
        <w:rPr>
          <w:sz w:val="20"/>
          <w:szCs w:val="20"/>
          <w:color w:val="auto"/>
        </w:rPr>
      </w:pPr>
    </w:p>
    <w:p>
      <w:pPr>
        <w:ind w:left="-8" w:firstLine="8"/>
        <w:spacing w:after="0" w:line="277" w:lineRule="auto"/>
        <w:tabs>
          <w:tab w:leader="none" w:pos="26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"Subsidiary" means any corporation of which a majority of any class of equity securities is owned, directly or indirectly, by the corporation unless owned solely as trustee or other similar fiduciary capacity.</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92" w:hanging="292"/>
        <w:spacing w:after="0"/>
        <w:tabs>
          <w:tab w:leader="none" w:pos="2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"Fair Market value" means:</w:t>
      </w:r>
    </w:p>
    <w:p>
      <w:pPr>
        <w:spacing w:after="0" w:line="200" w:lineRule="exact"/>
        <w:rPr>
          <w:sz w:val="20"/>
          <w:szCs w:val="20"/>
          <w:color w:val="auto"/>
        </w:rPr>
      </w:pPr>
    </w:p>
    <w:p>
      <w:pPr>
        <w:spacing w:after="0" w:line="295" w:lineRule="exact"/>
        <w:rPr>
          <w:sz w:val="20"/>
          <w:szCs w:val="20"/>
          <w:color w:val="auto"/>
        </w:rPr>
      </w:pPr>
    </w:p>
    <w:p>
      <w:pPr>
        <w:jc w:val="both"/>
        <w:ind w:left="-8" w:firstLine="8"/>
        <w:spacing w:after="0" w:line="273" w:lineRule="auto"/>
        <w:tabs>
          <w:tab w:leader="none" w:pos="22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the case of stock, the closing sales price of a share of such stock on the Composite Tape on the New York Stock Exchange-Listed Stocks, or, if such stock is not quoted on the Composite Tape, on the New York Stock Exchange, or, if such stock is not listed on such Exchange, on the principal United States securities exchange registered under the Securities Exchange Act of 1934, as amended, on which such stock is listed, or, if such stock is not listed on any such exchange, the closing sales price or the sales price or the average of the bid and asked prices reported with respect to a share of such stock on the National Association of Securities Dealers, Inc. Automated Quotation System or any system then in use, or if no such quotations are available, the fair market value on the date in question of a share of such stock as determined by the Board in good faith;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549275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165" w:name="page166"/>
    <w:bookmarkEnd w:id="165"/>
    <w:p>
      <w:pPr>
        <w:ind w:left="600" w:hanging="268"/>
        <w:spacing w:after="0"/>
        <w:tabs>
          <w:tab w:leader="none" w:pos="6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in the case of property other than cash or stock, the fair market value of such property on the date in question as determined by the Board in good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300" w:hanging="292"/>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term "acquire" or "acquired" means the acquisition of beneficial ownership.</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8"/>
        <w:spacing w:after="0" w:line="277" w:lineRule="auto"/>
        <w:tabs>
          <w:tab w:leader="none" w:pos="24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Board of Directors of the corporation shall have the power and duty to determine for the purposes of this Article XII, on the basis of information known to them after reasonable inquiry,</w:t>
      </w:r>
    </w:p>
    <w:p>
      <w:pPr>
        <w:spacing w:after="0" w:line="200" w:lineRule="exact"/>
        <w:rPr>
          <w:sz w:val="20"/>
          <w:szCs w:val="20"/>
          <w:color w:val="auto"/>
        </w:rPr>
      </w:pPr>
    </w:p>
    <w:p>
      <w:pPr>
        <w:spacing w:after="0" w:line="241" w:lineRule="exact"/>
        <w:rPr>
          <w:sz w:val="20"/>
          <w:szCs w:val="20"/>
          <w:color w:val="auto"/>
        </w:rPr>
      </w:pPr>
    </w:p>
    <w:p>
      <w:pPr>
        <w:ind w:left="220" w:hanging="212"/>
        <w:spacing w:after="0"/>
        <w:tabs>
          <w:tab w:leader="none" w:pos="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whether a person is an Interested Shareholder,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80" w:hanging="272"/>
        <w:spacing w:after="0"/>
        <w:tabs>
          <w:tab w:leader="none" w:pos="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any person,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320" w:hanging="312"/>
        <w:spacing w:after="0"/>
        <w:tabs>
          <w:tab w:leader="none" w:pos="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whether a person is an Affiliate or Associate or another,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0" w:firstLine="8"/>
        <w:spacing w:after="0" w:line="308" w:lineRule="auto"/>
        <w:tabs>
          <w:tab w:leader="none" w:pos="313"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200" w:lineRule="exact"/>
        <w:rPr>
          <w:sz w:val="20"/>
          <w:szCs w:val="20"/>
          <w:color w:val="auto"/>
        </w:rPr>
      </w:pPr>
    </w:p>
    <w:p>
      <w:pPr>
        <w:spacing w:after="0" w:line="217" w:lineRule="exact"/>
        <w:rPr>
          <w:sz w:val="20"/>
          <w:szCs w:val="20"/>
          <w:color w:val="auto"/>
        </w:rPr>
      </w:pPr>
    </w:p>
    <w:p>
      <w:pPr>
        <w:ind w:firstLine="8"/>
        <w:spacing w:after="0" w:line="277" w:lineRule="auto"/>
        <w:tabs>
          <w:tab w:leader="none" w:pos="25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Nothing contained in this Article XII shall be construed to relieve any Interested Shareholder or any of its Affiliates or Associates from any fiduciary obligation imposed by law.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director of the corporation may be removed only for cause and upon the affirmative vote of the holders of two-thirds of the issued and outstanding shares entitled to vote on such matter.</w:t>
      </w:r>
    </w:p>
    <w:p>
      <w:pPr>
        <w:sectPr>
          <w:pgSz w:w="11900" w:h="16838" w:orient="portrait"/>
          <w:cols w:equalWidth="0" w:num="1">
            <w:col w:w="11420"/>
          </w:cols>
          <w:pgMar w:left="240" w:top="76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THE AMENDED AND RESTATED BYLAWS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of United Community Banks,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are hereby amended as follows:</w:t>
      </w:r>
    </w:p>
    <w:p>
      <w:pPr>
        <w:spacing w:after="0" w:line="252" w:lineRule="exact"/>
        <w:rPr>
          <w:sz w:val="20"/>
          <w:szCs w:val="20"/>
          <w:color w:val="auto"/>
        </w:rPr>
      </w:pPr>
    </w:p>
    <w:p>
      <w:pPr>
        <w:ind w:left="720" w:hanging="712"/>
        <w:spacing w:after="0"/>
        <w:tabs>
          <w:tab w:leader="none" w:pos="7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Section 7.1 of the Bylaws is deleted in its entirety and replaced with the following:</w:t>
      </w:r>
    </w:p>
    <w:p>
      <w:pPr>
        <w:spacing w:after="0" w:line="248" w:lineRule="exact"/>
        <w:rPr>
          <w:sz w:val="20"/>
          <w:szCs w:val="20"/>
          <w:color w:val="auto"/>
        </w:rPr>
      </w:pPr>
    </w:p>
    <w:p>
      <w:pPr>
        <w:jc w:val="both"/>
        <w:ind w:left="660" w:right="64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Form</w:t>
      </w:r>
      <w:r>
        <w:rPr>
          <w:rFonts w:ascii="Arial" w:cs="Arial" w:eastAsia="Arial" w:hAnsi="Arial"/>
          <w:sz w:val="17"/>
          <w:szCs w:val="17"/>
          <w:color w:val="auto"/>
        </w:rPr>
        <w:t>. The shares of stock of the Corporation may be certificated or uncertificated, and may be evidenced by registration in the holder’s name in uncertificated, book-entry form on the books of the Corporation in accordance with a direct registration system. Within a reasonable time after the issuance or transfer of uncertificated stock, the Corporation shall send to the registered owner thereof a written notice that shall set forth the name of the Corporation, that the Corporation is organized under the laws of the State of Georgia, the name of the stockholder, the number and class (and the designation of the series, if any) of the shares represented, and any restrictions on the transfer or registration of such shares of stock imposed by the Corporation’s articles of incorporation, these Bylaws, any agreement among stockholders or any agreement between stockholders and the Corporation. Every holder of fully-paid stock in the Corporation shall be entitled, upon request, to have a certificate in such form as the board of directors may from time to time prescribe. The certificates representing shares of stock of the Corporation shall be in such form as may be approved by the board of directors, which certificates representing shares shall be issued to the stockholder of the Corporation in numerical order from the stock book of the Corporation, and each of which shall bear the name of the Corporation, the name of the stockholder, and the number and class of shares and designation of the series, if any, represented by the certificate; and which shall be signed by the President or a Vice-President (or in lieu thereof, by the Chairman of the Board, Chief Executive Officer or the Chief Financial Officer, if there be any) and may be signed by the Secretary or an Assistant Secretary; and which shall be sealed with the seal of the Corporation.”</w:t>
      </w:r>
    </w:p>
    <w:p>
      <w:pPr>
        <w:spacing w:after="0" w:line="216" w:lineRule="exact"/>
        <w:rPr>
          <w:sz w:val="20"/>
          <w:szCs w:val="20"/>
          <w:color w:val="auto"/>
        </w:rPr>
      </w:pPr>
    </w:p>
    <w:p>
      <w:pPr>
        <w:ind w:left="720" w:hanging="712"/>
        <w:spacing w:after="0"/>
        <w:tabs>
          <w:tab w:leader="none" w:pos="7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Section 7.3 of the Bylaws is deleted in its entirety and replaced with the following:</w:t>
      </w:r>
    </w:p>
    <w:p>
      <w:pPr>
        <w:spacing w:after="0" w:line="248" w:lineRule="exact"/>
        <w:rPr>
          <w:sz w:val="20"/>
          <w:szCs w:val="20"/>
          <w:color w:val="auto"/>
        </w:rPr>
      </w:pPr>
    </w:p>
    <w:p>
      <w:pPr>
        <w:jc w:val="both"/>
        <w:ind w:left="660" w:righ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Transfer of Shares</w:t>
      </w:r>
      <w:r>
        <w:rPr>
          <w:rFonts w:ascii="Arial" w:cs="Arial" w:eastAsia="Arial" w:hAnsi="Arial"/>
          <w:sz w:val="17"/>
          <w:szCs w:val="17"/>
          <w:color w:val="auto"/>
        </w:rPr>
        <w:t>. Shares of stock of the Corporation shall be transferred only on the books of the Corporation by the stockholder of record or his duly authorized attorney-in-fact, and with all taxes on the transfer having been paid, and if such shares are represented by a certificate, upon surrender to the Corporation of the certificate representing the shares accompanied by an assignment in writing, or for uncertificated shares, upon the presentation of proper evidence of authority to transfer by the record holder. The Corporation may refuse any requested transfer until furnished evidence satisfactory to it that such transfer is proper. Upon the surrender of shares represented by a certificate for transfer of stock, such certificate shall at once be conspicuously marked on its face “Canceled” and filed with the permanent stock records of the Corporation. If a certificate is alleged to have been lost, stolen or destroyed, the provisions of Section 7.5 of these Bylaws shall have been complied with. The board of directors may make such additional rules concerning the issuance, transfer and registration of stock and requirements regarding the establishment of lost, stolen or destroyed shares (including any requirement of an indemnity bond prior to issuance of any replacement certificate or uncertificated shares in lieu of new certificates) as it deems appropriate. No certificate representing shares (or uncertificated shares in lieu of a certificate) shall be issued until the consideration for the shares represented thereby has been fully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 Directors on July 15, 2010 and effective this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August, 2010.</w:t>
      </w:r>
    </w:p>
    <w:p>
      <w:pPr>
        <w:spacing w:after="0" w:line="38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Lori McKay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67" w:name="page168"/>
    <w:bookmarkEnd w:id="167"/>
    <w:p>
      <w:pPr>
        <w:jc w:val="center"/>
        <w:ind w:right="4339"/>
        <w:spacing w:after="0"/>
        <w:rPr>
          <w:sz w:val="20"/>
          <w:szCs w:val="20"/>
          <w:color w:val="auto"/>
        </w:rPr>
      </w:pPr>
      <w:r>
        <w:rPr>
          <w:rFonts w:ascii="Courier New" w:cs="Courier New" w:eastAsia="Courier New" w:hAnsi="Courier New"/>
          <w:sz w:val="16"/>
          <w:szCs w:val="16"/>
          <w:color w:val="auto"/>
        </w:rPr>
        <w:t>AMENDED AND RESTATED BYLAWS</w:t>
      </w:r>
    </w:p>
    <w:p>
      <w:pPr>
        <w:spacing w:after="0" w:line="218"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UNITED COMMUNITY BANKS, INC.</w:t>
      </w:r>
    </w:p>
    <w:p>
      <w:pPr>
        <w:spacing w:after="0" w:line="16"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(A Georgia Corporation)</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AS OF SEPTEMBER 12,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625475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68" w:name="page169"/>
    <w:bookmarkEnd w:id="168"/>
    <w:p>
      <w:pPr>
        <w:jc w:val="center"/>
        <w:ind w:right="3359"/>
        <w:spacing w:after="0"/>
        <w:rPr>
          <w:sz w:val="20"/>
          <w:szCs w:val="20"/>
          <w:color w:val="auto"/>
        </w:rPr>
      </w:pPr>
      <w:r>
        <w:rPr>
          <w:rFonts w:ascii="Courier New" w:cs="Courier New" w:eastAsia="Courier New" w:hAnsi="Courier New"/>
          <w:sz w:val="18"/>
          <w:szCs w:val="18"/>
          <w:color w:val="auto"/>
        </w:rPr>
        <w:t>AMENDED AND RESTATED BYLAWS</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UNITED COMMUNITY BANKS, INC.</w:t>
      </w:r>
    </w:p>
    <w:p>
      <w:pPr>
        <w:ind w:left="2220"/>
        <w:spacing w:after="0" w:line="238" w:lineRule="auto"/>
        <w:rPr>
          <w:sz w:val="20"/>
          <w:szCs w:val="20"/>
          <w:color w:val="auto"/>
        </w:rPr>
      </w:pPr>
      <w:r>
        <w:rPr>
          <w:rFonts w:ascii="Courier New" w:cs="Courier New" w:eastAsia="Courier New" w:hAnsi="Courier New"/>
          <w:sz w:val="18"/>
          <w:szCs w:val="18"/>
          <w:color w:val="auto"/>
        </w:rPr>
        <w:t>(A GEORGIA CORPORATION)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Page</w:t>
      </w:r>
    </w:p>
    <w:p>
      <w:pPr>
        <w:spacing w:after="0" w:line="218"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ARTICLE ONE OFFICE. . . . . . . . . . . . . . . . . . . . . . . . . . . . .</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1.1 Registered Office and Agent . . . . . . . . . . . . . . . . . . . . .</w:t>
      </w:r>
      <w:r>
        <w:rPr>
          <w:sz w:val="20"/>
          <w:szCs w:val="20"/>
          <w:color w:val="auto"/>
        </w:rPr>
        <w:tab/>
      </w:r>
      <w:r>
        <w:rPr>
          <w:rFonts w:ascii="Courier New" w:cs="Courier New" w:eastAsia="Courier New" w:hAnsi="Courier New"/>
          <w:sz w:val="16"/>
          <w:szCs w:val="16"/>
          <w:color w:val="auto"/>
        </w:rPr>
        <w:t>1</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1.2 Other Offices . . . . . . . . . . . . . . . . . . . . . . . . . . . .</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ARTICLE TWO STOCKHOLDERS' MEETING . . . . . . . . . . . . . . . . . . . . .</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2.1 Place of Meetings . . . . . . . . . . . . . . . . . . . . . . . . . .</w:t>
      </w:r>
      <w:r>
        <w:rPr>
          <w:sz w:val="20"/>
          <w:szCs w:val="20"/>
          <w:color w:val="auto"/>
        </w:rPr>
        <w:tab/>
      </w:r>
      <w:r>
        <w:rPr>
          <w:rFonts w:ascii="Courier New" w:cs="Courier New" w:eastAsia="Courier New" w:hAnsi="Courier New"/>
          <w:sz w:val="16"/>
          <w:szCs w:val="16"/>
          <w:color w:val="auto"/>
        </w:rPr>
        <w:t>1</w:t>
      </w:r>
    </w:p>
    <w:p>
      <w:pPr>
        <w:ind w:left="220"/>
        <w:spacing w:after="0"/>
        <w:tabs>
          <w:tab w:leader="none" w:pos="2520" w:val="left"/>
          <w:tab w:leader="none" w:pos="8100" w:val="left"/>
        </w:tabs>
        <w:rPr>
          <w:sz w:val="20"/>
          <w:szCs w:val="20"/>
          <w:color w:val="auto"/>
        </w:rPr>
      </w:pPr>
      <w:r>
        <w:rPr>
          <w:rFonts w:ascii="Courier New" w:cs="Courier New" w:eastAsia="Courier New" w:hAnsi="Courier New"/>
          <w:sz w:val="18"/>
          <w:szCs w:val="18"/>
          <w:color w:val="auto"/>
        </w:rPr>
        <w:t>2.2 Annual Meetings</w:t>
      </w:r>
      <w:r>
        <w:rPr>
          <w:sz w:val="20"/>
          <w:szCs w:val="20"/>
          <w:color w:val="auto"/>
        </w:rPr>
        <w:tab/>
      </w:r>
      <w:r>
        <w:rPr>
          <w:rFonts w:ascii="Courier New" w:cs="Courier New" w:eastAsia="Courier New" w:hAnsi="Courier New"/>
          <w:sz w:val="18"/>
          <w:szCs w:val="18"/>
          <w:color w:val="auto"/>
        </w:rPr>
        <w:t>. . . . . . . . . . . . . . . . . . . . . . . . . .</w:t>
      </w:r>
      <w:r>
        <w:rPr>
          <w:sz w:val="20"/>
          <w:szCs w:val="20"/>
          <w:color w:val="auto"/>
        </w:rPr>
        <w:tab/>
      </w:r>
      <w:r>
        <w:rPr>
          <w:rFonts w:ascii="Courier New" w:cs="Courier New" w:eastAsia="Courier New" w:hAnsi="Courier New"/>
          <w:sz w:val="16"/>
          <w:szCs w:val="16"/>
          <w:color w:val="auto"/>
        </w:rPr>
        <w:t>1</w:t>
      </w:r>
    </w:p>
    <w:p>
      <w:pPr>
        <w:ind w:left="220"/>
        <w:spacing w:after="0"/>
        <w:tabs>
          <w:tab w:leader="none" w:pos="2520" w:val="left"/>
          <w:tab w:leader="none" w:pos="8100" w:val="left"/>
        </w:tabs>
        <w:rPr>
          <w:sz w:val="20"/>
          <w:szCs w:val="20"/>
          <w:color w:val="auto"/>
        </w:rPr>
      </w:pPr>
      <w:r>
        <w:rPr>
          <w:rFonts w:ascii="Courier New" w:cs="Courier New" w:eastAsia="Courier New" w:hAnsi="Courier New"/>
          <w:sz w:val="18"/>
          <w:szCs w:val="18"/>
          <w:color w:val="auto"/>
        </w:rPr>
        <w:t>2.3 Special Meetings</w:t>
        <w:tab/>
        <w:t>. . . . . . . . . . . . . . . . . . . . . . . . . .</w:t>
      </w:r>
      <w:r>
        <w:rPr>
          <w:sz w:val="20"/>
          <w:szCs w:val="20"/>
          <w:color w:val="auto"/>
        </w:rPr>
        <w:tab/>
      </w:r>
      <w:r>
        <w:rPr>
          <w:rFonts w:ascii="Courier New" w:cs="Courier New" w:eastAsia="Courier New" w:hAnsi="Courier New"/>
          <w:sz w:val="16"/>
          <w:szCs w:val="16"/>
          <w:color w:val="auto"/>
        </w:rPr>
        <w:t>2</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2.4 Notice of Meetings. . . . . . . . . . . . . . . . . . . . . . . . . .</w:t>
      </w:r>
      <w:r>
        <w:rPr>
          <w:sz w:val="20"/>
          <w:szCs w:val="20"/>
          <w:color w:val="auto"/>
        </w:rPr>
        <w:tab/>
      </w:r>
      <w:r>
        <w:rPr>
          <w:rFonts w:ascii="Courier New" w:cs="Courier New" w:eastAsia="Courier New" w:hAnsi="Courier New"/>
          <w:sz w:val="16"/>
          <w:szCs w:val="16"/>
          <w:color w:val="auto"/>
        </w:rPr>
        <w:t>2</w:t>
      </w:r>
    </w:p>
    <w:p>
      <w:pPr>
        <w:ind w:left="220"/>
        <w:spacing w:after="0"/>
        <w:tabs>
          <w:tab w:leader="none" w:pos="2520" w:val="left"/>
          <w:tab w:leader="none" w:pos="8100" w:val="left"/>
        </w:tabs>
        <w:rPr>
          <w:sz w:val="20"/>
          <w:szCs w:val="20"/>
          <w:color w:val="auto"/>
        </w:rPr>
      </w:pPr>
      <w:r>
        <w:rPr>
          <w:rFonts w:ascii="Courier New" w:cs="Courier New" w:eastAsia="Courier New" w:hAnsi="Courier New"/>
          <w:sz w:val="18"/>
          <w:szCs w:val="18"/>
          <w:color w:val="auto"/>
        </w:rPr>
        <w:t>2.5 Waiver of Notice</w:t>
        <w:tab/>
        <w:t>. . . . . . . . . . . . . . . . . . . . . . . . . .</w:t>
      </w:r>
      <w:r>
        <w:rPr>
          <w:sz w:val="20"/>
          <w:szCs w:val="20"/>
          <w:color w:val="auto"/>
        </w:rPr>
        <w:tab/>
      </w:r>
      <w:r>
        <w:rPr>
          <w:rFonts w:ascii="Courier New" w:cs="Courier New" w:eastAsia="Courier New" w:hAnsi="Courier New"/>
          <w:sz w:val="16"/>
          <w:szCs w:val="16"/>
          <w:color w:val="auto"/>
        </w:rPr>
        <w:t>2</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2.6 Quorum; Vote Required to Act. . . . . . . . . . . . . . . . . . . . .</w:t>
      </w:r>
      <w:r>
        <w:rPr>
          <w:sz w:val="20"/>
          <w:szCs w:val="20"/>
          <w:color w:val="auto"/>
        </w:rPr>
        <w:tab/>
      </w:r>
      <w:r>
        <w:rPr>
          <w:rFonts w:ascii="Courier New" w:cs="Courier New" w:eastAsia="Courier New" w:hAnsi="Courier New"/>
          <w:sz w:val="16"/>
          <w:szCs w:val="16"/>
          <w:color w:val="auto"/>
        </w:rPr>
        <w:t>2</w:t>
      </w:r>
    </w:p>
    <w:p>
      <w:pPr>
        <w:ind w:left="220"/>
        <w:spacing w:after="0"/>
        <w:tabs>
          <w:tab w:leader="none" w:pos="2520" w:val="left"/>
          <w:tab w:leader="none" w:pos="8100" w:val="left"/>
        </w:tabs>
        <w:rPr>
          <w:sz w:val="20"/>
          <w:szCs w:val="20"/>
          <w:color w:val="auto"/>
        </w:rPr>
      </w:pPr>
      <w:r>
        <w:rPr>
          <w:rFonts w:ascii="Courier New" w:cs="Courier New" w:eastAsia="Courier New" w:hAnsi="Courier New"/>
          <w:sz w:val="18"/>
          <w:szCs w:val="18"/>
          <w:color w:val="auto"/>
        </w:rPr>
        <w:t>2.7 Voting of Shares</w:t>
        <w:tab/>
        <w:t>. . . . . . . . . . . . . . . . . . . . . . . . . .</w:t>
      </w:r>
      <w:r>
        <w:rPr>
          <w:sz w:val="20"/>
          <w:szCs w:val="20"/>
          <w:color w:val="auto"/>
        </w:rPr>
        <w:tab/>
      </w:r>
      <w:r>
        <w:rPr>
          <w:rFonts w:ascii="Courier New" w:cs="Courier New" w:eastAsia="Courier New" w:hAnsi="Courier New"/>
          <w:sz w:val="16"/>
          <w:szCs w:val="16"/>
          <w:color w:val="auto"/>
        </w:rPr>
        <w:t>3</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2.8 Proxies . . . . . . . . . . . . . . . . . . . . . . . . . . . . . . .</w:t>
      </w:r>
      <w:r>
        <w:rPr>
          <w:sz w:val="20"/>
          <w:szCs w:val="20"/>
          <w:color w:val="auto"/>
        </w:rPr>
        <w:tab/>
      </w:r>
      <w:r>
        <w:rPr>
          <w:rFonts w:ascii="Courier New" w:cs="Courier New" w:eastAsia="Courier New" w:hAnsi="Courier New"/>
          <w:sz w:val="16"/>
          <w:szCs w:val="16"/>
          <w:color w:val="auto"/>
        </w:rPr>
        <w:t>3</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2.9 Presiding Officer . . . . . . . . . . . . . . . . . . . . . . . . . .</w:t>
      </w:r>
      <w:r>
        <w:rPr>
          <w:sz w:val="20"/>
          <w:szCs w:val="20"/>
          <w:color w:val="auto"/>
        </w:rPr>
        <w:tab/>
      </w:r>
      <w:r>
        <w:rPr>
          <w:rFonts w:ascii="Courier New" w:cs="Courier New" w:eastAsia="Courier New" w:hAnsi="Courier New"/>
          <w:sz w:val="16"/>
          <w:szCs w:val="16"/>
          <w:color w:val="auto"/>
        </w:rPr>
        <w:t>3</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2.10 Adjournments . . . . . . . . . . . . . . . . . . . . . . . . . . . .</w:t>
      </w:r>
      <w:r>
        <w:rPr>
          <w:sz w:val="20"/>
          <w:szCs w:val="20"/>
          <w:color w:val="auto"/>
        </w:rPr>
        <w:tab/>
      </w:r>
      <w:r>
        <w:rPr>
          <w:rFonts w:ascii="Courier New" w:cs="Courier New" w:eastAsia="Courier New" w:hAnsi="Courier New"/>
          <w:sz w:val="16"/>
          <w:szCs w:val="16"/>
          <w:color w:val="auto"/>
        </w:rPr>
        <w:t>3</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2.11 Conduct of the Meeting . . . . . . . . . . . . . . . . . . . . . . .</w:t>
      </w:r>
      <w:r>
        <w:rPr>
          <w:sz w:val="20"/>
          <w:szCs w:val="20"/>
          <w:color w:val="auto"/>
        </w:rPr>
        <w:tab/>
      </w:r>
      <w:r>
        <w:rPr>
          <w:rFonts w:ascii="Courier New" w:cs="Courier New" w:eastAsia="Courier New" w:hAnsi="Courier New"/>
          <w:sz w:val="16"/>
          <w:szCs w:val="16"/>
          <w:color w:val="auto"/>
        </w:rPr>
        <w:t>3</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2.12 Action of Stockholders Without a Meeting . . . . . . . . . . . . . .</w:t>
      </w:r>
      <w:r>
        <w:rPr>
          <w:sz w:val="20"/>
          <w:szCs w:val="20"/>
          <w:color w:val="auto"/>
        </w:rPr>
        <w:tab/>
      </w:r>
      <w:r>
        <w:rPr>
          <w:rFonts w:ascii="Courier New" w:cs="Courier New" w:eastAsia="Courier New" w:hAnsi="Courier New"/>
          <w:sz w:val="16"/>
          <w:szCs w:val="16"/>
          <w:color w:val="auto"/>
        </w:rPr>
        <w:t>3</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2.13 Matters Considered at Annual Meetings. . . . . . . . . . . . . . . .</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spacing w:after="0"/>
        <w:tabs>
          <w:tab w:leader="none" w:pos="3560" w:val="left"/>
          <w:tab w:leader="none" w:pos="8100" w:val="left"/>
        </w:tabs>
        <w:rPr>
          <w:sz w:val="20"/>
          <w:szCs w:val="20"/>
          <w:color w:val="auto"/>
        </w:rPr>
      </w:pPr>
      <w:r>
        <w:rPr>
          <w:rFonts w:ascii="Courier New" w:cs="Courier New" w:eastAsia="Courier New" w:hAnsi="Courier New"/>
          <w:sz w:val="18"/>
          <w:szCs w:val="18"/>
          <w:color w:val="auto"/>
        </w:rPr>
        <w:t>ARTICLE THREE BOARD OF DIRECTORS</w:t>
        <w:tab/>
        <w:t>. . . . . . . . . . . . . . . . . . . . .</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3.1 General Powers. . . . . . . . . . . . . . . . . . . . . . . . . . . .</w:t>
      </w:r>
      <w:r>
        <w:rPr>
          <w:sz w:val="20"/>
          <w:szCs w:val="20"/>
          <w:color w:val="auto"/>
        </w:rPr>
        <w:tab/>
      </w:r>
      <w:r>
        <w:rPr>
          <w:rFonts w:ascii="Courier New" w:cs="Courier New" w:eastAsia="Courier New" w:hAnsi="Courier New"/>
          <w:sz w:val="16"/>
          <w:szCs w:val="16"/>
          <w:color w:val="auto"/>
        </w:rPr>
        <w:t>4</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3.2 Number, Election and Term of Office . . . . . . . . . . . . . . . . .</w:t>
      </w:r>
      <w:r>
        <w:rPr>
          <w:sz w:val="20"/>
          <w:szCs w:val="20"/>
          <w:color w:val="auto"/>
        </w:rPr>
        <w:tab/>
      </w:r>
      <w:r>
        <w:rPr>
          <w:rFonts w:ascii="Courier New" w:cs="Courier New" w:eastAsia="Courier New" w:hAnsi="Courier New"/>
          <w:sz w:val="16"/>
          <w:szCs w:val="16"/>
          <w:color w:val="auto"/>
        </w:rPr>
        <w:t>4</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3.3 Removal of Directors. . . . . . . . . . . . . . . . . . . . . . . . .</w:t>
      </w:r>
      <w:r>
        <w:rPr>
          <w:sz w:val="20"/>
          <w:szCs w:val="20"/>
          <w:color w:val="auto"/>
        </w:rPr>
        <w:tab/>
      </w:r>
      <w:r>
        <w:rPr>
          <w:rFonts w:ascii="Courier New" w:cs="Courier New" w:eastAsia="Courier New" w:hAnsi="Courier New"/>
          <w:sz w:val="16"/>
          <w:szCs w:val="16"/>
          <w:color w:val="auto"/>
        </w:rPr>
        <w:t>5</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3.4 Vacancies . . . . . . . . . . . . . . . . . . . . . . . . . . . . . .</w:t>
      </w:r>
      <w:r>
        <w:rPr>
          <w:sz w:val="20"/>
          <w:szCs w:val="20"/>
          <w:color w:val="auto"/>
        </w:rPr>
        <w:tab/>
      </w:r>
      <w:r>
        <w:rPr>
          <w:rFonts w:ascii="Courier New" w:cs="Courier New" w:eastAsia="Courier New" w:hAnsi="Courier New"/>
          <w:sz w:val="16"/>
          <w:szCs w:val="16"/>
          <w:color w:val="auto"/>
        </w:rPr>
        <w:t>5</w:t>
      </w:r>
    </w:p>
    <w:p>
      <w:pPr>
        <w:ind w:left="220"/>
        <w:spacing w:after="0"/>
        <w:tabs>
          <w:tab w:leader="none" w:pos="2100" w:val="left"/>
          <w:tab w:leader="none" w:pos="8100" w:val="left"/>
        </w:tabs>
        <w:rPr>
          <w:sz w:val="20"/>
          <w:szCs w:val="20"/>
          <w:color w:val="auto"/>
        </w:rPr>
      </w:pPr>
      <w:r>
        <w:rPr>
          <w:rFonts w:ascii="Courier New" w:cs="Courier New" w:eastAsia="Courier New" w:hAnsi="Courier New"/>
          <w:sz w:val="18"/>
          <w:szCs w:val="18"/>
          <w:color w:val="auto"/>
        </w:rPr>
        <w:t>3.5 Compensation</w:t>
        <w:tab/>
        <w:t>. . . . . . . . . . . . . . . . . . . . . . . . . . . .</w:t>
      </w:r>
      <w:r>
        <w:rPr>
          <w:sz w:val="20"/>
          <w:szCs w:val="20"/>
          <w:color w:val="auto"/>
        </w:rPr>
        <w:tab/>
      </w:r>
      <w:r>
        <w:rPr>
          <w:rFonts w:ascii="Courier New" w:cs="Courier New" w:eastAsia="Courier New" w:hAnsi="Courier New"/>
          <w:sz w:val="16"/>
          <w:szCs w:val="16"/>
          <w:color w:val="auto"/>
        </w:rPr>
        <w:t>5</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3.6 Committees of the Board of Directors. . . . . . . . . . . . . . . . .</w:t>
      </w:r>
      <w:r>
        <w:rPr>
          <w:sz w:val="20"/>
          <w:szCs w:val="20"/>
          <w:color w:val="auto"/>
        </w:rPr>
        <w:tab/>
      </w:r>
      <w:r>
        <w:rPr>
          <w:rFonts w:ascii="Courier New" w:cs="Courier New" w:eastAsia="Courier New" w:hAnsi="Courier New"/>
          <w:sz w:val="16"/>
          <w:szCs w:val="16"/>
          <w:color w:val="auto"/>
        </w:rPr>
        <w:t>5</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3.7 Qualification of Directors. . . . . . . . . . . . . . . . . . . . . .</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69" w:name="page170"/>
    <w:bookmarkEnd w:id="169"/>
    <w:p>
      <w:pPr>
        <w:jc w:val="center"/>
        <w:ind w:right="1759"/>
        <w:spacing w:after="0"/>
        <w:tabs>
          <w:tab w:leader="none" w:pos="180" w:val="left"/>
        </w:tabs>
        <w:rPr>
          <w:sz w:val="20"/>
          <w:szCs w:val="20"/>
          <w:color w:val="auto"/>
        </w:rPr>
      </w:pPr>
      <w:r>
        <w:rPr>
          <w:rFonts w:ascii="Courier New" w:cs="Courier New" w:eastAsia="Courier New" w:hAnsi="Courier New"/>
          <w:sz w:val="18"/>
          <w:szCs w:val="18"/>
          <w:color w:val="auto"/>
        </w:rPr>
        <w:t>ARTICLE FOUR MEETING OF THE BOARD OF DIRECTORS. . . . . . . . . . . . . . .</w:t>
        <w:tab/>
        <w:t>5</w:t>
      </w:r>
    </w:p>
    <w:p>
      <w:pPr>
        <w:spacing w:after="0" w:line="201" w:lineRule="exact"/>
        <w:rPr>
          <w:sz w:val="20"/>
          <w:szCs w:val="20"/>
          <w:color w:val="auto"/>
        </w:rPr>
      </w:pP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4.1 Regular Meetings. . . . . . . . . . . . . . . . . . . . . . . . . . .</w:t>
      </w:r>
      <w:r>
        <w:rPr>
          <w:sz w:val="20"/>
          <w:szCs w:val="20"/>
          <w:color w:val="auto"/>
        </w:rPr>
        <w:tab/>
      </w:r>
      <w:r>
        <w:rPr>
          <w:rFonts w:ascii="Courier New" w:cs="Courier New" w:eastAsia="Courier New" w:hAnsi="Courier New"/>
          <w:sz w:val="16"/>
          <w:szCs w:val="16"/>
          <w:color w:val="auto"/>
        </w:rPr>
        <w:t>5</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4.2 Chairman of the Board . . . . . . . . . . . . . . . . . . . . . . . .</w:t>
      </w:r>
      <w:r>
        <w:rPr>
          <w:sz w:val="20"/>
          <w:szCs w:val="20"/>
          <w:color w:val="auto"/>
        </w:rPr>
        <w:tab/>
      </w:r>
      <w:r>
        <w:rPr>
          <w:rFonts w:ascii="Courier New" w:cs="Courier New" w:eastAsia="Courier New" w:hAnsi="Courier New"/>
          <w:sz w:val="16"/>
          <w:szCs w:val="16"/>
          <w:color w:val="auto"/>
        </w:rPr>
        <w:t>5</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4.3 Special Meetings. . . . . . . . . . .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4.4 Place of Meetings . . . . . . . . . .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4.5 Notice of Meetings. . . . . . . . . .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1460" w:val="left"/>
          <w:tab w:leader="none" w:pos="8100" w:val="left"/>
        </w:tabs>
        <w:rPr>
          <w:sz w:val="20"/>
          <w:szCs w:val="20"/>
          <w:color w:val="auto"/>
        </w:rPr>
      </w:pPr>
      <w:r>
        <w:rPr>
          <w:rFonts w:ascii="Courier New" w:cs="Courier New" w:eastAsia="Courier New" w:hAnsi="Courier New"/>
          <w:sz w:val="18"/>
          <w:szCs w:val="18"/>
          <w:color w:val="auto"/>
        </w:rPr>
        <w:t>4.6 Quorum</w:t>
        <w:tab/>
        <w:t>. . . . . . . . . . . . . . .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4.7 Vote Required for Action. . . . . . .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4.8 Participation by Conference Telephone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4.9 Action by Directors Without a Meeting . . . . . . . . . . . . . . . .</w:t>
      </w:r>
      <w:r>
        <w:rPr>
          <w:sz w:val="20"/>
          <w:szCs w:val="20"/>
          <w:color w:val="auto"/>
        </w:rPr>
        <w:tab/>
      </w:r>
      <w:r>
        <w:rPr>
          <w:rFonts w:ascii="Courier New" w:cs="Courier New" w:eastAsia="Courier New" w:hAnsi="Courier New"/>
          <w:sz w:val="16"/>
          <w:szCs w:val="16"/>
          <w:color w:val="auto"/>
        </w:rPr>
        <w:t>6</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4.10 Adjournments . . . . . . . . . . . . . . . . . . . . . . . . . . . .</w:t>
      </w:r>
      <w:r>
        <w:rPr>
          <w:sz w:val="20"/>
          <w:szCs w:val="20"/>
          <w:color w:val="auto"/>
        </w:rPr>
        <w:tab/>
      </w:r>
      <w:r>
        <w:rPr>
          <w:rFonts w:ascii="Courier New" w:cs="Courier New" w:eastAsia="Courier New" w:hAnsi="Courier New"/>
          <w:sz w:val="16"/>
          <w:szCs w:val="16"/>
          <w:color w:val="auto"/>
        </w:rPr>
        <w:t>7</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4.11 Waiver of Notice . . . . . . . . . . . . . . . . . . . . . . . . . .</w:t>
      </w:r>
      <w:r>
        <w:rPr>
          <w:sz w:val="20"/>
          <w:szCs w:val="20"/>
          <w:color w:val="auto"/>
        </w:rPr>
        <w:tab/>
      </w:r>
      <w:r>
        <w:rPr>
          <w:rFonts w:ascii="Courier New" w:cs="Courier New" w:eastAsia="Courier New" w:hAnsi="Courier New"/>
          <w:sz w:val="16"/>
          <w:szCs w:val="16"/>
          <w:color w:val="auto"/>
        </w:rPr>
        <w:t>7</w:t>
      </w:r>
    </w:p>
    <w:p>
      <w:pPr>
        <w:spacing w:after="0" w:line="202"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ARTICLE FIVE OFFICERS . . . . . . . . . . . . . . . . . . . . . . . . . . .</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5.1 Officers. . . . . . . . . . . . . . . . . . . . . . . . . . . . . . .</w:t>
      </w:r>
      <w:r>
        <w:rPr>
          <w:sz w:val="20"/>
          <w:szCs w:val="20"/>
          <w:color w:val="auto"/>
        </w:rPr>
        <w:tab/>
      </w:r>
      <w:r>
        <w:rPr>
          <w:rFonts w:ascii="Courier New" w:cs="Courier New" w:eastAsia="Courier New" w:hAnsi="Courier New"/>
          <w:sz w:val="16"/>
          <w:szCs w:val="16"/>
          <w:color w:val="auto"/>
        </w:rPr>
        <w:t>7</w:t>
      </w:r>
    </w:p>
    <w:p>
      <w:pPr>
        <w:ind w:left="220"/>
        <w:spacing w:after="0"/>
        <w:tabs>
          <w:tab w:leader="none" w:pos="1260" w:val="left"/>
          <w:tab w:leader="none" w:pos="8100" w:val="left"/>
        </w:tabs>
        <w:rPr>
          <w:sz w:val="20"/>
          <w:szCs w:val="20"/>
          <w:color w:val="auto"/>
        </w:rPr>
      </w:pPr>
      <w:r>
        <w:rPr>
          <w:rFonts w:ascii="Courier New" w:cs="Courier New" w:eastAsia="Courier New" w:hAnsi="Courier New"/>
          <w:sz w:val="18"/>
          <w:szCs w:val="18"/>
          <w:color w:val="auto"/>
        </w:rPr>
        <w:t>5.2 Term</w:t>
        <w:tab/>
        <w:t>. . . . . . . . . . . . . . . . . . . . . . . . . . . . . . . .</w:t>
      </w:r>
      <w:r>
        <w:rPr>
          <w:sz w:val="20"/>
          <w:szCs w:val="20"/>
          <w:color w:val="auto"/>
        </w:rPr>
        <w:tab/>
      </w:r>
      <w:r>
        <w:rPr>
          <w:rFonts w:ascii="Courier New" w:cs="Courier New" w:eastAsia="Courier New" w:hAnsi="Courier New"/>
          <w:sz w:val="16"/>
          <w:szCs w:val="16"/>
          <w:color w:val="auto"/>
        </w:rPr>
        <w:t>7</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5.3 Compensation. . . . . . . . . . . . . . . . . . . . . . . . . . . . .</w:t>
      </w:r>
      <w:r>
        <w:rPr>
          <w:sz w:val="20"/>
          <w:szCs w:val="20"/>
          <w:color w:val="auto"/>
        </w:rPr>
        <w:tab/>
      </w:r>
      <w:r>
        <w:rPr>
          <w:rFonts w:ascii="Courier New" w:cs="Courier New" w:eastAsia="Courier New" w:hAnsi="Courier New"/>
          <w:sz w:val="16"/>
          <w:szCs w:val="16"/>
          <w:color w:val="auto"/>
        </w:rPr>
        <w:t>8</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5.4 Removal . . . . . . . . . . . . . . . . . . . . . . . . . . . . . . .</w:t>
      </w:r>
      <w:r>
        <w:rPr>
          <w:sz w:val="20"/>
          <w:szCs w:val="20"/>
          <w:color w:val="auto"/>
        </w:rPr>
        <w:tab/>
      </w:r>
      <w:r>
        <w:rPr>
          <w:rFonts w:ascii="Courier New" w:cs="Courier New" w:eastAsia="Courier New" w:hAnsi="Courier New"/>
          <w:sz w:val="16"/>
          <w:szCs w:val="16"/>
          <w:color w:val="auto"/>
        </w:rPr>
        <w:t>8</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5.5 Chairman of the Board . . . . . . . . . . . . . . . . . . . . . . . .</w:t>
      </w:r>
      <w:r>
        <w:rPr>
          <w:sz w:val="20"/>
          <w:szCs w:val="20"/>
          <w:color w:val="auto"/>
        </w:rPr>
        <w:tab/>
      </w:r>
      <w:r>
        <w:rPr>
          <w:rFonts w:ascii="Courier New" w:cs="Courier New" w:eastAsia="Courier New" w:hAnsi="Courier New"/>
          <w:sz w:val="16"/>
          <w:szCs w:val="16"/>
          <w:color w:val="auto"/>
        </w:rPr>
        <w:t>8</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5.6 Chief Executive Officer . . . . . . . . . . . . . . . . . . . . . . .</w:t>
      </w:r>
      <w:r>
        <w:rPr>
          <w:sz w:val="20"/>
          <w:szCs w:val="20"/>
          <w:color w:val="auto"/>
        </w:rPr>
        <w:tab/>
      </w:r>
      <w:r>
        <w:rPr>
          <w:rFonts w:ascii="Courier New" w:cs="Courier New" w:eastAsia="Courier New" w:hAnsi="Courier New"/>
          <w:sz w:val="16"/>
          <w:szCs w:val="16"/>
          <w:color w:val="auto"/>
        </w:rPr>
        <w:t>8</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5.7 President . . . . . . . . . . . . . . . . . . . . . . . . . . . . . .</w:t>
      </w:r>
      <w:r>
        <w:rPr>
          <w:sz w:val="20"/>
          <w:szCs w:val="20"/>
          <w:color w:val="auto"/>
        </w:rPr>
        <w:tab/>
      </w:r>
      <w:r>
        <w:rPr>
          <w:rFonts w:ascii="Courier New" w:cs="Courier New" w:eastAsia="Courier New" w:hAnsi="Courier New"/>
          <w:sz w:val="16"/>
          <w:szCs w:val="16"/>
          <w:color w:val="auto"/>
        </w:rPr>
        <w:t>8</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5.8 Chief Financial Officer . . . . . . . . . . . . . . . . . . . . . . .</w:t>
      </w:r>
      <w:r>
        <w:rPr>
          <w:sz w:val="20"/>
          <w:szCs w:val="20"/>
          <w:color w:val="auto"/>
        </w:rPr>
        <w:tab/>
      </w:r>
      <w:r>
        <w:rPr>
          <w:rFonts w:ascii="Courier New" w:cs="Courier New" w:eastAsia="Courier New" w:hAnsi="Courier New"/>
          <w:sz w:val="16"/>
          <w:szCs w:val="16"/>
          <w:color w:val="auto"/>
        </w:rPr>
        <w:t>8</w:t>
      </w:r>
    </w:p>
    <w:p>
      <w:pPr>
        <w:ind w:left="220"/>
        <w:spacing w:after="0"/>
        <w:tabs>
          <w:tab w:leader="none" w:pos="8100" w:val="left"/>
        </w:tabs>
        <w:rPr>
          <w:sz w:val="20"/>
          <w:szCs w:val="20"/>
          <w:color w:val="auto"/>
        </w:rPr>
      </w:pPr>
      <w:r>
        <w:rPr>
          <w:rFonts w:ascii="Courier New" w:cs="Courier New" w:eastAsia="Courier New" w:hAnsi="Courier New"/>
          <w:sz w:val="18"/>
          <w:szCs w:val="18"/>
          <w:color w:val="auto"/>
        </w:rPr>
        <w:t>5.9 Vice President. . . . . . . . . . . . . . . . . . . . . . . . . . . .</w:t>
      </w:r>
      <w:r>
        <w:rPr>
          <w:sz w:val="20"/>
          <w:szCs w:val="20"/>
          <w:color w:val="auto"/>
        </w:rPr>
        <w:tab/>
      </w:r>
      <w:r>
        <w:rPr>
          <w:rFonts w:ascii="Courier New" w:cs="Courier New" w:eastAsia="Courier New" w:hAnsi="Courier New"/>
          <w:sz w:val="16"/>
          <w:szCs w:val="16"/>
          <w:color w:val="auto"/>
        </w:rPr>
        <w:t>9</w:t>
      </w:r>
    </w:p>
    <w:p>
      <w:pPr>
        <w:ind w:left="220"/>
        <w:spacing w:after="0"/>
        <w:tabs>
          <w:tab w:leader="none" w:pos="1880" w:val="left"/>
          <w:tab w:leader="none" w:pos="8100" w:val="left"/>
        </w:tabs>
        <w:rPr>
          <w:sz w:val="20"/>
          <w:szCs w:val="20"/>
          <w:color w:val="auto"/>
        </w:rPr>
      </w:pPr>
      <w:r>
        <w:rPr>
          <w:rFonts w:ascii="Courier New" w:cs="Courier New" w:eastAsia="Courier New" w:hAnsi="Courier New"/>
          <w:sz w:val="18"/>
          <w:szCs w:val="18"/>
          <w:color w:val="auto"/>
        </w:rPr>
        <w:t>5.10 Secretary</w:t>
        <w:tab/>
        <w:t>. . . . . . . . . . . . . . . . . . . . . . . . . . . . .</w:t>
      </w:r>
      <w:r>
        <w:rPr>
          <w:sz w:val="20"/>
          <w:szCs w:val="20"/>
          <w:color w:val="auto"/>
        </w:rPr>
        <w:tab/>
      </w:r>
      <w:r>
        <w:rPr>
          <w:rFonts w:ascii="Courier New" w:cs="Courier New" w:eastAsia="Courier New" w:hAnsi="Courier New"/>
          <w:sz w:val="16"/>
          <w:szCs w:val="16"/>
          <w:color w:val="auto"/>
        </w:rPr>
        <w:t>9</w:t>
      </w:r>
    </w:p>
    <w:p>
      <w:pPr>
        <w:ind w:left="220"/>
        <w:spacing w:after="0"/>
        <w:tabs>
          <w:tab w:leader="none" w:pos="1880" w:val="left"/>
          <w:tab w:leader="none" w:pos="8100" w:val="left"/>
        </w:tabs>
        <w:rPr>
          <w:sz w:val="20"/>
          <w:szCs w:val="20"/>
          <w:color w:val="auto"/>
        </w:rPr>
      </w:pPr>
      <w:r>
        <w:rPr>
          <w:rFonts w:ascii="Courier New" w:cs="Courier New" w:eastAsia="Courier New" w:hAnsi="Courier New"/>
          <w:sz w:val="18"/>
          <w:szCs w:val="18"/>
          <w:color w:val="auto"/>
        </w:rPr>
        <w:t>5.11 Treasurer</w:t>
        <w:tab/>
        <w:t>. . . . . . . . . . . . . . . . . . . . . . . . . . . . .</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ARTICLE SIX DISTRIBUTIONS AND DIVIDENDS . . . . . . . . . . . . . . . . . .</w:t>
      </w:r>
      <w:r>
        <w:rPr>
          <w:sz w:val="20"/>
          <w:szCs w:val="20"/>
          <w:color w:val="auto"/>
        </w:rPr>
        <w:tab/>
      </w:r>
      <w:r>
        <w:rPr>
          <w:rFonts w:ascii="Courier New" w:cs="Courier New" w:eastAsia="Courier New" w:hAnsi="Courier New"/>
          <w:sz w:val="16"/>
          <w:szCs w:val="16"/>
          <w:color w:val="auto"/>
        </w:rPr>
        <w:t>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SEVEN SHARES. . . . . . . . . . . . . . . . . . . . . . . . . . . . 10</w:t>
      </w:r>
    </w:p>
    <w:p>
      <w:pPr>
        <w:spacing w:after="0" w:line="218" w:lineRule="exact"/>
        <w:rPr>
          <w:sz w:val="20"/>
          <w:szCs w:val="20"/>
          <w:color w:val="auto"/>
        </w:rPr>
      </w:pP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7.1 Share Certificates . . . . . . . . . . . . . . . . . . . . . . . . .</w:t>
      </w:r>
      <w:r>
        <w:rPr>
          <w:sz w:val="20"/>
          <w:szCs w:val="20"/>
          <w:color w:val="auto"/>
        </w:rPr>
        <w:tab/>
      </w:r>
      <w:r>
        <w:rPr>
          <w:rFonts w:ascii="Courier New" w:cs="Courier New" w:eastAsia="Courier New" w:hAnsi="Courier New"/>
          <w:sz w:val="16"/>
          <w:szCs w:val="16"/>
          <w:color w:val="auto"/>
        </w:rPr>
        <w:t>10</w:t>
      </w:r>
    </w:p>
    <w:p>
      <w:pPr>
        <w:ind w:left="220"/>
        <w:spacing w:after="0"/>
        <w:tabs>
          <w:tab w:leader="none" w:pos="6620" w:val="left"/>
          <w:tab w:leader="none" w:pos="8000" w:val="left"/>
        </w:tabs>
        <w:rPr>
          <w:sz w:val="20"/>
          <w:szCs w:val="20"/>
          <w:color w:val="auto"/>
        </w:rPr>
      </w:pPr>
      <w:r>
        <w:rPr>
          <w:rFonts w:ascii="Courier New" w:cs="Courier New" w:eastAsia="Courier New" w:hAnsi="Courier New"/>
          <w:sz w:val="18"/>
          <w:szCs w:val="18"/>
          <w:color w:val="auto"/>
        </w:rPr>
        <w:t>7.2 Rights of Corporation with Respect to Registered Owners</w:t>
        <w:tab/>
        <w:t>. . . . . .</w:t>
      </w:r>
      <w:r>
        <w:rPr>
          <w:sz w:val="20"/>
          <w:szCs w:val="20"/>
          <w:color w:val="auto"/>
        </w:rPr>
        <w:tab/>
      </w:r>
      <w:r>
        <w:rPr>
          <w:rFonts w:ascii="Courier New" w:cs="Courier New" w:eastAsia="Courier New" w:hAnsi="Courier New"/>
          <w:sz w:val="16"/>
          <w:szCs w:val="16"/>
          <w:color w:val="auto"/>
        </w:rPr>
        <w:t>10</w:t>
      </w:r>
    </w:p>
    <w:p>
      <w:pPr>
        <w:ind w:left="220"/>
        <w:spacing w:after="0"/>
        <w:tabs>
          <w:tab w:leader="none" w:pos="2840" w:val="left"/>
          <w:tab w:leader="none" w:pos="8000" w:val="left"/>
        </w:tabs>
        <w:rPr>
          <w:sz w:val="20"/>
          <w:szCs w:val="20"/>
          <w:color w:val="auto"/>
        </w:rPr>
      </w:pPr>
      <w:r>
        <w:rPr>
          <w:rFonts w:ascii="Courier New" w:cs="Courier New" w:eastAsia="Courier New" w:hAnsi="Courier New"/>
          <w:sz w:val="18"/>
          <w:szCs w:val="18"/>
          <w:color w:val="auto"/>
        </w:rPr>
        <w:t>7.3 Transfers of Shares</w:t>
        <w:tab/>
        <w:t>. . . . . . . . . . . . . . . . . . . . . . . .</w:t>
      </w:r>
      <w:r>
        <w:rPr>
          <w:sz w:val="20"/>
          <w:szCs w:val="20"/>
          <w:color w:val="auto"/>
        </w:rPr>
        <w:tab/>
      </w:r>
      <w:r>
        <w:rPr>
          <w:rFonts w:ascii="Courier New" w:cs="Courier New" w:eastAsia="Courier New" w:hAnsi="Courier New"/>
          <w:sz w:val="16"/>
          <w:szCs w:val="16"/>
          <w:color w:val="auto"/>
        </w:rPr>
        <w:t>10</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7.4 Duty of Corporation to Register Transfer . . . . . . . . . . . . . .</w:t>
      </w:r>
      <w:r>
        <w:rPr>
          <w:sz w:val="20"/>
          <w:szCs w:val="20"/>
          <w:color w:val="auto"/>
        </w:rPr>
        <w:tab/>
      </w:r>
      <w:r>
        <w:rPr>
          <w:rFonts w:ascii="Courier New" w:cs="Courier New" w:eastAsia="Courier New" w:hAnsi="Courier New"/>
          <w:sz w:val="16"/>
          <w:szCs w:val="16"/>
          <w:color w:val="auto"/>
        </w:rPr>
        <w:t>10</w:t>
      </w:r>
    </w:p>
    <w:p>
      <w:pPr>
        <w:ind w:left="220"/>
        <w:spacing w:after="0"/>
        <w:tabs>
          <w:tab w:leader="none" w:pos="4940" w:val="left"/>
          <w:tab w:leader="none" w:pos="8000" w:val="left"/>
        </w:tabs>
        <w:rPr>
          <w:sz w:val="20"/>
          <w:szCs w:val="20"/>
          <w:color w:val="auto"/>
        </w:rPr>
      </w:pPr>
      <w:r>
        <w:rPr>
          <w:rFonts w:ascii="Courier New" w:cs="Courier New" w:eastAsia="Courier New" w:hAnsi="Courier New"/>
          <w:sz w:val="18"/>
          <w:szCs w:val="18"/>
          <w:color w:val="auto"/>
        </w:rPr>
        <w:t>7.5 Lost, Stolen, or Destroyed Certificates</w:t>
        <w:tab/>
        <w:t>. . . . . . . . . . . . . .</w:t>
      </w:r>
      <w:r>
        <w:rPr>
          <w:sz w:val="20"/>
          <w:szCs w:val="20"/>
          <w:color w:val="auto"/>
        </w:rPr>
        <w:tab/>
      </w:r>
      <w:r>
        <w:rPr>
          <w:rFonts w:ascii="Courier New" w:cs="Courier New" w:eastAsia="Courier New" w:hAnsi="Courier New"/>
          <w:sz w:val="16"/>
          <w:szCs w:val="16"/>
          <w:color w:val="auto"/>
        </w:rPr>
        <w:t>10</w:t>
      </w:r>
    </w:p>
    <w:p>
      <w:pPr>
        <w:ind w:left="220"/>
        <w:spacing w:after="0"/>
        <w:tabs>
          <w:tab w:leader="none" w:pos="3040" w:val="left"/>
          <w:tab w:leader="none" w:pos="8000" w:val="left"/>
        </w:tabs>
        <w:rPr>
          <w:sz w:val="20"/>
          <w:szCs w:val="20"/>
          <w:color w:val="auto"/>
        </w:rPr>
      </w:pPr>
      <w:r>
        <w:rPr>
          <w:rFonts w:ascii="Courier New" w:cs="Courier New" w:eastAsia="Courier New" w:hAnsi="Courier New"/>
          <w:sz w:val="18"/>
          <w:szCs w:val="18"/>
          <w:color w:val="auto"/>
        </w:rPr>
        <w:t>7.6 Fixing of Record Date</w:t>
        <w:tab/>
        <w:t>. . . . . . . . . . . . . . . . . . . . . . .</w:t>
      </w:r>
      <w:r>
        <w:rPr>
          <w:sz w:val="20"/>
          <w:szCs w:val="20"/>
          <w:color w:val="auto"/>
        </w:rPr>
        <w:tab/>
      </w:r>
      <w:r>
        <w:rPr>
          <w:rFonts w:ascii="Courier New" w:cs="Courier New" w:eastAsia="Courier New" w:hAnsi="Courier New"/>
          <w:sz w:val="16"/>
          <w:szCs w:val="16"/>
          <w:color w:val="auto"/>
        </w:rPr>
        <w:t>11</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7.7 Record Date if None Fixed. . . . . . . . . . . . . . . . . . . . . .</w:t>
      </w:r>
      <w:r>
        <w:rPr>
          <w:sz w:val="20"/>
          <w:szCs w:val="20"/>
          <w:color w:val="auto"/>
        </w:rPr>
        <w:tab/>
      </w: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70" w:name="page171"/>
    <w:bookmarkEnd w:id="170"/>
    <w:p>
      <w:pPr>
        <w:jc w:val="center"/>
        <w:ind w:right="1759"/>
        <w:spacing w:after="0"/>
        <w:rPr>
          <w:sz w:val="20"/>
          <w:szCs w:val="20"/>
          <w:color w:val="auto"/>
        </w:rPr>
      </w:pPr>
      <w:r>
        <w:rPr>
          <w:rFonts w:ascii="Courier New" w:cs="Courier New" w:eastAsia="Courier New" w:hAnsi="Courier New"/>
          <w:sz w:val="16"/>
          <w:szCs w:val="16"/>
          <w:color w:val="auto"/>
        </w:rPr>
        <w:t>ARTICLE EIGHT INDEMNIFICATION . . . . . . . . . . . . . . . . . . . . . . . 11</w:t>
      </w:r>
    </w:p>
    <w:p>
      <w:pPr>
        <w:spacing w:after="0" w:line="218" w:lineRule="exact"/>
        <w:rPr>
          <w:sz w:val="20"/>
          <w:szCs w:val="20"/>
          <w:color w:val="auto"/>
        </w:rPr>
      </w:pP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8.1 Action by Persons other than the Corporation . . . . . . . . . . . .</w:t>
      </w:r>
      <w:r>
        <w:rPr>
          <w:sz w:val="20"/>
          <w:szCs w:val="20"/>
          <w:color w:val="auto"/>
        </w:rPr>
        <w:tab/>
      </w:r>
      <w:r>
        <w:rPr>
          <w:rFonts w:ascii="Courier New" w:cs="Courier New" w:eastAsia="Courier New" w:hAnsi="Courier New"/>
          <w:sz w:val="16"/>
          <w:szCs w:val="16"/>
          <w:color w:val="auto"/>
        </w:rPr>
        <w:t>11</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8.2 Actions By or in the Name of the Corporation . . . . . . . . . . . .</w:t>
      </w:r>
      <w:r>
        <w:rPr>
          <w:sz w:val="20"/>
          <w:szCs w:val="20"/>
          <w:color w:val="auto"/>
        </w:rPr>
        <w:tab/>
      </w:r>
      <w:r>
        <w:rPr>
          <w:rFonts w:ascii="Courier New" w:cs="Courier New" w:eastAsia="Courier New" w:hAnsi="Courier New"/>
          <w:sz w:val="16"/>
          <w:szCs w:val="16"/>
          <w:color w:val="auto"/>
        </w:rPr>
        <w:t>11</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8.3 Successful Defense . . . . . . . . . . . . . . . . . . . . . . . . .</w:t>
      </w:r>
      <w:r>
        <w:rPr>
          <w:sz w:val="20"/>
          <w:szCs w:val="20"/>
          <w:color w:val="auto"/>
        </w:rPr>
        <w:tab/>
      </w:r>
      <w:r>
        <w:rPr>
          <w:rFonts w:ascii="Courier New" w:cs="Courier New" w:eastAsia="Courier New" w:hAnsi="Courier New"/>
          <w:sz w:val="16"/>
          <w:szCs w:val="16"/>
          <w:color w:val="auto"/>
        </w:rPr>
        <w:t>12</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8.4 Authorization of Indemnification . . . . . . . . . . . . . . . . . .</w:t>
      </w:r>
      <w:r>
        <w:rPr>
          <w:sz w:val="20"/>
          <w:szCs w:val="20"/>
          <w:color w:val="auto"/>
        </w:rPr>
        <w:tab/>
      </w:r>
      <w:r>
        <w:rPr>
          <w:rFonts w:ascii="Courier New" w:cs="Courier New" w:eastAsia="Courier New" w:hAnsi="Courier New"/>
          <w:sz w:val="16"/>
          <w:szCs w:val="16"/>
          <w:color w:val="auto"/>
        </w:rPr>
        <w:t>12</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8.5 Prepayment of Expenses . . . . . . . . . . . . . . . . . . . . . . .</w:t>
      </w:r>
      <w:r>
        <w:rPr>
          <w:sz w:val="20"/>
          <w:szCs w:val="20"/>
          <w:color w:val="auto"/>
        </w:rPr>
        <w:tab/>
      </w:r>
      <w:r>
        <w:rPr>
          <w:rFonts w:ascii="Courier New" w:cs="Courier New" w:eastAsia="Courier New" w:hAnsi="Courier New"/>
          <w:sz w:val="16"/>
          <w:szCs w:val="16"/>
          <w:color w:val="auto"/>
        </w:rPr>
        <w:t>12</w:t>
      </w:r>
    </w:p>
    <w:p>
      <w:pPr>
        <w:ind w:left="220"/>
        <w:spacing w:after="0"/>
        <w:tabs>
          <w:tab w:leader="none" w:pos="2840" w:val="left"/>
          <w:tab w:leader="none" w:pos="8000" w:val="left"/>
        </w:tabs>
        <w:rPr>
          <w:sz w:val="20"/>
          <w:szCs w:val="20"/>
          <w:color w:val="auto"/>
        </w:rPr>
      </w:pPr>
      <w:r>
        <w:rPr>
          <w:rFonts w:ascii="Courier New" w:cs="Courier New" w:eastAsia="Courier New" w:hAnsi="Courier New"/>
          <w:sz w:val="18"/>
          <w:szCs w:val="18"/>
          <w:color w:val="auto"/>
        </w:rPr>
        <w:t>8.6 Non-Exclusive Right</w:t>
        <w:tab/>
        <w:t>. . . . . . . . . . . . . . . . . . . . . . . .</w:t>
      </w:r>
      <w:r>
        <w:rPr>
          <w:sz w:val="20"/>
          <w:szCs w:val="20"/>
          <w:color w:val="auto"/>
        </w:rPr>
        <w:tab/>
      </w:r>
      <w:r>
        <w:rPr>
          <w:rFonts w:ascii="Courier New" w:cs="Courier New" w:eastAsia="Courier New" w:hAnsi="Courier New"/>
          <w:sz w:val="16"/>
          <w:szCs w:val="16"/>
          <w:color w:val="auto"/>
        </w:rPr>
        <w:t>12</w:t>
      </w:r>
    </w:p>
    <w:p>
      <w:pPr>
        <w:ind w:left="220"/>
        <w:spacing w:after="0"/>
        <w:tabs>
          <w:tab w:leader="none" w:pos="1780" w:val="left"/>
          <w:tab w:leader="none" w:pos="8000" w:val="left"/>
        </w:tabs>
        <w:rPr>
          <w:sz w:val="20"/>
          <w:szCs w:val="20"/>
          <w:color w:val="auto"/>
        </w:rPr>
      </w:pPr>
      <w:r>
        <w:rPr>
          <w:rFonts w:ascii="Courier New" w:cs="Courier New" w:eastAsia="Courier New" w:hAnsi="Courier New"/>
          <w:sz w:val="18"/>
          <w:szCs w:val="18"/>
          <w:color w:val="auto"/>
        </w:rPr>
        <w:t>8.7 Insurance</w:t>
        <w:tab/>
        <w:t>. . . . . . . . . . . . . . . . . . . . . . . . . . . . .</w:t>
      </w:r>
      <w:r>
        <w:rPr>
          <w:sz w:val="20"/>
          <w:szCs w:val="20"/>
          <w:color w:val="auto"/>
        </w:rPr>
        <w:tab/>
      </w:r>
      <w:r>
        <w:rPr>
          <w:rFonts w:ascii="Courier New" w:cs="Courier New" w:eastAsia="Courier New" w:hAnsi="Courier New"/>
          <w:sz w:val="16"/>
          <w:szCs w:val="16"/>
          <w:color w:val="auto"/>
        </w:rPr>
        <w:t>12</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8.8 Constituent Corporations to Merger . . . . . . . . . . . . . . . . .</w:t>
      </w:r>
      <w:r>
        <w:rPr>
          <w:sz w:val="20"/>
          <w:szCs w:val="20"/>
          <w:color w:val="auto"/>
        </w:rPr>
        <w:tab/>
      </w:r>
      <w:r>
        <w:rPr>
          <w:rFonts w:ascii="Courier New" w:cs="Courier New" w:eastAsia="Courier New" w:hAnsi="Courier New"/>
          <w:sz w:val="16"/>
          <w:szCs w:val="16"/>
          <w:color w:val="auto"/>
        </w:rPr>
        <w:t>13</w:t>
      </w:r>
    </w:p>
    <w:p>
      <w:pPr>
        <w:ind w:left="220"/>
        <w:spacing w:after="0"/>
        <w:tabs>
          <w:tab w:leader="none" w:pos="1980" w:val="left"/>
          <w:tab w:leader="none" w:pos="8000" w:val="left"/>
        </w:tabs>
        <w:rPr>
          <w:sz w:val="20"/>
          <w:szCs w:val="20"/>
          <w:color w:val="auto"/>
        </w:rPr>
      </w:pPr>
      <w:r>
        <w:rPr>
          <w:rFonts w:ascii="Courier New" w:cs="Courier New" w:eastAsia="Courier New" w:hAnsi="Courier New"/>
          <w:sz w:val="18"/>
          <w:szCs w:val="18"/>
          <w:color w:val="auto"/>
        </w:rPr>
        <w:t>8.9 Definitions</w:t>
        <w:tab/>
        <w:t>. . . . . . . . . . . . . . . . . . . . . . . . . . . .</w:t>
      </w:r>
      <w:r>
        <w:rPr>
          <w:sz w:val="20"/>
          <w:szCs w:val="20"/>
          <w:color w:val="auto"/>
        </w:rPr>
        <w:tab/>
      </w:r>
      <w:r>
        <w:rPr>
          <w:rFonts w:ascii="Courier New" w:cs="Courier New" w:eastAsia="Courier New" w:hAnsi="Courier New"/>
          <w:sz w:val="16"/>
          <w:szCs w:val="16"/>
          <w:color w:val="auto"/>
        </w:rPr>
        <w:t>13</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8.10 Continuation of Indemnification . . . . . . . . . . . . . . . . . .</w:t>
      </w:r>
      <w:r>
        <w:rPr>
          <w:sz w:val="20"/>
          <w:szCs w:val="20"/>
          <w:color w:val="auto"/>
        </w:rPr>
        <w:tab/>
      </w:r>
      <w:r>
        <w:rPr>
          <w:rFonts w:ascii="Courier New" w:cs="Courier New" w:eastAsia="Courier New" w:hAnsi="Courier New"/>
          <w:sz w:val="16"/>
          <w:szCs w:val="16"/>
          <w:color w:val="auto"/>
        </w:rPr>
        <w:t>13</w:t>
      </w:r>
    </w:p>
    <w:p>
      <w:pPr>
        <w:ind w:left="220"/>
        <w:spacing w:after="0"/>
        <w:tabs>
          <w:tab w:leader="none" w:pos="2420" w:val="left"/>
          <w:tab w:leader="none" w:pos="8000" w:val="left"/>
        </w:tabs>
        <w:rPr>
          <w:sz w:val="20"/>
          <w:szCs w:val="20"/>
          <w:color w:val="auto"/>
        </w:rPr>
      </w:pPr>
      <w:r>
        <w:rPr>
          <w:rFonts w:ascii="Courier New" w:cs="Courier New" w:eastAsia="Courier New" w:hAnsi="Courier New"/>
          <w:sz w:val="18"/>
          <w:szCs w:val="18"/>
          <w:color w:val="auto"/>
        </w:rPr>
        <w:t>8.11 Changes in Law</w:t>
        <w:tab/>
        <w:t>. . . . . . . . . . . . . . . . . . . . . . . . . .</w:t>
      </w:r>
      <w:r>
        <w:rPr>
          <w:sz w:val="20"/>
          <w:szCs w:val="20"/>
          <w:color w:val="auto"/>
        </w:rPr>
        <w:tab/>
      </w:r>
      <w:r>
        <w:rPr>
          <w:rFonts w:ascii="Courier New" w:cs="Courier New" w:eastAsia="Courier New" w:hAnsi="Courier New"/>
          <w:sz w:val="16"/>
          <w:szCs w:val="16"/>
          <w:color w:val="auto"/>
        </w:rPr>
        <w:t>13</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8.12 Other Permitted Indemnification . . . . . . . . . . . . . . . . . .</w:t>
      </w:r>
      <w:r>
        <w:rPr>
          <w:sz w:val="20"/>
          <w:szCs w:val="20"/>
          <w:color w:val="auto"/>
        </w:rPr>
        <w:tab/>
      </w:r>
      <w:r>
        <w:rPr>
          <w:rFonts w:ascii="Courier New" w:cs="Courier New" w:eastAsia="Courier New" w:hAnsi="Courier New"/>
          <w:sz w:val="16"/>
          <w:szCs w:val="16"/>
          <w:color w:val="auto"/>
        </w:rPr>
        <w:t>13</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8.13 Amendment . . . . . . . . . . . . . . . . . . . . . . . . . . . . .</w:t>
      </w:r>
      <w:r>
        <w:rPr>
          <w:sz w:val="20"/>
          <w:szCs w:val="20"/>
          <w:color w:val="auto"/>
        </w:rPr>
        <w:tab/>
      </w:r>
      <w:r>
        <w:rPr>
          <w:rFonts w:ascii="Courier New" w:cs="Courier New" w:eastAsia="Courier New" w:hAnsi="Courier New"/>
          <w:sz w:val="16"/>
          <w:szCs w:val="16"/>
          <w:color w:val="auto"/>
        </w:rPr>
        <w:t>14</w:t>
      </w:r>
    </w:p>
    <w:p>
      <w:pPr>
        <w:ind w:left="220"/>
        <w:spacing w:after="0"/>
        <w:tabs>
          <w:tab w:leader="none" w:pos="2200" w:val="left"/>
          <w:tab w:leader="none" w:pos="8000" w:val="left"/>
        </w:tabs>
        <w:rPr>
          <w:sz w:val="20"/>
          <w:szCs w:val="20"/>
          <w:color w:val="auto"/>
        </w:rPr>
      </w:pPr>
      <w:r>
        <w:rPr>
          <w:rFonts w:ascii="Courier New" w:cs="Courier New" w:eastAsia="Courier New" w:hAnsi="Courier New"/>
          <w:sz w:val="18"/>
          <w:szCs w:val="18"/>
          <w:color w:val="auto"/>
        </w:rPr>
        <w:t>8.14 Severability</w:t>
        <w:tab/>
        <w:t>. . . . . . . . . . . . . . . . . . . . . . . . . . .</w:t>
      </w:r>
      <w:r>
        <w:rPr>
          <w:sz w:val="20"/>
          <w:szCs w:val="20"/>
          <w:color w:val="auto"/>
        </w:rPr>
        <w:tab/>
      </w:r>
      <w:r>
        <w:rPr>
          <w:rFonts w:ascii="Courier New" w:cs="Courier New" w:eastAsia="Courier New" w:hAnsi="Courier New"/>
          <w:sz w:val="16"/>
          <w:szCs w:val="16"/>
          <w:color w:val="auto"/>
        </w:rPr>
        <w:t>14</w:t>
      </w:r>
    </w:p>
    <w:p>
      <w:pPr>
        <w:spacing w:after="0" w:line="202"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ARTICLE NINE MISCELLANEOUS</w:t>
      </w:r>
      <w:r>
        <w:rPr>
          <w:sz w:val="20"/>
          <w:szCs w:val="20"/>
          <w:color w:val="auto"/>
        </w:rPr>
        <w:tab/>
      </w:r>
      <w:r>
        <w:rPr>
          <w:rFonts w:ascii="Courier New" w:cs="Courier New" w:eastAsia="Courier New" w:hAnsi="Courier New"/>
          <w:sz w:val="16"/>
          <w:szCs w:val="16"/>
          <w:color w:val="auto"/>
        </w:rPr>
        <w:t>. . . . . . . . . . . . . . . . . . . . . . . . 15</w:t>
      </w:r>
    </w:p>
    <w:p>
      <w:pPr>
        <w:spacing w:after="0" w:line="201" w:lineRule="exact"/>
        <w:rPr>
          <w:sz w:val="20"/>
          <w:szCs w:val="20"/>
          <w:color w:val="auto"/>
        </w:rPr>
      </w:pP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9.1 Inspection of Books and Records. . . . . . . . . . . . . . . . . . .</w:t>
      </w:r>
      <w:r>
        <w:rPr>
          <w:sz w:val="20"/>
          <w:szCs w:val="20"/>
          <w:color w:val="auto"/>
        </w:rPr>
        <w:tab/>
      </w:r>
      <w:r>
        <w:rPr>
          <w:rFonts w:ascii="Courier New" w:cs="Courier New" w:eastAsia="Courier New" w:hAnsi="Courier New"/>
          <w:sz w:val="16"/>
          <w:szCs w:val="16"/>
          <w:color w:val="auto"/>
        </w:rPr>
        <w:t>15</w:t>
      </w:r>
    </w:p>
    <w:p>
      <w:pPr>
        <w:ind w:left="220"/>
        <w:spacing w:after="0"/>
        <w:tabs>
          <w:tab w:leader="none" w:pos="1980" w:val="left"/>
          <w:tab w:leader="none" w:pos="8000" w:val="left"/>
        </w:tabs>
        <w:rPr>
          <w:sz w:val="20"/>
          <w:szCs w:val="20"/>
          <w:color w:val="auto"/>
        </w:rPr>
      </w:pPr>
      <w:r>
        <w:rPr>
          <w:rFonts w:ascii="Courier New" w:cs="Courier New" w:eastAsia="Courier New" w:hAnsi="Courier New"/>
          <w:sz w:val="18"/>
          <w:szCs w:val="18"/>
          <w:color w:val="auto"/>
        </w:rPr>
        <w:t>9.2 Fiscal Year</w:t>
        <w:tab/>
        <w:t>. . . . . . . . . . . . . . . . . . . . . . . . . . . .</w:t>
      </w:r>
      <w:r>
        <w:rPr>
          <w:sz w:val="20"/>
          <w:szCs w:val="20"/>
          <w:color w:val="auto"/>
        </w:rPr>
        <w:tab/>
      </w:r>
      <w:r>
        <w:rPr>
          <w:rFonts w:ascii="Courier New" w:cs="Courier New" w:eastAsia="Courier New" w:hAnsi="Courier New"/>
          <w:sz w:val="16"/>
          <w:szCs w:val="16"/>
          <w:color w:val="auto"/>
        </w:rPr>
        <w:t>15</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9.3 Corporate Seal . . . . . . . . . . . . . . . . . . . . . . . . . . .</w:t>
      </w:r>
      <w:r>
        <w:rPr>
          <w:sz w:val="20"/>
          <w:szCs w:val="20"/>
          <w:color w:val="auto"/>
        </w:rPr>
        <w:tab/>
      </w:r>
      <w:r>
        <w:rPr>
          <w:rFonts w:ascii="Courier New" w:cs="Courier New" w:eastAsia="Courier New" w:hAnsi="Courier New"/>
          <w:sz w:val="16"/>
          <w:szCs w:val="16"/>
          <w:color w:val="auto"/>
        </w:rPr>
        <w:t>15</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9.4 Notice . . . . . . . . . . . . . . . . . . . . . . . . . . . . . . .</w:t>
      </w:r>
      <w:r>
        <w:rPr>
          <w:sz w:val="20"/>
          <w:szCs w:val="20"/>
          <w:color w:val="auto"/>
        </w:rPr>
        <w:tab/>
      </w:r>
      <w:r>
        <w:rPr>
          <w:rFonts w:ascii="Courier New" w:cs="Courier New" w:eastAsia="Courier New" w:hAnsi="Courier New"/>
          <w:sz w:val="16"/>
          <w:szCs w:val="16"/>
          <w:color w:val="auto"/>
        </w:rPr>
        <w:t>15</w:t>
      </w:r>
    </w:p>
    <w:p>
      <w:pPr>
        <w:spacing w:after="0" w:line="20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ARTICLE TEN AMENDMENTS</w:t>
      </w:r>
      <w:r>
        <w:rPr>
          <w:sz w:val="20"/>
          <w:szCs w:val="20"/>
          <w:color w:val="auto"/>
        </w:rPr>
        <w:tab/>
      </w:r>
      <w:r>
        <w:rPr>
          <w:rFonts w:ascii="Courier New" w:cs="Courier New" w:eastAsia="Courier New" w:hAnsi="Courier New"/>
          <w:sz w:val="16"/>
          <w:szCs w:val="16"/>
          <w:color w:val="auto"/>
        </w:rPr>
        <w:t>. . . . . . . . . . . . . . . . . . . . . . . . . . 16</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1" w:name="page172"/>
    <w:bookmarkEnd w:id="171"/>
    <w:p>
      <w:pPr>
        <w:jc w:val="center"/>
        <w:ind w:right="1879"/>
        <w:spacing w:after="0"/>
        <w:rPr>
          <w:sz w:val="20"/>
          <w:szCs w:val="20"/>
          <w:color w:val="auto"/>
        </w:rPr>
      </w:pPr>
      <w:r>
        <w:rPr>
          <w:rFonts w:ascii="Courier New" w:cs="Courier New" w:eastAsia="Courier New" w:hAnsi="Courier New"/>
          <w:sz w:val="18"/>
          <w:szCs w:val="18"/>
          <w:color w:val="auto"/>
        </w:rPr>
        <w:t>AMENDED AND RESTATED BYLAWS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UNITED COMMUNITY BANKS,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2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References in these Amended and Restated Bylaws to "Articles of Incorporation" are to the Articles of Incorporation of United Community Banks, Inc., a Georgia corporation (the "Corporation"), as amended and restated from time to time.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All of these</w:t>
            </w:r>
          </w:p>
        </w:tc>
        <w:tc>
          <w:tcPr>
            <w:tcW w:w="4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Amended and Restated Bylaws are subject to</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contrary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provisions,</w:t>
            </w:r>
          </w:p>
        </w:tc>
        <w:tc>
          <w:tcPr>
            <w:tcW w:w="69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if any, of the Articles of Incorporation (including provisions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designating</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preferences,</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limitations, and relative rights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any class or</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series of shares),</w:t>
            </w:r>
          </w:p>
        </w:tc>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Georgia Business Corporation Code (the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"Code"), and</w:t>
            </w:r>
          </w:p>
        </w:tc>
      </w:tr>
      <w:tr>
        <w:trPr>
          <w:trHeight w:val="203"/>
        </w:trPr>
        <w:tc>
          <w:tcPr>
            <w:tcW w:w="6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other applicable law, as in effect on and after the effective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 of these</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Bylaws.  References in these</w:t>
            </w:r>
          </w:p>
        </w:tc>
        <w:tc>
          <w:tcPr>
            <w:tcW w:w="3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Bylaws to "Sections" shall refer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sections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Bylaws,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unless</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otherwise</w:t>
            </w:r>
          </w:p>
        </w:tc>
        <w:tc>
          <w:tcPr>
            <w:tcW w:w="346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w w:val="99"/>
              </w:rPr>
              <w:t>indicated.</w:t>
            </w:r>
          </w:p>
        </w:tc>
        <w:tc>
          <w:tcPr>
            <w:tcW w:w="16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OFFICE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1.1 REGISTERED OFFICE AND AGENT. The Corporation shall maintain a registered office in the State of Georgia and shall have a registered agent whose business office is the same as the registered office.</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1.2 OTHER OFFICES. The Corporation may also have other offices at such other place or places, both within or without the State of Georgia, as the Board of Directors may from time to time designate or the business of the Corporation requires.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STOCKHOLDERS' MEETINGS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2.1 PLACE OF MEETINGS. Meetings of the Corporation's stockholders may be held at any location inside or outside the State of Georgia designated by the Board of Directors or any other person or persons who properly call the meeting, or if the Board of Directors or such other person or persons do not specify a location, at the Corporation's principal office.</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2.2 ANNUAL MEETINGS. The Corporation shall hold an annual meeting of stockholders, at a time determined by the Board of Directors, to elect directors and to transact any business that properly may come before the meeting. The annual meeting may be combined with any other meeting of stockholders, whether annual or special.</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72" w:name="page173"/>
    <w:bookmarkEnd w:id="172"/>
    <w:p>
      <w:pPr>
        <w:ind w:right="1999" w:firstLine="632"/>
        <w:spacing w:after="0" w:line="237" w:lineRule="auto"/>
        <w:rPr>
          <w:sz w:val="20"/>
          <w:szCs w:val="20"/>
          <w:color w:val="auto"/>
        </w:rPr>
      </w:pPr>
      <w:r>
        <w:rPr>
          <w:rFonts w:ascii="Courier New" w:cs="Courier New" w:eastAsia="Courier New" w:hAnsi="Courier New"/>
          <w:sz w:val="18"/>
          <w:szCs w:val="18"/>
          <w:color w:val="auto"/>
        </w:rPr>
        <w:t>2.3 SPECIAL MEETINGS. Special meetings of stockholders may be called at any time by the Board of Directors, the Chairman of the Board, the Chief Executive Officer, the President, or the Chief Financial Officer, and shall be called by the Corporation upon the written request (in compliance with applicable requirements of the Code) of the holders of shares representing twenty-five percent (25%) or more of the votes entitled to be cast on each issue proposed to be considered at the special meeting. The business that may be transacted at any special meeting of stockholders shall be limited to that proposed in the notice of the special meeting given in accordance with Section 2.4 (including related or incidental matters that may be necessary or appropriate to effectuate the proposed business).</w:t>
      </w:r>
    </w:p>
    <w:p>
      <w:pPr>
        <w:spacing w:after="0" w:line="216"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2.4 NOTICE OF MEETINGS. In accordance with Section 9.4 and subject to waiver by a stockholder pursuant to Section 2.5, the Corporation shall give written notice of the date, time, and place of each annual and special stockholders' meeting no fewer than 10 days nor more than 60 days before the meeting date to each stockholder of record entitled to vote at the meeting. The notice of an annual meeting need not state the purpose of the meeting unless these Bylaws require otherwise. The notice of a special meeting shall state the purpose for which the meeting is called. If an annual or special stockholders' meeting is adjourned to a different date, time, or location, the Corporation shall give stockholders notice of the new date, time, or location of the adjourned meeting, unless a quorum of stockholders was present at the meeting and information regarding the adjournment was announced before the meeting was adjourned; provided, however, that if (i) the adjournment is for more than 30 days, or (ii) a new record date is or must be fixed in accordance with Section 7.6, the Corporation must give notice of the adjourned meeting to all stockholders of record as of the new record date who are entitled to vote at the adjourned meeting.</w:t>
      </w:r>
    </w:p>
    <w:p>
      <w:pPr>
        <w:spacing w:after="0" w:line="209" w:lineRule="exact"/>
        <w:rPr>
          <w:sz w:val="20"/>
          <w:szCs w:val="20"/>
          <w:color w:val="auto"/>
        </w:rPr>
      </w:pPr>
    </w:p>
    <w:p>
      <w:pPr>
        <w:jc w:val="both"/>
        <w:ind w:right="2099" w:firstLine="632"/>
        <w:spacing w:after="0" w:line="268" w:lineRule="auto"/>
        <w:rPr>
          <w:sz w:val="20"/>
          <w:szCs w:val="20"/>
          <w:color w:val="auto"/>
        </w:rPr>
      </w:pPr>
      <w:r>
        <w:rPr>
          <w:rFonts w:ascii="Courier New" w:cs="Courier New" w:eastAsia="Courier New" w:hAnsi="Courier New"/>
          <w:sz w:val="16"/>
          <w:szCs w:val="16"/>
          <w:color w:val="auto"/>
        </w:rPr>
        <w:t>2.5 WAIVER OF NOTICE. A stockholder may waive any notice required by the Code, the Articles of Incorporation, or these Bylaws, before or after the date and time of the matter to which the notice relates, by delivering to the Corporation a written waiver of notice signed by the stockholder entitled to the notice. In addition, a stockholder's attendance at a meeting shall be</w:t>
      </w:r>
    </w:p>
    <w:p>
      <w:pPr>
        <w:spacing w:after="0" w:line="1" w:lineRule="exact"/>
        <w:rPr>
          <w:sz w:val="20"/>
          <w:szCs w:val="20"/>
          <w:color w:val="auto"/>
        </w:rPr>
      </w:pPr>
    </w:p>
    <w:p>
      <w:pPr>
        <w:ind w:right="1999" w:firstLine="8"/>
        <w:spacing w:after="0" w:line="237" w:lineRule="auto"/>
        <w:tabs>
          <w:tab w:leader="none" w:pos="421"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waiver of objection to lack of notice or defective notice of the meeting unless the stockholder attends the meeting for the express purpose of objecting at the beginning of the meeting, and (b) a waiver of objection to consideration of a particular matter at the meeting that is not within the purpose stated in the meeting notice, unless the stockholder objects to considering the matter when it is presented. Except as otherwise required by the Code, neither the purpose of nor the business transacted at the meeting need be specified in any waiver.</w:t>
      </w:r>
    </w:p>
    <w:p>
      <w:pPr>
        <w:spacing w:after="0" w:line="212"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2.6 QUOROM; VOTE REQUIRED TO ACT. (a) At all meetings of stockholders, stockholders entitled to vote on a matter may take action on the matter only if a quorum exists at the meeting. A quorum at all meetings of stockholders shall consist of the holders of record of a majority of the shares of the capital stock of the Corporation, issued and outstanding, entitled to vote at the meeting, present in person or by proxy, except as otherwise provided by law or the Articles of Incorporation. Once a share is present at any meeting other than for the express purpose of objecting at the beginning of the meeting, the share shall be deemed present for quorum purposes for the remainder of the meeting and for any adjournments of that meeting, unless a new record date for the adjourned meeting is or must be set pursuant to Section 7.6 of these Bylaws.</w:t>
      </w:r>
    </w:p>
    <w:p>
      <w:pPr>
        <w:spacing w:after="0" w:line="207" w:lineRule="exact"/>
        <w:rPr>
          <w:sz w:val="20"/>
          <w:szCs w:val="20"/>
          <w:color w:val="auto"/>
        </w:rPr>
      </w:pPr>
    </w:p>
    <w:p>
      <w:pPr>
        <w:ind w:right="1999" w:firstLine="640"/>
        <w:spacing w:after="0" w:line="290" w:lineRule="auto"/>
        <w:tabs>
          <w:tab w:leader="none" w:pos="126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3.2, if a quorum exists, action on a matter by the stockholders is approved by the stockholders if the votes cast</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3" w:name="page174"/>
    <w:bookmarkEnd w:id="173"/>
    <w:p>
      <w:pPr>
        <w:ind w:right="1999" w:firstLine="105"/>
        <w:spacing w:after="0" w:line="236" w:lineRule="auto"/>
        <w:rPr>
          <w:sz w:val="20"/>
          <w:szCs w:val="20"/>
          <w:color w:val="auto"/>
        </w:rPr>
      </w:pPr>
      <w:r>
        <w:rPr>
          <w:rFonts w:ascii="Courier New" w:cs="Courier New" w:eastAsia="Courier New" w:hAnsi="Courier New"/>
          <w:sz w:val="18"/>
          <w:szCs w:val="18"/>
          <w:color w:val="auto"/>
        </w:rPr>
        <w:t>favoring the action exceed the votes cast opposing the action, unless the Articles of Incorporation or the Code requires a greater number of affirmative votes.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2.7 VOTING OF SHARES. Unless otherwise required by the Code or the Articles of Incorporation, each outstanding share of any class or series having voting rights shall be entitled to one vote on each matter that is submitted to a vote of stockholders.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2.8 PROXIES. A stockholder entitled to vote on a matter may vote in person or by proxy pursuant to an appointment executed in writing by the stockholder or by his or her attorney-in-fact. An appointment of a proxy shall be valid for three years from the date of its execution, unless a longer or shorter period is expressly stated in the proxy.</w:t>
      </w:r>
    </w:p>
    <w:p>
      <w:pPr>
        <w:spacing w:after="0" w:line="209"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2.9 PRESIDING OFFICER. Except as otherwise provided in this Section 2.9, the Chairman of the Board, if there be one, and in his or her absence or disability the Chief Executive Officer, if there be one, and in his or her absence or disability the President, and in his or her absence or disability the Chief Financial Officer, if there be one, shall preside at every stockholders' meeting (and any adjournment thereof) as its chairman. If neither the Chairman of the Board, the Chief Executive Officer, the President nor the Chief Financial Officer is present and willing to serve as chairman of the meeting, and if the Chairman of the Board has not designated another person who is present and willing to serve, then a majority of the Corporation's directors present at the meeting shall be entitled to designate a person to serve as chairman. If no director of the Corporation is present at the meeting, or if a majority of the directors who are present cannot be established, then a chairman of the meeting shall be selected by a majority vote of the shares present at the meeting entitled to vote at the meeting.</w:t>
      </w:r>
    </w:p>
    <w:p>
      <w:pPr>
        <w:spacing w:after="0" w:line="18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chairman of the meeting may designate other persons to assist with the meeting.</w:t>
      </w:r>
    </w:p>
    <w:p>
      <w:pPr>
        <w:spacing w:after="0" w:line="208"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2.10 ADJOURNMENTS. At any meeting of stockholders (including an adjourned meeting), a majority of shares present and entitled to vote at the meeting (whether or not those shares constitute a quorum) may adjourn the meeting. The only business that may be transacted at any reconvened meeting is business that could have been transacted at the meeting that was adjourned, unless further notice of the adjourned meeting has been given in compliance with the requirements for a special meeting that specifies the additional purpose or purposes for which the meeting is called. Nothing contained in this Section 2.10 shall be deemed or otherwise construed to limit any lawful authority of the chairman of a meeting to adjourn the meeting.</w:t>
      </w:r>
    </w:p>
    <w:p>
      <w:pPr>
        <w:spacing w:after="0" w:line="386"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2.11 CONDUCT OF THE MEETING. At any meeting of stockholders, the chairman of the meeting shall be entitled to establish the rules of order governing the conduct of business at the meeting.</w:t>
      </w:r>
    </w:p>
    <w:p>
      <w:pPr>
        <w:spacing w:after="0" w:line="209"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2.12 ACTION OF STOCKHOLDERS WITHOUT A MEETING. Any action required or permitted to be taken at any meeting of the stockholders may be taken without a meeting, without prior notice and without a vote, if a consent or consents in writing, setting forth the actions so taken, shall be signed by the holders of outstanding stock having not less than the minimum number of votes that would be necessary to authorize or take such action at a meeting at which all shares entitled to vote thereon were present and voted, and delivered to the Corporation. Every written consent shall bear the date of signature of each stockholder who signs the consent. Prompt notice of the taking of the corporate action without a meeting by less than unanimous written consent shall be given to those stockholders who have not consented in writing. Such</w:t>
      </w:r>
    </w:p>
    <w:p>
      <w:pPr>
        <w:spacing w:after="0" w:line="3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4" w:name="page175"/>
    <w:bookmarkEnd w:id="174"/>
    <w:p>
      <w:pPr>
        <w:ind w:right="3159" w:firstLine="105"/>
        <w:spacing w:after="0" w:line="235" w:lineRule="auto"/>
        <w:rPr>
          <w:sz w:val="20"/>
          <w:szCs w:val="20"/>
          <w:color w:val="auto"/>
        </w:rPr>
      </w:pPr>
      <w:r>
        <w:rPr>
          <w:rFonts w:ascii="Courier New" w:cs="Courier New" w:eastAsia="Courier New" w:hAnsi="Courier New"/>
          <w:sz w:val="18"/>
          <w:szCs w:val="18"/>
          <w:color w:val="auto"/>
        </w:rPr>
        <w:t>consent shall have the same force and effect as a majority vote of stockholders.</w:t>
      </w:r>
    </w:p>
    <w:p>
      <w:pPr>
        <w:spacing w:after="0" w:line="208"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2.13 MATTERS CONSIDERED AT ANNUAL MEETINGS. Notwithstanding anything to the contrary in these Bylaws, the only business that may be conducted at an annual meeting of stockholders shall be business brought before the meeting</w:t>
      </w:r>
    </w:p>
    <w:p>
      <w:pPr>
        <w:spacing w:after="0" w:line="1" w:lineRule="exact"/>
        <w:rPr>
          <w:sz w:val="20"/>
          <w:szCs w:val="20"/>
          <w:color w:val="auto"/>
        </w:rPr>
      </w:pPr>
    </w:p>
    <w:p>
      <w:pPr>
        <w:ind w:right="1999" w:firstLine="8"/>
        <w:spacing w:after="0" w:line="238" w:lineRule="auto"/>
        <w:tabs>
          <w:tab w:leader="none" w:pos="421"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or at the direction of the Board of Directors prior to the meeting, (b) by or at the direction of the Chairman of the Board, the Chief Executive Officer, the President, the Chief Financial Officer, or (c) by a stockholder of the Corporation who is entitled to vote with respect to the business and who complies with the notice procedures set forth in this Section 2.13. For business to be brought properly before an annual meeting by a stockholder, the stockholder must have given timely notice of the business in writing to the Secretary of the Corporation. To be timely, a stockholder's notice must be delivered or mailed to and received at the principal offices of the Corporation on or before the later to occur of (i) 14 days prior to the annual meeting or (ii) 5 days after notice of the meeting is provided to the stockholders pursuant to Section 2.4 hereof. A stockholder's notice to the Secretary shall set forth a brief description of each matter of business the stockholder proposes to bring before the meeting and the reasons for conducting that business at the meeting; the name, as it appears on the Corporation's books, and address of the stockholder proposing the business; the series or class and number of shares of the Corporation's capital stock that are beneficially owned by the stockholder; and any material interest of the stockholder in the proposed business. The chairman of the meeting shall have the discretion to declare to the meeting that any business proposed by a stockholder to be considered at the meeting is out of order and that such business shall not be transacted at the meeting if (i) the chairman concludes that the matter has been proposed in a manner inconsistent with this Section 2.13 or (ii) the chairman concludes that the subject matter of the proposed business is inappropriate for consideration by the stockholders at the meeting.</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3.1 GENERAL POWERS. All corporate powers shall be exercised by or under the authority of, and the business and affairs of the Corporation shall be managed by, the Board of Directors, subject to any limitation set forth in the Articles of Incorporation, in bylaws approved by the stockholders, or in agreements among all the stockholders that are otherwise lawful.</w:t>
      </w:r>
    </w:p>
    <w:p>
      <w:pPr>
        <w:spacing w:after="0" w:line="185"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3.2 NUMBER, ELECTION AND TERM OF OFFICE. The number of directors of the Corporation shall consist of eight to fourteen persons, until otherwise determined by resolution of the Board of Directors or of the stockholders from time to time; provided that no decrease in the number of directors shall have the effect of shortening the term of an incumbent director. Except as provided elsewhere in this Section 3.2 and in Section 3.4, the directors shall be elected at each annual meeting of stockholders, or at a special meeting of stockholders called for purposes that include the election of directors, by a plurality of the votes cast by the shares entitled to vote and present at the meeting. Except in case of death, resignation, disqualification, or removal, the term of each director shall expire at the next succeeding annual meeting of stockholders. Despite the expiration of a director's term, he or she shall continue to serve until his or her successor, if there is to be any, has been elected and has qualified.</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5" w:name="page176"/>
    <w:bookmarkEnd w:id="175"/>
    <w:p>
      <w:pPr>
        <w:ind w:right="2099" w:firstLine="632"/>
        <w:spacing w:after="0" w:line="237" w:lineRule="auto"/>
        <w:rPr>
          <w:sz w:val="20"/>
          <w:szCs w:val="20"/>
          <w:color w:val="auto"/>
        </w:rPr>
      </w:pPr>
      <w:r>
        <w:rPr>
          <w:rFonts w:ascii="Courier New" w:cs="Courier New" w:eastAsia="Courier New" w:hAnsi="Courier New"/>
          <w:sz w:val="18"/>
          <w:szCs w:val="18"/>
          <w:color w:val="auto"/>
        </w:rPr>
        <w:t>3.3 REMOVAL OF DIRECTORS. The entire Board of Directors or any individual director may be removed, with or without cause, by the affirmative vote of the holders of a majority of all the shares of stock outstanding and entitled to vote for the election of directors. Removal action may be taken only at a stockholders' meeting for which notice of the removal action has been given. A removed director's successor, if any, may be elected at the same meeting to serve the unexpired term.</w:t>
      </w:r>
    </w:p>
    <w:p>
      <w:pPr>
        <w:spacing w:after="0" w:line="200" w:lineRule="exact"/>
        <w:rPr>
          <w:sz w:val="20"/>
          <w:szCs w:val="20"/>
          <w:color w:val="auto"/>
        </w:rPr>
      </w:pPr>
    </w:p>
    <w:p>
      <w:pPr>
        <w:spacing w:after="0" w:line="214"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3.4 VACANCIES. A vacancy occurring in the Board of Directors may be filled for the unexpired term, unless the stockholders have elected a successor, by the affirmative vote of a majority of the remaining directors, whether or not the remaining directors constitute a quorum. A vacancy or vacancies in the Board of Directors may result from the death, resignation, disqualification, or removal of any director, or from an increase in the number of directors.</w:t>
      </w:r>
    </w:p>
    <w:p>
      <w:pPr>
        <w:spacing w:after="0" w:line="211"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3.5 COMPENSATION. Directors may receive such compensation for their services as directors as may be fixed by the Board of Directors from time to time. A director may also serve the Corporation in one or more capacities other than that of director and receive compensation for services rendered in those other capacities.</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3.6 COMMITTEES OF THE BOARD OF DIRECTORS. The Board of Directors may designate from among its members an executive committee or one or more other standing or ad hoc committees, each consisting of one or more directors, who serve at the pleasure of the Board of Directors. Subject to the limitations imposed by the Code, each committee shall have the authority set forth in the resolution establishing the committee or in any other resolution of the Board of Directors specifying, enlarging, or limiting the authority of the committee.</w:t>
      </w:r>
    </w:p>
    <w:p>
      <w:pPr>
        <w:spacing w:after="0" w:line="212"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3.7 QUALIFICATION OF DIRECTORS. No person elected to serve as a director of the Corporation shall assume office and begin serving unless and until duly qualified to serve, as determined by reference to the Code, the Articles of Incorporation, and any further eligibility requirements established in these Bylaws.</w:t>
      </w: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4.1 REGULAR MEETINGS. A regular meeting of the Board of Directors shall be held in conjunction with each annual meeting of stockholders. In addition, the Board of Directors may, by prior resolution, hold regular meetings at other times.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4.2 CHAIRMAN OF THE BOARD. The Chairman of the Board (if there be one) shall preside at and serve as chairman of meetings of the stockholders and of the Board of Directors (unless another person is selected under Section 2.9 to act as chairman). The Chairman of the Board shall perform other duties and have other authority as may from time to time be delegated by the Board of Directors.</w:t>
      </w:r>
    </w:p>
    <w:p>
      <w:pPr>
        <w:spacing w:after="0" w:line="210"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4.3 SPECIAL MEETINGS. Special meetings of the Board of Directors may be called by or at the request of the Chairman of the Board, the Chief Executive Officer, the President, the Chief Financial Officer or any two directors in office at that time.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6" w:name="page177"/>
    <w:bookmarkEnd w:id="176"/>
    <w:p>
      <w:pPr>
        <w:ind w:right="1999" w:firstLine="632"/>
        <w:spacing w:after="0" w:line="236" w:lineRule="auto"/>
        <w:rPr>
          <w:sz w:val="20"/>
          <w:szCs w:val="20"/>
          <w:color w:val="auto"/>
        </w:rPr>
      </w:pPr>
      <w:r>
        <w:rPr>
          <w:rFonts w:ascii="Courier New" w:cs="Courier New" w:eastAsia="Courier New" w:hAnsi="Courier New"/>
          <w:sz w:val="18"/>
          <w:szCs w:val="18"/>
          <w:color w:val="auto"/>
        </w:rPr>
        <w:t>4.4 PLACE OF MEETINGS. Directors may hold their meetings at any place in or outside the State of Georgia that the Board of Directors may establish from time to time.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4.5 NOTICE OF MEETINGS. Directors need not be provided with notice of any regular meeting of the Board of Directors. Unless waived in accordance with Section 4.11, the Corporation shall otherwise give at least three days' notice to each director of the date, time, and place of each special meeting. Notice of a meeting shall be deemed to have been given to any director in attendance at any prior meeting at which the date, time, and place of the subsequent meeting was announced.</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4.6 QUOROM. At meetings of the Board of Directors, the greater of (a) a majority of the directors then in office, or (b) one-third of the number of directors fixed in accordance with these Bylaws shall constitute a quorum for the transaction of business.</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4.7 VOTE REQUIRED FOR ACTION. If a quorum is present when a vote is taken, the vote of a majority of the directors present at the time of the vote will be the act of the Board of Directors, unless the vote of a greater number is required by the Code, the Articles of Incorporation, or these Bylaws. A director who is present at a meeting of the Board of Directors when corporate action is taken is deemed to have assented to the action taken unless (a) he or she objects at the beginning of the meeting (or promptly upon his or her arrival) to holding the meeting or transacting business at it; (b) his or her dissent or abstention from the action taken is entered in the minutes of the meeting; or (c) he or she delivers written notice of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4.8 PARTICIPATION BY CONFERENCE TELEPHONE. Members of the Board of Directors may participate in a meeting of the Board by means of conference telephone or similar communications equipment through which all persons participating may hear and speak to each other. Participation in a meeting pursuant to this Section 4.8 shall constitute presence in person at the meeting.</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4.9 ACTION BY DIRECTORS WITHOUT A MEETING. Any action required or permitted to be taken at any meeting of the Board of Directors may be taken without a meeting if a written consent, describing the action taken, is signed by each director and delivered to the Corporation for inclusion in the minutes or filing with the corporate records. The consent may be executed in counterparts, and shall have the same force and effect as a unanimous vote of the Board of Directors at a duly convened meeting.</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4.10 ADJOURNMENTS. A meeting of the Board of Directors, whether or not a quorum is present, may be adjourned by a majority of the directors present to reconvene at a specific time and place. It shall not be necessary to give notice to the directors of the reconvened meeting or of the business to be transacted, other than by announcement at the meeting that was adjourned, unless a quorum was not present at the meeting that was adjourned, in which case notice shall be given to directors in the same manner as for a special meeting. At any such reconvened meeting at which a quorum is present, any business may be transacted that could have been transacted at the meeting that was adjourned.</w:t>
      </w: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7" w:name="page178"/>
    <w:bookmarkEnd w:id="177"/>
    <w:p>
      <w:pPr>
        <w:ind w:right="1999" w:firstLine="632"/>
        <w:spacing w:after="0" w:line="271" w:lineRule="auto"/>
        <w:rPr>
          <w:sz w:val="20"/>
          <w:szCs w:val="20"/>
          <w:color w:val="auto"/>
        </w:rPr>
      </w:pPr>
      <w:r>
        <w:rPr>
          <w:rFonts w:ascii="Courier New" w:cs="Courier New" w:eastAsia="Courier New" w:hAnsi="Courier New"/>
          <w:sz w:val="16"/>
          <w:szCs w:val="16"/>
          <w:color w:val="auto"/>
        </w:rPr>
        <w:t>4.11 WAIVER OF NOTICE. A director may waive any notice required by the Code, the Articles of Incorporation, or these Bylaws before or after the date and time of the matter to which the notice relates, by a written waiver signed by the director and delivered to the Corporation for inclusion in the minutes or filing with the corporate records. Attendance by a director at a meeting shall constitute waiver of notice of the meeting, except where a director at the beginning of the meeting (or promptly upon his or her arrival) objects to holding the meeting or to transacting business at the meeting, and does not thereafter vote for or assent to action taken at the meeting.</w:t>
      </w:r>
    </w:p>
    <w:p>
      <w:pPr>
        <w:spacing w:after="0" w:line="38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5.1 OFFICERS. The Board of Directors, as soon as may be possible after the election thereof held each year, shall elect or appoint a President, a Secretary and a Treasurer, and may also elect or appoint a Chief Executive Officer and a Chief Financial Officer. The Board of Directors may also elect a Chairman of the Board from among its members. The Board of Directors from time to time may create and establish the duties of other officers and may elect or appoint, or authorize specific senior officers to appoint, the person who shall hold other offices, including one or more Vice Presidents (including Executive Vice Presidents, Senior Vice Presidents, Assistant Vice Presidents, and the like), one or more Assistant Secretaries, and one or more Assistant Treasurers. Whether or not so provided by the Board of Directors, the Chairman of the Board, the Chief Executive Officer, the President or the Chief Financial Officer may appoint one or more Assistant Secretaries and one or more Assistant Treasurers. Any two or more offices may be held by the same person except that no person may hold both the offices of President and Secretary.</w:t>
      </w:r>
    </w:p>
    <w:p>
      <w:pPr>
        <w:spacing w:after="0" w:line="208" w:lineRule="exact"/>
        <w:rPr>
          <w:sz w:val="20"/>
          <w:szCs w:val="20"/>
          <w:color w:val="auto"/>
        </w:rPr>
      </w:pPr>
    </w:p>
    <w:p>
      <w:pPr>
        <w:ind w:right="2199" w:firstLine="632"/>
        <w:spacing w:after="0" w:line="271" w:lineRule="auto"/>
        <w:rPr>
          <w:sz w:val="20"/>
          <w:szCs w:val="20"/>
          <w:color w:val="auto"/>
        </w:rPr>
      </w:pPr>
      <w:r>
        <w:rPr>
          <w:rFonts w:ascii="Courier New" w:cs="Courier New" w:eastAsia="Courier New" w:hAnsi="Courier New"/>
          <w:sz w:val="16"/>
          <w:szCs w:val="16"/>
          <w:color w:val="auto"/>
        </w:rPr>
        <w:t>5.2 TERM. Each officer shall serve at the pleasure of the Board of Directors (or, if appointed by the Chief Executive Officer, President, Chief Financial Officer or a senior officer pursuant to this Article Five, at the pleasure of the Board of Directors, the Chief Executive Officer, President, Chief Financial Officer, or the senior officer authorized to have appointed the officer) until his death, resignation, or removal, or until his replacement is elected or appointed in accordance with this Article Five.</w:t>
      </w:r>
    </w:p>
    <w:p>
      <w:pPr>
        <w:spacing w:after="0" w:line="188"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5.3 COMPENSATION. The compensation of all officers of the Corporation shall be fixed by the Board of Directors or by a committee or officer appointed by the Board of Directors. Officers may serve without compensation.</w:t>
      </w:r>
    </w:p>
    <w:p>
      <w:pPr>
        <w:spacing w:after="0" w:line="17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5.4 REMOVAL. All officers (regardless of how elected or appointed) may be removed, with or without cause, by the Board of Directors, and any officer appointed by the Chief Executive Officer, President, Chief Financial Officer or another senior officer may also be removed, with or without cause, by the Chief Executive Officer, President, Chief Financial Officer or by any senior officer authorized to have appointed the officer to be removed. Removal will be without prejudice to the contract rights, if any, of the person removed, but shall be effective notwithstanding any damage claim that may result from infringement of such contract rights.</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8" w:name="page179"/>
    <w:bookmarkEnd w:id="178"/>
    <w:p>
      <w:pPr>
        <w:ind w:right="1999" w:firstLine="632"/>
        <w:spacing w:after="0" w:line="237" w:lineRule="auto"/>
        <w:rPr>
          <w:sz w:val="20"/>
          <w:szCs w:val="20"/>
          <w:color w:val="auto"/>
        </w:rPr>
      </w:pPr>
      <w:r>
        <w:rPr>
          <w:rFonts w:ascii="Courier New" w:cs="Courier New" w:eastAsia="Courier New" w:hAnsi="Courier New"/>
          <w:sz w:val="18"/>
          <w:szCs w:val="18"/>
          <w:color w:val="auto"/>
        </w:rPr>
        <w:t>5.5 CHAIRMAN OF THE BOARD. The Chairman of the Board (if there be one) shall preside at and serve as chairman of meetings of the stockholders and of the Board of Directors (unless another person is selected under Section 2.9 to act as Chairman). The Chairman of the Board shall perform other duties and have other authority as may from time to time be delegated by the Board of Directors.</w:t>
      </w:r>
    </w:p>
    <w:p>
      <w:pPr>
        <w:spacing w:after="0" w:line="210"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5.6 CHIEF EXECUTIVE OFFICER. The Chief Executive Officer (if there be one) shall be charged with the general and active management of the Corporation, shall see that all orders and resolutions of the Board of Directors are carried into effect, shall have the authority to select and appoint employees and agents of the Corporation, and shall, in the absence or disability of the Chairman of the Board, perform the duties and exercise the powers of the Chairman of the Board. The Chief Executive Officer shall also be responsible for the development, establishment, and implementation of the policy and strategic initiatives for the Corporation. The Chief Executive Officer shall perform any other duties and have any other authority as may be delegated from time to time by the Board of Directors, and shall be subject to the limitations fixed from time to time by the Board of Directors.</w:t>
      </w:r>
    </w:p>
    <w:p>
      <w:pPr>
        <w:spacing w:after="0" w:line="39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5.7 PRESIDENT. If there shall be no separate Chief Executive Officer of the Corporation, then the President shall be the chief executive officer of the Corporation, with the duties and authority provided in Section 5.6. The President shall perform such other duties and have such other authority as may from time to time be delegated by the Board of Directors. In the absence or disability of the Chief Executive Officer, the President shall perform the duties and exercise the powers of the Chief Executive Officer.</w:t>
      </w:r>
    </w:p>
    <w:p>
      <w:pPr>
        <w:spacing w:after="0" w:line="211"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5.8 CHIEF FINANCIAL OFFICER. The Chief Financial Officer shall have the legal custody of the corporate funds and securities and shall keep or cause to be kept full and accurate accounts of receipts and disbursements and other appropriate accounting records in books belonging to the Corporation and shall deposit all funds and other valuable items in the name and to the credit of the Corporation in such depositories as may be designated by the Board of Directors. He shall render to the Chairman of the Board and the Board of Directors, at its regular meetings, or when the Chairman of the Board or the Board of Directors so requires, an account of all his transactions as Chief Financial Officer and of the financial condition of the Corporation. If required by the Board of Directors, he shall give the Corporation a bond in such sum, or such conditions, and with such surety or sureties as shall be satisfactory to the Board of Directors for the faithful performance of the duties of his office.</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5.9 VICE PRESIDENT. The Vice President (if there be one) shall, in the absence or disability of the President, perform the duties and exercise the powers of the President, whether the duties and powers are specified in these Bylaws or otherwise. If the Corporation has more than one Vice President, the one designated by the Board of Directors shall act in the event of the absence or disability of the President. Vice Presidents shall perform any other duties and have any other authority as from time to time may be delegated by the Board of Directors, the Chief Executive Officer, the President, or the Chief Financial Officer.</w:t>
      </w:r>
    </w:p>
    <w:p>
      <w:pPr>
        <w:spacing w:after="0" w:line="214" w:lineRule="exact"/>
        <w:rPr>
          <w:sz w:val="20"/>
          <w:szCs w:val="20"/>
          <w:color w:val="auto"/>
        </w:rPr>
      </w:pPr>
    </w:p>
    <w:p>
      <w:pPr>
        <w:ind w:right="2199" w:firstLine="632"/>
        <w:spacing w:after="0" w:line="275" w:lineRule="auto"/>
        <w:rPr>
          <w:sz w:val="20"/>
          <w:szCs w:val="20"/>
          <w:color w:val="auto"/>
        </w:rPr>
      </w:pPr>
      <w:r>
        <w:rPr>
          <w:rFonts w:ascii="Courier New" w:cs="Courier New" w:eastAsia="Courier New" w:hAnsi="Courier New"/>
          <w:sz w:val="16"/>
          <w:szCs w:val="16"/>
          <w:color w:val="auto"/>
        </w:rPr>
        <w:t>5.10 SECRETARY. The Secretary shall be responsible for preparing minutes of the meetings of stockholders, directors, and committees of directors, and for authenticating records of the Corporation. The Secretary or any Assistant Secretary shall have authority to give all notices required</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79" w:name="page180"/>
    <w:bookmarkEnd w:id="179"/>
    <w:p>
      <w:pPr>
        <w:ind w:right="1879" w:firstLine="105"/>
        <w:spacing w:after="0" w:line="237" w:lineRule="auto"/>
        <w:rPr>
          <w:sz w:val="20"/>
          <w:szCs w:val="20"/>
          <w:color w:val="auto"/>
        </w:rPr>
      </w:pPr>
      <w:r>
        <w:rPr>
          <w:rFonts w:ascii="Courier New" w:cs="Courier New" w:eastAsia="Courier New" w:hAnsi="Courier New"/>
          <w:sz w:val="18"/>
          <w:szCs w:val="18"/>
          <w:color w:val="auto"/>
        </w:rPr>
        <w:t>by law or these Bylaws. The Secretary shall be responsible for the custody of the corporate books, records, contracts, and other documents. The Secretary or any Assistant Secretary may affix the corporate seal to any lawfully executed documents requiring it, may attest to the signature of any officer of the Corporation, and shall sign any instrument that requires the Secretary's signature. The Secretary or any Assistant Secretary shall perform any other duties and have any other authority as from time to time may be delegated by the Board of Directors, the Chief Executive Officer, the President, or the Chief Financial Officer.</w:t>
      </w:r>
    </w:p>
    <w:p>
      <w:pPr>
        <w:spacing w:after="0" w:line="214"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5.11 TREASURER. Unless otherwise provided by the Board of Directors, the Treasurer shall be responsible for the custody of all funds and securities belonging to the Corporation and for the receipt, deposit, or disbursement of these funds and securities under the direction of the Board of Directors. The Treasurer shall cause full and true accounts of all receipts and disbursements to be maintained, and shall make reports of these receipts and disbursements to the Board of Directors, the Chief Executive Officer, the President, and the Chief Financial Officer upon request. The Treasurer or Assistant Treasurer shall perform any other duties and have any other authority as from time to time may be delegated by the Board of Directors, the Chief Executive Officer, the President, or the Chief Financial Officer.</w:t>
      </w:r>
    </w:p>
    <w:p>
      <w:pPr>
        <w:spacing w:after="0" w:line="38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DISTRIBUTIONS AND DIVIDENDS</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Unless the Articles of Incorporation provides otherwise, the Board of Directors, from time to time in its discretion, may authorize or declare distributions or share dividends in accordance with the Code.</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7.1 SHARE CERTIFICATES. The interest of each stockholder in the Corporation shall be evidenced by a certificate or certificates representing shares of the Corporation, which shall be in such form as the Board of Directors from time to time may adopt in accordance with the Code. Share certificates shall be in registered form and shall indicate the date of issue, the name of the Corporation, the name of the stockholder, and the number and class of shares and designation of the series, if any, represented by the certificate. Each certificate shall be signed by the President or a Vice President (or in lieu thereof, by the Chairman of the Board, Chief Executive Officer or the Chief Financial Officer, if there be any) and may be signed by the Secretary or an Assistant Secretary.</w:t>
      </w:r>
    </w:p>
    <w:p>
      <w:pPr>
        <w:spacing w:after="0" w:line="216"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7.2 RIGHTS OF CORPORATION WITH RESPECT TO REGISTERED OWNERS. Prior to due presentation for transfer of registration of its shares, the Corporation may treat the registered owner of the shares (or the beneficial owner of the shares to the extent of any rights granted by a nominee certificate on file with the Corporation pursuant to any procedure that may be established by the Corporation in accordance with the Code) as the person exclusively entitled to vote the shares, to receive any dividend or other distribution with respect to the shares, and for all other purposes; and the Corporation shall not be bound</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80" w:name="page181"/>
    <w:bookmarkEnd w:id="180"/>
    <w:p>
      <w:pPr>
        <w:ind w:right="1999" w:firstLine="105"/>
        <w:spacing w:after="0" w:line="236" w:lineRule="auto"/>
        <w:rPr>
          <w:sz w:val="20"/>
          <w:szCs w:val="20"/>
          <w:color w:val="auto"/>
        </w:rPr>
      </w:pPr>
      <w:r>
        <w:rPr>
          <w:rFonts w:ascii="Courier New" w:cs="Courier New" w:eastAsia="Courier New" w:hAnsi="Courier New"/>
          <w:sz w:val="18"/>
          <w:szCs w:val="18"/>
          <w:color w:val="auto"/>
        </w:rPr>
        <w:t>to recognize any equitable or other claim to or interest in the shares on the part of any other person, whether or not it has express or other notice of such a claim or interest, except as otherwise provided by law.</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7.3 TRANSFERS OF SHARES. Transfers of shares shall be made upon the books of the Corporation kept by the Corporation or by the transfer agent designated to transfer the shares, only upon direction of the person named in the certificate or by an attorney lawfully constituted in writing. Before a new certificate is issued, the old certificate shall be surrendered for cancellation or, in the case of a certificate alleged to have been lost, stolen, or destroyed, the provisions of Section 7.5 of these Bylaws shall have been complied with.</w:t>
      </w:r>
    </w:p>
    <w:p>
      <w:pPr>
        <w:spacing w:after="0" w:line="212" w:lineRule="exact"/>
        <w:rPr>
          <w:sz w:val="20"/>
          <w:szCs w:val="20"/>
          <w:color w:val="auto"/>
        </w:rPr>
      </w:pPr>
    </w:p>
    <w:p>
      <w:pPr>
        <w:ind w:right="1999" w:firstLine="632"/>
        <w:spacing w:after="0" w:line="270" w:lineRule="auto"/>
        <w:rPr>
          <w:sz w:val="20"/>
          <w:szCs w:val="20"/>
          <w:color w:val="auto"/>
        </w:rPr>
      </w:pPr>
      <w:r>
        <w:rPr>
          <w:rFonts w:ascii="Courier New" w:cs="Courier New" w:eastAsia="Courier New" w:hAnsi="Courier New"/>
          <w:sz w:val="16"/>
          <w:szCs w:val="16"/>
          <w:color w:val="auto"/>
        </w:rPr>
        <w:t>7.4 DUTY OF CORPORATION TO REGISTER TRANSFER. Notwithstanding any of the provisions of Section 7.3 of these Bylaws, the Corporation is under a duty to register the transfer of its shares only if: (a) the share certificate is endorsed by the appropriate person or persons; (b) reasonable assurance is given that each required endorsement is genuine and effective; (c) the Corporation has no duty to inquire into adverse claims or has discharged any such duty; (d) any applicable law relating to the collection of taxes has been complied with; (e) the transfer is in fact rightful or is to a bona fide purchaser; and (f) the transfer is in compliance with applicable provisions of any transfer restrictions of which the Corporation shall have notice.</w:t>
      </w:r>
    </w:p>
    <w:p>
      <w:pPr>
        <w:spacing w:after="0" w:line="18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7.5 LOST, STOLEN, OR DESTROYED CERTIFICATES. Any person claiming a share certificate to be lost, stolen, or destroyed shall make an affidavit or affirmation of this claim in such a manner as the Corporation may require and shall, if the Corporation requires, give the Corporation a bond of indemnity in form and amount, and with one or more sureties satisfactory to the Corporation, as the Corporation may require, whereupon an appropriate new certificate may be issued in lieu of the one alleged to have been lost, stolen, or destroyed.</w:t>
      </w:r>
    </w:p>
    <w:p>
      <w:pPr>
        <w:spacing w:after="0" w:line="212" w:lineRule="exact"/>
        <w:rPr>
          <w:sz w:val="20"/>
          <w:szCs w:val="20"/>
          <w:color w:val="auto"/>
        </w:rPr>
      </w:pPr>
    </w:p>
    <w:p>
      <w:pPr>
        <w:ind w:right="2099" w:firstLine="632"/>
        <w:spacing w:after="0" w:line="238" w:lineRule="auto"/>
        <w:rPr>
          <w:sz w:val="20"/>
          <w:szCs w:val="20"/>
          <w:color w:val="auto"/>
        </w:rPr>
      </w:pPr>
      <w:r>
        <w:rPr>
          <w:rFonts w:ascii="Courier New" w:cs="Courier New" w:eastAsia="Courier New" w:hAnsi="Courier New"/>
          <w:sz w:val="18"/>
          <w:szCs w:val="18"/>
          <w:color w:val="auto"/>
        </w:rPr>
        <w:t>7.6 Fixing of Record Date. For the purpose of determining stockholders (a) entitled to notice of or to vote at any meeting of stockholders or, if necessary, any adjournment thereof, (b) entitled to receive payment of any distribution or dividend, or (c) for any other proper purpose, the Board of Directors may fix in advance a date as the record date. The record date may not be more than 60 days (and, in the case of a notice to stockholders of a stockholders' meeting, not less than 10 days) prior to the date on which the particular action, requiring the determination of stockholders, is to be taken. A determination of stockholders of record entitled to notice of or to vote at a meeting of stockholders shall apply to any adjournment of the meeting, unless the Board of Directors shall fix a new record date for the reconvened meeting, which it must do if the meeting is adjourned to a date more than 30 days after the date fixed for the original meeting.</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7.7 RECORD DATE IF NONE FIXED. If no record date is fixed as provided in Section 7.6, then the record date for any determination of stockholders that may be proper or required by law shall be, as appropriate, the date on which notice of a stockholders' meeting is mailed, the date on which the Board of Directors adopts a resolution declaring a dividend or authorizing a distribution, or the date on which any other action is taken that requires a determination of stockholders.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81" w:name="page182"/>
    <w:bookmarkEnd w:id="181"/>
    <w:p>
      <w:pPr>
        <w:jc w:val="center"/>
        <w:ind w:right="187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8.1 ACTION BY PERSONS OTHER THAN THE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that the person had reasonable cause to believe that his conduct was unlawful.</w:t>
      </w:r>
    </w:p>
    <w:p>
      <w:pPr>
        <w:spacing w:after="0" w:line="210"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8.2 ACTIONS BY OR IN THE NAME OF THE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Notwithstanding the foregoing, no indemnification shall be made in respect of any claim, issue, or matter as to which such person shall have been adjudged to be liable to the Corporation unless and only to the extent that the Court of Chancery of Georgia or the court in which such action or suit was brought shall determine upon application that, despite the adjudication of liability, in view of all the circumstances of the case, such person is fairly and reasonably entitled to indemnity for such expenses which the Court of Chancery of Georgia or such other court shall deem proper.</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8.3 SUCCESSFUL DEFENSE. To the extent that a director, officer, employee, or agent of the Corporation has been successful on the merits or otherwise in defense of any action, suit, or proceeding referred to in Sections 8.1 and 8.2, or in defense of any claim, issue, or matter therein, he shall be indemnified against expenses (including attorneys' fees) actually and reasonably incurred by him in connection therewith.</w:t>
      </w:r>
    </w:p>
    <w:p>
      <w:pPr>
        <w:spacing w:after="0" w:line="210"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8.4 AUTHORIZATION OF INDEMNIFICATION. Any indemnification under Sections 8.1 and 8.2 (unless ordered by a court) shall be made by the Corporation only as authorized in the specific case upon a determination that indemnification of the director, officer, employee, or agent is proper in the circumstances because he has met the applicable standard of conduct set forth</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82" w:name="page183"/>
    <w:bookmarkEnd w:id="182"/>
    <w:p>
      <w:pPr>
        <w:ind w:right="1999" w:firstLine="105"/>
        <w:spacing w:after="0" w:line="237" w:lineRule="auto"/>
        <w:rPr>
          <w:sz w:val="20"/>
          <w:szCs w:val="20"/>
          <w:color w:val="auto"/>
        </w:rPr>
      </w:pPr>
      <w:r>
        <w:rPr>
          <w:rFonts w:ascii="Courier New" w:cs="Courier New" w:eastAsia="Courier New" w:hAnsi="Courier New"/>
          <w:sz w:val="18"/>
          <w:szCs w:val="18"/>
          <w:color w:val="auto"/>
        </w:rPr>
        <w:t>in Sections 8.1 and 8.2. Such determination shall be made: (1) by the Board of Directors by a majority vote of a quorum consisting of directors who were not parties to such action, suit, or proceeding; (2) if such quorum is not obtainable, or, even if obtainable, if a quorum of disinterested directors so directs, by independent legal counsel in a written opinion; or (3) by the stockholders.</w:t>
      </w:r>
    </w:p>
    <w:p>
      <w:pPr>
        <w:spacing w:after="0" w:line="210"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8.5 PREPAYMENT OF EXPENSES. Expenses incurred in defending a civil or criminal action, suit, or proceeding may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 Eight.</w:t>
      </w:r>
    </w:p>
    <w:p>
      <w:pPr>
        <w:spacing w:after="0" w:line="186"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8.6 NON-EXCLUSIVE RIGHT. The indemnification and advancement of expenses provided by, or granted pursuant to, the other Sections of this Article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211"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8.7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86"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8.8 CONSTITUENT CORPORATIONS TO MERGER.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a director, officer, employee, or agent of another corporation, partnership, joint venture, trust, or other enterprise, shall stand in the same position under the provisions of this Article with respect to the resulting or surviving corporation as he would have with respect to such constituent corporation if its separate existence had continued.</w:t>
      </w:r>
    </w:p>
    <w:p>
      <w:pPr>
        <w:spacing w:after="0" w:line="207"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8.9 DEFINITIONS. For purposes of this Article,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its director, officer, employee, or agent with respect to an employee benefit plan, its participants, or its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207" w:lineRule="exact"/>
        <w:rPr>
          <w:sz w:val="20"/>
          <w:szCs w:val="20"/>
          <w:color w:val="auto"/>
        </w:rPr>
      </w:pPr>
    </w:p>
    <w:p>
      <w:pPr>
        <w:ind w:right="2519" w:firstLine="632"/>
        <w:spacing w:after="0" w:line="290" w:lineRule="auto"/>
        <w:rPr>
          <w:sz w:val="20"/>
          <w:szCs w:val="20"/>
          <w:color w:val="auto"/>
        </w:rPr>
      </w:pPr>
      <w:r>
        <w:rPr>
          <w:rFonts w:ascii="Courier New" w:cs="Courier New" w:eastAsia="Courier New" w:hAnsi="Courier New"/>
          <w:sz w:val="16"/>
          <w:szCs w:val="16"/>
          <w:color w:val="auto"/>
        </w:rPr>
        <w:t>8.10 CONTINUATION OF INDEMNIFICATION. The indemnification and advancement of expenses provided by, or granted pursuant to, this Article</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83" w:name="page184"/>
    <w:bookmarkEnd w:id="183"/>
    <w:p>
      <w:pPr>
        <w:ind w:right="1879" w:firstLine="105"/>
        <w:spacing w:after="0" w:line="237" w:lineRule="auto"/>
        <w:rPr>
          <w:sz w:val="20"/>
          <w:szCs w:val="20"/>
          <w:color w:val="auto"/>
        </w:rPr>
      </w:pPr>
      <w:r>
        <w:rPr>
          <w:rFonts w:ascii="Courier New" w:cs="Courier New" w:eastAsia="Courier New" w:hAnsi="Courier New"/>
          <w:sz w:val="18"/>
          <w:szCs w:val="18"/>
          <w:color w:val="auto"/>
        </w:rPr>
        <w:t>shall, unless otherwise provided when authorized or ratified, continue as to a person who has ceased to be a director, officer, employee, or agent and shall inure to the benefit of the heirs, executors, and administrators of such a person.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8.11 CHANGES IN LAW. In the event the Code is amended following the date of the latest modification, amendment, or revision of this Article so as to permit indemnification by the Corporation of any person to a greater extent (either as to matters or persons which may be the subject of indemnity) than permitted in this Article, then the Board of Directors shall have the power to authorize such greater indemnification in accordance with the amended provisions of the Code.</w:t>
      </w:r>
    </w:p>
    <w:p>
      <w:pPr>
        <w:spacing w:after="0" w:line="211"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8.12 OTHER PERMITTED INDEMNIFICATION. Whether or not required or permitted by the foregoing provisions of this Article, the Corporation shall indemnify any person against any other losses, damages, expenses (including attorneys' fees and other costs of defense), judgments, fines, and amounts paid in settlement which result from the fact that such person is or was a director, officer, employee, or agent of the Corporation, or is or was serving at the request of the Corporation as a director, officer, employee, or agent of another Corporation, partnership, joint venture, trust, or other enterprise, if the Board of Directors finds, in its sole discretion, that such indemnity is appropriate in view of all of the facts and circumstances involved, unless such indemnity, in the opinion of counsel, is prohibited by law.</w:t>
      </w:r>
    </w:p>
    <w:p>
      <w:pPr>
        <w:spacing w:after="0" w:line="207"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8.13 AMENDMENT. Any amendment to this Article Eight that limits or otherwise adversely affects the right of indemnification, advancement of expenses, or other rights of any person indemnified hereunder (an "Indemnified Person") shall, as to such Indemnified Person, apply only to proceedings based</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84" w:name="page185"/>
    <w:bookmarkEnd w:id="184"/>
    <w:p>
      <w:pPr>
        <w:ind w:right="1999" w:firstLine="105"/>
        <w:spacing w:after="0" w:line="237" w:lineRule="auto"/>
        <w:rPr>
          <w:sz w:val="20"/>
          <w:szCs w:val="20"/>
          <w:color w:val="auto"/>
        </w:rPr>
      </w:pPr>
      <w:r>
        <w:rPr>
          <w:rFonts w:ascii="Courier New" w:cs="Courier New" w:eastAsia="Courier New" w:hAnsi="Courier New"/>
          <w:sz w:val="18"/>
          <w:szCs w:val="18"/>
          <w:color w:val="auto"/>
        </w:rPr>
        <w:t>on actions, events, or omissions (collectively, "Post Amendment Events") occurring after such amendment and after delivery of notice of such amendment to the Indemnified Person so affected. Any Indemnified Person shall, as to any proceeding based on actions, events, or omissions occurring prior to the date of receipt of such notice, be entitled to the right of indemnification, advancement of expenses, and other rights under this Article Eight to the same extent as if such provisions had continued as part of the Bylaws of the Corporation without such amendment. This Section 8.13 cannot be altered, amended, or repealed in a manner effective as to any Indemnified Person (except as to Post Amendment Events) without the prior written consent of such Indemnified Person.</w:t>
      </w:r>
    </w:p>
    <w:p>
      <w:pPr>
        <w:spacing w:after="0" w:line="21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8.14 SEVERABILITY. Each of the Sections of this Article Eight, and each of the clauses set forth herein, shall be deemed separate and independent, and should any part of any such Section or clause be declared invalid or unenforceable by any court of competent jurisdiction, such invalidity or unenforceability shall in no way render invalid or unenforceable any other part thereof or any separate Section or clause of this Article Eight that is not declared invalid or unenforceable.</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6" w:right="1440" w:bottom="1440" w:gutter="0" w:footer="0" w:header="0"/>
        </w:sectPr>
      </w:pPr>
    </w:p>
    <w:bookmarkStart w:id="185" w:name="page186"/>
    <w:bookmarkEnd w:id="185"/>
    <w:p>
      <w:pPr>
        <w:ind w:left="348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9.1 INSPECTION OF BOOKS AND RECORDS. The Board of Directors shall have the power to determine which accounts, books, and records of the Corporation shall be available for stockholders to inspect or copy, except for those books and records required by the Code to be made available upon compliance by a stockholder with applicable requirements, and shall have the power to fix reasonable rules and regulations (including confidentiality restrictions and procedures) not in conflict with applicable law for the inspection and copying of accounts, books, and records that by law or by determination of the Board of Directors are made available.</w:t>
      </w:r>
    </w:p>
    <w:p>
      <w:pPr>
        <w:spacing w:after="0" w:line="214"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9.2 FISCAL YEAR. The Board of Directors is authorized to fix the fiscal year of the Corporation and to change the fiscal year from time to time as it deems appropriate.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9.3 CORPORATE SEAL. The corporate seal will be in such form as the Board of Directors may from time to time determine. The Board of Directors may authorize the use of one or more facsimile forms of the corporate seal. The corporate seal need not be used unless its use is required by law, by these Bylaws, or by the Articles of Incorporation.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9.4</w:t>
            </w:r>
          </w:p>
        </w:tc>
        <w:tc>
          <w:tcPr>
            <w:tcW w:w="10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NOTICE.</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(a)</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Whenever</w:t>
            </w:r>
          </w:p>
        </w:tc>
        <w:tc>
          <w:tcPr>
            <w:tcW w:w="2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these Bylaws require notice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to be</w:t>
            </w: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given to</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any stockholder or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any</w:t>
            </w:r>
          </w:p>
        </w:tc>
        <w:tc>
          <w:tcPr>
            <w:tcW w:w="3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director, the notice may be given by</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mail,</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580" w:type="dxa"/>
            <w:vAlign w:val="bottom"/>
          </w:tcPr>
          <w:p>
            <w:pPr>
              <w:spacing w:after="0"/>
              <w:rPr>
                <w:sz w:val="17"/>
                <w:szCs w:val="17"/>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person, by courier</w:t>
            </w: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delivery, by telephone, or</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by telecopier, telegraph,</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similar electronic</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means.</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Whenever notice is</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given to a stockholder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58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by</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mail, the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notice shall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 sent by</w:t>
            </w: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depositing the notice in a post</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office or letter box in a</w:t>
            </w:r>
          </w:p>
        </w:tc>
        <w:tc>
          <w:tcPr>
            <w:tcW w:w="4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postage-prepaid, sealed envelope addressed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w:t>
            </w:r>
          </w:p>
        </w:tc>
        <w:tc>
          <w:tcPr>
            <w:tcW w:w="1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or director at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his or her address</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as it appears on</w:t>
            </w:r>
          </w:p>
        </w:tc>
        <w:tc>
          <w:tcPr>
            <w:tcW w:w="15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the books of</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Corporation.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Any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written</w:t>
            </w:r>
          </w:p>
        </w:tc>
        <w:tc>
          <w:tcPr>
            <w:tcW w:w="44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notice given by mail shall be effective:</w:t>
            </w:r>
          </w:p>
        </w:tc>
      </w:tr>
    </w:tbl>
    <w:p>
      <w:pPr>
        <w:spacing w:after="0" w:line="4" w:lineRule="exact"/>
        <w:rPr>
          <w:sz w:val="20"/>
          <w:szCs w:val="20"/>
          <w:color w:val="auto"/>
        </w:rPr>
      </w:pPr>
    </w:p>
    <w:p>
      <w:pPr>
        <w:ind w:right="2099" w:firstLine="8"/>
        <w:spacing w:after="0" w:line="237" w:lineRule="auto"/>
        <w:tabs>
          <w:tab w:leader="none" w:pos="421"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given to stockholders, as such, at the time the same is deposited in the United States mail; and (ii) in all other cases, at the earliest of (x) when delivered, properly addressed, to the addressee's last known principal place of business or residence, (y) three days after its deposit in the mail, as evidenced by the postmark, if mailed with first-class postage prepaid and correctly addressed, or (z) on the date shown on the return receipt, if sent by registered or certified mail, return receipt requested, and the receipt is signed by or on behalf of the addressee. Whenever notice is given to a stockholder or director by any means other than mail, the notice shall be deemed given when received.</w:t>
      </w:r>
    </w:p>
    <w:p>
      <w:pPr>
        <w:spacing w:after="0" w:line="214"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calculating time periods for notice, when a period of time measured in days, weeks, months, years, or other measurement of time is prescribed for the exercise of any privilege or the discharge of any duty, the first day shall not be counted but the last day shall be counted.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86" w:name="page187"/>
    <w:bookmarkEnd w:id="186"/>
    <w:p>
      <w:pPr>
        <w:ind w:left="3480"/>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Except as otherwise provided under the Code or the Articles of Incorporation, the Board of Directors shall have the power to alter, amend, or repeal these Bylaws or adopt new Bylaws. Any Bylaws adopted by the Board of Directors may be altered, amended, or repealed, and new Bylaws adopted, by the stockholders. The stockholders may prescribe in adopting any Bylaw or Bylaws that the Bylaw or Bylaws so adopted shall not be altered, amended, or repealed by the Board of Directors.</w:t>
      </w:r>
    </w:p>
    <w:p>
      <w:pPr>
        <w:spacing w:after="0" w:line="200" w:lineRule="exact"/>
        <w:rPr>
          <w:sz w:val="20"/>
          <w:szCs w:val="20"/>
          <w:color w:val="auto"/>
        </w:rPr>
      </w:pPr>
    </w:p>
    <w:p>
      <w:pPr>
        <w:spacing w:after="0" w:line="208" w:lineRule="exact"/>
        <w:rPr>
          <w:sz w:val="20"/>
          <w:szCs w:val="20"/>
          <w:color w:val="auto"/>
        </w:rPr>
      </w:pPr>
    </w:p>
    <w:p>
      <w:pPr>
        <w:jc w:val="right"/>
        <w:ind w:right="1999"/>
        <w:spacing w:after="0"/>
        <w:tabs>
          <w:tab w:leader="none" w:pos="18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September 12, 1997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460"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AND SALE AGREEMENT</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AND SALE AGREEMENT (as amended, restated, or otherwise modified and in effect from time to time, this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April 18, 2011, between UNITED COMMUNITY BANK, a bank organized under the laws of the State of Georgia, as Seller (“</w:t>
      </w:r>
      <w:r>
        <w:rPr>
          <w:rFonts w:ascii="Arial" w:cs="Arial" w:eastAsia="Arial" w:hAnsi="Arial"/>
          <w:sz w:val="18"/>
          <w:szCs w:val="18"/>
          <w:u w:val="single" w:color="auto"/>
          <w:color w:val="auto"/>
        </w:rPr>
        <w:t>Seller</w:t>
      </w:r>
      <w:r>
        <w:rPr>
          <w:rFonts w:ascii="Arial" w:cs="Arial" w:eastAsia="Arial" w:hAnsi="Arial"/>
          <w:sz w:val="18"/>
          <w:szCs w:val="18"/>
          <w:color w:val="auto"/>
        </w:rPr>
        <w:t>”), and CF SOUTHEAST LLC, a Delaware limited liability company (“</w:t>
      </w:r>
      <w:r>
        <w:rPr>
          <w:rFonts w:ascii="Arial" w:cs="Arial" w:eastAsia="Arial" w:hAnsi="Arial"/>
          <w:sz w:val="18"/>
          <w:szCs w:val="18"/>
          <w:u w:val="single" w:color="auto"/>
          <w:color w:val="auto"/>
        </w:rPr>
        <w:t>CF Southeast</w:t>
      </w:r>
      <w:r>
        <w:rPr>
          <w:rFonts w:ascii="Arial" w:cs="Arial" w:eastAsia="Arial" w:hAnsi="Arial"/>
          <w:sz w:val="18"/>
          <w:szCs w:val="18"/>
          <w:color w:val="auto"/>
        </w:rPr>
        <w:t>”), and CF SOUTHEAST TRUST 2011-1, a Delaware statutory trust (“</w:t>
      </w:r>
      <w:r>
        <w:rPr>
          <w:rFonts w:ascii="Arial" w:cs="Arial" w:eastAsia="Arial" w:hAnsi="Arial"/>
          <w:sz w:val="18"/>
          <w:szCs w:val="18"/>
          <w:u w:val="single" w:color="auto"/>
          <w:color w:val="auto"/>
        </w:rPr>
        <w:t>CF Trust</w:t>
      </w: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00" w:lineRule="exact"/>
        <w:rPr>
          <w:sz w:val="20"/>
          <w:szCs w:val="20"/>
          <w:color w:val="auto"/>
        </w:rPr>
      </w:pPr>
    </w:p>
    <w:p>
      <w:pPr>
        <w:spacing w:after="0" w:line="29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Seller wishes to sell, and CF Southeast and CF Trust wish to purchase, subject to the terms and conditions set forth in this Purchase Agreement, certain performing and non-performing commercial loans, consumer loans, commercial mortgage loans, residential mortgage loans and related property.</w:t>
      </w:r>
    </w:p>
    <w:p>
      <w:pPr>
        <w:spacing w:after="0" w:line="3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set forth herein, and for other good and valuable consideration, the receipt and adequacy of which are hereby acknowledged, the parties agree as follows:</w:t>
      </w:r>
    </w:p>
    <w:p>
      <w:pPr>
        <w:spacing w:after="0" w:line="2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Usages and Definitions</w:t>
      </w:r>
      <w:r>
        <w:rPr>
          <w:rFonts w:ascii="Arial" w:cs="Arial" w:eastAsia="Arial" w:hAnsi="Arial"/>
          <w:sz w:val="18"/>
          <w:szCs w:val="18"/>
          <w:color w:val="auto"/>
        </w:rPr>
        <w:t>. Capitalized terms used but not otherwise defined in this Purchase Agreement are defined in Appendix A. Appendix A also contains rules as to usage applicable to this Purchase Agreement. Appendix A is incorporated by reference into this Purchase Agreement.</w:t>
      </w:r>
    </w:p>
    <w:p>
      <w:pPr>
        <w:spacing w:after="0" w:line="235"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5"/>
          <w:szCs w:val="15"/>
          <w:u w:val="single" w:color="auto"/>
          <w:color w:val="auto"/>
        </w:rPr>
        <w:t>Purchase and Sale of Assets</w:t>
      </w:r>
      <w:r>
        <w:rPr>
          <w:rFonts w:ascii="Arial" w:cs="Arial" w:eastAsia="Arial" w:hAnsi="Arial"/>
          <w:sz w:val="15"/>
          <w:szCs w:val="15"/>
          <w:color w:val="auto"/>
        </w:rPr>
        <w:t>.</w:t>
      </w:r>
    </w:p>
    <w:p>
      <w:pPr>
        <w:spacing w:after="0" w:line="279" w:lineRule="exact"/>
        <w:rPr>
          <w:sz w:val="20"/>
          <w:szCs w:val="20"/>
          <w:color w:val="auto"/>
        </w:rPr>
      </w:pPr>
    </w:p>
    <w:p>
      <w:pPr>
        <w:jc w:val="both"/>
        <w:ind w:firstLine="1305"/>
        <w:spacing w:after="0" w:line="264" w:lineRule="auto"/>
        <w:tabs>
          <w:tab w:leader="none" w:pos="172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the terms and provisions of this Purchase Agreement and the satisfaction of the conditions described herein, the Seller hereby agrees to sell, transfer, assign, set over and otherwise convey to Purchaser, and Purchaser agrees to purchase the Loans identified and described in the Asset List, together with any related property, including the related Loan Files (the “</w:t>
      </w:r>
      <w:r>
        <w:rPr>
          <w:rFonts w:ascii="Arial" w:cs="Arial" w:eastAsia="Arial" w:hAnsi="Arial"/>
          <w:sz w:val="18"/>
          <w:szCs w:val="18"/>
          <w:u w:val="single" w:color="auto"/>
          <w:color w:val="auto"/>
        </w:rPr>
        <w:t>Assets</w:t>
      </w:r>
      <w:r>
        <w:rPr>
          <w:rFonts w:ascii="Arial" w:cs="Arial" w:eastAsia="Arial" w:hAnsi="Arial"/>
          <w:sz w:val="18"/>
          <w:szCs w:val="18"/>
          <w:color w:val="auto"/>
        </w:rPr>
        <w:t>”) on the Closing Date.</w:t>
      </w:r>
    </w:p>
    <w:p>
      <w:pPr>
        <w:spacing w:after="0" w:line="235" w:lineRule="exact"/>
        <w:rPr>
          <w:rFonts w:ascii="Arial" w:cs="Arial" w:eastAsia="Arial" w:hAnsi="Arial"/>
          <w:sz w:val="18"/>
          <w:szCs w:val="18"/>
          <w:color w:val="auto"/>
        </w:rPr>
      </w:pPr>
    </w:p>
    <w:p>
      <w:pPr>
        <w:jc w:val="both"/>
        <w:ind w:firstLine="1305"/>
        <w:spacing w:after="0" w:line="268" w:lineRule="auto"/>
        <w:tabs>
          <w:tab w:leader="none" w:pos="1722"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The Assets sold are identified in the Asset List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the Bill of Sale to be executed between the Seller and the Purchaser simultaneously with the execution and delivery of this Purchase Agreement. Subject to the terms and provisions of this Purchase Agreement and the Bill of Sale, the Seller will sell, transfer, set over and otherwise convey the Assets identified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the Bill of Sale (other than the Letter of Credit Obligations) to the Purchaser, including (1) all interest, principal, fees and other payments received with respect to such Assets after the Cut-off Date or received on or before the related Cut-off Date but not posted until after the Cut-off Date, whether or not due before or after the Cut-Off Date, (2) any Escrow Payments, other funds held in escrow, reserve or other accounts by the Seller with respect to such Assets; provided, however, that the Seller may retain all interest accrued prior to the Closing Date, to the extent paid on or after the Closing Date (but if paid after the Closing Date, only if paid prior to 30 days after the due date) with respect to the Loans listed on </w:t>
      </w:r>
      <w:r>
        <w:rPr>
          <w:rFonts w:ascii="Arial" w:cs="Arial" w:eastAsia="Arial" w:hAnsi="Arial"/>
          <w:sz w:val="17"/>
          <w:szCs w:val="17"/>
          <w:u w:val="single" w:color="auto"/>
          <w:color w:val="auto"/>
        </w:rPr>
        <w:t>Schedule 2(b)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Performing Loan Interest</w:t>
      </w:r>
      <w:r>
        <w:rPr>
          <w:rFonts w:ascii="Arial" w:cs="Arial" w:eastAsia="Arial" w:hAnsi="Arial"/>
          <w:sz w:val="17"/>
          <w:szCs w:val="17"/>
          <w:color w:val="auto"/>
        </w:rPr>
        <w:t xml:space="preserve">”), (3) all rights as an additional insured under all related title, hazard, or other insurance policies of any nature pertaining to such Assets, as well as Seller’s right to any and all pending claims relating to such policies, (4) all documents related to the Assets, including the Loan Files, (5) the servicing rights appurtenant to such Assets, and (6) all proceeds derived in any way from any of the foregoing, all on the terms set forth in this Purchase Agreement and the applicable Bill of Sale, and agrees that it will from time to time execute and deliver to the Purchaser such instruments of further assurance and other instruments and will take such other action as the Purchaser may reasonably request in order to evidence the purchase evidenced by the Bill of Sale. On the Closing Date, Purchaser shall pay the Estimated Purchase Price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441960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88" w:name="page189"/>
    <w:bookmarkEnd w:id="188"/>
    <w:p>
      <w:pPr>
        <w:jc w:val="both"/>
        <w:ind w:firstLine="1305"/>
        <w:spacing w:after="0" w:line="259" w:lineRule="auto"/>
        <w:tabs>
          <w:tab w:leader="none" w:pos="171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In connection with the Seller’s assignment of the Assets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the Seller will promptly release the Loan File for each Loan to the Purchaser. Upon the sale of the Assets to Purchaser, the ownership of all related operative Notes, all related Mortgages and other Loan Documents, and all related Loan Files shall vest immediately in the Purchaser, and the ownership of all records and documents with respect to the Assets prepared by or which come into possession of the Seller shall vest immediately in the Purchaser.</w:t>
      </w:r>
    </w:p>
    <w:p>
      <w:pPr>
        <w:spacing w:after="0" w:line="240" w:lineRule="exact"/>
        <w:rPr>
          <w:rFonts w:ascii="Arial" w:cs="Arial" w:eastAsia="Arial" w:hAnsi="Arial"/>
          <w:sz w:val="18"/>
          <w:szCs w:val="18"/>
          <w:color w:val="auto"/>
        </w:rPr>
      </w:pPr>
    </w:p>
    <w:p>
      <w:pPr>
        <w:jc w:val="both"/>
        <w:ind w:firstLine="1305"/>
        <w:spacing w:after="0" w:line="285" w:lineRule="auto"/>
        <w:tabs>
          <w:tab w:leader="none" w:pos="174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If the Seller cannot deliver, or cause to be delivered, as to each Loan File, the original or a copy of any of the documents or instruments referred to in </w:t>
      </w:r>
      <w:r>
        <w:rPr>
          <w:rFonts w:ascii="Arial" w:cs="Arial" w:eastAsia="Arial" w:hAnsi="Arial"/>
          <w:sz w:val="16"/>
          <w:szCs w:val="16"/>
          <w:u w:val="single" w:color="auto"/>
          <w:color w:val="auto"/>
        </w:rPr>
        <w:t>clauses (c), (h), (l)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evidence of recording thereon, solely because of a delay caused by the public recording or filing office where such document or instrument has been delivered for recordation or filing, or because such original recorded document has been lost or returned from the recording or filing office and subsequently lost, as the case may be, the delivery requirements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deemed to have been satisfied as to such missing item, and such missing item shall be deemed to have been included in the related Loan File;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copy of such recorded document or instrument certified (which certificate may relate to multiple documents and/or instruments) by the Seller to be a true and complete copy of the recorded original thereof submitted for recording or filing, as the case may be) has been delivered to or at the direction of the Purchaser, and either the original of such missing document or instrument, or a copy thereof, with evidence of recording or filing, as the case may be, thereon, is delivered to or at the direction of the Purchaser (or any subsequent owner of the affected Assets) within ninety (90) days of the Closing Date (or within such longer period after the Closing Date as the Purchaser (or such subsequent owner) may consent to, which consent shall not be unreasonably withheld so long as the Seller has provided the Purchaser (or such subsequent owner) with evidence of such recording or filing, as the case may be. If the Seller cannot deliver, or cause to be delivered, as to the Assets, the original or a copy of the related lender’s Title Insurance Policy referred to in </w:t>
      </w:r>
      <w:r>
        <w:rPr>
          <w:rFonts w:ascii="Arial" w:cs="Arial" w:eastAsia="Arial" w:hAnsi="Arial"/>
          <w:sz w:val="16"/>
          <w:szCs w:val="16"/>
          <w:u w:val="single" w:color="auto"/>
          <w:color w:val="auto"/>
        </w:rPr>
        <w:t>clause (k) of Exhibit B</w:t>
      </w:r>
      <w:r>
        <w:rPr>
          <w:rFonts w:ascii="Arial" w:cs="Arial" w:eastAsia="Arial" w:hAnsi="Arial"/>
          <w:sz w:val="16"/>
          <w:szCs w:val="16"/>
          <w:color w:val="auto"/>
        </w:rPr>
        <w:t xml:space="preserve"> solely because such policy has not yet been issued, the delivery requirements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deemed to be satisfied as to such missing item, and such missing item shall be deemed to have been included in the related Loan File,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Seller has delivered to the Purchaser a commitment for title insurance “marked-up” at the Closing, and (ii) there are no conditions or requirements to be satisfied by the Seller or the related Borrower of such Loan prior to issuance of the Title Insurance Policy. Seller shall, at no cost to Purchaser, deliver to or at the direction of the Purchaser (or any subsequent owner of the affected Asset), promptly following the receipt thereof, the Seller’s Title Insurance Policy (or a copy thereof).</w:t>
      </w:r>
    </w:p>
    <w:p>
      <w:pPr>
        <w:spacing w:after="0" w:line="229" w:lineRule="exact"/>
        <w:rPr>
          <w:rFonts w:ascii="Arial" w:cs="Arial" w:eastAsia="Arial" w:hAnsi="Arial"/>
          <w:sz w:val="16"/>
          <w:szCs w:val="16"/>
          <w:color w:val="auto"/>
        </w:rPr>
      </w:pPr>
    </w:p>
    <w:p>
      <w:pPr>
        <w:jc w:val="both"/>
        <w:ind w:firstLine="1305"/>
        <w:spacing w:after="0" w:line="293" w:lineRule="auto"/>
        <w:tabs>
          <w:tab w:leader="none" w:pos="171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As to the Assets, the Purchaser shall be responsible for all costs associated with the recording or filing, as the case may be, of each Collateral Assignment referred to in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including any UCC financing statement evidencing the assignment from Seller to Purchaser and Seller shall be responsible for all transfer, filing and recording fees and taxes, costs and expenses, and any state or county documentary taxes, if any, with respect to the filing or recording of any other document or instrument described in clause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(other than an assignment to the Purchaser), or any document or instrument described in clauses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(other than an assignment to the Purchaser) executed prior to or required to be filed prior to (or which a reasonably prudent loan servicer would have filed prior to) the Closing Date but not transferred, filed or recorded until after the Closing Date.</w:t>
      </w:r>
    </w:p>
    <w:p>
      <w:pPr>
        <w:spacing w:after="0" w:line="218" w:lineRule="exact"/>
        <w:rPr>
          <w:rFonts w:ascii="Arial" w:cs="Arial" w:eastAsia="Arial" w:hAnsi="Arial"/>
          <w:sz w:val="16"/>
          <w:szCs w:val="16"/>
          <w:color w:val="auto"/>
        </w:rPr>
      </w:pPr>
    </w:p>
    <w:p>
      <w:pPr>
        <w:ind w:firstLine="1305"/>
        <w:spacing w:after="0" w:line="277" w:lineRule="auto"/>
        <w:tabs>
          <w:tab w:leader="none" w:pos="169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Escrow Payments, reserve funds and other comparable funds in the possession of the Seller (or under its control) with respect to the Assets shall be delivered by the Seller to the Purchaser on the Closing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9" w:name="page190"/>
    <w:bookmarkEnd w:id="189"/>
    <w:p>
      <w:pPr>
        <w:ind w:left="-8" w:firstLine="1305"/>
        <w:spacing w:after="0" w:line="277" w:lineRule="auto"/>
        <w:tabs>
          <w:tab w:leader="none" w:pos="171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Through the Closing Date, the Seller shall assume all risk of loss to the Mortgaged Properties and other Collateral Security. From and after the Closing Date, the Purchaser will assume all risk of loss to the Mortgaged Properties and other Collateral Security.</w:t>
      </w:r>
    </w:p>
    <w:p>
      <w:pPr>
        <w:spacing w:after="0" w:line="224" w:lineRule="exact"/>
        <w:rPr>
          <w:rFonts w:ascii="Arial" w:cs="Arial" w:eastAsia="Arial" w:hAnsi="Arial"/>
          <w:sz w:val="18"/>
          <w:szCs w:val="18"/>
          <w:color w:val="auto"/>
        </w:rPr>
      </w:pPr>
    </w:p>
    <w:p>
      <w:pPr>
        <w:ind w:left="1732" w:hanging="435"/>
        <w:spacing w:after="0"/>
        <w:tabs>
          <w:tab w:leader="none" w:pos="17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Seller’s records will reflect the transfer of Assets to a Purchaser as a sale.</w:t>
      </w:r>
    </w:p>
    <w:p>
      <w:pPr>
        <w:spacing w:after="0" w:line="279" w:lineRule="exact"/>
        <w:rPr>
          <w:rFonts w:ascii="Arial" w:cs="Arial" w:eastAsia="Arial" w:hAnsi="Arial"/>
          <w:sz w:val="18"/>
          <w:szCs w:val="18"/>
          <w:color w:val="auto"/>
        </w:rPr>
      </w:pPr>
    </w:p>
    <w:p>
      <w:pPr>
        <w:jc w:val="both"/>
        <w:ind w:left="-8" w:firstLine="1305"/>
        <w:spacing w:after="0" w:line="284" w:lineRule="auto"/>
        <w:tabs>
          <w:tab w:leader="none" w:pos="1688"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Notwithstanding the foregoing or anything in this Purchase Agreement to the contrary, the Assets shall not include, and Seller shall retain sole responsibility for and shall pay, perform and discharge when due any and all obligations under existing letters of credit issued for the account of any Obligor on any Loan, whether such letters of credit were issued by Seller or Seller’s predecessors-in-interest (the “</w:t>
      </w:r>
      <w:r>
        <w:rPr>
          <w:rFonts w:ascii="Arial" w:cs="Arial" w:eastAsia="Arial" w:hAnsi="Arial"/>
          <w:sz w:val="16"/>
          <w:szCs w:val="16"/>
          <w:u w:val="single" w:color="auto"/>
          <w:color w:val="auto"/>
        </w:rPr>
        <w:t>Letter of Credit Obligations</w:t>
      </w:r>
      <w:r>
        <w:rPr>
          <w:rFonts w:ascii="Arial" w:cs="Arial" w:eastAsia="Arial" w:hAnsi="Arial"/>
          <w:sz w:val="16"/>
          <w:szCs w:val="16"/>
          <w:color w:val="auto"/>
        </w:rPr>
        <w:t>”); provided that all obligations of any Obligor to pay or reimburse Seller for draws on any such letters of credit shall be included in the Assets, and Seller shall take all actions necessary to cause such payment or reimbursement obligations of such Obligors to be assigned and transferred to Purchaser, including the endorsement of any promissory note evidencing such payment or reimbursement obligation on or within five (5) Business Days after the Closing. Within ten</w:t>
      </w:r>
    </w:p>
    <w:p>
      <w:pPr>
        <w:spacing w:after="0" w:line="4" w:lineRule="exact"/>
        <w:rPr>
          <w:rFonts w:ascii="Arial" w:cs="Arial" w:eastAsia="Arial" w:hAnsi="Arial"/>
          <w:sz w:val="16"/>
          <w:szCs w:val="16"/>
          <w:color w:val="auto"/>
        </w:rPr>
      </w:pPr>
    </w:p>
    <w:p>
      <w:pPr>
        <w:jc w:val="both"/>
        <w:ind w:left="-8" w:firstLine="8"/>
        <w:spacing w:after="0" w:line="252" w:lineRule="auto"/>
        <w:tabs>
          <w:tab w:leader="none" w:pos="34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Business Days written notice to Purchaser that Seller has funded a properly presented draw on any Letter of Credit Obligation, and provided that Seller has funded such draw in accordance with, and only as required by, the terms of the Loan Documents and the requirements of any such letter of credit, Purchaser shall deliver to Seller by wire transfer of immediately available funds to an account specified in writing by Seller, an amount equal to the amount funded by Seller with respect to such draw on such letter of credit. Seller agrees to renew and permit to remain outstanding each such letter of credit unless Purchaser, by written notice to Seller, advises Seller at least five (5) Business Days prior to the then effective expiration date (assuming no renewal thereof prior to such expiration date) that Purchaser will no longer reimburse Seller for any draws on such letter of credit after the then effective expiration date (assuming no renewal thereof prior to such expiration date).</w:t>
      </w:r>
    </w:p>
    <w:p>
      <w:pPr>
        <w:spacing w:after="0" w:line="247" w:lineRule="exact"/>
        <w:rPr>
          <w:rFonts w:ascii="Arial" w:cs="Arial" w:eastAsia="Arial" w:hAnsi="Arial"/>
          <w:sz w:val="18"/>
          <w:szCs w:val="18"/>
          <w:color w:val="auto"/>
        </w:rPr>
      </w:pPr>
    </w:p>
    <w:p>
      <w:pPr>
        <w:jc w:val="both"/>
        <w:ind w:left="-8" w:firstLine="1305"/>
        <w:spacing w:after="0" w:line="270" w:lineRule="auto"/>
        <w:tabs>
          <w:tab w:leader="none" w:pos="1688" w:val="left"/>
        </w:tabs>
        <w:numPr>
          <w:ilvl w:val="1"/>
          <w:numId w:val="205"/>
        </w:numPr>
        <w:rPr>
          <w:rFonts w:ascii="Arial" w:cs="Arial" w:eastAsia="Arial" w:hAnsi="Arial"/>
          <w:sz w:val="17"/>
          <w:szCs w:val="17"/>
          <w:color w:val="auto"/>
        </w:rPr>
      </w:pPr>
      <w:r>
        <w:rPr>
          <w:rFonts w:ascii="Arial" w:cs="Arial" w:eastAsia="Arial" w:hAnsi="Arial"/>
          <w:sz w:val="17"/>
          <w:szCs w:val="17"/>
          <w:color w:val="auto"/>
        </w:rPr>
        <w:t xml:space="preserve">Notwithstanding the foregoing or anything in this Purchase Agreement to the contrary, the Assets shall include, and Purchaser shall have sole responsibility for and shall pay, perform and discharge when due, with respect to any Loan, the commitments to make loan advances with respect to the Loans listed on </w:t>
      </w:r>
      <w:r>
        <w:rPr>
          <w:rFonts w:ascii="Arial" w:cs="Arial" w:eastAsia="Arial" w:hAnsi="Arial"/>
          <w:sz w:val="17"/>
          <w:szCs w:val="17"/>
          <w:u w:val="single" w:color="auto"/>
          <w:color w:val="auto"/>
        </w:rPr>
        <w:t>Schedule 2(j)</w:t>
      </w:r>
      <w:r>
        <w:rPr>
          <w:rFonts w:ascii="Arial" w:cs="Arial" w:eastAsia="Arial" w:hAnsi="Arial"/>
          <w:sz w:val="17"/>
          <w:szCs w:val="17"/>
          <w:color w:val="auto"/>
        </w:rPr>
        <w:t xml:space="preserve"> after the Cut-off Date (collectively, the “</w:t>
      </w:r>
      <w:r>
        <w:rPr>
          <w:rFonts w:ascii="Arial" w:cs="Arial" w:eastAsia="Arial" w:hAnsi="Arial"/>
          <w:sz w:val="17"/>
          <w:szCs w:val="17"/>
          <w:u w:val="single" w:color="auto"/>
          <w:color w:val="auto"/>
        </w:rPr>
        <w:t>Funding Obligations</w:t>
      </w:r>
      <w:r>
        <w:rPr>
          <w:rFonts w:ascii="Arial" w:cs="Arial" w:eastAsia="Arial" w:hAnsi="Arial"/>
          <w:sz w:val="17"/>
          <w:szCs w:val="17"/>
          <w:color w:val="auto"/>
        </w:rPr>
        <w:t>”); provided, that, Purchaser’s sole obligation with respect to any such advances made by Seller prior to the Closing Date shall be to reimburse Seller for 30.72% of such advances. After the Closing Date, within ten (10) Business Days after written notice to Seller that Purchaser has funded a properly presented request for an advance on any Funding Obligation that currently exist, and provided that Purchaser has funded such request in accordance with, and only as required by, the terms of the Loan Documents, Seller shall deliver to Purchaser by wire transfer of immediately available funds to an account specified in writing by Purchaser, an amount equal to 69.28% of the amount funded by Purchaser with respect to such request for advance. For the avoidance of doubt, the Seller shall have no obligation hereunder or otherwise with respect to any advance made by Seller following a renewal or extension of any Loan.</w:t>
      </w:r>
    </w:p>
    <w:p>
      <w:pPr>
        <w:spacing w:after="0" w:line="236" w:lineRule="exact"/>
        <w:rPr>
          <w:sz w:val="20"/>
          <w:szCs w:val="20"/>
          <w:color w:val="auto"/>
        </w:rPr>
      </w:pPr>
    </w:p>
    <w:p>
      <w:pPr>
        <w:ind w:left="1292"/>
        <w:spacing w:after="0"/>
        <w:tabs>
          <w:tab w:leader="none" w:pos="2432"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79" w:lineRule="exact"/>
        <w:rPr>
          <w:sz w:val="20"/>
          <w:szCs w:val="20"/>
          <w:color w:val="auto"/>
        </w:rPr>
      </w:pPr>
    </w:p>
    <w:p>
      <w:pPr>
        <w:ind w:left="1292"/>
        <w:spacing w:after="0"/>
        <w:tabs>
          <w:tab w:leader="none" w:pos="2432"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Representations, Warranties and Covenants of the Seller</w:t>
      </w:r>
      <w:r>
        <w:rPr>
          <w:rFonts w:ascii="Arial" w:cs="Arial" w:eastAsia="Arial" w:hAnsi="Arial"/>
          <w:sz w:val="16"/>
          <w:szCs w:val="16"/>
          <w:color w:val="auto"/>
        </w:rPr>
        <w:t>.</w:t>
      </w:r>
    </w:p>
    <w:p>
      <w:pPr>
        <w:spacing w:after="0" w:line="279" w:lineRule="exact"/>
        <w:rPr>
          <w:sz w:val="20"/>
          <w:szCs w:val="20"/>
          <w:color w:val="auto"/>
        </w:rPr>
      </w:pPr>
    </w:p>
    <w:p>
      <w:pPr>
        <w:jc w:val="both"/>
        <w:ind w:left="-8" w:firstLine="1305"/>
        <w:spacing w:after="0" w:line="264" w:lineRule="auto"/>
        <w:tabs>
          <w:tab w:leader="none" w:pos="170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Seller hereby makes, as of the date hereof and the Closing Date (or as of such other date specifically provided in the particular representation or warranty), to and for the benefit of the Purchaser, and its successors and assigns, each of the representations and warranties set forth in </w:t>
      </w:r>
      <w:r>
        <w:rPr>
          <w:rFonts w:ascii="Arial" w:cs="Arial" w:eastAsia="Arial" w:hAnsi="Arial"/>
          <w:sz w:val="18"/>
          <w:szCs w:val="18"/>
          <w:u w:val="single" w:color="auto"/>
          <w:color w:val="auto"/>
        </w:rPr>
        <w:t>Exhibits C-1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C-2</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left="1732" w:hanging="435"/>
        <w:spacing w:after="0"/>
        <w:tabs>
          <w:tab w:leader="none" w:pos="17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addition, the Seller, as of the Closing Date, hereby represents and warrants to, and covenants with, the Purchaser that:</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44" w:right="239" w:bottom="1440" w:gutter="0" w:footer="0" w:header="0"/>
        </w:sectPr>
      </w:pPr>
    </w:p>
    <w:bookmarkStart w:id="190" w:name="page191"/>
    <w:bookmarkEnd w:id="190"/>
    <w:p>
      <w:pPr>
        <w:jc w:val="both"/>
        <w:ind w:left="-540" w:firstLine="1941"/>
        <w:spacing w:after="0" w:line="264" w:lineRule="auto"/>
        <w:tabs>
          <w:tab w:leader="none" w:pos="17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Seller is duly incorporated and is validly existing in good standing as a state chartered bank under the laws of the State of Georgia. The Seller is in compliance with the laws of each state in which any Assets are located to the extent necessary to perform its obligations under this Purchase Agreement.</w:t>
      </w:r>
    </w:p>
    <w:p>
      <w:pPr>
        <w:spacing w:after="0" w:line="235" w:lineRule="exact"/>
        <w:rPr>
          <w:rFonts w:ascii="Arial" w:cs="Arial" w:eastAsia="Arial" w:hAnsi="Arial"/>
          <w:sz w:val="18"/>
          <w:szCs w:val="18"/>
          <w:color w:val="auto"/>
        </w:rPr>
      </w:pPr>
    </w:p>
    <w:p>
      <w:pPr>
        <w:ind w:left="-540" w:firstLine="1941"/>
        <w:spacing w:after="0" w:line="277" w:lineRule="auto"/>
        <w:tabs>
          <w:tab w:leader="none" w:pos="185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execution, delivery and performance of this Purchase Agreement have been duly authorized by all requisite corporate action and no further consent or authorization of the Seller, its Board of Directors or sole stockholder is required.</w:t>
      </w:r>
    </w:p>
    <w:p>
      <w:pPr>
        <w:spacing w:after="0" w:line="224" w:lineRule="exact"/>
        <w:rPr>
          <w:rFonts w:ascii="Arial" w:cs="Arial" w:eastAsia="Arial" w:hAnsi="Arial"/>
          <w:sz w:val="18"/>
          <w:szCs w:val="18"/>
          <w:color w:val="auto"/>
        </w:rPr>
      </w:pPr>
    </w:p>
    <w:p>
      <w:pPr>
        <w:jc w:val="both"/>
        <w:ind w:left="-540" w:firstLine="1941"/>
        <w:spacing w:after="0" w:line="255" w:lineRule="auto"/>
        <w:tabs>
          <w:tab w:leader="none" w:pos="18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Seller has full banking power and authority to (A) own and operate its properties and assets and execute and deliver this Purchase Agreement and the Bill of Sale, (B) perform its obligations hereunder and (C) carry on its business as presently conducted and as presently proposed to be conducted. The Seller and its subsidiaries are duly licensed, qualified and authorized to do business and are in good standing in all jurisdictions in which the nature of their activities and of their properties (both owned and leased) makes such licensing, qualification or authorization necessary, except for any jurisdiction where the failure to be so licensed, qualified or authorized would not, individually or in the aggregate, be reasonably expected to have a Material Adverse Effect.</w:t>
      </w:r>
    </w:p>
    <w:p>
      <w:pPr>
        <w:spacing w:after="0" w:line="247" w:lineRule="exact"/>
        <w:rPr>
          <w:rFonts w:ascii="Arial" w:cs="Arial" w:eastAsia="Arial" w:hAnsi="Arial"/>
          <w:sz w:val="18"/>
          <w:szCs w:val="18"/>
          <w:color w:val="auto"/>
        </w:rPr>
      </w:pPr>
    </w:p>
    <w:p>
      <w:pPr>
        <w:jc w:val="both"/>
        <w:ind w:left="-540" w:firstLine="1941"/>
        <w:spacing w:after="0" w:line="259" w:lineRule="auto"/>
        <w:tabs>
          <w:tab w:leader="none" w:pos="188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Purchase Agreement has been duly executed and delivered by the Seller, and when this Purchase Agreement is duly authorized, executed and delivered by the Purchaser, will be a valid and binding agreement enforceable against the Seller in accordance with its terms, subject to bankruptcy, insolvency, reorganization, moratorium and similar laws of general applicability relating to or affecting creditors’ rights generally and to general principles of equity.</w:t>
      </w:r>
    </w:p>
    <w:p>
      <w:pPr>
        <w:spacing w:after="0" w:line="240" w:lineRule="exact"/>
        <w:rPr>
          <w:rFonts w:ascii="Arial" w:cs="Arial" w:eastAsia="Arial" w:hAnsi="Arial"/>
          <w:sz w:val="18"/>
          <w:szCs w:val="18"/>
          <w:color w:val="auto"/>
        </w:rPr>
      </w:pPr>
    </w:p>
    <w:p>
      <w:pPr>
        <w:jc w:val="both"/>
        <w:ind w:left="-540" w:firstLine="1941"/>
        <w:spacing w:after="0" w:line="290" w:lineRule="auto"/>
        <w:tabs>
          <w:tab w:leader="none" w:pos="183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Neither the execution and delivery by the Seller of this Purchase Agreement nor the performance by the Seller of any of its obligations hereunder violates, conflicts with, results in a breach of, or constitutes a default (or an event which with the giving of notice or the lapse of time or both would be reasonably likely to constitute a default) or creates any rights in respect of any Person under (A) the articles of incorporation or bylaws (or other comparable documents) of the Seller or any of its Affiliates, (B) any decree, judgment, order, law, treaty, rule, regulation or determination of any court, governmental agency or body, or arbitrator having jurisdiction over the Seller or any of its Affiliates or any of their respective properties or assets, or (C) the terms of any bond, debenture, indenture, credit agreement, note or any other evidence of indebtedness, or any other similar plan, lease, mortgage, deed of trust or other instrument to which the Seller or any of its Affiliates is a party, by which the Seller or any of its Affiliates is bound, or to which any of the properties or assets of the Seller or any of its Affiliates is subject.</w:t>
      </w:r>
    </w:p>
    <w:p>
      <w:pPr>
        <w:spacing w:after="0" w:line="220" w:lineRule="exact"/>
        <w:rPr>
          <w:rFonts w:ascii="Arial" w:cs="Arial" w:eastAsia="Arial" w:hAnsi="Arial"/>
          <w:sz w:val="16"/>
          <w:szCs w:val="16"/>
          <w:color w:val="auto"/>
        </w:rPr>
      </w:pPr>
    </w:p>
    <w:p>
      <w:pPr>
        <w:jc w:val="both"/>
        <w:ind w:left="-540" w:firstLine="1941"/>
        <w:spacing w:after="0" w:line="264" w:lineRule="auto"/>
        <w:tabs>
          <w:tab w:leader="none" w:pos="188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There is no pending or, to the Knowledge of the Seller, threatened action, suit, proceeding or investigation before any court, governmental agency or body, or arbitrator having jurisdiction over the Seller or any of its Affiliates that would affect the execution by the Seller of, or the performance by the Seller of any of its obligations under, this Purchase Agreement.</w:t>
      </w:r>
    </w:p>
    <w:p>
      <w:pPr>
        <w:spacing w:after="0" w:line="235" w:lineRule="exact"/>
        <w:rPr>
          <w:rFonts w:ascii="Arial" w:cs="Arial" w:eastAsia="Arial" w:hAnsi="Arial"/>
          <w:sz w:val="18"/>
          <w:szCs w:val="18"/>
          <w:color w:val="auto"/>
        </w:rPr>
      </w:pPr>
    </w:p>
    <w:p>
      <w:pPr>
        <w:jc w:val="both"/>
        <w:ind w:left="-540" w:firstLine="1941"/>
        <w:spacing w:after="0" w:line="272" w:lineRule="auto"/>
        <w:tabs>
          <w:tab w:leader="none" w:pos="19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No consent, approval, authorization or order of any court, governmental agency or other body is required for execution and delivery by the Seller of this Purchase Agreement or any Bill of Sale or the performance by the Seller of any of its obligations hereunder. No registration or filing with, or notice to, any governmental authority or court is required, under federal or state law (including, with respect to any bulk sale laws), for the execution delivery and performance of or compliance by the Seller with this Purchase Agreement or the consummation by the Seller of any transaction contemplated hereby, other than (1) the filing or recording of financing statements, instruments of assignment and other similar documents necessary in connection with the Seller’s sale of the Assets to the Purchaser, and (2) such consents, approvals, authorizations, qualifications, registrations, filings or notices as have been obtained or made.</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191" w:name="page192"/>
    <w:bookmarkEnd w:id="191"/>
    <w:p>
      <w:pPr>
        <w:ind w:left="660" w:firstLine="1941"/>
        <w:spacing w:after="0" w:line="342" w:lineRule="auto"/>
        <w:tabs>
          <w:tab w:leader="none" w:pos="318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a third party (other than an Obligor of the related Loan), including a potential purchaser of the Assets, inquires, the Seller will promptly indicate that the Assets have been sold to a third party and the Seller will not claim any ownership interest in the Assets.</w:t>
      </w:r>
    </w:p>
    <w:p>
      <w:pPr>
        <w:spacing w:after="0" w:line="177" w:lineRule="exact"/>
        <w:rPr>
          <w:rFonts w:ascii="Arial" w:cs="Arial" w:eastAsia="Arial" w:hAnsi="Arial"/>
          <w:sz w:val="16"/>
          <w:szCs w:val="16"/>
          <w:color w:val="auto"/>
        </w:rPr>
      </w:pPr>
    </w:p>
    <w:p>
      <w:pPr>
        <w:ind w:left="3080" w:hanging="479"/>
        <w:spacing w:after="0"/>
        <w:tabs>
          <w:tab w:leader="none" w:pos="3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Seller’s records (including for purposes of GAAP) will reflect the transfer of the Assets to the Purchaser as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sale.</w:t>
      </w:r>
    </w:p>
    <w:p>
      <w:pPr>
        <w:spacing w:after="0" w:line="264" w:lineRule="exact"/>
        <w:rPr>
          <w:rFonts w:ascii="Arial" w:cs="Arial" w:eastAsia="Arial" w:hAnsi="Arial"/>
          <w:sz w:val="16"/>
          <w:szCs w:val="16"/>
          <w:color w:val="auto"/>
        </w:rPr>
      </w:pPr>
    </w:p>
    <w:p>
      <w:pPr>
        <w:jc w:val="both"/>
        <w:ind w:left="660" w:firstLine="1941"/>
        <w:spacing w:after="0" w:line="270" w:lineRule="auto"/>
        <w:tabs>
          <w:tab w:leader="none" w:pos="303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Promptly after Closing and in any event within ten (10) days after the Closing Date, the Seller shall deliver to each Obligor of such Asset (except that no such notice shall be given to an Obligor with respect to such Obligor’s Subject Residential Mortgage Loan; it being understood that if a Person that is an individual is an Obligor on a Loan other than a Subject Residential Mortgage Loan and an Obligor on a Subject Residential Mortgage Loan, Seller shall deliver such notice with respect to the Loans that are not Subject Residential Mortgage Loans but shall not deliver such notice to such Obligor with respect to the Subject Residential Mortgage Loan) an executed notice letter in the form attached hereto as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printed on the letterhead of the Seller and addressed to each such Obligor. At least 15 days prior to the transfer of servicing by Seller of any Subject Residential Mortgage Loan and otherwise in accordance with applicable law, the Seller shall deliver to the Obligors on such Subject Residential Mortgage Loan an executed notice letter in the form attached hereto as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printed on the letterhead of the Seller and addressed to each such Obligor.</w:t>
      </w:r>
    </w:p>
    <w:p>
      <w:pPr>
        <w:spacing w:after="0" w:line="235" w:lineRule="exact"/>
        <w:rPr>
          <w:rFonts w:ascii="Arial" w:cs="Arial" w:eastAsia="Arial" w:hAnsi="Arial"/>
          <w:sz w:val="17"/>
          <w:szCs w:val="17"/>
          <w:color w:val="auto"/>
        </w:rPr>
      </w:pPr>
    </w:p>
    <w:p>
      <w:pPr>
        <w:jc w:val="both"/>
        <w:ind w:left="660" w:firstLine="1941"/>
        <w:spacing w:after="0" w:line="272" w:lineRule="auto"/>
        <w:tabs>
          <w:tab w:leader="none" w:pos="309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There are no receiverships with respect to Seller or with respect to any substantial part of Seller’s property and none of the Assets include any real estate owned by Seller or any of its Affiliates. Immediately after giving effect to the consummation of the transactions contemplated hereby, (a) the fair value of the property of Seller is greater than the total amount of liabilities, including contingent liabilities, of Seller, (b) Seller does not intend to, and does not believe that it will, incur debts or liabilities beyond Seller’s ability to pay such debts and liabilities as they mature, (c) Seller is not engaged in business or a transaction, and is not about to engage in business or a transaction, for which Seller’s property would constitute an unreasonably small capital, and (d) Seller is able to pay its debts and liabilities, contingent obligations and other commitments as they mature or arise in the ordinary course of business.</w:t>
      </w:r>
    </w:p>
    <w:p>
      <w:pPr>
        <w:spacing w:after="0" w:line="231" w:lineRule="exact"/>
        <w:rPr>
          <w:rFonts w:ascii="Arial" w:cs="Arial" w:eastAsia="Arial" w:hAnsi="Arial"/>
          <w:sz w:val="17"/>
          <w:szCs w:val="17"/>
          <w:color w:val="auto"/>
        </w:rPr>
      </w:pPr>
    </w:p>
    <w:p>
      <w:pPr>
        <w:ind w:left="3120" w:hanging="519"/>
        <w:spacing w:after="0"/>
        <w:tabs>
          <w:tab w:leader="none" w:pos="31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the FDIC nor any other regulatory authority has issued a directive preventing the Closing contemplated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Purchase Agreement.</w:t>
      </w:r>
    </w:p>
    <w:p>
      <w:pPr>
        <w:spacing w:after="0" w:line="264" w:lineRule="exact"/>
        <w:rPr>
          <w:rFonts w:ascii="Arial" w:cs="Arial" w:eastAsia="Arial" w:hAnsi="Arial"/>
          <w:sz w:val="16"/>
          <w:szCs w:val="16"/>
          <w:color w:val="auto"/>
        </w:rPr>
      </w:pPr>
    </w:p>
    <w:p>
      <w:pPr>
        <w:ind w:left="3180" w:hanging="579"/>
        <w:spacing w:after="0"/>
        <w:tabs>
          <w:tab w:leader="none" w:pos="3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During the Interim Period, Seller has:</w:t>
      </w:r>
    </w:p>
    <w:p>
      <w:pPr>
        <w:spacing w:after="0" w:line="279" w:lineRule="exact"/>
        <w:rPr>
          <w:sz w:val="20"/>
          <w:szCs w:val="20"/>
          <w:color w:val="auto"/>
        </w:rPr>
      </w:pPr>
    </w:p>
    <w:p>
      <w:pPr>
        <w:jc w:val="both"/>
        <w:ind w:firstLine="2601"/>
        <w:spacing w:after="0" w:line="264" w:lineRule="auto"/>
        <w:tabs>
          <w:tab w:leader="none" w:pos="300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serviced the Assets in accordance with the terms of the Loan Documents and all applicable federal, state and local laws, and in furtherance of and to the extent consistent with such terms and laws, in accordance with the same care, skill, prudence and diligence which it uses for other similar assets in its portfolio;</w:t>
      </w:r>
    </w:p>
    <w:p>
      <w:pPr>
        <w:spacing w:after="0" w:line="235" w:lineRule="exact"/>
        <w:rPr>
          <w:rFonts w:ascii="Arial" w:cs="Arial" w:eastAsia="Arial" w:hAnsi="Arial"/>
          <w:sz w:val="18"/>
          <w:szCs w:val="18"/>
          <w:color w:val="auto"/>
        </w:rPr>
      </w:pPr>
    </w:p>
    <w:p>
      <w:pPr>
        <w:jc w:val="both"/>
        <w:ind w:firstLine="2601"/>
        <w:spacing w:after="0" w:line="255" w:lineRule="auto"/>
        <w:tabs>
          <w:tab w:leader="none" w:pos="30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 except as reflected in the Loan Files, (i) modified, solicited or discussed the modification of, any Loan (including, without limitation, a release of any collateral or any party from liability on or with respect to any Loan), (ii) forgiven, or discussed the forgiveness of, principal in respect of any Loan, (iii) solicited, discussed or accepted a deed-in-lieu of foreclosure with respect to any Loan, (iv) solicited, discussed or conducted any short sale in respect of the Mortgaged Property, (v) commenced any foreclosure with respect to any Loan or bankruptcy proceeding against the related Borrower, (vi) settled or compromised any condemnation or insurance claim or proceeding in respect of any Loan, (vii) settled or compromised, or make any offers to settle or compromise, any existing litigation or other proceedings in respect of any Loan, or (viii) taken any action to materially impair any interest of a Purchaser in any Loan;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2" w:name="page193"/>
    <w:bookmarkEnd w:id="192"/>
    <w:p>
      <w:pPr>
        <w:jc w:val="both"/>
        <w:ind w:firstLine="2601"/>
        <w:spacing w:after="0" w:line="279" w:lineRule="auto"/>
        <w:tabs>
          <w:tab w:leader="none" w:pos="3022" w:val="left"/>
        </w:tabs>
        <w:numPr>
          <w:ilvl w:val="1"/>
          <w:numId w:val="210"/>
        </w:numPr>
        <w:rPr>
          <w:rFonts w:ascii="Arial" w:cs="Arial" w:eastAsia="Arial" w:hAnsi="Arial"/>
          <w:sz w:val="17"/>
          <w:szCs w:val="17"/>
          <w:color w:val="auto"/>
        </w:rPr>
      </w:pPr>
      <w:r>
        <w:rPr>
          <w:rFonts w:ascii="Arial" w:cs="Arial" w:eastAsia="Arial" w:hAnsi="Arial"/>
          <w:sz w:val="17"/>
          <w:szCs w:val="17"/>
          <w:color w:val="auto"/>
        </w:rPr>
        <w:t>should a Note relating to any Loan contain provisions for the adjustment of the interest rate and/or installment payments payable thereunder which require notice from the Seller in order to be effective, to the extent required by the terms of such Note or applicable law, on or before the Closing Date, notified, in writing, each Borrower under the Loans of any such adjustment scheduled to occur on or before the Closing Date and Seller shall deliver to Purchaser, at the Closing, evidence that Seller provided any such notifications in connection with the Loans.</w:t>
      </w:r>
    </w:p>
    <w:p>
      <w:pPr>
        <w:spacing w:after="0" w:line="198" w:lineRule="exact"/>
        <w:rPr>
          <w:rFonts w:ascii="Arial" w:cs="Arial" w:eastAsia="Arial" w:hAnsi="Arial"/>
          <w:sz w:val="17"/>
          <w:szCs w:val="17"/>
          <w:color w:val="auto"/>
        </w:rPr>
      </w:pPr>
    </w:p>
    <w:p>
      <w:pPr>
        <w:jc w:val="both"/>
        <w:ind w:left="660" w:firstLine="1293"/>
        <w:spacing w:after="0" w:line="257" w:lineRule="auto"/>
        <w:tabs>
          <w:tab w:leader="none" w:pos="284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information set forth on the Asset List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the Bill of Sale is true and correct in all material respects. In addition, the amount set forth on the Asset List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of the Bill of Sale with respect to Delinquent Property Taxes, Escrow Payments, reserve funds, deposits and other comparable funds in the possession of the Seller (or under its control) with respect to each of the Assets is true and correct in all respects. Seller is not in possession of any Escrow Payments, reserve funds or other comparable funds with respect to the Assets.</w:t>
      </w:r>
    </w:p>
    <w:p>
      <w:pPr>
        <w:spacing w:after="0" w:line="215" w:lineRule="exact"/>
        <w:rPr>
          <w:rFonts w:ascii="Arial" w:cs="Arial" w:eastAsia="Arial" w:hAnsi="Arial"/>
          <w:sz w:val="18"/>
          <w:szCs w:val="18"/>
          <w:color w:val="auto"/>
        </w:rPr>
      </w:pPr>
    </w:p>
    <w:p>
      <w:pPr>
        <w:ind w:left="2740" w:hanging="787"/>
        <w:spacing w:after="0"/>
        <w:tabs>
          <w:tab w:leader="none" w:pos="27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 all times from and after January 1, 2011, Seller is and has been the sole servicer of the Assets.</w:t>
      </w:r>
    </w:p>
    <w:p>
      <w:pPr>
        <w:spacing w:after="0" w:line="252" w:lineRule="exact"/>
        <w:rPr>
          <w:rFonts w:ascii="Arial" w:cs="Arial" w:eastAsia="Arial" w:hAnsi="Arial"/>
          <w:sz w:val="18"/>
          <w:szCs w:val="18"/>
          <w:color w:val="auto"/>
        </w:rPr>
      </w:pPr>
    </w:p>
    <w:p>
      <w:pPr>
        <w:jc w:val="both"/>
        <w:ind w:left="660" w:right="20" w:firstLine="1293"/>
        <w:spacing w:after="0" w:line="286" w:lineRule="auto"/>
        <w:tabs>
          <w:tab w:leader="none" w:pos="288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As of the Closing Date, no Obligor has the right, pursuant to any Note or other Loan Document, to obtain additional loans from the Seller or to cause the Seller to extend additional credit in the form of a letter of credit or otherwise and except for the letters of credit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the Bill of Sale, if any, Seller is not the issuer of any letter of credit for the account of any Obligor.</w:t>
      </w:r>
    </w:p>
    <w:p>
      <w:pPr>
        <w:spacing w:after="0" w:line="220"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Representations, Warranties and Covenants of the Purchaser</w:t>
      </w:r>
      <w:r>
        <w:rPr>
          <w:rFonts w:ascii="Arial" w:cs="Arial" w:eastAsia="Arial" w:hAnsi="Arial"/>
          <w:sz w:val="15"/>
          <w:szCs w:val="15"/>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Purchaser, as of the Closing Date, hereby represents and warrants to the Seller that:</w:t>
      </w:r>
    </w:p>
    <w:p>
      <w:pPr>
        <w:spacing w:after="0" w:line="279" w:lineRule="exact"/>
        <w:rPr>
          <w:sz w:val="20"/>
          <w:szCs w:val="20"/>
          <w:color w:val="auto"/>
        </w:rPr>
      </w:pPr>
    </w:p>
    <w:p>
      <w:pPr>
        <w:jc w:val="both"/>
        <w:ind w:firstLine="1305"/>
        <w:spacing w:after="0" w:line="264" w:lineRule="auto"/>
        <w:tabs>
          <w:tab w:leader="none" w:pos="172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Purchaser has been duly incorporated and is validly existing and in good standing under the laws of the state where it was organized or formed. The Purchaser is in compliance with the laws of each state in which any Assets are located to the extent necessary to perform their obligations under this Purchase Agreement.</w:t>
      </w:r>
    </w:p>
    <w:p>
      <w:pPr>
        <w:spacing w:after="0" w:line="235" w:lineRule="exact"/>
        <w:rPr>
          <w:rFonts w:ascii="Arial" w:cs="Arial" w:eastAsia="Arial" w:hAnsi="Arial"/>
          <w:sz w:val="18"/>
          <w:szCs w:val="18"/>
          <w:color w:val="auto"/>
        </w:rPr>
      </w:pPr>
    </w:p>
    <w:p>
      <w:pPr>
        <w:jc w:val="both"/>
        <w:ind w:firstLine="1305"/>
        <w:spacing w:after="0" w:line="255" w:lineRule="auto"/>
        <w:tabs>
          <w:tab w:leader="none" w:pos="173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Purchaser has full power and authority to (A) own and operate its properties and assets and execute and deliver this Purchase Agreement and the Bill of Sale, (B) perform their obligations hereunder and (C) carry on their business as presently conducted and as presently proposed to be conducted. The Purchaser and its subsidiaries are duly licensed, qualified and authorized to do business and are in good standing in all jurisdictions in which the nature of their activities and of their properties (both owned and leased) makes such licensing, qualification or authorization necessary, except for any jurisdiction where the failure to be so licensed, qualified or authorized would not, individually or in the aggregate, be reasonably expected to have a Material Adverse Effect.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3" w:name="page194"/>
    <w:bookmarkEnd w:id="193"/>
    <w:p>
      <w:pPr>
        <w:jc w:val="both"/>
        <w:ind w:firstLine="1305"/>
        <w:spacing w:after="0" w:line="259" w:lineRule="auto"/>
        <w:tabs>
          <w:tab w:leader="none" w:pos="171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Purchase Agreement has been duly executed and delivered by Purchaser, and when this Purchase Agreement is duly authorized, executed and delivered by the Purchaser, will be a valid and binding agreement enforceable against the Purchaser in accordance with its terms, subject to bankruptcy, insolvency, reorganization, moratorium and similar laws of general applicability relating to or affecting creditors’ rights generally and to general principles of equity.</w:t>
      </w:r>
    </w:p>
    <w:p>
      <w:pPr>
        <w:spacing w:after="0" w:line="240" w:lineRule="exact"/>
        <w:rPr>
          <w:rFonts w:ascii="Arial" w:cs="Arial" w:eastAsia="Arial" w:hAnsi="Arial"/>
          <w:sz w:val="18"/>
          <w:szCs w:val="18"/>
          <w:color w:val="auto"/>
        </w:rPr>
      </w:pPr>
    </w:p>
    <w:p>
      <w:pPr>
        <w:jc w:val="both"/>
        <w:ind w:firstLine="1305"/>
        <w:spacing w:after="0" w:line="271" w:lineRule="auto"/>
        <w:tabs>
          <w:tab w:leader="none" w:pos="172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Neither the execution and delivery by the Purchaser of this Purchase Agreement nor the performance by the Purchaser of any of their obligations hereunder violates, conflicts with, results in a breach of, or constitutes a default (or an event which with the giving of notice or the lapse of time or both would be reasonably likely to constitute a default) or creates any rights in respect of any Person under (A) the articles of incorporation or bylaws (or other comparable documents) of the Purchaser or any of their Affiliates, (B) any decree, judgment, order, law, treaty, rule, regulation or determination of any court, governmental agency or body, or arbitrator having jurisdiction over the Purchaser or any of its Affiliates or any of their respective properties or assets, or (C) the terms of any bond, debenture, indenture, credit agreement, note or any other evidence of indebtedness, or any other similar plan, lease, mortgage, deed of trust or other instrument to which the Purchaser or any of its Affiliates is a party, by which the Purchaser or any of its Affiliates is bound, or to which any of the properties or assets of the Purchaser or any of its Affiliates is subject.</w:t>
      </w:r>
    </w:p>
    <w:p>
      <w:pPr>
        <w:spacing w:after="0" w:line="232" w:lineRule="exact"/>
        <w:rPr>
          <w:rFonts w:ascii="Arial" w:cs="Arial" w:eastAsia="Arial" w:hAnsi="Arial"/>
          <w:sz w:val="17"/>
          <w:szCs w:val="17"/>
          <w:color w:val="auto"/>
        </w:rPr>
      </w:pPr>
    </w:p>
    <w:p>
      <w:pPr>
        <w:jc w:val="both"/>
        <w:ind w:firstLine="1305"/>
        <w:spacing w:after="0" w:line="264" w:lineRule="auto"/>
        <w:tabs>
          <w:tab w:leader="none" w:pos="172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There is no pending or, to the Knowledge of the Purchaser, threatened action, suit, proceeding or investigation before any court, governmental agency or body, or arbitrator having jurisdiction over the Purchaser or any of its Affiliates that would affect the execution by the Purchaser of, or the performance by the Purchaser of any of its obligations under, this Purchase Agreement.</w:t>
      </w:r>
    </w:p>
    <w:p>
      <w:pPr>
        <w:spacing w:after="0" w:line="235" w:lineRule="exact"/>
        <w:rPr>
          <w:rFonts w:ascii="Arial" w:cs="Arial" w:eastAsia="Arial" w:hAnsi="Arial"/>
          <w:sz w:val="18"/>
          <w:szCs w:val="18"/>
          <w:color w:val="auto"/>
        </w:rPr>
      </w:pPr>
    </w:p>
    <w:p>
      <w:pPr>
        <w:jc w:val="both"/>
        <w:ind w:firstLine="1305"/>
        <w:spacing w:after="0" w:line="255" w:lineRule="auto"/>
        <w:tabs>
          <w:tab w:leader="none" w:pos="169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 consent, approval, authorization or order of any court, governmental agency or other body is required for execution and delivery by the Purchaser of this Purchase Agreement or any Bill of Sale or the performance by the Purchaser of any of its obligations hereunder. No registration or filing with, or notice to, any governmental authority or court is required, under federal or state law (including, with respect to any bulk sale laws), for the execution delivery and performance of or compliance by the Purchaser with this Purchase Agreement or the consummation by the Purchaser of any transaction contemplated hereby, other than such consents, approvals, authorizations, qualifications, registrations, filings or notices as have been obtained or made.</w:t>
      </w:r>
    </w:p>
    <w:p>
      <w:pPr>
        <w:spacing w:after="0" w:line="220" w:lineRule="exact"/>
        <w:rPr>
          <w:rFonts w:ascii="Arial" w:cs="Arial" w:eastAsia="Arial" w:hAnsi="Arial"/>
          <w:sz w:val="18"/>
          <w:szCs w:val="18"/>
          <w:color w:val="auto"/>
        </w:rPr>
      </w:pPr>
    </w:p>
    <w:p>
      <w:pPr>
        <w:jc w:val="both"/>
        <w:ind w:firstLine="1305"/>
        <w:spacing w:after="0" w:line="297" w:lineRule="auto"/>
        <w:tabs>
          <w:tab w:leader="none" w:pos="207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Immediately after giving effect to the consummation of the transactions contemplated hereby, (a) the fair value of the property of Purchaser is greater than the total amount of liabilities, including contingent liabilities, of Purchaser, (b) Purchaser does not intend to, and does not believe that it will, incur debts or liabilities beyond Purchaser’s ability to pay such debts and liabilities as they mature, (c) Purchaser is not engaged in business or a transaction, and is not about to engage in business or a transaction, for which Purchaser’s property would constitute an unreasonably small capital, and (d) Purchaser is able to pay its debts and liabilities, contingent obligations and other commitments as they mature or arise in the ordinary course of business</w:t>
      </w:r>
    </w:p>
    <w:p>
      <w:pPr>
        <w:spacing w:after="0" w:line="21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Repurchase of Assets</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 Purchaser may require that the Seller repurchase an Asset as a result of the breach by Seller of certain of its representations and warranties under this Purchase Agreement for an amount equal to the Repurchase Price for that Asset. The Seller and the Purchaser shall execute and deliver any and all such additional assignments, deeds, instruments of transfer and other documents as may be reasonably required in order to complete such repurchase, in each case, without recourse or representation of any kind by Purchaser. Seller shall be responsible for, and shall pay when due and payable, all transfer, filing and recording fees and taxes, costs and expenses, and any state or county documentary taxes, if any, with respect to the filing or recording of any document or instrument contemplated hereby in connection with such repurchase. In connection with any repurchase of assets contemplated by </w:t>
      </w:r>
      <w:r>
        <w:rPr>
          <w:rFonts w:ascii="Arial" w:cs="Arial" w:eastAsia="Arial" w:hAnsi="Arial"/>
          <w:sz w:val="18"/>
          <w:szCs w:val="18"/>
          <w:u w:val="single" w:color="auto"/>
          <w:color w:val="auto"/>
        </w:rPr>
        <w:t>Section 12</w:t>
      </w:r>
      <w:r>
        <w:rPr>
          <w:rFonts w:ascii="Arial" w:cs="Arial" w:eastAsia="Arial" w:hAnsi="Arial"/>
          <w:sz w:val="18"/>
          <w:szCs w:val="18"/>
          <w:color w:val="auto"/>
        </w:rPr>
        <w:t>, the Seller and the Purchaser shall tender promptly or cause to be tendered promptly to the other party, the related Loan File.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4" w:name="page195"/>
    <w:bookmarkEnd w:id="194"/>
    <w:p>
      <w:pPr>
        <w:ind w:firstLine="1297"/>
        <w:spacing w:after="0" w:line="30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Payment of Purchase Price</w:t>
      </w:r>
      <w:r>
        <w:rPr>
          <w:rFonts w:ascii="Arial" w:cs="Arial" w:eastAsia="Arial" w:hAnsi="Arial"/>
          <w:sz w:val="17"/>
          <w:szCs w:val="17"/>
          <w:color w:val="auto"/>
        </w:rPr>
        <w:t xml:space="preserve">. On the Closing Date and subject to adjustment pursuant to </w:t>
      </w:r>
      <w:r>
        <w:rPr>
          <w:rFonts w:ascii="Arial" w:cs="Arial" w:eastAsia="Arial" w:hAnsi="Arial"/>
          <w:sz w:val="17"/>
          <w:szCs w:val="17"/>
          <w:u w:val="single" w:color="auto"/>
          <w:color w:val="auto"/>
        </w:rPr>
        <w:t>Section 10(b)</w:t>
      </w:r>
      <w:r>
        <w:rPr>
          <w:rFonts w:ascii="Arial" w:cs="Arial" w:eastAsia="Arial" w:hAnsi="Arial"/>
          <w:sz w:val="17"/>
          <w:szCs w:val="17"/>
          <w:color w:val="auto"/>
        </w:rPr>
        <w:t>, Purchaser shall deliver to Seller an amount equal to the Estimated Purchase Price by wire transfer of immediately available funds to the account specified below:</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United Community Bank</w:t>
      </w:r>
    </w:p>
    <w:p>
      <w:pPr>
        <w:sectPr>
          <w:pgSz w:w="11900" w:h="16838" w:orient="portrait"/>
          <w:cols w:equalWidth="0" w:num="1">
            <w:col w:w="11420"/>
          </w:cols>
          <w:pgMar w:left="240" w:top="544" w:right="239" w:bottom="1440" w:gutter="0" w:footer="0" w:header="0"/>
        </w:sectPr>
      </w:pP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125 Highway 515 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Blairsville, GA 30514</w:t>
      </w:r>
    </w:p>
    <w:p>
      <w:pPr>
        <w:spacing w:after="0" w:line="200" w:lineRule="exact"/>
        <w:rPr>
          <w:sz w:val="20"/>
          <w:szCs w:val="20"/>
          <w:color w:val="auto"/>
        </w:rPr>
      </w:pPr>
    </w:p>
    <w:p>
      <w:pPr>
        <w:sectPr>
          <w:pgSz w:w="11900" w:h="16838" w:orient="portrait"/>
          <w:cols w:equalWidth="0" w:num="2">
            <w:col w:w="1940" w:space="500"/>
            <w:col w:w="8980"/>
          </w:cols>
          <w:pgMar w:left="240" w:top="544"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ABA No.: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United Community Bank</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27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Closing; Conditions Precedent</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6" w:lineRule="auto"/>
        <w:tabs>
          <w:tab w:leader="none" w:pos="171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Closing shall be held at the offices of Kilpatrick Townsend &amp; Stockton LLP, 1100 Peachtree Street, Suite 2800, Atlanta, Georgia 30309 at 10:00 a.m., Atlanta, Georgia time, on the date hereof, or on such other date or in such other manner as shall be mutually agreed to in writing by the parties hereto. On the Closing Date, the Seller and the Purchaser shall each execute and deliver the Bill of Sale.</w:t>
      </w:r>
    </w:p>
    <w:p>
      <w:pPr>
        <w:spacing w:after="0" w:line="219" w:lineRule="exact"/>
        <w:rPr>
          <w:rFonts w:ascii="Arial" w:cs="Arial" w:eastAsia="Arial" w:hAnsi="Arial"/>
          <w:sz w:val="17"/>
          <w:szCs w:val="17"/>
          <w:color w:val="auto"/>
        </w:rPr>
      </w:pPr>
    </w:p>
    <w:p>
      <w:pPr>
        <w:ind w:left="1740" w:hanging="435"/>
        <w:spacing w:after="0"/>
        <w:tabs>
          <w:tab w:leader="none" w:pos="1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Closing shall be subject to each of the following conditions precedent:</w:t>
      </w:r>
    </w:p>
    <w:p>
      <w:pPr>
        <w:spacing w:after="0" w:line="279" w:lineRule="exact"/>
        <w:rPr>
          <w:rFonts w:ascii="Arial" w:cs="Arial" w:eastAsia="Arial" w:hAnsi="Arial"/>
          <w:sz w:val="18"/>
          <w:szCs w:val="18"/>
          <w:color w:val="auto"/>
        </w:rPr>
      </w:pPr>
    </w:p>
    <w:p>
      <w:pPr>
        <w:ind w:left="3020" w:hanging="419"/>
        <w:spacing w:after="0"/>
        <w:tabs>
          <w:tab w:leader="none" w:pos="302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All of the representations and warranties of each party specified herein shall be true and correct in all material</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respects as of the Closing Date;</w:t>
      </w:r>
    </w:p>
    <w:p>
      <w:pPr>
        <w:spacing w:after="0" w:line="264" w:lineRule="exact"/>
        <w:rPr>
          <w:rFonts w:ascii="Arial" w:cs="Arial" w:eastAsia="Arial" w:hAnsi="Arial"/>
          <w:sz w:val="17"/>
          <w:szCs w:val="17"/>
          <w:color w:val="auto"/>
        </w:rPr>
      </w:pPr>
    </w:p>
    <w:p>
      <w:pPr>
        <w:ind w:left="660" w:firstLine="1941"/>
        <w:spacing w:after="0" w:line="277" w:lineRule="auto"/>
        <w:tabs>
          <w:tab w:leader="none" w:pos="304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All documents and opinions specified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(the Closing Documents) shall be duly executed and delivered by all signatories as required pursuant to the respective terms thereof;</w:t>
      </w:r>
    </w:p>
    <w:p>
      <w:pPr>
        <w:spacing w:after="0" w:line="224" w:lineRule="exact"/>
        <w:rPr>
          <w:rFonts w:ascii="Arial" w:cs="Arial" w:eastAsia="Arial" w:hAnsi="Arial"/>
          <w:sz w:val="18"/>
          <w:szCs w:val="18"/>
          <w:color w:val="auto"/>
        </w:rPr>
      </w:pPr>
    </w:p>
    <w:p>
      <w:pPr>
        <w:ind w:left="660" w:firstLine="1941"/>
        <w:spacing w:after="0" w:line="277" w:lineRule="auto"/>
        <w:tabs>
          <w:tab w:leader="none" w:pos="309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The Seller shall have delivered and released to the Purchaser or the Purchaser’s designee, as the case may be, all documents required to be so delivered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left="660" w:firstLine="1941"/>
        <w:spacing w:after="0" w:line="264" w:lineRule="auto"/>
        <w:tabs>
          <w:tab w:leader="none" w:pos="3081"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All other terms and conditions of this Purchase Agreement required to be complied with on or before the Closing Date shall have been complied with, and the Seller shall have the ability to comply with all terms and conditions and perform all duties and obligations required to be complied with or performed after the Closing Date;</w:t>
      </w:r>
    </w:p>
    <w:p>
      <w:pPr>
        <w:spacing w:after="0" w:line="235" w:lineRule="exact"/>
        <w:rPr>
          <w:rFonts w:ascii="Arial" w:cs="Arial" w:eastAsia="Arial" w:hAnsi="Arial"/>
          <w:sz w:val="18"/>
          <w:szCs w:val="18"/>
          <w:color w:val="auto"/>
        </w:rPr>
      </w:pPr>
    </w:p>
    <w:p>
      <w:pPr>
        <w:ind w:left="3060" w:hanging="459"/>
        <w:spacing w:after="0"/>
        <w:tabs>
          <w:tab w:leader="none" w:pos="30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The payment of the Purchase Price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Purchase Agreement shall have been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received; and</w:t>
      </w:r>
    </w:p>
    <w:p>
      <w:pPr>
        <w:spacing w:after="0" w:line="264" w:lineRule="exact"/>
        <w:rPr>
          <w:rFonts w:ascii="Arial" w:cs="Arial" w:eastAsia="Arial" w:hAnsi="Arial"/>
          <w:sz w:val="17"/>
          <w:szCs w:val="17"/>
          <w:color w:val="auto"/>
        </w:rPr>
      </w:pPr>
    </w:p>
    <w:p>
      <w:pPr>
        <w:ind w:left="3080" w:hanging="479"/>
        <w:spacing w:after="0"/>
        <w:tabs>
          <w:tab w:leader="none" w:pos="308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Purchaser shall be satisfied that all of the conditions precedent described above have been satisfied.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95" w:name="page196"/>
    <w:bookmarkEnd w:id="195"/>
    <w:p>
      <w:pPr>
        <w:ind w:left="1300"/>
        <w:spacing w:after="0"/>
        <w:tabs>
          <w:tab w:leader="none" w:pos="24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Closing Documents</w:t>
      </w:r>
      <w:r>
        <w:rPr>
          <w:rFonts w:ascii="Arial" w:cs="Arial" w:eastAsia="Arial" w:hAnsi="Arial"/>
          <w:sz w:val="16"/>
          <w:szCs w:val="16"/>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Closing Documents</w:t>
      </w:r>
      <w:r>
        <w:rPr>
          <w:rFonts w:ascii="Arial" w:cs="Arial" w:eastAsia="Arial" w:hAnsi="Arial"/>
          <w:sz w:val="18"/>
          <w:szCs w:val="18"/>
          <w:color w:val="auto"/>
        </w:rPr>
        <w:t>” to be delivered on the Closing Date shall consist of the following:</w:t>
      </w:r>
    </w:p>
    <w:p>
      <w:pPr>
        <w:spacing w:after="0" w:line="279" w:lineRule="exact"/>
        <w:rPr>
          <w:sz w:val="20"/>
          <w:szCs w:val="20"/>
          <w:color w:val="auto"/>
        </w:rPr>
      </w:pPr>
    </w:p>
    <w:p>
      <w:pPr>
        <w:ind w:left="1720" w:hanging="415"/>
        <w:spacing w:after="0"/>
        <w:tabs>
          <w:tab w:leader="none" w:pos="1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This Purchase Agreement duly executed and delivered by the Seller and Purchaser;</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certificate of good standing from the Secretary of State of the State of Georgia with respect to the Seller;</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Loan File for each Loan;</w:t>
      </w:r>
    </w:p>
    <w:p>
      <w:pPr>
        <w:spacing w:after="0" w:line="279" w:lineRule="exact"/>
        <w:rPr>
          <w:rFonts w:ascii="Arial" w:cs="Arial" w:eastAsia="Arial" w:hAnsi="Arial"/>
          <w:sz w:val="18"/>
          <w:szCs w:val="18"/>
          <w:color w:val="auto"/>
        </w:rPr>
      </w:pPr>
    </w:p>
    <w:p>
      <w:pPr>
        <w:ind w:firstLine="1305"/>
        <w:spacing w:after="0" w:line="277" w:lineRule="auto"/>
        <w:tabs>
          <w:tab w:leader="none" w:pos="172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Assignments of all Loan Documents, duly executed by the Seller, evidencing the assignment to Purchaser of all of the Seller’s right, title and interest therein, including without limitation, the following documents and instruments:</w:t>
      </w:r>
    </w:p>
    <w:p>
      <w:pPr>
        <w:spacing w:after="0" w:line="224" w:lineRule="exact"/>
        <w:rPr>
          <w:rFonts w:ascii="Arial" w:cs="Arial" w:eastAsia="Arial" w:hAnsi="Arial"/>
          <w:sz w:val="18"/>
          <w:szCs w:val="18"/>
          <w:color w:val="auto"/>
        </w:rPr>
      </w:pPr>
    </w:p>
    <w:p>
      <w:pPr>
        <w:jc w:val="both"/>
        <w:ind w:left="660" w:firstLine="1941"/>
        <w:spacing w:after="0" w:line="259" w:lineRule="auto"/>
        <w:tabs>
          <w:tab w:leader="none" w:pos="299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 allonge or other endorsement of the promissory note relating to each Loan, reflecting the Purchaser as the owner and holder of such promissory note or as otherwise requested by Purchaser, executed in blank and with it being understood that the representations warranties, covenants and agreements set forth in the Purchase Agreement apply to such Loans regardless of whether any reference to the Purchase Agreement is included in such allonge or endorsement;</w:t>
      </w:r>
    </w:p>
    <w:p>
      <w:pPr>
        <w:spacing w:after="0" w:line="240" w:lineRule="exact"/>
        <w:rPr>
          <w:rFonts w:ascii="Arial" w:cs="Arial" w:eastAsia="Arial" w:hAnsi="Arial"/>
          <w:sz w:val="18"/>
          <w:szCs w:val="18"/>
          <w:color w:val="auto"/>
        </w:rPr>
      </w:pPr>
    </w:p>
    <w:p>
      <w:pPr>
        <w:ind w:left="660" w:firstLine="1941"/>
        <w:spacing w:after="0" w:line="342" w:lineRule="auto"/>
        <w:tabs>
          <w:tab w:leader="none" w:pos="3041"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An assignment of the deed of trust, mortgage or other similar security instrument, in form and substance satisfactory to Purchaser and suitable for recording in the appropriate public records reflecting the Purchaser as the mortgagee or beneficiary thereunder;</w:t>
      </w:r>
    </w:p>
    <w:p>
      <w:pPr>
        <w:spacing w:after="0" w:line="177" w:lineRule="exact"/>
        <w:rPr>
          <w:rFonts w:ascii="Arial" w:cs="Arial" w:eastAsia="Arial" w:hAnsi="Arial"/>
          <w:sz w:val="16"/>
          <w:szCs w:val="16"/>
          <w:color w:val="auto"/>
        </w:rPr>
      </w:pPr>
    </w:p>
    <w:p>
      <w:pPr>
        <w:ind w:left="660" w:firstLine="1941"/>
        <w:spacing w:after="0" w:line="277" w:lineRule="auto"/>
        <w:tabs>
          <w:tab w:leader="none" w:pos="310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 assignment of the assignment of leases and rents or other similar instrument, if any, in form and substance suitable for recording in the appropriate public records, reflecting the Purchaser as the assignee thereunder;</w:t>
      </w:r>
    </w:p>
    <w:p>
      <w:pPr>
        <w:spacing w:after="0" w:line="224" w:lineRule="exact"/>
        <w:rPr>
          <w:rFonts w:ascii="Arial" w:cs="Arial" w:eastAsia="Arial" w:hAnsi="Arial"/>
          <w:sz w:val="18"/>
          <w:szCs w:val="18"/>
          <w:color w:val="auto"/>
        </w:rPr>
      </w:pPr>
    </w:p>
    <w:p>
      <w:pPr>
        <w:ind w:left="660" w:firstLine="1941"/>
        <w:spacing w:after="0" w:line="277" w:lineRule="auto"/>
        <w:tabs>
          <w:tab w:leader="none" w:pos="308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 omnibus assignment of all other Loan Documents and, if applicable, any personal property security agreements and control agreements to the Purchaser;</w:t>
      </w:r>
    </w:p>
    <w:p>
      <w:pPr>
        <w:spacing w:after="0" w:line="224" w:lineRule="exact"/>
        <w:rPr>
          <w:rFonts w:ascii="Arial" w:cs="Arial" w:eastAsia="Arial" w:hAnsi="Arial"/>
          <w:sz w:val="18"/>
          <w:szCs w:val="18"/>
          <w:color w:val="auto"/>
        </w:rPr>
      </w:pPr>
    </w:p>
    <w:p>
      <w:pPr>
        <w:ind w:left="660" w:firstLine="1941"/>
        <w:spacing w:after="0" w:line="277" w:lineRule="auto"/>
        <w:tabs>
          <w:tab w:leader="none" w:pos="303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All original stock certificates and related stock powers executed in blank and all original promissory notes and other instruments that are Collateral Security for any Loan and any other Collateral Security which is perfected by possession; and</w:t>
      </w:r>
    </w:p>
    <w:p>
      <w:pPr>
        <w:spacing w:after="0" w:line="224" w:lineRule="exact"/>
        <w:rPr>
          <w:rFonts w:ascii="Arial" w:cs="Arial" w:eastAsia="Arial" w:hAnsi="Arial"/>
          <w:sz w:val="18"/>
          <w:szCs w:val="18"/>
          <w:color w:val="auto"/>
        </w:rPr>
      </w:pPr>
    </w:p>
    <w:p>
      <w:pPr>
        <w:ind w:left="3080" w:hanging="479"/>
        <w:spacing w:after="0"/>
        <w:tabs>
          <w:tab w:leader="none" w:pos="3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Evidence of the delivery of the notices described in </w:t>
      </w:r>
      <w:r>
        <w:rPr>
          <w:rFonts w:ascii="Arial" w:cs="Arial" w:eastAsia="Arial" w:hAnsi="Arial"/>
          <w:sz w:val="18"/>
          <w:szCs w:val="18"/>
          <w:u w:val="single" w:color="auto"/>
          <w:color w:val="auto"/>
        </w:rPr>
        <w:t>Section 4(b)(xiii)(c)</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1305"/>
        <w:spacing w:after="0" w:line="277" w:lineRule="auto"/>
        <w:tabs>
          <w:tab w:leader="none" w:pos="171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 certificate of the Seller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executed by an executive officer or authorized signatory of the Seller and dated as of the Closing Date, and upon which the Purchaser may rely;</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170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A written Opinion of Counsel for the Seller,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(general corporate opinion) and subject to such reasonable assumptions and qualifications as may be requested by counsel for the Seller and acceptable to counsel for the Purchaser, dated as of the Closing Date and addressed to the Purchaser;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6" w:name="page197"/>
    <w:bookmarkEnd w:id="196"/>
    <w:p>
      <w:pPr>
        <w:jc w:val="both"/>
        <w:ind w:firstLine="1305"/>
        <w:spacing w:after="0" w:line="255" w:lineRule="auto"/>
        <w:tabs>
          <w:tab w:leader="none" w:pos="172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Prior to the Closing Date, Seller shall have sent to Purchaser a written statement setting forth as of April 11, 2011 (i) the then current principal balance of each Loan, (ii) the amount of accrued and unpaid interest thereon, (iii) the interest rate applicable to each Loan, (iv) the balance of each of the funds held pursuant to Escrow Payments, reserve funds and other comparable funds in the possession of the Seller, and/or funds, (v) the balance of any certificates of deposit and other deposits that are Collateral Security, (vi) the amount of any advances made by Seller or servicer on the Borrower’s behalf after the Cut-off Date which have not been repaid as of the Closing Date, (vii) the “paid to” date, (viii) the amount of per diem interest accruing, and (ix) the amount of the regular principal and interest installment payment. The foregoing information is hereinafter collectively referred to as the “Trial Balance Information”;</w:t>
      </w:r>
    </w:p>
    <w:p>
      <w:pPr>
        <w:spacing w:after="0" w:line="243" w:lineRule="exact"/>
        <w:rPr>
          <w:rFonts w:ascii="Arial" w:cs="Arial" w:eastAsia="Arial" w:hAnsi="Arial"/>
          <w:sz w:val="18"/>
          <w:szCs w:val="18"/>
          <w:color w:val="auto"/>
        </w:rPr>
      </w:pPr>
    </w:p>
    <w:p>
      <w:pPr>
        <w:jc w:val="both"/>
        <w:ind w:right="20" w:firstLine="1305"/>
        <w:spacing w:after="0" w:line="264" w:lineRule="auto"/>
        <w:tabs>
          <w:tab w:leader="none" w:pos="17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list setting forth all (i) foreclosure or receivership proceedings currently pending or in process (ii) bankruptcy proceedings and other litigation of which Seller has been served with notice thereof, with respect to any of the Assets and the contact information for Seller’s counsel with respect to each such proceeding;</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172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 respect to any Loan that is cross-collateralized with or shares a common Obligor with a Retained Loan, an executed Subordination Agreement with respect to such Retained Loan; provided that, in the event any such Subordination Agreements are not executed and delivered at Closing, Seller will comply with the terms thereof as if such Subordination Agreements had been executed at Closing.</w:t>
      </w:r>
    </w:p>
    <w:p>
      <w:pPr>
        <w:spacing w:after="0" w:line="235" w:lineRule="exact"/>
        <w:rPr>
          <w:rFonts w:ascii="Arial" w:cs="Arial" w:eastAsia="Arial" w:hAnsi="Arial"/>
          <w:sz w:val="18"/>
          <w:szCs w:val="18"/>
          <w:color w:val="auto"/>
        </w:rPr>
      </w:pPr>
    </w:p>
    <w:p>
      <w:pPr>
        <w:ind w:left="1700" w:hanging="395"/>
        <w:spacing w:after="0"/>
        <w:tabs>
          <w:tab w:leader="none" w:pos="17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 affidavit or other recordable document evidencing the merger of any prior holder of any Note or Loan with and into Seller; and</w:t>
      </w:r>
    </w:p>
    <w:p>
      <w:pPr>
        <w:spacing w:after="0" w:line="290" w:lineRule="exact"/>
        <w:rPr>
          <w:rFonts w:ascii="Arial" w:cs="Arial" w:eastAsia="Arial" w:hAnsi="Arial"/>
          <w:sz w:val="17"/>
          <w:szCs w:val="17"/>
          <w:color w:val="auto"/>
        </w:rPr>
      </w:pPr>
    </w:p>
    <w:p>
      <w:pPr>
        <w:ind w:left="1740" w:hanging="435"/>
        <w:spacing w:after="0"/>
        <w:tabs>
          <w:tab w:leader="none" w:pos="1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other certificates and documents as the Purchaser may reasonably request.</w:t>
      </w:r>
    </w:p>
    <w:p>
      <w:pPr>
        <w:spacing w:after="0" w:line="279"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Post Closing</w:t>
      </w:r>
      <w:r>
        <w:rPr>
          <w:rFonts w:ascii="Arial" w:cs="Arial" w:eastAsia="Arial" w:hAnsi="Arial"/>
          <w:sz w:val="16"/>
          <w:szCs w:val="16"/>
          <w:color w:val="auto"/>
        </w:rPr>
        <w:t>.</w:t>
      </w:r>
    </w:p>
    <w:p>
      <w:pPr>
        <w:spacing w:after="0" w:line="279" w:lineRule="exact"/>
        <w:rPr>
          <w:sz w:val="20"/>
          <w:szCs w:val="20"/>
          <w:color w:val="auto"/>
        </w:rPr>
      </w:pPr>
    </w:p>
    <w:p>
      <w:pPr>
        <w:ind w:left="1720" w:hanging="415"/>
        <w:spacing w:after="0"/>
        <w:tabs>
          <w:tab w:leader="none" w:pos="1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soon as reasonably practicable after the Closing Date:</w:t>
      </w:r>
    </w:p>
    <w:p>
      <w:pPr>
        <w:spacing w:after="0" w:line="279" w:lineRule="exact"/>
        <w:rPr>
          <w:rFonts w:ascii="Arial" w:cs="Arial" w:eastAsia="Arial" w:hAnsi="Arial"/>
          <w:sz w:val="18"/>
          <w:szCs w:val="18"/>
          <w:color w:val="auto"/>
        </w:rPr>
      </w:pPr>
    </w:p>
    <w:p>
      <w:pPr>
        <w:jc w:val="both"/>
        <w:ind w:left="660" w:firstLine="1941"/>
        <w:spacing w:after="0" w:line="297" w:lineRule="auto"/>
        <w:tabs>
          <w:tab w:leader="none" w:pos="2991"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Purchaser and the Seller shall (A) with respect to Assets in litigation (including foreclosure), to the extent necessary or advisable, file appropriate pleadings with the court that will substitute Purchaser’s attorney for Seller’s attorney, and remove Seller as a party to the litigation and substitute Purchaser as the real party in interest, and (B) with respect to Loans with respect to which the related Obligor is in bankruptcy, mail to each of the Seller’s bankruptcy attorney, the Seller’s foreclosure attorney, the Obligor’s attorney and the bankruptcy trustee a letter advising such attorneys and the bankruptcy trustee that the Seller has sold the Loan on the Closing Date to the Purchaser.</w:t>
      </w:r>
    </w:p>
    <w:p>
      <w:pPr>
        <w:spacing w:after="0" w:line="212" w:lineRule="exact"/>
        <w:rPr>
          <w:rFonts w:ascii="Arial" w:cs="Arial" w:eastAsia="Arial" w:hAnsi="Arial"/>
          <w:sz w:val="16"/>
          <w:szCs w:val="16"/>
          <w:color w:val="auto"/>
        </w:rPr>
      </w:pPr>
    </w:p>
    <w:p>
      <w:pPr>
        <w:ind w:left="660" w:right="20" w:firstLine="1941"/>
        <w:spacing w:after="0" w:line="308" w:lineRule="auto"/>
        <w:tabs>
          <w:tab w:leader="none" w:pos="3054" w:val="left"/>
        </w:tabs>
        <w:numPr>
          <w:ilvl w:val="1"/>
          <w:numId w:val="217"/>
        </w:numPr>
        <w:rPr>
          <w:rFonts w:ascii="Arial" w:cs="Arial" w:eastAsia="Arial" w:hAnsi="Arial"/>
          <w:sz w:val="17"/>
          <w:szCs w:val="17"/>
          <w:color w:val="auto"/>
        </w:rPr>
      </w:pPr>
      <w:r>
        <w:rPr>
          <w:rFonts w:ascii="Arial" w:cs="Arial" w:eastAsia="Arial" w:hAnsi="Arial"/>
          <w:sz w:val="17"/>
          <w:szCs w:val="17"/>
          <w:color w:val="auto"/>
        </w:rPr>
        <w:t>Each Purchaser and the Seller shall file or cause to be filed, as and when required by law, all IRS forms 1099, 1099A, 1098 or 1041 and K-1 in relation to the ownership of the Loans for the portion of such year the Loans were owned by the Seller.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7" w:name="page198"/>
    <w:bookmarkEnd w:id="197"/>
    <w:p>
      <w:pPr>
        <w:jc w:val="both"/>
        <w:ind w:firstLine="1305"/>
        <w:spacing w:after="0" w:line="268" w:lineRule="auto"/>
        <w:tabs>
          <w:tab w:leader="none" w:pos="172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Not later than one hundred eighty (180) days after the Closing Date, the Purchaser shall deliver to the Seller a statement setting forth any corrections to the amount of the Purchase Price (as compared to the Estimated Purchaser Price), together with the documentation relating to such corrections (the “</w:t>
      </w:r>
      <w:r>
        <w:rPr>
          <w:rFonts w:ascii="Arial" w:cs="Arial" w:eastAsia="Arial" w:hAnsi="Arial"/>
          <w:sz w:val="17"/>
          <w:szCs w:val="17"/>
          <w:u w:val="single" w:color="auto"/>
          <w:color w:val="auto"/>
        </w:rPr>
        <w:t>Proposed Correction Statement</w:t>
      </w:r>
      <w:r>
        <w:rPr>
          <w:rFonts w:ascii="Arial" w:cs="Arial" w:eastAsia="Arial" w:hAnsi="Arial"/>
          <w:sz w:val="17"/>
          <w:szCs w:val="17"/>
          <w:color w:val="auto"/>
        </w:rPr>
        <w:t>”). If Purchaser does not receive a written objection from Seller to the Proposed Correction Statement within thirty (30) days after Seller’s receipt of the Proposed Correction Statement, the Proposed Correction Statement shall become the Correction Statement for all purposes under this Purchase Agreement. If the Seller objects to the Proposed Correction Statement within such thirty (30) day period, then Seller and Purchaser shall use their reasonable, diligent and good faith efforts to attempt to resolve Seller’s objections to the Proposed Correction Statement during the thirty (30) day period following the receipt by Purchaser of Seller’s objection (the “</w:t>
      </w:r>
      <w:r>
        <w:rPr>
          <w:rFonts w:ascii="Arial" w:cs="Arial" w:eastAsia="Arial" w:hAnsi="Arial"/>
          <w:sz w:val="17"/>
          <w:szCs w:val="17"/>
          <w:u w:val="single" w:color="auto"/>
          <w:color w:val="auto"/>
        </w:rPr>
        <w:t>Mediation Period</w:t>
      </w:r>
      <w:r>
        <w:rPr>
          <w:rFonts w:ascii="Arial" w:cs="Arial" w:eastAsia="Arial" w:hAnsi="Arial"/>
          <w:sz w:val="17"/>
          <w:szCs w:val="17"/>
          <w:color w:val="auto"/>
        </w:rPr>
        <w:t>”). If the parties are unable to agree on a Correction Statement during the Mediation Period, then as soon as practicable after the expiration of the Mediation Period, but in any event within ten (10) Business Days thereof, the determination of the Correction Statement shall be submitted for determination by a firm of independent certified public accountants of nationally recognized standing and acceptable to Seller and Purchaser. Not later than the tenth Business Day following the determination of the Correction Statement, Purchaser shall pay to Seller, in cash, the amount by which the Purchase Price as set forth in the Correction Statement exceeds the Estimated Purchase Price paid at Closing, or, in the alternative, Seller shall pay to Purchaser, in cash, the amount by which the Estimated Purchase Price paid at Closing exceeds the Purchase Price as set forth in the Correction Statement.</w:t>
      </w:r>
    </w:p>
    <w:p>
      <w:pPr>
        <w:spacing w:after="0" w:line="241" w:lineRule="exact"/>
        <w:rPr>
          <w:rFonts w:ascii="Arial" w:cs="Arial" w:eastAsia="Arial" w:hAnsi="Arial"/>
          <w:sz w:val="17"/>
          <w:szCs w:val="17"/>
          <w:color w:val="auto"/>
        </w:rPr>
      </w:pPr>
    </w:p>
    <w:p>
      <w:pPr>
        <w:jc w:val="both"/>
        <w:ind w:firstLine="1305"/>
        <w:spacing w:after="0" w:line="293" w:lineRule="auto"/>
        <w:tabs>
          <w:tab w:leader="none" w:pos="171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At any time, and from time to time after the Closing Date, upon the reasonable request of a party hereto, and at the expense of such party, the other party shall do, execute, acknowledge and deliver, and shall cause to be done, executed, acknowledged and delivered, all such further acts, deeds, assignments, transfers, conveyances, powers of attorney and assurances as may be reasonably required in order to (i) better assign, transfer, grant, convey, assure and confirm to Purchaser, and to collect any or all of the Loans or to effectuate the purpose and carry out the terms of this Purchase Agreement; and (ii) allow Purchaser to defend against Obligor allegations or factual statements that (A) relate to the period before the Closing Date and (B) materially and adversely impede, delay or otherwise affect Purchaser’s ability to pursue its remedies under the Loan Documents.</w:t>
      </w:r>
    </w:p>
    <w:p>
      <w:pPr>
        <w:spacing w:after="0" w:line="218" w:lineRule="exact"/>
        <w:rPr>
          <w:rFonts w:ascii="Arial" w:cs="Arial" w:eastAsia="Arial" w:hAnsi="Arial"/>
          <w:sz w:val="16"/>
          <w:szCs w:val="16"/>
          <w:color w:val="auto"/>
        </w:rPr>
      </w:pPr>
    </w:p>
    <w:p>
      <w:pPr>
        <w:jc w:val="both"/>
        <w:ind w:firstLine="1305"/>
        <w:spacing w:after="0" w:line="259" w:lineRule="auto"/>
        <w:tabs>
          <w:tab w:leader="none" w:pos="172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 any time and from time to time, the Seller, at the request of the Purchaser, shall provide to the Purchaser, upon reasonable prior notice from the Purchaser, the information reasonably necessary to verify the legal balances of the Loans evidenced by the Notes and, at the Purchaser’s expense, provide to the Purchaser copies of the books, records and other information relating to the determination of such legal balances of the Loans evidenced by the Notes.</w:t>
      </w:r>
    </w:p>
    <w:p>
      <w:pPr>
        <w:spacing w:after="0" w:line="240" w:lineRule="exact"/>
        <w:rPr>
          <w:rFonts w:ascii="Arial" w:cs="Arial" w:eastAsia="Arial" w:hAnsi="Arial"/>
          <w:sz w:val="18"/>
          <w:szCs w:val="18"/>
          <w:color w:val="auto"/>
        </w:rPr>
      </w:pPr>
    </w:p>
    <w:p>
      <w:pPr>
        <w:jc w:val="both"/>
        <w:ind w:firstLine="1305"/>
        <w:spacing w:after="0" w:line="268" w:lineRule="auto"/>
        <w:tabs>
          <w:tab w:leader="none" w:pos="1712"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The Seller agrees that all cash collateral accounts, deposit accounts, securities accounts, investment property, certificates of deposit or other instruments which are maintained by any Obligor and pledged as Collateral Security with respect to any Loan will continue to be maintained by the Seller and promptly after Closing, but in any event within 10 days after the Closing Date, (i) the Seller will execute, and use commercially reasonable efforts to cause the owner and holder of each such deposit account, security account, investment property, certificate of deposit and instrument to execute, such documents as are necessary to perfect, or continue the perfection of, the security interest of the Purchaser in such deposit accounts, certificates of deposit or instruments, including, without limitation, a deposit account control agreement or other agreement in form acceptable to the Seller and the Purchaser; provided that Seller shall not be required to cause any Obligor to re-execute any agreements relating to deposit accounts, securities accounts, investment property or certificates of deposit which are already subject to an existing assignment agreement or other agreement, executed by the applicable owner or holder thereof and the Seller as depository bank, securities intermediary or secured party to the extent Purchaser, in its reasonable discretion, determines such existing agreement constitutes a “control agreement” for purposes of perfection of Seller’s lien in such Collateral Security which has been assigned pursuant to the omnibus assignment referenced in </w:t>
      </w:r>
      <w:r>
        <w:rPr>
          <w:rFonts w:ascii="Arial" w:cs="Arial" w:eastAsia="Arial" w:hAnsi="Arial"/>
          <w:sz w:val="17"/>
          <w:szCs w:val="17"/>
          <w:u w:val="single" w:color="auto"/>
          <w:color w:val="auto"/>
        </w:rPr>
        <w:t>Section 9(d)(iv)</w:t>
      </w:r>
      <w:r>
        <w:rPr>
          <w:rFonts w:ascii="Arial" w:cs="Arial" w:eastAsia="Arial" w:hAnsi="Arial"/>
          <w:sz w:val="17"/>
          <w:szCs w:val="17"/>
          <w:color w:val="auto"/>
        </w:rPr>
        <w:t>, and (ii) the Seller will take all actions reasonably necessary to maintain and continue the perfection of such security interest or lien in any such Collateral Security that may be perfected by notation on a certificate of title or other document for the benefit of Purchaser.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8" w:name="page199"/>
    <w:bookmarkEnd w:id="198"/>
    <w:p>
      <w:pPr>
        <w:jc w:val="both"/>
        <w:ind w:firstLine="1305"/>
        <w:spacing w:after="0" w:line="286" w:lineRule="auto"/>
        <w:tabs>
          <w:tab w:leader="none" w:pos="170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Promptly upon the receipt thereof and in any event not later than three (3) Business Days after the receipt thereof, the Seller, at its expense, shall pay to the Purchaser any Collection received by the Seller after the Cut-Off Date (and including after the Closing Date) by deposit of such payments to the Collections Account or deliver such Collection to the Purchaser in the form received together with any necessary endorsement.</w:t>
      </w:r>
    </w:p>
    <w:p>
      <w:pPr>
        <w:spacing w:after="0" w:line="219" w:lineRule="exact"/>
        <w:rPr>
          <w:rFonts w:ascii="Arial" w:cs="Arial" w:eastAsia="Arial" w:hAnsi="Arial"/>
          <w:sz w:val="17"/>
          <w:szCs w:val="17"/>
          <w:color w:val="auto"/>
        </w:rPr>
      </w:pPr>
    </w:p>
    <w:p>
      <w:pPr>
        <w:jc w:val="both"/>
        <w:ind w:firstLine="1305"/>
        <w:spacing w:after="0" w:line="259" w:lineRule="auto"/>
        <w:tabs>
          <w:tab w:leader="none" w:pos="17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connection with the transfer of the servicing of the Assets, Seller and Purchaser each agree to cooperate in good faith with respect to such transfer and Seller agrees to promptly upon the receipt thereof, and in any event not later than five (5) days after the receipt thereof, at Seller’s expense, shall deliver to Purchaser, in the form received, any notices or other information concerning the Assets received or discovered by Seller on or after the Closing Date with respect to any Assets.</w:t>
      </w:r>
    </w:p>
    <w:p>
      <w:pPr>
        <w:spacing w:after="0" w:line="240" w:lineRule="exact"/>
        <w:rPr>
          <w:rFonts w:ascii="Arial" w:cs="Arial" w:eastAsia="Arial" w:hAnsi="Arial"/>
          <w:sz w:val="18"/>
          <w:szCs w:val="18"/>
          <w:color w:val="auto"/>
        </w:rPr>
      </w:pPr>
    </w:p>
    <w:p>
      <w:pPr>
        <w:jc w:val="both"/>
        <w:ind w:firstLine="1305"/>
        <w:spacing w:after="0" w:line="302" w:lineRule="auto"/>
        <w:tabs>
          <w:tab w:leader="none" w:pos="173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Seller shall use its commercially reasonable efforts to cooperate with the Purchaser and its servicer in effecting the termination of Seller’s responsibilities and rights with respect to the Loans and to ensure a smooth transition of the Loans and the servicing responsibilities with respect to the Loans, including, without limitation, providing the Purchaser and its servicer all documents and records in its possession in electronic or other form requested by the Purchaser or such servicer to enable the Purchaser or such servicer to assume the Seller’s functions with respect to the Loans.</w:t>
      </w:r>
    </w:p>
    <w:p>
      <w:pPr>
        <w:spacing w:after="0" w:line="208" w:lineRule="exact"/>
        <w:rPr>
          <w:rFonts w:ascii="Arial" w:cs="Arial" w:eastAsia="Arial" w:hAnsi="Arial"/>
          <w:sz w:val="16"/>
          <w:szCs w:val="16"/>
          <w:color w:val="auto"/>
        </w:rPr>
      </w:pPr>
    </w:p>
    <w:p>
      <w:pPr>
        <w:jc w:val="both"/>
        <w:ind w:firstLine="1305"/>
        <w:spacing w:after="0" w:line="264" w:lineRule="auto"/>
        <w:tabs>
          <w:tab w:leader="none" w:pos="168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Within ten (10) days after the Closing Date, Seller shall instruct each attorney engaged by Seller in connection with the Assets, to send all invoices to Seller, for fees, expenses and disbursements incurred through the Closing Date and payment of such invoices shall be the sole and exclusive obligation of Seller and Purchaser shall have no obligation for payment of such invoices.</w:t>
      </w:r>
    </w:p>
    <w:p>
      <w:pPr>
        <w:spacing w:after="0" w:line="208" w:lineRule="exact"/>
        <w:rPr>
          <w:rFonts w:ascii="Arial" w:cs="Arial" w:eastAsia="Arial" w:hAnsi="Arial"/>
          <w:sz w:val="18"/>
          <w:szCs w:val="18"/>
          <w:color w:val="auto"/>
        </w:rPr>
      </w:pPr>
    </w:p>
    <w:p>
      <w:pPr>
        <w:jc w:val="both"/>
        <w:ind w:firstLine="1305"/>
        <w:spacing w:after="0" w:line="259" w:lineRule="auto"/>
        <w:tabs>
          <w:tab w:leader="none" w:pos="229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event any Loan is cross-collateralized with or shares a common Obligor with a commercial loan, consumer loan, commercial mortgage loan or residential mortgage loan held by Seller or any of its Affiliates that is not included in the Assets, upon request from Purchaser, and in any event within ten (10) days of such request, Seller shall or shall cause its Affiliate, as applicable to execute and deliver a Subordination Agreement with respect to such loan held by Seller or such Affiliate, as the case may be.</w:t>
      </w:r>
    </w:p>
    <w:p>
      <w:pPr>
        <w:spacing w:after="0" w:line="24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Other Expenses</w:t>
      </w:r>
      <w:r>
        <w:rPr>
          <w:rFonts w:ascii="Arial" w:cs="Arial" w:eastAsia="Arial" w:hAnsi="Arial"/>
          <w:sz w:val="18"/>
          <w:szCs w:val="18"/>
          <w:color w:val="auto"/>
        </w:rPr>
        <w:t>. Each party will pay its own expenses (including the fees and expenses of its attorneys) in connection with the negotiations for, documenting of and closing of the transactions contemplated by this Purchase Agreement.</w:t>
      </w:r>
    </w:p>
    <w:p>
      <w:pPr>
        <w:spacing w:after="0" w:line="22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64" w:lineRule="auto"/>
        <w:tabs>
          <w:tab w:leader="none" w:pos="172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Seller shall indemnify and hold harmless Purchaser, its Affiliates and their respective successors and assigns and each of their respective directors, officers, partners, employees, agents and representatives (collectively, the “</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from and against any and all Damages to the extent relating to, resulting from or arising out of:</w:t>
      </w:r>
    </w:p>
    <w:p>
      <w:pPr>
        <w:spacing w:after="0" w:line="235" w:lineRule="exact"/>
        <w:rPr>
          <w:rFonts w:ascii="Arial" w:cs="Arial" w:eastAsia="Arial" w:hAnsi="Arial"/>
          <w:sz w:val="18"/>
          <w:szCs w:val="18"/>
          <w:color w:val="auto"/>
        </w:rPr>
      </w:pPr>
    </w:p>
    <w:p>
      <w:pPr>
        <w:ind w:left="660" w:firstLine="1941"/>
        <w:spacing w:after="0" w:line="277" w:lineRule="auto"/>
        <w:tabs>
          <w:tab w:leader="none" w:pos="299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acts or omissions of the Seller or any of its predecessors or any assignors of any Note or Loan during Seller’s or such predecessors’ or assignors’ ownership, management or servicing of any of the Loans on or prior to the Closing Date;</w:t>
      </w:r>
    </w:p>
    <w:p>
      <w:pPr>
        <w:spacing w:after="0" w:line="224" w:lineRule="exact"/>
        <w:rPr>
          <w:rFonts w:ascii="Arial" w:cs="Arial" w:eastAsia="Arial" w:hAnsi="Arial"/>
          <w:sz w:val="18"/>
          <w:szCs w:val="18"/>
          <w:color w:val="auto"/>
        </w:rPr>
      </w:pPr>
    </w:p>
    <w:p>
      <w:pPr>
        <w:ind w:left="3040" w:hanging="439"/>
        <w:spacing w:after="0"/>
        <w:tabs>
          <w:tab w:leader="none" w:pos="304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any breach of or failure by the Seller to perform any covenant or obligation set forth in this Purchase Agreement;</w:t>
      </w:r>
    </w:p>
    <w:p>
      <w:pPr>
        <w:spacing w:after="0" w:line="302" w:lineRule="exact"/>
        <w:rPr>
          <w:rFonts w:ascii="Arial" w:cs="Arial" w:eastAsia="Arial" w:hAnsi="Arial"/>
          <w:sz w:val="16"/>
          <w:szCs w:val="16"/>
          <w:color w:val="auto"/>
        </w:rPr>
      </w:pPr>
    </w:p>
    <w:p>
      <w:pPr>
        <w:ind w:left="3080" w:hanging="479"/>
        <w:spacing w:after="0"/>
        <w:tabs>
          <w:tab w:leader="none" w:pos="30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breach of any warranty or representation made by the Seller in this Purchase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9" w:name="page200"/>
    <w:bookmarkEnd w:id="199"/>
    <w:p>
      <w:pPr>
        <w:ind w:left="3080" w:hanging="479"/>
        <w:spacing w:after="0"/>
        <w:tabs>
          <w:tab w:leader="none" w:pos="3080" w:val="left"/>
        </w:tabs>
        <w:numPr>
          <w:ilvl w:val="2"/>
          <w:numId w:val="221"/>
        </w:numPr>
        <w:rPr>
          <w:rFonts w:ascii="Arial" w:cs="Arial" w:eastAsia="Arial" w:hAnsi="Arial"/>
          <w:sz w:val="18"/>
          <w:szCs w:val="18"/>
          <w:color w:val="auto"/>
        </w:rPr>
      </w:pPr>
      <w:r>
        <w:rPr>
          <w:rFonts w:ascii="Arial" w:cs="Arial" w:eastAsia="Arial" w:hAnsi="Arial"/>
          <w:sz w:val="18"/>
          <w:szCs w:val="18"/>
          <w:color w:val="auto"/>
        </w:rPr>
        <w:t>the Letter of Credit Obligations; and</w:t>
      </w:r>
    </w:p>
    <w:p>
      <w:pPr>
        <w:spacing w:after="0" w:line="279" w:lineRule="exact"/>
        <w:rPr>
          <w:rFonts w:ascii="Arial" w:cs="Arial" w:eastAsia="Arial" w:hAnsi="Arial"/>
          <w:sz w:val="18"/>
          <w:szCs w:val="18"/>
          <w:color w:val="auto"/>
        </w:rPr>
      </w:pPr>
    </w:p>
    <w:p>
      <w:pPr>
        <w:ind w:left="660" w:firstLine="1941"/>
        <w:spacing w:after="0" w:line="277" w:lineRule="auto"/>
        <w:tabs>
          <w:tab w:leader="none" w:pos="3031" w:val="left"/>
        </w:tabs>
        <w:numPr>
          <w:ilvl w:val="2"/>
          <w:numId w:val="221"/>
        </w:numPr>
        <w:rPr>
          <w:rFonts w:ascii="Arial" w:cs="Arial" w:eastAsia="Arial" w:hAnsi="Arial"/>
          <w:sz w:val="18"/>
          <w:szCs w:val="18"/>
          <w:color w:val="auto"/>
        </w:rPr>
      </w:pPr>
      <w:r>
        <w:rPr>
          <w:rFonts w:ascii="Arial" w:cs="Arial" w:eastAsia="Arial" w:hAnsi="Arial"/>
          <w:sz w:val="18"/>
          <w:szCs w:val="18"/>
          <w:color w:val="auto"/>
        </w:rPr>
        <w:t>the Purchaser’s first priority security interest in any certificate of deposit and other deposits or deposit accounts that are Collateral Security not being perfected for any reason.</w:t>
      </w:r>
    </w:p>
    <w:p>
      <w:pPr>
        <w:spacing w:after="0" w:line="224" w:lineRule="exact"/>
        <w:rPr>
          <w:rFonts w:ascii="Arial" w:cs="Arial" w:eastAsia="Arial" w:hAnsi="Arial"/>
          <w:sz w:val="18"/>
          <w:szCs w:val="18"/>
          <w:color w:val="auto"/>
        </w:rPr>
      </w:pPr>
    </w:p>
    <w:p>
      <w:pPr>
        <w:jc w:val="both"/>
        <w:ind w:firstLine="1305"/>
        <w:spacing w:after="0" w:line="288" w:lineRule="auto"/>
        <w:tabs>
          <w:tab w:leader="none" w:pos="172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The Seller shall not have any indemnification obligation under </w:t>
      </w:r>
      <w:r>
        <w:rPr>
          <w:rFonts w:ascii="Arial" w:cs="Arial" w:eastAsia="Arial" w:hAnsi="Arial"/>
          <w:sz w:val="16"/>
          <w:szCs w:val="16"/>
          <w:u w:val="single" w:color="auto"/>
          <w:color w:val="auto"/>
        </w:rPr>
        <w:t>Section 12(a)(iii)</w:t>
      </w:r>
      <w:r>
        <w:rPr>
          <w:rFonts w:ascii="Arial" w:cs="Arial" w:eastAsia="Arial" w:hAnsi="Arial"/>
          <w:sz w:val="16"/>
          <w:szCs w:val="16"/>
          <w:color w:val="auto"/>
        </w:rPr>
        <w:t xml:space="preserve">, unless and until the aggregate amount of Damages incurred by the Purchaser Indemnified Parties in respect of such matters exceeds $100,000, whereupon the Purchaser Indemnified Parties shall be entitled to recover all such Damages from the Seller from the first dollar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$100,000 threshold shall not apply to any breach by Seller of the Excluded Threshold Representations. Seller shall not be liable under </w:t>
      </w:r>
      <w:r>
        <w:rPr>
          <w:rFonts w:ascii="Arial" w:cs="Arial" w:eastAsia="Arial" w:hAnsi="Arial"/>
          <w:sz w:val="16"/>
          <w:szCs w:val="16"/>
          <w:u w:val="single" w:color="auto"/>
          <w:color w:val="auto"/>
        </w:rPr>
        <w:t>Section 12(a)(i)</w:t>
      </w:r>
      <w:r>
        <w:rPr>
          <w:rFonts w:ascii="Arial" w:cs="Arial" w:eastAsia="Arial" w:hAnsi="Arial"/>
          <w:sz w:val="16"/>
          <w:szCs w:val="16"/>
          <w:color w:val="auto"/>
        </w:rPr>
        <w:t xml:space="preserve"> for aggregate Damages in excess of $25,000,000. Seller shall not be liable for breaches of representations and warranties with respect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and any warranty and representation set forth in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(excluding breaches of Excluded Cap Representations) for aggregate Damages in excess of $10,000,000. With respect to any Asset, Seller shall not be liable for breaches of Excluded Cap Representations with respect to such Asset for aggregate Damages in excess of the Repurchase Price with respect to such Asset. For purposes of determining the aggregate amount of Damages suffered by a Purchaser Indemnified Party, each representation and warranty contained in this Purchase Agreement and the Exhibits to this Purchase Agreement for which indemnification can be or is sought hereunder shall be read without regard to materiality qualifications that may be contained herein and therein.</w:t>
      </w:r>
    </w:p>
    <w:p>
      <w:pPr>
        <w:spacing w:after="0" w:line="223" w:lineRule="exact"/>
        <w:rPr>
          <w:rFonts w:ascii="Arial" w:cs="Arial" w:eastAsia="Arial" w:hAnsi="Arial"/>
          <w:sz w:val="16"/>
          <w:szCs w:val="16"/>
          <w:color w:val="auto"/>
        </w:rPr>
      </w:pPr>
    </w:p>
    <w:p>
      <w:pPr>
        <w:jc w:val="both"/>
        <w:ind w:firstLine="1305"/>
        <w:spacing w:after="0" w:line="255" w:lineRule="auto"/>
        <w:tabs>
          <w:tab w:leader="none" w:pos="1712"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With respect to any breach of any representations or warranties in paragraph 11 of </w:t>
      </w:r>
      <w:r>
        <w:rPr>
          <w:rFonts w:ascii="Arial" w:cs="Arial" w:eastAsia="Arial" w:hAnsi="Arial"/>
          <w:sz w:val="18"/>
          <w:szCs w:val="18"/>
          <w:u w:val="single" w:color="auto"/>
          <w:color w:val="auto"/>
        </w:rPr>
        <w:t>Exhibits C-1</w:t>
      </w:r>
      <w:r>
        <w:rPr>
          <w:rFonts w:ascii="Arial" w:cs="Arial" w:eastAsia="Arial" w:hAnsi="Arial"/>
          <w:sz w:val="18"/>
          <w:szCs w:val="18"/>
          <w:color w:val="auto"/>
        </w:rPr>
        <w:t xml:space="preserve"> and C-2 of this Purchase Agreement with respect to any Asset(s), the Purchaser may give written notice to the Seller of such breach, and the Seller shall have the right to cure such breach to the reasonable satisfaction of Purchaser during a period of sixty (60) days after receipt of such notice, and in the event the Seller fails to cure such breach to the reasonable satisfaction of Purchaser within such sixty (60) day period, the Seller shall repurchase such Asset(s) at the Repurchase Price (such repurchase to be as-is and without any recourse or representation of any kind by Purchaser, and Seller shall be responsible for and pay when due and payable, all transfer, filing and recording fees and taxes, costs and expenses and any state or county documentary taxes, if any, arising out of or in connection with each such repurchase).</w:t>
      </w:r>
    </w:p>
    <w:p>
      <w:pPr>
        <w:spacing w:after="0" w:line="243" w:lineRule="exact"/>
        <w:rPr>
          <w:rFonts w:ascii="Arial" w:cs="Arial" w:eastAsia="Arial" w:hAnsi="Arial"/>
          <w:sz w:val="18"/>
          <w:szCs w:val="18"/>
          <w:color w:val="auto"/>
        </w:rPr>
      </w:pPr>
    </w:p>
    <w:p>
      <w:pPr>
        <w:jc w:val="both"/>
        <w:ind w:firstLine="1305"/>
        <w:spacing w:after="0" w:line="283" w:lineRule="auto"/>
        <w:tabs>
          <w:tab w:leader="none" w:pos="172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 xml:space="preserve">With respect to any breach of any representations or warranties in paragraph 31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with respect to any Subject Residential Mortgage Loans, the Purchaser shall give written notice to the Seller of such breach within fifteen (15) days after the Closing Date or, if applicable, within fifteen (15) days of the determination after the Closing Date that any other Loan is a Subject Residential Mortgage Loan and the Seller shall have the right to cure such breach to the reasonable satisfaction of Purchaser during a period of twenty (20) days after receipt of such notice, and in the event the Seller fails to cure such breach to the reasonable satisfaction of Purchaser within such twenty (20) day period, the Seller shall repurchase such Asset(s) at the Repurchase Price (such repurchase to be as-is and without any recourse or representation of any kind by Purchaser, and Seller shall be responsible for and pay when due and payable, all transfer, filing and recording fees and taxes, costs and expenses and any state or county documentary taxes, if any, arising out of or in connection with each such repurchase). For the avoidance of doubt, the representation and warranty set forth in paragraph 31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shall survive for only fifteen (15) days after the Closing Date with respect to the Subject Residential Mortgage Loans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on the Closing Date and for fifteen</w:t>
      </w:r>
    </w:p>
    <w:p>
      <w:pPr>
        <w:spacing w:after="0" w:line="6" w:lineRule="exact"/>
        <w:rPr>
          <w:rFonts w:ascii="Arial" w:cs="Arial" w:eastAsia="Arial" w:hAnsi="Arial"/>
          <w:sz w:val="16"/>
          <w:szCs w:val="16"/>
          <w:color w:val="auto"/>
        </w:rPr>
      </w:pPr>
    </w:p>
    <w:p>
      <w:pPr>
        <w:jc w:val="both"/>
        <w:ind w:firstLine="8"/>
        <w:spacing w:after="0" w:line="255" w:lineRule="auto"/>
        <w:tabs>
          <w:tab w:leader="none" w:pos="35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days after the determination after the Closing Date that any other Loan is a Subject Residential Mortgage Loan and Seller shall have no obligation or liability with respect to any breach of paragraph 31 of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unless notice of such breach is delivered to Seller by Purchaser within the fifteen (15) day period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-2673985</wp:posOffset>
            </wp:positionV>
            <wp:extent cx="2000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00" w:name="page201"/>
    <w:bookmarkEnd w:id="200"/>
    <w:p>
      <w:pPr>
        <w:jc w:val="both"/>
        <w:ind w:firstLine="1305"/>
        <w:spacing w:after="0" w:line="257" w:lineRule="auto"/>
        <w:tabs>
          <w:tab w:leader="none" w:pos="171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With respect to any breach of any representations or warranties in paragraph 14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or paragraph 16 of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of this Purchase Agreement with respect to any Asset(s), upon becoming aware of such breach, the Purchaser shall give written notice to the Seller of such breach together with reasonably satisfactory evidence of such Delinquent Property Taxes, and the Seller shall, within ten (10) Business Days of delivery of such notice, pay such Delinquent Property Taxes to the appropriate taxing authority and provide reasonably satisfactory evidence of such payment or, at Purchaser’s election pay to Purchaser an amount equal to such Delinquent Property Taxes.</w:t>
      </w:r>
    </w:p>
    <w:p>
      <w:pPr>
        <w:spacing w:after="0" w:line="242" w:lineRule="exact"/>
        <w:rPr>
          <w:rFonts w:ascii="Arial" w:cs="Arial" w:eastAsia="Arial" w:hAnsi="Arial"/>
          <w:sz w:val="18"/>
          <w:szCs w:val="18"/>
          <w:color w:val="auto"/>
        </w:rPr>
      </w:pPr>
    </w:p>
    <w:p>
      <w:pPr>
        <w:jc w:val="both"/>
        <w:ind w:firstLine="1305"/>
        <w:spacing w:after="0" w:line="264" w:lineRule="auto"/>
        <w:tabs>
          <w:tab w:leader="none" w:pos="170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Purchaser shall indemnify and hold harmless Seller, its Affiliates and their respective successors and assigns and each of their respective directors, officers, partners, employees, agents and representatives (collectively, the “</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from and against any and all Damages to the extent relating to, resulting from or arising out of:</w:t>
      </w:r>
    </w:p>
    <w:p>
      <w:pPr>
        <w:spacing w:after="0" w:line="235" w:lineRule="exact"/>
        <w:rPr>
          <w:rFonts w:ascii="Arial" w:cs="Arial" w:eastAsia="Arial" w:hAnsi="Arial"/>
          <w:sz w:val="18"/>
          <w:szCs w:val="18"/>
          <w:color w:val="auto"/>
        </w:rPr>
      </w:pPr>
    </w:p>
    <w:p>
      <w:pPr>
        <w:ind w:left="660" w:firstLine="1941"/>
        <w:spacing w:after="0" w:line="277" w:lineRule="auto"/>
        <w:tabs>
          <w:tab w:leader="none" w:pos="300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acts or omissions of the Purchaser or any of its successors by merger or other operation of law (other than assignment) during its or its successors ownership, management or servicing of any of the Loans after the Closing Date;</w:t>
      </w:r>
    </w:p>
    <w:p>
      <w:pPr>
        <w:spacing w:after="0" w:line="224" w:lineRule="exact"/>
        <w:rPr>
          <w:rFonts w:ascii="Arial" w:cs="Arial" w:eastAsia="Arial" w:hAnsi="Arial"/>
          <w:sz w:val="18"/>
          <w:szCs w:val="18"/>
          <w:color w:val="auto"/>
        </w:rPr>
      </w:pPr>
    </w:p>
    <w:p>
      <w:pPr>
        <w:ind w:left="3080" w:hanging="479"/>
        <w:spacing w:after="0"/>
        <w:tabs>
          <w:tab w:leader="none" w:pos="30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breach of or failure by the Purchaser to perform any covenant or obligation set forth in this Purchase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Agreement; and</w:t>
      </w:r>
    </w:p>
    <w:p>
      <w:pPr>
        <w:spacing w:after="0" w:line="264" w:lineRule="exact"/>
        <w:rPr>
          <w:rFonts w:ascii="Arial" w:cs="Arial" w:eastAsia="Arial" w:hAnsi="Arial"/>
          <w:sz w:val="18"/>
          <w:szCs w:val="18"/>
          <w:color w:val="auto"/>
        </w:rPr>
      </w:pPr>
    </w:p>
    <w:p>
      <w:pPr>
        <w:ind w:left="660" w:right="20" w:firstLine="1941"/>
        <w:spacing w:after="0" w:line="277" w:lineRule="auto"/>
        <w:tabs>
          <w:tab w:leader="none" w:pos="310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any breach of any warranty or representation made by the Purchaser in this Purchase Agreement, including any representations and warranties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1305"/>
        <w:spacing w:after="0" w:line="273" w:lineRule="auto"/>
        <w:tabs>
          <w:tab w:leader="none" w:pos="174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The Purchaser shall not have any indemnification obligation under </w:t>
      </w:r>
      <w:r>
        <w:rPr>
          <w:rFonts w:ascii="Arial" w:cs="Arial" w:eastAsia="Arial" w:hAnsi="Arial"/>
          <w:sz w:val="17"/>
          <w:szCs w:val="17"/>
          <w:u w:val="single" w:color="auto"/>
          <w:color w:val="auto"/>
        </w:rPr>
        <w:t>Section 12(f)(iii)</w:t>
      </w:r>
      <w:r>
        <w:rPr>
          <w:rFonts w:ascii="Arial" w:cs="Arial" w:eastAsia="Arial" w:hAnsi="Arial"/>
          <w:sz w:val="17"/>
          <w:szCs w:val="17"/>
          <w:color w:val="auto"/>
        </w:rPr>
        <w:t xml:space="preserve">, unless and until the aggregate amount of Damages incurred by the Seller Indemnified Parties in respect of such matters exceeds $100,000, whereupon the Seller Indemnified Parties shall be entitled to recover all such Damages from the Purchaser from the first dollar thereof. Seller shall not be liable under </w:t>
      </w:r>
      <w:r>
        <w:rPr>
          <w:rFonts w:ascii="Arial" w:cs="Arial" w:eastAsia="Arial" w:hAnsi="Arial"/>
          <w:sz w:val="17"/>
          <w:szCs w:val="17"/>
          <w:u w:val="single" w:color="auto"/>
          <w:color w:val="auto"/>
        </w:rPr>
        <w:t>Section 12(f)(i)</w:t>
      </w:r>
      <w:r>
        <w:rPr>
          <w:rFonts w:ascii="Arial" w:cs="Arial" w:eastAsia="Arial" w:hAnsi="Arial"/>
          <w:sz w:val="17"/>
          <w:szCs w:val="17"/>
          <w:color w:val="auto"/>
        </w:rPr>
        <w:t xml:space="preserve"> for aggregate Damages in excess of $25,000,000. For purposes of determining the aggregate amount of Damages suffered by a Seller Indemnified Party, each representation and warranty contained in this Purchase Agreement and the Exhibits to this Purchase Agreement for which indemnification can be or is sought hereunder shall be read without regard to materiality qualifications that may be contained herein and therein.</w:t>
      </w:r>
    </w:p>
    <w:p>
      <w:pPr>
        <w:spacing w:after="0" w:line="232" w:lineRule="exact"/>
        <w:rPr>
          <w:rFonts w:ascii="Arial" w:cs="Arial" w:eastAsia="Arial" w:hAnsi="Arial"/>
          <w:sz w:val="17"/>
          <w:szCs w:val="17"/>
          <w:color w:val="auto"/>
        </w:rPr>
      </w:pPr>
    </w:p>
    <w:p>
      <w:pPr>
        <w:ind w:left="1740" w:hanging="435"/>
        <w:spacing w:after="0"/>
        <w:tabs>
          <w:tab w:leader="none" w:pos="17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Conduct of Third Party Claims.</w:t>
      </w:r>
    </w:p>
    <w:p>
      <w:pPr>
        <w:spacing w:after="0" w:line="279" w:lineRule="exact"/>
        <w:rPr>
          <w:rFonts w:ascii="Arial" w:cs="Arial" w:eastAsia="Arial" w:hAnsi="Arial"/>
          <w:sz w:val="18"/>
          <w:szCs w:val="18"/>
          <w:color w:val="auto"/>
        </w:rPr>
      </w:pPr>
    </w:p>
    <w:p>
      <w:pPr>
        <w:jc w:val="both"/>
        <w:ind w:left="660" w:firstLine="1941"/>
        <w:spacing w:after="0" w:line="271" w:lineRule="auto"/>
        <w:tabs>
          <w:tab w:leader="none" w:pos="3004" w:val="left"/>
        </w:tabs>
        <w:numPr>
          <w:ilvl w:val="1"/>
          <w:numId w:val="224"/>
        </w:numPr>
        <w:rPr>
          <w:rFonts w:ascii="Arial" w:cs="Arial" w:eastAsia="Arial" w:hAnsi="Arial"/>
          <w:sz w:val="17"/>
          <w:szCs w:val="17"/>
          <w:color w:val="auto"/>
        </w:rPr>
      </w:pPr>
      <w:r>
        <w:rPr>
          <w:rFonts w:ascii="Arial" w:cs="Arial" w:eastAsia="Arial" w:hAnsi="Arial"/>
          <w:sz w:val="17"/>
          <w:szCs w:val="17"/>
          <w:color w:val="auto"/>
        </w:rPr>
        <w:t xml:space="preserve">Whenever a claim for indemnification shall arise under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as a result of a third-party claim, the party seeking indemnification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notify the party from whom such indemnification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in writing of the claim and the facts constituting the basis for such claim in reasonable detail and the amount thereof, to the extent known, along with copies of the relevant documents evidencing the claim and the basis for indemnification sought; provided that the failure to notify the Indemnifying Party will not relieve the Indemnifying Party of any liability that it may have to any Indemnified Party, except if and to the extent that the Indemnifying Party demonstrates that the defense of such claim is actually prejudiced by the Indemnified Party’s failure to give such notice and in such case, only to the extent of such prejudice. Thereafter, the Indemnified Party shall deliver to the Indemnifying Party copies of all notices and documents (including court papers) received by the Indemnified Party relating to the claim.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01" w:name="page202"/>
    <w:bookmarkEnd w:id="201"/>
    <w:p>
      <w:pPr>
        <w:jc w:val="both"/>
        <w:ind w:left="660" w:firstLine="1941"/>
        <w:spacing w:after="0" w:line="297" w:lineRule="auto"/>
        <w:tabs>
          <w:tab w:leader="none" w:pos="304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Such Indemnifying Party shall have the right to retain the counsel of its choice in connection with such claim and to participate at its own expense in the defense of any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counsel to the Indemnifying Party shall not (except with the consent of the relevant Indemnified Party) also be counsel to such Indemnified Party. In no event shall the Indemnifying Party be liable for fees and expenses of more than one counsel (in addition to any local counsel) separate from its own counsel for all Indemnified Parties in connection with any one action or separate but similar or related actions in the same jurisdiction arising out of the same general allegations or circumstances.</w:t>
      </w:r>
    </w:p>
    <w:p>
      <w:pPr>
        <w:spacing w:after="0" w:line="212" w:lineRule="exact"/>
        <w:rPr>
          <w:rFonts w:ascii="Arial" w:cs="Arial" w:eastAsia="Arial" w:hAnsi="Arial"/>
          <w:sz w:val="16"/>
          <w:szCs w:val="16"/>
          <w:color w:val="auto"/>
        </w:rPr>
      </w:pPr>
    </w:p>
    <w:p>
      <w:pPr>
        <w:jc w:val="both"/>
        <w:ind w:left="660" w:firstLine="1941"/>
        <w:spacing w:after="0" w:line="255" w:lineRule="auto"/>
        <w:tabs>
          <w:tab w:leader="none" w:pos="309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No Indemnifying Party shall, without the prior written consent of the Indemnified Parties (which consent shall not be unreasonably withheld), settle or compromise or consent to the entry of any judgment with respect to any litigation, or any investigation or proceeding by any governmental agency or body, commenced or threatened, or any claim whatsoever in respect of which indemnification could be sought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unless such settlement, compromise or consent (A) includes an unconditional release of each Indemnified Party from all liability arising out of such litigation, investigation, proceeding or claim, and (B) does not include a statement as to or an admission of fault, culpability or a failure to act by or on behalf of any Indemnified Party.</w:t>
      </w:r>
    </w:p>
    <w:p>
      <w:pPr>
        <w:spacing w:after="0" w:line="2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Notices</w:t>
      </w:r>
      <w:r>
        <w:rPr>
          <w:rFonts w:ascii="Arial" w:cs="Arial" w:eastAsia="Arial" w:hAnsi="Arial"/>
          <w:sz w:val="18"/>
          <w:szCs w:val="18"/>
          <w:color w:val="auto"/>
        </w:rPr>
        <w:t>. All demands, notices and communications hereunder shall be in writing and shall be deemed to have been duly given if personally delivered to or mailed, by certified mail, postage prepaid, by overnight mail or courier service, or transmitted by facsimile and confirmed by a similar mailed writing as follows: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Purchaser, to such address or facsimile number as may now hereafter be furnished to the Seller in writing by Purchaser.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Seller,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United Community Bank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Highway 515 East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Blairsville, GA 30514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David Shearrow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(706) 781-2265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(706) 781-6713</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Kilpatrick Townsend &amp; Stockton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1100 Peachtree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Atlanta, GA 30309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James W. Stevens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(404) 815-6500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(404) 541-3400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facsimile number as the Seller may designate in writing to Purchaser.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02" w:name="page203"/>
    <w:bookmarkEnd w:id="202"/>
    <w:p>
      <w:pPr>
        <w:jc w:val="both"/>
        <w:ind w:firstLine="1297"/>
        <w:spacing w:after="0" w:line="285"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Representations, Warranties and Agreements to Survive Delivery</w:t>
      </w:r>
      <w:r>
        <w:rPr>
          <w:rFonts w:ascii="Arial" w:cs="Arial" w:eastAsia="Arial" w:hAnsi="Arial"/>
          <w:sz w:val="16"/>
          <w:szCs w:val="16"/>
          <w:color w:val="auto"/>
        </w:rPr>
        <w:t xml:space="preserve">. Except for the Excluded Cap Representations, the representations and warranties set forth in paragraph 12 and 31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the representations and warranties set forth in paragraph 14 and 31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C-2</w:t>
      </w:r>
      <w:r>
        <w:rPr>
          <w:rFonts w:ascii="Arial" w:cs="Arial" w:eastAsia="Arial" w:hAnsi="Arial"/>
          <w:sz w:val="16"/>
          <w:szCs w:val="16"/>
          <w:color w:val="auto"/>
        </w:rPr>
        <w:t xml:space="preserve">, the representations and warranties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Sections 4(b)(viii)-(x)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(except for the specific items on the Asset List included in Excluded Cap Representations),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all representations and warranties contained in this Purchase Agreement, incorporated herein by reference or contained in the certificates of officers of the Seller submitted pursuant hereto, shall remain operative and in full force and effect and shall survive delivery of the Assets by the Seller to the Purchaser or its designee for a period of eighteen (18) months. The representations and warranties set forth in the Excluded Cap Representations, the representations and warranties set forth in paragraph 12 and 31 of </w:t>
      </w:r>
      <w:r>
        <w:rPr>
          <w:rFonts w:ascii="Arial" w:cs="Arial" w:eastAsia="Arial" w:hAnsi="Arial"/>
          <w:sz w:val="16"/>
          <w:szCs w:val="16"/>
          <w:u w:val="single" w:color="auto"/>
          <w:color w:val="auto"/>
        </w:rPr>
        <w:t>Exhibit C-1</w:t>
      </w:r>
      <w:r>
        <w:rPr>
          <w:rFonts w:ascii="Arial" w:cs="Arial" w:eastAsia="Arial" w:hAnsi="Arial"/>
          <w:sz w:val="16"/>
          <w:szCs w:val="16"/>
          <w:color w:val="auto"/>
        </w:rPr>
        <w:t xml:space="preserve">, the representations and warranties set forth in paragraph 14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the representations and warranties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(except for the specific items on the Asset List included in Excluded Cap Representations), </w:t>
      </w:r>
      <w:r>
        <w:rPr>
          <w:rFonts w:ascii="Arial" w:cs="Arial" w:eastAsia="Arial" w:hAnsi="Arial"/>
          <w:sz w:val="16"/>
          <w:szCs w:val="16"/>
          <w:u w:val="single" w:color="auto"/>
          <w:color w:val="auto"/>
        </w:rPr>
        <w:t>(xv)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the agreements and covenants set forth in this Purchase Agreement shall remain operative and in full force and effect and shall survive delivery of the Assets by the Seller to the Purchaser or its designee until the expiration of the statute of limitations applicable thereto. Notwithstanding anything to the contrary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the obligations to indemnify and hold harmless shall not terminate with respect to any item as to which the Person to be indemnified shall have, before the expiration of the applicable survival period, previously made a claim by delivering a written notice (stating in reasonable detail the basis of such claim) to the Indemnifying Party and such claim may be pursued and shall survive the expiration of the survival period until finally resolved. For the avoidance of doubt, regardless of the termination of the survival period with respect to the representations and warranties set forth in </w:t>
      </w:r>
      <w:r>
        <w:rPr>
          <w:rFonts w:ascii="Arial" w:cs="Arial" w:eastAsia="Arial" w:hAnsi="Arial"/>
          <w:sz w:val="16"/>
          <w:szCs w:val="16"/>
          <w:u w:val="single" w:color="auto"/>
          <w:color w:val="auto"/>
        </w:rPr>
        <w:t>Section 4(b)(xiv)</w:t>
      </w:r>
      <w:r>
        <w:rPr>
          <w:rFonts w:ascii="Arial" w:cs="Arial" w:eastAsia="Arial" w:hAnsi="Arial"/>
          <w:sz w:val="16"/>
          <w:szCs w:val="16"/>
          <w:color w:val="auto"/>
        </w:rPr>
        <w:t xml:space="preserve">, the obligations of Seller with respect to Delinquent Property Taxes pursuant to </w:t>
      </w:r>
      <w:r>
        <w:rPr>
          <w:rFonts w:ascii="Arial" w:cs="Arial" w:eastAsia="Arial" w:hAnsi="Arial"/>
          <w:sz w:val="16"/>
          <w:szCs w:val="16"/>
          <w:u w:val="single" w:color="auto"/>
          <w:color w:val="auto"/>
        </w:rPr>
        <w:t>Section 12(e)</w:t>
      </w:r>
      <w:r>
        <w:rPr>
          <w:rFonts w:ascii="Arial" w:cs="Arial" w:eastAsia="Arial" w:hAnsi="Arial"/>
          <w:sz w:val="16"/>
          <w:szCs w:val="16"/>
          <w:color w:val="auto"/>
        </w:rPr>
        <w:t xml:space="preserve"> and the specific items on the Asset List included in Excluded Cap Representations shall survive until the expiration of the statute of limitations applicable thereto.</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part, provision, representation, warranty or covenant of this Purchase Agreement that is prohibited or which is held to be void or unenforceable shall be ineffective to the extent of such prohibition or unenforceability without invalidating the remaining provisions hereof. Any part, provision, representation, warranty or covenant of this Purchase Agreement that is prohibited or unenforceable or is held to be void or unenforceable in any particular jurisdiction shall, as to such jurisdiction, be ineffective to the extent of such prohibition or unenforceability without invalidating the remaining provisions hereof, and any such prohibition or unenforceability in any particular jurisdiction shall not invalidate or render unenforceable such provision in any other jurisdiction. To the extent permitted by applicable law, the parties hereto waive any provision of law which prohibits or renders void or unenforceable any provision hereof.</w:t>
      </w:r>
    </w:p>
    <w:p>
      <w:pPr>
        <w:spacing w:after="0" w:line="24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Rights Cumulative; Waivers</w:t>
      </w:r>
      <w:r>
        <w:rPr>
          <w:rFonts w:ascii="Arial" w:cs="Arial" w:eastAsia="Arial" w:hAnsi="Arial"/>
          <w:sz w:val="18"/>
          <w:szCs w:val="18"/>
          <w:color w:val="auto"/>
        </w:rPr>
        <w:t>. The rights of each of the parties under this Purchase Agreement are cumulative and may be exercised as often as any party considers appropriate. The rights of each of the parties hereunder shall not be capable of being waived or varied otherwise than by an express waiver or variation in writing. Any failure to exercise or any delay in exercising any of such rights shall not operate as a waiver or variation of that or any other such right.</w:t>
      </w:r>
    </w:p>
    <w:p>
      <w:pPr>
        <w:spacing w:after="0" w:line="2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contained in this Purchase Agreement are inserted for convenience only and shall not affect the meaning or interpretation of this Purchase Agreement or any provision hereof.</w:t>
      </w:r>
    </w:p>
    <w:p>
      <w:pPr>
        <w:spacing w:after="0" w:line="2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execute and deliver this Purchase Agreement as a single document or in any number of counterparts, manually, by facsimile or by other electronic means, including contemporaneous xerographic or electronic reproduction by each party’s respective attorneys. Each counterpart shall be an original, but a single document or all counterparts together shall constitute one instrument that shall be the agreement.</w:t>
      </w:r>
    </w:p>
    <w:p>
      <w:pPr>
        <w:spacing w:after="0" w:line="24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Agreement (along with the appendices, exhibits, schedules and other documents delivered pursuant to this Purchase Agreement) constitutes the entire agreement among the parties with respect to the subject matter of this Purchase Agreement and supersede all prior agreements, representations and understandings related to such subject matters.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03" w:name="page204"/>
    <w:bookmarkEnd w:id="203"/>
    <w:p>
      <w:pPr>
        <w:jc w:val="both"/>
        <w:ind w:firstLine="1297"/>
        <w:spacing w:after="0" w:line="255" w:lineRule="auto"/>
        <w:rPr>
          <w:sz w:val="20"/>
          <w:szCs w:val="20"/>
          <w:color w:val="auto"/>
        </w:rPr>
      </w:pPr>
      <w:r>
        <w:rPr>
          <w:rFonts w:ascii="Arial" w:cs="Arial" w:eastAsia="Arial" w:hAnsi="Arial"/>
          <w:sz w:val="18"/>
          <w:szCs w:val="18"/>
          <w:color w:val="auto"/>
        </w:rPr>
        <w:t>SECTION 20</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PURCHASE AGREEMENT SHALL BE GOVERNED BY, AND CONSTRUED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INTERNAL LAWS OF THE STATE OF NEW YORK, WITHOUT REGARD TO CONFLICT OF LAW PRINCIPALS THEREOF, AND EACH OF THE PARTIES HERETO HEREBY SUBMITS TO THE EXCLUSIVE JURISDICTION OF ANY STATE OR FEDERAL COURT IN NEW YORK CITY AND ANY COURT HEARING ANY APPEAL THEREFROM, OVER ANY SUIT, ACTION OR PROCEEDING AGAINST IT ARISING OUT OF OR BASED UPON THIS PURCHASE AGREEMENT (A “RELATED PROCEEDING”). EACH OF THE PARTIES HERETO HEREBY WAIVES ANY OBJECTION TO ANY RELATED PROCEEDING IN SUCH COURTS WHETHER ON THE GROUNDS OF VENUE, RESIDENCE OR DOMICILE OR ON THE GROUND THAT THE RELATED PROCEEDING HAS BEEN BROUGHT IN AN INCONVENIENT FORUM.</w:t>
      </w:r>
    </w:p>
    <w:p>
      <w:pPr>
        <w:spacing w:after="0" w:line="23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SECTION 21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WAIVES, TO THE FULLEST EXTENT</w:t>
      </w:r>
      <w:r>
        <w:rPr>
          <w:rFonts w:ascii="Arial" w:cs="Arial" w:eastAsia="Arial" w:hAnsi="Arial"/>
          <w:sz w:val="18"/>
          <w:szCs w:val="18"/>
          <w:color w:val="auto"/>
        </w:rPr>
        <w:t xml:space="preserve"> </w:t>
      </w:r>
      <w:r>
        <w:rPr>
          <w:rFonts w:ascii="Arial" w:cs="Arial" w:eastAsia="Arial" w:hAnsi="Arial"/>
          <w:sz w:val="18"/>
          <w:szCs w:val="18"/>
          <w:b w:val="1"/>
          <w:bCs w:val="1"/>
          <w:color w:val="auto"/>
        </w:rPr>
        <w:t>PERMITTED BY APPLICABLE LAW, ANY RIGHT IT MAY HAVE TO A TRIAL BY JURY IN ANY LEGAL PROCEEDING DIRECTLY OR INDIRECTLY ARISING OUT OF OR RELATING TO THIS PURCHASE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PURCHASE AGREEMENT OR ANY OF THE CONTEMPLATED TRANSACTIONS SHALL INSTEAD BE TRIED IN A COURT OF COMPETENT JURISDICTION BY A JUDGE SITTING WITHOUT A JURY</w:t>
      </w:r>
      <w:r>
        <w:rPr>
          <w:rFonts w:ascii="Arial" w:cs="Arial" w:eastAsia="Arial" w:hAnsi="Arial"/>
          <w:sz w:val="18"/>
          <w:szCs w:val="18"/>
          <w:color w:val="auto"/>
        </w:rPr>
        <w:t>.</w:t>
      </w:r>
    </w:p>
    <w:p>
      <w:pPr>
        <w:spacing w:after="0" w:line="24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Seller and the Purchasers agree to execute and deliver such instruments and take such further actions as the other party may, from time to time, reasonably request in order to effectuate the purposes and to carry out the terms of this Purchase Agreement.</w:t>
      </w:r>
    </w:p>
    <w:p>
      <w:pPr>
        <w:spacing w:after="0" w:line="178"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Purchase Agreement will inure to the benefit of and be binding upon the parties hereto and their respective successors and assigns and, with respect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will inure to the benefit of their respective officers, directors, employees, consultants, agents, attorneys, accountants and Affiliates and no other Person will have any right or obligation hereunder. The rights and obligations of the Seller and a Purchaser under this Purchase Agreement shall not be assigned by either such party without the prior written consent of the other such party, which consent shall not be unreasonably withheld, conditioned or delayed, except that (a) any Person into which the Seller may be merged or consolidated, or any corporation or other entity resulting from any merger, conversion or consolidation to which the Seller is a party, or any Person succeeding to all or substantially all of the business of the Seller, shall be the successor to the Seller hereunder and (b) any Person into which a Purchaser may be merged or consolidated, or any corporation or other entity resulting from any merger, conversion or consolidation to which such Purchaser is a party, or any Person succeeding to all or substantially all of the business of such Purchaser, shall be the successor to such Purchaser hereunder. Notwithstanding the foregoing, Purchaser may assign its rights and obligations under this Purchase Agreement to one or more Affiliates, in which event the assignor shall no longer have any rights, benefits, obligation, duties or liabilities with respect to this Purchase Agreement, except for the assigning Purchaser’s indemnity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with respect to the acts and omissions of such assigning Purchaser prior to such assignment which shall survive such assignment and the assignee shall be deemed to have assumed, and have the benefit of, all of such assignors rights, benefits, obligations, duties and liabilities under this Purchase Agreement. Except as provided in this </w:t>
      </w:r>
      <w:r>
        <w:rPr>
          <w:rFonts w:ascii="Arial" w:cs="Arial" w:eastAsia="Arial" w:hAnsi="Arial"/>
          <w:sz w:val="17"/>
          <w:szCs w:val="17"/>
          <w:u w:val="single" w:color="auto"/>
          <w:color w:val="auto"/>
        </w:rPr>
        <w:t>Section 23</w:t>
      </w:r>
      <w:r>
        <w:rPr>
          <w:rFonts w:ascii="Arial" w:cs="Arial" w:eastAsia="Arial" w:hAnsi="Arial"/>
          <w:sz w:val="17"/>
          <w:szCs w:val="17"/>
          <w:color w:val="auto"/>
        </w:rPr>
        <w:t>, this Purchase Agreement is not intended to confer upon any Person other than the parties hereto any rights or remedies hereunder.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04" w:name="page205"/>
    <w:bookmarkEnd w:id="204"/>
    <w:p>
      <w:pPr>
        <w:jc w:val="both"/>
        <w:ind w:firstLine="1297"/>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Reports of the Seller</w:t>
      </w:r>
      <w:r>
        <w:rPr>
          <w:rFonts w:ascii="Arial" w:cs="Arial" w:eastAsia="Arial" w:hAnsi="Arial"/>
          <w:sz w:val="18"/>
          <w:szCs w:val="18"/>
          <w:color w:val="auto"/>
        </w:rPr>
        <w:t>. The Seller shall cooperate with and, upon request, provide to the Purchaser or to the then current owner such information as may be reasonably necessary to prepare or cause to be prepared any tax returns that may be required by applicable federal, state and local law.</w:t>
      </w:r>
    </w:p>
    <w:p>
      <w:pPr>
        <w:spacing w:after="0" w:line="23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Prior to consummation of all of the transactions contemplated by this Purchase Agreement, the parties to this Purchase Agreement will provide one another with information which may be deemed by the party providing the information to be confidential. Each party agrees that it will hold confidential and protect all information provided to it by the other party to this Purchase Agreement or such party’s Affiliates, except that the obligations contained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not in any way restrict the rights of any party or person to use information that: (a) was known to such party prior to the disclosure by the other party; (b) is or becomes generally available to the public other than by breach of this Purchase Agreement; or</w:t>
      </w:r>
    </w:p>
    <w:p>
      <w:pPr>
        <w:spacing w:after="0" w:line="2" w:lineRule="exact"/>
        <w:rPr>
          <w:sz w:val="20"/>
          <w:szCs w:val="20"/>
          <w:color w:val="auto"/>
        </w:rPr>
      </w:pPr>
    </w:p>
    <w:p>
      <w:pPr>
        <w:jc w:val="both"/>
        <w:ind w:firstLine="8"/>
        <w:spacing w:after="0" w:line="287" w:lineRule="auto"/>
        <w:tabs>
          <w:tab w:leader="none" w:pos="25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otherwise becomes lawfully available to a party to this Purchase Agreement on a non-confidential basis from a third party who is not under an obligation of confidence to the other party to this Purchase Agreement. If this Purchase Agreement is terminated, upon request each party hereto agrees to return or destroy all documents, statements and other written materials, whether or not confidential, and all copies thereof, provided to it by or on behalf of the other party to this Purchase Agreement. The provisions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survive until the later to occur of (i) one (1) year after final Closing or earlier termination of this Purchase Agreement, of this Purchase Agreement, and, without limiting the remedies of the parties hereto in the event of any breach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the parties hereto will be entitled to seek injunctive relief against the other party in the event of a breach or threatened breach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Notwithstanding the foregoing, in the event that Purchaser engages in subsequent transactions involving a transfer of the Assets, Purchaser shall be entitled to share such information with prospective purchasers pursuant to a confidentiality agreement that is consistent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22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Press Releases; Filing</w:t>
      </w:r>
      <w:r>
        <w:rPr>
          <w:rFonts w:ascii="Arial" w:cs="Arial" w:eastAsia="Arial" w:hAnsi="Arial"/>
          <w:sz w:val="17"/>
          <w:szCs w:val="17"/>
          <w:color w:val="auto"/>
        </w:rPr>
        <w:t>. Prior to the Closing, the parties to this Purchase Agreement shall each approve, in its sole and exclusive discretion, the form and substance of any press release or other public filing or disclosure materially related to this Purchase Agreement or any other transaction contemplated hereby;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deemed to prohibit any party from making any disclosure which its counsel deems necessary or advisable in order to satisfy such party’s disclosure obligations imposed by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05" w:name="page206"/>
    <w:bookmarkEnd w:id="205"/>
    <w:p>
      <w:pPr>
        <w:ind w:firstLine="648"/>
        <w:spacing w:after="0" w:line="277" w:lineRule="auto"/>
        <w:rPr>
          <w:sz w:val="20"/>
          <w:szCs w:val="20"/>
          <w:color w:val="auto"/>
        </w:rPr>
      </w:pPr>
      <w:r>
        <w:rPr>
          <w:rFonts w:ascii="Arial" w:cs="Arial" w:eastAsia="Arial" w:hAnsi="Arial"/>
          <w:sz w:val="18"/>
          <w:szCs w:val="18"/>
          <w:color w:val="auto"/>
        </w:rPr>
        <w:t>IN WITNESS WHEREOF, the Seller and Purchaser have caused their names to be signed hereto by their respective duly authorized officers as of the date first above written.</w:t>
      </w:r>
    </w:p>
    <w:p>
      <w:pPr>
        <w:spacing w:after="0" w:line="19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UNITED COMMUNITY BANK</w:t>
      </w:r>
      <w:r>
        <w:rPr>
          <w:rFonts w:ascii="Arial" w:cs="Arial" w:eastAsia="Arial" w:hAnsi="Arial"/>
          <w:sz w:val="18"/>
          <w:szCs w:val="18"/>
          <w:color w:val="auto"/>
        </w:rPr>
        <w:t>, a bank organized under the laws of the State of Georgia, as Seller</w:t>
      </w: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i w:val="1"/>
          <w:iCs w:val="1"/>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Rex S. Schuette</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Name: Rex S. Schuette</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7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CF SOUTHEAST LLC</w:t>
      </w:r>
      <w:r>
        <w:rPr>
          <w:rFonts w:ascii="Arial" w:cs="Arial" w:eastAsia="Arial" w:hAnsi="Arial"/>
          <w:sz w:val="18"/>
          <w:szCs w:val="18"/>
          <w:color w:val="auto"/>
        </w:rPr>
        <w:t>, a Delaware limited liability company,</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Purchaser</w:t>
      </w:r>
    </w:p>
    <w:p>
      <w:pPr>
        <w:spacing w:after="0" w:line="200" w:lineRule="exact"/>
        <w:rPr>
          <w:sz w:val="20"/>
          <w:szCs w:val="20"/>
          <w:color w:val="auto"/>
        </w:rPr>
      </w:pPr>
    </w:p>
    <w:p>
      <w:pPr>
        <w:spacing w:after="0" w:line="2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i w:val="1"/>
          <w:iCs w:val="1"/>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Constantine M. Dakolias</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Name: Constantine M. Dakolias</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7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CF SOUTHEAST TRUST 2011-1</w:t>
      </w:r>
      <w:r>
        <w:rPr>
          <w:rFonts w:ascii="Arial" w:cs="Arial" w:eastAsia="Arial" w:hAnsi="Arial"/>
          <w:sz w:val="18"/>
          <w:szCs w:val="18"/>
          <w:color w:val="auto"/>
        </w:rPr>
        <w:t>, a Delaware statutory trust</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as Purchaser</w:t>
      </w:r>
    </w:p>
    <w:p>
      <w:pPr>
        <w:spacing w:after="0" w:line="200" w:lineRule="exact"/>
        <w:rPr>
          <w:sz w:val="20"/>
          <w:szCs w:val="20"/>
          <w:color w:val="auto"/>
        </w:rPr>
      </w:pPr>
    </w:p>
    <w:p>
      <w:pPr>
        <w:spacing w:after="0" w:line="2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i w:val="1"/>
          <w:iCs w:val="1"/>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Constantine M. Dakolias</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Name: Constantine M. Dakolias</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Title: Administrator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Asset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USAGE AND SUPPLEMENTAL DEFINITIONS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Usage</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rules of construction and usage apply to this Appendix, any agreement that incorporates this Appendix and any document made or delivered pursuant to any such agreement:</w:t>
      </w:r>
    </w:p>
    <w:p>
      <w:pPr>
        <w:spacing w:after="0" w:line="200" w:lineRule="exact"/>
        <w:rPr>
          <w:sz w:val="20"/>
          <w:szCs w:val="20"/>
          <w:color w:val="auto"/>
        </w:rPr>
      </w:pPr>
    </w:p>
    <w:p>
      <w:pPr>
        <w:spacing w:after="0" w:line="268" w:lineRule="exact"/>
        <w:rPr>
          <w:sz w:val="20"/>
          <w:szCs w:val="20"/>
          <w:color w:val="auto"/>
        </w:rPr>
      </w:pPr>
    </w:p>
    <w:p>
      <w:pPr>
        <w:ind w:firstLine="1305"/>
        <w:spacing w:after="0" w:line="277" w:lineRule="auto"/>
        <w:tabs>
          <w:tab w:leader="none" w:pos="172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term “documents” includes any and all documents, agreements, instruments, certificates, notices, reports, statements or other writings however evidenced, whether in electronic or physical form.</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firstLine="1305"/>
        <w:spacing w:after="0" w:line="277" w:lineRule="auto"/>
        <w:tabs>
          <w:tab w:leader="none" w:pos="17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Accounting terms not defined or not completely defined in this Appendix will be construed in conformity with U.S.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as in effect on the date of the document that incorporates this Appendix.</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firstLine="1305"/>
        <w:spacing w:after="0" w:line="277" w:lineRule="auto"/>
        <w:tabs>
          <w:tab w:leader="none" w:pos="172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References to “Section,” “Exhibit,” “Schedule” or another subdivision of or to an attachment are, unless otherwise specified, to an article, section, exhibit, schedule or subdivision of or an attachment to the document in which such reference appears.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both"/>
        <w:ind w:firstLine="1305"/>
        <w:spacing w:after="0" w:line="264" w:lineRule="auto"/>
        <w:tabs>
          <w:tab w:leader="none" w:pos="172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document defined or referred to in this Appendix or in any document that incorporates this Appendix means such document as from time to time amended, modified, supplemented or replaced, including by waiver or consent, and includes all attachments to and instruments incorporated in such document.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jc w:val="both"/>
        <w:ind w:firstLine="1305"/>
        <w:spacing w:after="0" w:line="264" w:lineRule="auto"/>
        <w:tabs>
          <w:tab w:leader="none" w:pos="172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statute defined or referred to in this Appendix or in any document that incorporates this Appendix means such statute as from time to time amended, modified, supplemented or replaced, including by succession of comparable successor statutes, and includes any rules and regulations promulgated under such statute and any judicial and administrative interpretations of such statute.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firstLine="1305"/>
        <w:spacing w:after="0" w:line="277" w:lineRule="auto"/>
        <w:tabs>
          <w:tab w:leader="none" w:pos="169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Calculation of any amount on or as of any date will be determined at or as of the close of business on such day after the application of any monies, payments and other transactions to be applied on such day.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firstLine="1305"/>
        <w:spacing w:after="0" w:line="277" w:lineRule="auto"/>
        <w:tabs>
          <w:tab w:leader="none" w:pos="172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 “to” means “to but excluding” and the word “through” means “to and including.”</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1740" w:hanging="435"/>
        <w:spacing w:after="0"/>
        <w:tabs>
          <w:tab w:leader="none" w:pos="17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All terms defined in this Appendix apply to the singular and plural forms of such terms and the term “including” means “including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without limitation.”</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1700" w:hanging="395"/>
        <w:spacing w:after="0"/>
        <w:tabs>
          <w:tab w:leader="none" w:pos="1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Except as otherwise specified, references to a Person are also to its permitted successors and assigns.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firstLine="1305"/>
        <w:spacing w:after="0" w:line="308" w:lineRule="auto"/>
        <w:tabs>
          <w:tab w:leader="none" w:pos="172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appendices, schedules and exhibits to the Purchase Agreement shall be incorporated in and deemed part of the Purchase Agreement and all references to the Purchase Agreement shall include the appendices, schedules and exhibits to the Purchase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u w:val="single" w:color="auto"/>
          <w:color w:val="auto"/>
        </w:rPr>
        <w:t>Supplemental Definitions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Whenever used herein, the following words and phrases, unless the content otherwise requires, have the following meanings:</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Insurer</w:t>
      </w:r>
      <w:r>
        <w:rPr>
          <w:rFonts w:ascii="Arial" w:cs="Arial" w:eastAsia="Arial" w:hAnsi="Arial"/>
          <w:sz w:val="18"/>
          <w:szCs w:val="18"/>
          <w:color w:val="auto"/>
        </w:rPr>
        <w:t>”: An insurance company which has a claims-paying ability rated at least “A-” by Fitch, Inc., at least “A2” by Moody’s Investors Service, Inc. or at least “A” by Standard &amp; Poor’s Ratings Services, a division of The McGraw-Hill Companies, Inc.</w:t>
      </w:r>
    </w:p>
    <w:p>
      <w:pPr>
        <w:spacing w:after="0" w:line="200" w:lineRule="exact"/>
        <w:rPr>
          <w:sz w:val="20"/>
          <w:szCs w:val="20"/>
          <w:color w:val="auto"/>
        </w:rPr>
      </w:pPr>
    </w:p>
    <w:p>
      <w:pPr>
        <w:spacing w:after="0" w:line="24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With respect to any Loan, any cash collateral account, escrow account or reserve account or similar account established pursuant to the related Mortgage or other Loan Document.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With respect to any specified Person, any other Person that directly, or indirectly through one or more intermediaries, controls or is controlled by or under common control or ownership with such specified Person. For the purposes of this definition, “control” when used with respect to any specified Person means the power to direct the management and policies of such Person, directly or indirectly, whether through the ownership of voting securities, by contract, relation to individuals or otherwise, and the terms “controlling” and “controlled” have meanings correlative to the foregoing.</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Allocated Purchase Price</w:t>
      </w:r>
      <w:r>
        <w:rPr>
          <w:rFonts w:ascii="Arial" w:cs="Arial" w:eastAsia="Arial" w:hAnsi="Arial"/>
          <w:sz w:val="16"/>
          <w:szCs w:val="16"/>
          <w:color w:val="auto"/>
        </w:rPr>
        <w:t>”: With respect to each Asset, the portion of the Purchase Price allocated by the Purchaser of such Asset to such Asset as set forth on a Purchase Price Allocation Schedule delivered by such Purchaser to Seller no later than (i) with respect to any Loan other than a Subject Residential Mortgage Loan, thirty (30) days after the Closing Date; provided that the Allocated Purchase Price for any such Loan shall not exceed eighty percent (80%) of the Unpaid Principal Balance of such Asset and (ii) with respect to any Subject Residential Mortgage Loan, ten (10) days after the Closing Date; provided that the Allocated Purchase Price for any Subject Residential Mortgage Loan shall not exceed eighty percent (80%) of the Unpaid Principal Balance of such Asset; provided further in respect of both clause (i) and clause (ii), the Allocated Purchase Price for any Loan required to be repurchased before the delivery of the Purchase Price Allocation Schedule applicable thereto, shall be the sum of 30.72% of the Unpaid Principal Balance for such Loan.</w:t>
      </w: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The American Land Title Association or any successor thereto.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A narrative appraisal conducted by a Qualified Appraiser.</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Appraised Value</w:t>
      </w:r>
      <w:r>
        <w:rPr>
          <w:rFonts w:ascii="Arial" w:cs="Arial" w:eastAsia="Arial" w:hAnsi="Arial"/>
          <w:sz w:val="16"/>
          <w:szCs w:val="16"/>
          <w:color w:val="auto"/>
        </w:rPr>
        <w:t>”: With respect to any Loan, the value of the related Mortgaged Property based upon the most recent Appraisal made.</w:t>
      </w:r>
    </w:p>
    <w:p>
      <w:pPr>
        <w:spacing w:after="0" w:line="200" w:lineRule="exact"/>
        <w:rPr>
          <w:sz w:val="20"/>
          <w:szCs w:val="20"/>
          <w:color w:val="auto"/>
        </w:rPr>
      </w:pPr>
    </w:p>
    <w:p>
      <w:pPr>
        <w:spacing w:after="0" w:line="31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List</w:t>
      </w:r>
      <w:r>
        <w:rPr>
          <w:rFonts w:ascii="Arial" w:cs="Arial" w:eastAsia="Arial" w:hAnsi="Arial"/>
          <w:sz w:val="18"/>
          <w:szCs w:val="18"/>
          <w:color w:val="auto"/>
        </w:rPr>
        <w:t xml:space="preserve">”: The list of Assets prepared by the Seller and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the Bill of Sale, which shall set forth, as of the date reflected therein, the following information: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respect to each Loan (if any):</w:t>
      </w:r>
    </w:p>
    <w:p>
      <w:pPr>
        <w:spacing w:after="0" w:line="200" w:lineRule="exact"/>
        <w:rPr>
          <w:sz w:val="20"/>
          <w:szCs w:val="20"/>
          <w:color w:val="auto"/>
        </w:rPr>
      </w:pPr>
    </w:p>
    <w:p>
      <w:pPr>
        <w:spacing w:after="0" w:line="295" w:lineRule="exact"/>
        <w:rPr>
          <w:sz w:val="20"/>
          <w:szCs w:val="20"/>
          <w:color w:val="auto"/>
        </w:rPr>
      </w:pPr>
    </w:p>
    <w:p>
      <w:pPr>
        <w:ind w:left="2600" w:hanging="299"/>
        <w:spacing w:after="0"/>
        <w:tabs>
          <w:tab w:leader="none" w:pos="26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relationship name;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0" w:hanging="299"/>
        <w:spacing w:after="0"/>
        <w:tabs>
          <w:tab w:leader="none" w:pos="26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Borrower’s name;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0" w:hanging="299"/>
        <w:spacing w:after="0"/>
        <w:tabs>
          <w:tab w:leader="none" w:pos="26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Guarantor’s name;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0" w:hanging="299"/>
        <w:spacing w:after="0"/>
        <w:tabs>
          <w:tab w:leader="none" w:pos="26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Loan identifying number;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8" w:name="page209"/>
    <w:bookmarkEnd w:id="208"/>
    <w:p>
      <w:pPr>
        <w:ind w:left="1400" w:hanging="29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Loan principal balance at origination date or most recent renewal date (net of participations);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299"/>
        <w:spacing w:after="0" w:line="277" w:lineRule="auto"/>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name and contact information of each participant in any Loan and the percentage of such Loan assigned to each participant;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400" w:right="20" w:hanging="299"/>
        <w:spacing w:after="0" w:line="277" w:lineRule="auto"/>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net Unpaid Principal Balance (includes advances for taxes, insurance or other advances made prior to the Cut-off Date);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400" w:hanging="29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bankruptcy / foreclosure indicator;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29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Loan date or most recent renewal date;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current interest rate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2"/>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paid to date;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next interest / payment due date;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number days past due;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rate index code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rate margin above index code;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rate floor;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rate ceiling;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unpaid accrued interest;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unpaid interest due on non-accrual loans;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unpaid late charges due;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interest rate periodic cap;</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line="277" w:lineRule="auto"/>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amount of funds advanced by lender to protect and preserve collateral (i.e., property insurance and legal fees) after the Cut-off Date;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collateral description;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collateral lien position;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400" w:hanging="389"/>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Seller’s Knowledge, the number of units remaining on condominiums / townhomes;</w:t>
      </w:r>
    </w:p>
    <w:p>
      <w:pPr>
        <w:sectPr>
          <w:pgSz w:w="11900" w:h="16838" w:orient="portrait"/>
          <w:cols w:equalWidth="0" w:num="1">
            <w:col w:w="10220"/>
          </w:cols>
          <w:pgMar w:left="1440" w:top="517" w:right="239" w:bottom="153" w:gutter="0" w:footer="0" w:header="0"/>
        </w:sectPr>
      </w:pPr>
    </w:p>
    <w:bookmarkStart w:id="209" w:name="page210"/>
    <w:bookmarkEnd w:id="209"/>
    <w:p>
      <w:pPr>
        <w:ind w:left="1020"/>
        <w:spacing w:after="0"/>
        <w:rPr>
          <w:sz w:val="20"/>
          <w:szCs w:val="20"/>
          <w:color w:val="auto"/>
        </w:rPr>
      </w:pPr>
      <w:r>
        <w:rPr>
          <w:rFonts w:ascii="Arial" w:cs="Arial" w:eastAsia="Arial" w:hAnsi="Arial"/>
          <w:sz w:val="16"/>
          <w:szCs w:val="16"/>
          <w:color w:val="auto"/>
        </w:rPr>
        <w:t>(27) to Seller’s Knowledge, the number of lots remaining on subdivisions;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0" w:name="page211"/>
    <w:bookmarkEnd w:id="210"/>
    <w:p>
      <w:pPr>
        <w:ind w:left="2600" w:hanging="389"/>
        <w:spacing w:after="0" w:line="277" w:lineRule="auto"/>
        <w:tabs>
          <w:tab w:leader="none" w:pos="26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amount, identified separately, of Escrow Payments, reserve funds, deposits and other comparable funds in the possession of the Seller (or under its control) with respect to the Assets;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2600" w:hanging="389"/>
        <w:spacing w:after="0"/>
        <w:tabs>
          <w:tab w:leader="none" w:pos="26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letter of credit issued by Seller or any of its predecessors for the account of any Obligor on such Loan.</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the Purchase Agreement.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Leases, Rents and Profits</w:t>
      </w:r>
      <w:r>
        <w:rPr>
          <w:rFonts w:ascii="Arial" w:cs="Arial" w:eastAsia="Arial" w:hAnsi="Arial"/>
          <w:sz w:val="18"/>
          <w:szCs w:val="18"/>
          <w:color w:val="auto"/>
        </w:rPr>
        <w:t>”: With respect to any Mortgaged Property, any assignment of leases, rents and profits or similar agreement executed by the Borrower, assigning to the mortgagee all of the income, rents and profits derived from the ownership, operation, leasing or disposition of all or a portion of such Mortgaged Property, in the form which was duly executed, acknowledged and delivered, as amended, modified, renewed or extended through the date hereof and from time to time hereafter.</w:t>
      </w: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A bill of sale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With respect to each Loan, the named borrower under such Loan, together with its successor and assigns.</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a Sunday or a day on which banking institutions or trust companies in the New York, New York or the State of Georgia are authorized or obligated by law, regulation or executive order to close.</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 Southeast</w:t>
      </w:r>
      <w:r>
        <w:rPr>
          <w:rFonts w:ascii="Arial" w:cs="Arial" w:eastAsia="Arial" w:hAnsi="Arial"/>
          <w:sz w:val="18"/>
          <w:szCs w:val="18"/>
          <w:color w:val="auto"/>
        </w:rPr>
        <w:t>”: The meaning specified in the Preamble.</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 Trust</w:t>
      </w:r>
      <w:r>
        <w:rPr>
          <w:rFonts w:ascii="Arial" w:cs="Arial" w:eastAsia="Arial" w:hAnsi="Arial"/>
          <w:sz w:val="18"/>
          <w:szCs w:val="18"/>
          <w:color w:val="auto"/>
        </w:rPr>
        <w:t>”: The meaning specified in the Preamble.</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The payment of the Estimated Purchase Price and conveyance of the Assets as evidenced in a Bill of Sale and other documents required to be delivered by Seller under this Purchase Agreement.</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With respect to any Closing, the date specified in the Bill of Sale.</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Documents</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Purchase Agreement.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Assignment</w:t>
      </w:r>
      <w:r>
        <w:rPr>
          <w:rFonts w:ascii="Arial" w:cs="Arial" w:eastAsia="Arial" w:hAnsi="Arial"/>
          <w:sz w:val="18"/>
          <w:szCs w:val="18"/>
          <w:color w:val="auto"/>
        </w:rPr>
        <w:t>”: Each instrument assigning or otherwise transferring the Seller’s right, title and interest in and to a Mortgage and any other Collateral Security to the Purchaser, which instruments shall comply in form and substance with any requirements contained in a related Loan Document.</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Security</w:t>
      </w:r>
      <w:r>
        <w:rPr>
          <w:rFonts w:ascii="Arial" w:cs="Arial" w:eastAsia="Arial" w:hAnsi="Arial"/>
          <w:sz w:val="17"/>
          <w:szCs w:val="17"/>
          <w:color w:val="auto"/>
        </w:rPr>
        <w:t>”: Any right, interest, document, instrument or property given as security for or in guaranty of the Loan (including, without limitation, the Mortgages, the Assignment of Leases, Rents and Profits, all Accounts maintained with respect to such Loan and the cash and investments credited thereto, the rights of the mortgagee under the Required Insurance Policies and Title Insurance Policies, any letter of credit, vehicle title, and any other security agreement), together with any supplement or amendment thereto and as amended from time to time hereafter.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1" w:name="page212"/>
    <w:bookmarkEnd w:id="211"/>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payments, proceeds and/or awards or other amounts, actually received by the specified holder of the Notes (or its agent or designee) in cash, securities or other property, including checks which have been reduced to good funds, for application to the liabilities, obligations or indebtedness, liabilities or obligations of the Obligor under the Loans, whether or not so applied and, if so applied, whether applied to principal, interest, fees or any other such liabilities or obligations or indebtedness.</w:t>
      </w: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Collections Account</w:t>
      </w:r>
      <w:r>
        <w:rPr>
          <w:rFonts w:ascii="Arial" w:cs="Arial" w:eastAsia="Arial" w:hAnsi="Arial"/>
          <w:sz w:val="17"/>
          <w:szCs w:val="17"/>
          <w:color w:val="auto"/>
        </w:rPr>
        <w:t>” means an account of the Purchaser with the Seller opened by the Purchaser on or before the Closing Date.</w:t>
      </w:r>
    </w:p>
    <w:p>
      <w:pPr>
        <w:spacing w:after="0" w:line="200" w:lineRule="exact"/>
        <w:rPr>
          <w:sz w:val="20"/>
          <w:szCs w:val="20"/>
          <w:color w:val="auto"/>
        </w:rPr>
      </w:pPr>
    </w:p>
    <w:p>
      <w:pPr>
        <w:spacing w:after="0" w:line="30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Condemnation Proceeds</w:t>
      </w:r>
      <w:r>
        <w:rPr>
          <w:rFonts w:ascii="Arial" w:cs="Arial" w:eastAsia="Arial" w:hAnsi="Arial"/>
          <w:sz w:val="18"/>
          <w:szCs w:val="18"/>
          <w:color w:val="auto"/>
        </w:rPr>
        <w:t>”: All proceeds paid or awarded in connection with the full or partial condemnation of, or exercise of eminent domain with respect to, a Mortgaged Property, to the extent such proceeds are not applied to the restoration or repair of the related Mortgaged Property or released to the Borrower or any tenants or ground lessors.</w:t>
      </w: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Correction Statement</w:t>
      </w:r>
      <w:r>
        <w:rPr>
          <w:rFonts w:ascii="Arial" w:cs="Arial" w:eastAsia="Arial" w:hAnsi="Arial"/>
          <w:sz w:val="18"/>
          <w:szCs w:val="18"/>
          <w:color w:val="auto"/>
        </w:rPr>
        <w:t xml:space="preserve">” means the final Correction Statement as determined pursuant to </w:t>
      </w:r>
      <w:r>
        <w:rPr>
          <w:rFonts w:ascii="Arial" w:cs="Arial" w:eastAsia="Arial" w:hAnsi="Arial"/>
          <w:sz w:val="18"/>
          <w:szCs w:val="18"/>
          <w:u w:val="single" w:color="auto"/>
          <w:color w:val="auto"/>
        </w:rPr>
        <w:t>Section 10(b)</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February 28, 2011.</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means any and all damages, losses, liabilities, obligations, costs and expenses, and any and all claims, demands or suits (by any person or entity, including without limitation any court, government, governmental agency, authority, entity or instrumentality), including without limitation the costs and expenses of any and all actions, suits, proceedings, demands, assessments, judgments, settlements and compromises relating thereto and including reasonable attorneys’ fees and other costs or expenses incurred in connection with the defense of any actual or threatened action, proceeding or claim; provided, that neither party to this Purchase Agreement nor any Purchaser shall be liable to any other party for any consequential, special, indirect or punitive damages; provided, further, that Damages with respect to each Asset shall be calculated without regard to the Allocated Purchase Price with respect to such Asset.</w:t>
      </w:r>
    </w:p>
    <w:p>
      <w:pPr>
        <w:spacing w:after="0" w:line="200" w:lineRule="exact"/>
        <w:rPr>
          <w:sz w:val="20"/>
          <w:szCs w:val="20"/>
          <w:color w:val="auto"/>
        </w:rPr>
      </w:pPr>
    </w:p>
    <w:p>
      <w:pPr>
        <w:spacing w:after="0" w:line="25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Interest</w:t>
      </w:r>
      <w:r>
        <w:rPr>
          <w:rFonts w:ascii="Arial" w:cs="Arial" w:eastAsia="Arial" w:hAnsi="Arial"/>
          <w:sz w:val="16"/>
          <w:szCs w:val="16"/>
          <w:color w:val="auto"/>
        </w:rPr>
        <w:t>”: With respect to any Loan, interest at the applicable Default Rate and borne by the applicable Note following a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00" w:lineRule="exact"/>
        <w:rPr>
          <w:sz w:val="20"/>
          <w:szCs w:val="20"/>
          <w:color w:val="auto"/>
        </w:rPr>
      </w:pPr>
    </w:p>
    <w:p>
      <w:pPr>
        <w:spacing w:after="0" w:line="2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With respect to any Loan, the “default rate”, “default interest rate” or other similar rate at which interest accrues during the continuance of a Event of Default as specified in the related operative Note, but only to the extent that such interest accrues at a rate in excess of the Interest Rate.</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Delinquent Property Taxes</w:t>
      </w:r>
      <w:r>
        <w:rPr>
          <w:rFonts w:ascii="Arial" w:cs="Arial" w:eastAsia="Arial" w:hAnsi="Arial"/>
          <w:sz w:val="18"/>
          <w:szCs w:val="18"/>
          <w:color w:val="auto"/>
        </w:rPr>
        <w:t>”: Any unpaid real or personal property taxes or other governmental assessments, due and payable against any Mortgaged Property or any other Collateral Security or any penalties or interest thereon. For purposes of this definition, real estate taxes will not be due and payable until the Business Day immediately preceding the date on which such taxes would become delinquent such that interest would accrue or penalties would become assessable thereon.</w:t>
      </w:r>
    </w:p>
    <w:p>
      <w:pPr>
        <w:spacing w:after="0" w:line="200" w:lineRule="exact"/>
        <w:rPr>
          <w:sz w:val="20"/>
          <w:szCs w:val="20"/>
          <w:color w:val="auto"/>
        </w:rPr>
      </w:pPr>
    </w:p>
    <w:p>
      <w:pPr>
        <w:spacing w:after="0" w:line="25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Any written claim, action, cause of action, suit, proceeding, investigation, order, demand or notice by any Person alleging potential liability (including, without limitation, potential liability for investigatory costs, cleanup costs, governmental response costs, natural resources damages, property damages, personal injuries, or penalties) arising out of, based on or resulting from the presence, or Release into the environment of, or exposure to, any Hazardous Substance at a Mortgaged Property, or circumstances forming the basis of any violation, or alleged violation, of any Environmental Law.</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2" w:name="page213"/>
    <w:bookmarkEnd w:id="212"/>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Any and all present federal, state and local laws, rules or regulations, any judicial or administrative orders, decrees or judgments thereunder, and any permits, approvals, licenses, registrations, filings and authorizations relating to the environment or the Release or threatened Release of Hazardous Substances into the indoor or outdoor environment including, without limitation, ambient air, soil, surface water, ground water, wetlands, land or subsurface strata or otherwise relating to the release of Hazardous Substances.</w:t>
      </w:r>
    </w:p>
    <w:p>
      <w:pPr>
        <w:spacing w:after="0" w:line="200" w:lineRule="exact"/>
        <w:rPr>
          <w:sz w:val="20"/>
          <w:szCs w:val="20"/>
          <w:color w:val="auto"/>
        </w:rPr>
      </w:pPr>
    </w:p>
    <w:p>
      <w:pPr>
        <w:spacing w:after="0" w:line="24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Payments</w:t>
      </w:r>
      <w:r>
        <w:rPr>
          <w:rFonts w:ascii="Arial" w:cs="Arial" w:eastAsia="Arial" w:hAnsi="Arial"/>
          <w:sz w:val="18"/>
          <w:szCs w:val="18"/>
          <w:color w:val="auto"/>
        </w:rPr>
        <w:t>”: With respect to any Loan, the amounts constituting ground rents, taxes, assessments, water rates, sewer rents, municipal charges, insurance premiums, fire and hazard insurance premiums, condominium and property owners association charges, and any other payments required to be escrowed by the Borrower with the mortgagee pursuant to the Mortgage or any other related document.</w:t>
      </w:r>
    </w:p>
    <w:p>
      <w:pPr>
        <w:spacing w:after="0" w:line="200" w:lineRule="exact"/>
        <w:rPr>
          <w:sz w:val="20"/>
          <w:szCs w:val="20"/>
          <w:color w:val="auto"/>
        </w:rPr>
      </w:pPr>
    </w:p>
    <w:p>
      <w:pPr>
        <w:spacing w:after="0" w:line="25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$86,519,414.84, which amount is an estimate of the Purchase Price to be paid by Purchaser on the Closing Date as determined by reference to the Trial Balance Statement.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Cap Representations</w:t>
      </w:r>
      <w:r>
        <w:rPr>
          <w:rFonts w:ascii="Arial" w:cs="Arial" w:eastAsia="Arial" w:hAnsi="Arial"/>
          <w:sz w:val="18"/>
          <w:szCs w:val="18"/>
          <w:color w:val="auto"/>
        </w:rPr>
        <w:t xml:space="preserve">”: Representations and warranties set forth in (a)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4(b)(vii)-(x)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(xiii) –</w:t>
      </w:r>
      <w:r>
        <w:rPr>
          <w:rFonts w:ascii="Arial" w:cs="Arial" w:eastAsia="Arial" w:hAnsi="Arial"/>
          <w:sz w:val="18"/>
          <w:szCs w:val="18"/>
          <w:color w:val="auto"/>
        </w:rPr>
        <w:t xml:space="preserve"> </w:t>
      </w:r>
      <w:r>
        <w:rPr>
          <w:rFonts w:ascii="Arial" w:cs="Arial" w:eastAsia="Arial" w:hAnsi="Arial"/>
          <w:sz w:val="18"/>
          <w:szCs w:val="18"/>
          <w:u w:val="single" w:color="auto"/>
          <w:color w:val="auto"/>
        </w:rPr>
        <w:t>(xvi)</w:t>
      </w:r>
      <w:r>
        <w:rPr>
          <w:rFonts w:ascii="Arial" w:cs="Arial" w:eastAsia="Arial" w:hAnsi="Arial"/>
          <w:sz w:val="18"/>
          <w:szCs w:val="18"/>
          <w:color w:val="auto"/>
        </w:rPr>
        <w:t xml:space="preserve">), (b) paragraphs 1, 2, 3 (but only with respect to Asset List columns (2) through (4), (7), (23) and (25)), 4, 6 (with respect to counterclaims only), 11, 13, 14, 15, 21, 29 and 31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and (c) paragraphs 1, 2, 3 (but only with respect to Asset List columns (2) through (4), (7), (23) and (25)),4, 6 (with respect to counterclaims only), 8, 11, 12, 13, 15, 16, 17, 23 and 30 of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It being understood that paragraphs 11 and 31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and paragraphs 11, 12, 13 and 31 of </w:t>
      </w:r>
      <w:r>
        <w:rPr>
          <w:rFonts w:ascii="Arial" w:cs="Arial" w:eastAsia="Arial" w:hAnsi="Arial"/>
          <w:sz w:val="18"/>
          <w:szCs w:val="18"/>
          <w:u w:val="single" w:color="auto"/>
          <w:color w:val="auto"/>
        </w:rPr>
        <w:t>Exhibit C-2</w:t>
      </w:r>
      <w:r>
        <w:rPr>
          <w:rFonts w:ascii="Arial" w:cs="Arial" w:eastAsia="Arial" w:hAnsi="Arial"/>
          <w:sz w:val="18"/>
          <w:szCs w:val="18"/>
          <w:color w:val="auto"/>
        </w:rPr>
        <w:t xml:space="preserve"> are Excluded Cap Representations because the remedy for the breach of such representations and warranties is the repurchase by Seller of the Loan(s) related to such breach.</w:t>
      </w:r>
    </w:p>
    <w:p>
      <w:pPr>
        <w:spacing w:after="0" w:line="200" w:lineRule="exact"/>
        <w:rPr>
          <w:sz w:val="20"/>
          <w:szCs w:val="20"/>
          <w:color w:val="auto"/>
        </w:rPr>
      </w:pPr>
    </w:p>
    <w:p>
      <w:pPr>
        <w:spacing w:after="0" w:line="26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Threshold Representations</w:t>
      </w:r>
      <w:r>
        <w:rPr>
          <w:rFonts w:ascii="Arial" w:cs="Arial" w:eastAsia="Arial" w:hAnsi="Arial"/>
          <w:sz w:val="18"/>
          <w:szCs w:val="18"/>
          <w:color w:val="auto"/>
        </w:rPr>
        <w:t xml:space="preserve">”: Representations and warranties set forth in paragraphs 11, 14 and 31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and paragraphs 11, 12, 13, 16 and 31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With respect to a Loan, an “event of default” as defined or described in the related Mortgage or other Loan Documents.</w:t>
      </w:r>
    </w:p>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The Federal Deposit Insurance Corporation.</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Ground Lease</w:t>
      </w:r>
      <w:r>
        <w:rPr>
          <w:rFonts w:ascii="Arial" w:cs="Arial" w:eastAsia="Arial" w:hAnsi="Arial"/>
          <w:sz w:val="18"/>
          <w:szCs w:val="18"/>
          <w:color w:val="auto"/>
        </w:rPr>
        <w:t>”: A ground lease of a Mortgaged Property.</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With respect to each Loan, a third party obligor on such Loan, together with its successors and assigns.</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Other than any chemical, material or substance that is used or stored in a manner that is consistent with, and would not result in liability under, any applicable Environmental Law, collectively, (a) any petroleum, petroleum products or waste oils, explosives, radioactive materials, asbestos, urea formaldehyde foam insulation, polychlorinated biphenyls, lead in drinking water, radon and lead-based paint, (b) any chemicals or other materials or substances which are now defined as or included in the definition of “hazardous substances,” “hazardous wastes,” “hazardous materials,” “extremely hazardous wastes,” “restricted hazardous wastes,” “toxic substances,” “toxic pollutants,” “contaminants,” “pollutants,” or words of similar import under any Environmental Law and (c) any other chemical or any other material or substance, exposure to which is now or hereafter prohibited, limited or regulated under any Environmental Law.</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3" w:name="page214"/>
    <w:bookmarkEnd w:id="213"/>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such a Person who does not have any direct financial interest or any material indirect financial interest in any Borrower, the Seller or any of their respective Affiliates.</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12(h)(i)</w:t>
      </w:r>
      <w:r>
        <w:rPr>
          <w:rFonts w:ascii="Arial" w:cs="Arial" w:eastAsia="Arial" w:hAnsi="Arial"/>
          <w:sz w:val="18"/>
          <w:szCs w:val="18"/>
          <w:color w:val="auto"/>
        </w:rPr>
        <w:t xml:space="preserve"> of the Purchase Agreement.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12(h)(i)</w:t>
      </w:r>
      <w:r>
        <w:rPr>
          <w:rFonts w:ascii="Arial" w:cs="Arial" w:eastAsia="Arial" w:hAnsi="Arial"/>
          <w:sz w:val="18"/>
          <w:szCs w:val="18"/>
          <w:color w:val="auto"/>
        </w:rPr>
        <w:t xml:space="preserve"> of the Purchase Agreement.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Proceeds of any title policy, hazard policy or insurance policy covering a Loan or relating to the collateral securing such Loan, if any, to the extent such proceeds are not to be applied to the restoration of the related Mortgaged Property or released to the Borrower in accordance with the terms of the related Mortgage.</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With respect to any Loan, the “Mortgage Interest Rate,” “Interest Rate.” “Applicable Interest Rate” or words of similar meaning as defined in the related Loan Documents (without giving effect to any Default Interest).</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Period</w:t>
      </w:r>
      <w:r>
        <w:rPr>
          <w:rFonts w:ascii="Arial" w:cs="Arial" w:eastAsia="Arial" w:hAnsi="Arial"/>
          <w:sz w:val="17"/>
          <w:szCs w:val="17"/>
          <w:color w:val="auto"/>
        </w:rPr>
        <w:t>”: With respect to any Asset, the period beginning on the Cut-off Date and ending on but excluding the Closing Date.</w:t>
      </w: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an individual will be deemed to have Knowledge of a particular fact or other matter if:</w:t>
      </w:r>
    </w:p>
    <w:p>
      <w:pPr>
        <w:spacing w:after="0" w:line="200" w:lineRule="exact"/>
        <w:rPr>
          <w:sz w:val="20"/>
          <w:szCs w:val="20"/>
          <w:color w:val="auto"/>
        </w:rPr>
      </w:pPr>
    </w:p>
    <w:p>
      <w:pPr>
        <w:spacing w:after="0" w:line="295" w:lineRule="exact"/>
        <w:rPr>
          <w:sz w:val="20"/>
          <w:szCs w:val="20"/>
          <w:color w:val="auto"/>
        </w:rPr>
      </w:pPr>
    </w:p>
    <w:p>
      <w:pPr>
        <w:ind w:left="2000" w:hanging="695"/>
        <w:spacing w:after="0"/>
        <w:tabs>
          <w:tab w:leader="none" w:pos="2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that individual is actually aware of that fact or matter; 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660" w:firstLine="645"/>
        <w:spacing w:after="0" w:line="264" w:lineRule="auto"/>
        <w:tabs>
          <w:tab w:leader="none" w:pos="209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prudent individual could be reasonably expected to discover or otherwise become aware of that fact or matter in the course of conducting a commercially reasonable comprehensive investigation regarding the accuracy of any representation or warranty contained in this Purchase Agreement.</w:t>
      </w:r>
    </w:p>
    <w:p>
      <w:pPr>
        <w:spacing w:after="0" w:line="200" w:lineRule="exact"/>
        <w:rPr>
          <w:sz w:val="20"/>
          <w:szCs w:val="20"/>
          <w:color w:val="auto"/>
        </w:rPr>
      </w:pPr>
    </w:p>
    <w:p>
      <w:pPr>
        <w:spacing w:after="0" w:line="25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Seller will be deemed to have Knowledge of a particular fact or other matter if any of the following individuals who are serving as an officer of Seller has, or at any time had, Knowledge of that fact or other matter (as set forth in (a) and (b) above), and any such individual will be deemed to have conducted a reasonably comprehensive investigation regarding the accuracy of the representations and warranties made herein by Seller, including with respect to each Loan, inquiries of the loan officer or asset manager assigned to such Loan: Bob Head, Regional Credit Manager; Vickie Gilchrist, Credit Administration Manager; and David Shearrow, Chief Risk Officer.</w:t>
      </w: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Obligations</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2(i)</w:t>
      </w:r>
      <w:r>
        <w:rPr>
          <w:rFonts w:ascii="Arial" w:cs="Arial" w:eastAsia="Arial" w:hAnsi="Arial"/>
          <w:sz w:val="18"/>
          <w:szCs w:val="18"/>
          <w:color w:val="auto"/>
        </w:rPr>
        <w:t xml:space="preserve"> of the Purchase Agreement.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Proceeds</w:t>
      </w:r>
      <w:r>
        <w:rPr>
          <w:rFonts w:ascii="Arial" w:cs="Arial" w:eastAsia="Arial" w:hAnsi="Arial"/>
          <w:sz w:val="18"/>
          <w:szCs w:val="18"/>
          <w:color w:val="auto"/>
        </w:rPr>
        <w:t>”: Cash (other than Insurance Proceeds or Condemnation Proceeds) received in connection with the liquidation of a Loan, whether through the sale or assignment of such Loan, judicial foreclosure, foreclosure sale, or otherwise, or the sale of the related Mortgaged Property if the Mortgaged Property is acquired in satisfaction of the Loan, other than amounts required to be paid to the related Borrower pursuant to law or the terms of such Loan.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4" w:name="page215"/>
    <w:bookmarkEnd w:id="214"/>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A commercial loan, consumer loan, commercial mortgage loan or residential mortgage loan which is the subject of this Purchase Agreement as identified on the Asset List attached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a Bill of Sale, which Loan includes without limitation the Loan Documents, the Loan File, all payments received with respect to such loan, Principal Prepayments, Liquidation Proceeds, Condemnation Proceeds, Insurance Proceeds, all liens and security interests securing payment of the Note and all other rights, benefits, proceeds and obligations arising from or in connection with such loan.</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With respect to a Loan, the original operative Note (or if the original operative Note is missing, a lost note affidavit with customary indemnification) with applicable addenda and riders, the original related security instrument and all modifications and amendments thereto, including all Mortgages, any required addenda and riders, any related assignments and any intervening related assignments and the related Title Insurance Policy (other than any internal underwriting analysis of the Seller).</w:t>
      </w: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File</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Purchase Agreement.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With respect to the Seller, Purchaser or the Purchasers, as applicable, any event, circumstance or set of events and circumstances which could reasonably be expected to have a material adverse effect with respect to (a) the business, properties, assets, operations, results of operations, revenues or condition, financial or otherwise, of such entity and its subsidiaries taken as a whole, (b) the legality, validity or enforceability of the Purchase Agreement, or (c) such entity’s ability to perform fully on a timely basis its obligations under the Purchase Agreement.</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Mediation Period</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10(b)</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w:t>
      </w:r>
      <w:r>
        <w:rPr>
          <w:rFonts w:ascii="Arial" w:cs="Arial" w:eastAsia="Arial" w:hAnsi="Arial"/>
          <w:sz w:val="17"/>
          <w:szCs w:val="17"/>
          <w:color w:val="auto"/>
        </w:rPr>
        <w:t>”: The mortgage, deed of trust or other instrument and riders thereto securing a Note, which creates a first lien on an unsubordinated estate in fee simple in real property securing the Note or which secures the interest of a Borrower as a lessee under a Ground Lease.</w:t>
      </w: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The real property securing repayment of the debt evidenced by a Note.</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The promissory note or other evidence of the indebtedness of a Borrower secured by a Mortgage and riders thereto.</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Obligor</w:t>
      </w:r>
      <w:r>
        <w:rPr>
          <w:rFonts w:ascii="Arial" w:cs="Arial" w:eastAsia="Arial" w:hAnsi="Arial"/>
          <w:sz w:val="16"/>
          <w:szCs w:val="16"/>
          <w:color w:val="auto"/>
        </w:rPr>
        <w:t>”: means any maker and any co-maker of the any of the Notes and any guarantor, surety or other primary, secondary or other party obligated with respect to the Loans or any performance or payment obligation in connection therewith, and any other party who has granted collateral for or whose property or any part thereof is subject to any encumbrance securing the Loans or any performance or payment obligation in connection therewith</w:t>
      </w: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A written opinion of counsel, who may be an employee of the Seller, reasonably acceptable to the Purchaser.</w:t>
      </w: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paragraph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to the Purchase Agreement.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Loan Interest</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of the Purchase Agreement.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limited liability company, joint venture, association, joint-stock company, trust, unincorporated organization, government or any agency or political subdivision thereof.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5" w:name="page216"/>
    <w:bookmarkEnd w:id="215"/>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Prepayment</w:t>
      </w:r>
      <w:r>
        <w:rPr>
          <w:rFonts w:ascii="Arial" w:cs="Arial" w:eastAsia="Arial" w:hAnsi="Arial"/>
          <w:sz w:val="18"/>
          <w:szCs w:val="18"/>
          <w:color w:val="auto"/>
        </w:rPr>
        <w:t>”: Any payment or other recovery of principal on a Loan which is received in advance of its scheduled due date, including any prepayment penalty or premium thereon and which is not accompanied by an amount of interest representing scheduled interest due on any date or dates in any month or months subsequent to the month of prepayment.</w:t>
      </w: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Correction Statement</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10(b)</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The meaning specified in the Preamble.</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With respect to any Assets, an amount equal to (a) the Unpaid Principal Balance of the Loans multiplied by 30.72%,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all Collections during the period from the Cut-off Date to the Closing Date other than Performing Loan Interest,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aggregate amount of all Escrow Payments, other funds held in escrow, reserve or other accounts by the Seller with respect to the Assets,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amounts paid or incurred by the Seller after the Cut-off Date and prior to the Closing Date for (i) insurance premiums, (ii) attorneys’ fees (for foreclosure and bankruptcy attorneys, as contemplated by </w:t>
      </w:r>
      <w:r>
        <w:rPr>
          <w:rFonts w:ascii="Arial" w:cs="Arial" w:eastAsia="Arial" w:hAnsi="Arial"/>
          <w:sz w:val="16"/>
          <w:szCs w:val="16"/>
          <w:u w:val="single" w:color="auto"/>
          <w:color w:val="auto"/>
        </w:rPr>
        <w:t>Section 4(b)(xiii)(a)</w:t>
      </w:r>
      <w:r>
        <w:rPr>
          <w:rFonts w:ascii="Arial" w:cs="Arial" w:eastAsia="Arial" w:hAnsi="Arial"/>
          <w:sz w:val="16"/>
          <w:szCs w:val="16"/>
          <w:color w:val="auto"/>
        </w:rPr>
        <w:t xml:space="preserve"> of the Purchase Agreement) with respect to such Assets as set forth on the Asset List,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amount of the Performing Loan Interest. The Purchase Price paid on the Closing Date shall be determined based on the Trial Balance Information subject to </w:t>
      </w:r>
      <w:r>
        <w:rPr>
          <w:rFonts w:ascii="Arial" w:cs="Arial" w:eastAsia="Arial" w:hAnsi="Arial"/>
          <w:sz w:val="16"/>
          <w:szCs w:val="16"/>
          <w:u w:val="single" w:color="auto"/>
          <w:color w:val="auto"/>
        </w:rPr>
        <w:t>Section 10(b)</w:t>
      </w:r>
      <w:r>
        <w:rPr>
          <w:rFonts w:ascii="Arial" w:cs="Arial" w:eastAsia="Arial" w:hAnsi="Arial"/>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With respect to the Subject Residential Mortgage Loans and the Single Family Commercial Loans, CF Trust, and, with respect to all other Assets, CF Southeast.</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Appraiser</w:t>
      </w:r>
      <w:r>
        <w:rPr>
          <w:rFonts w:ascii="Arial" w:cs="Arial" w:eastAsia="Arial" w:hAnsi="Arial"/>
          <w:sz w:val="18"/>
          <w:szCs w:val="18"/>
          <w:color w:val="auto"/>
        </w:rPr>
        <w:t>”: An appraiser who is Independent, a member in good standing of the Appraisal Institute with an MAI membership designation and who is on the Seller’s approved appraiser list.</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Proceeding</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Any release, spill, emission, leaking, pumping, injection, deposit, disposal, discharge, dispersal, leaching or migration into the indoor or outdoor environment, including, without limitation, the movement of Hazardous Substances through ambient air, soil, surface water, ground water, wetlands, land or subsurface strata.</w:t>
      </w: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Price</w:t>
      </w:r>
      <w:r>
        <w:rPr>
          <w:rFonts w:ascii="Arial" w:cs="Arial" w:eastAsia="Arial" w:hAnsi="Arial"/>
          <w:sz w:val="16"/>
          <w:szCs w:val="16"/>
          <w:color w:val="auto"/>
        </w:rPr>
        <w:t>”: With respect to any Asset, means the price to be paid by Seller for such Asset or Assets Seller must repurchase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Purchaser pursuant to the terms of this Purchase Agreement, which shall be computed as follows:</w:t>
      </w:r>
    </w:p>
    <w:p>
      <w:pPr>
        <w:spacing w:after="0" w:line="200" w:lineRule="exact"/>
        <w:rPr>
          <w:sz w:val="20"/>
          <w:szCs w:val="20"/>
          <w:color w:val="auto"/>
        </w:rPr>
      </w:pPr>
    </w:p>
    <w:p>
      <w:pPr>
        <w:spacing w:after="0" w:line="281" w:lineRule="exact"/>
        <w:rPr>
          <w:sz w:val="20"/>
          <w:szCs w:val="20"/>
          <w:color w:val="auto"/>
        </w:rPr>
      </w:pPr>
    </w:p>
    <w:p>
      <w:pPr>
        <w:ind w:left="660" w:firstLine="645"/>
        <w:spacing w:after="0" w:line="277" w:lineRule="auto"/>
        <w:tabs>
          <w:tab w:leader="none" w:pos="202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Allocated Purchase Price for each such Asset paid by such Purchaser,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at the rate of eight percent (8%) per annum for the period from the Closing Date to but excluding the date such Asset is repurchased by the Seller.</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660" w:right="20" w:firstLine="645"/>
        <w:spacing w:after="0" w:line="259" w:lineRule="auto"/>
        <w:tabs>
          <w:tab w:leader="none" w:pos="212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(i) reasonable amounts paid to third parties to collect principal, interest and other amounts due under such Asset(s), and (ii) commercially reasonable advances made to third parties in order to protect the Collateral Security for such Assets and other advances made pursuant to the Loan Documents, in each case from the Closing Date to the repurchase date, minus any such amounts with respect to the foregoing clauses (i) and (ii) for which the Purchaser has been reimbursed by an Obligor.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6" w:name="page217"/>
    <w:bookmarkEnd w:id="216"/>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Insurance Policy</w:t>
      </w:r>
      <w:r>
        <w:rPr>
          <w:rFonts w:ascii="Arial" w:cs="Arial" w:eastAsia="Arial" w:hAnsi="Arial"/>
          <w:sz w:val="16"/>
          <w:szCs w:val="16"/>
          <w:color w:val="auto"/>
        </w:rPr>
        <w:t>”: Any insurance policy which is required to be maintained from time to time under a Mortgage or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pacing w:after="0" w:line="2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Loan</w:t>
      </w:r>
      <w:r>
        <w:rPr>
          <w:rFonts w:ascii="Arial" w:cs="Arial" w:eastAsia="Arial" w:hAnsi="Arial"/>
          <w:sz w:val="18"/>
          <w:szCs w:val="18"/>
          <w:color w:val="auto"/>
        </w:rPr>
        <w:t xml:space="preserve">:” A commercial loan, consumer loan, commercial mortgage loan or residential mortgage loan owned or held by Seller or any of its Affiliates which is not being sold to Purchaser pursuant to this Purchase Agreement, but which is cross-collateralized with or shares a common Obligor with a Loan identified on the Asset List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the Bill of Sale.</w:t>
      </w: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The meaning specified in the Preamble.</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12(f)</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Single Family Commercial Loans</w:t>
      </w:r>
      <w:r>
        <w:rPr>
          <w:rFonts w:ascii="Arial" w:cs="Arial" w:eastAsia="Arial" w:hAnsi="Arial"/>
          <w:sz w:val="17"/>
          <w:szCs w:val="17"/>
          <w:color w:val="auto"/>
        </w:rPr>
        <w:t xml:space="preserve">”: The Loans identified as “Commercial Loans Secured by Single Family Homes” on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Residential Mortgage Loans</w:t>
      </w:r>
      <w:r>
        <w:rPr>
          <w:rFonts w:ascii="Arial" w:cs="Arial" w:eastAsia="Arial" w:hAnsi="Arial"/>
          <w:sz w:val="18"/>
          <w:szCs w:val="18"/>
          <w:color w:val="auto"/>
        </w:rPr>
        <w:t xml:space="preserve">”: The Loans identified as “Residential Mortgage Loans”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xml:space="preserve">”: With respect to a Retained Loan, the subordination agreement to be executed by Seller and Purchaser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Title Insurance Policy</w:t>
      </w:r>
      <w:r>
        <w:rPr>
          <w:rFonts w:ascii="Arial" w:cs="Arial" w:eastAsia="Arial" w:hAnsi="Arial"/>
          <w:sz w:val="17"/>
          <w:szCs w:val="17"/>
          <w:color w:val="auto"/>
        </w:rPr>
        <w:t>”: With respect to each Loan, the ALTA (or equivalent) form mortgagee title insurance policy or policies issued with respect to the Mortgaged Property for such Loan and insuring the first priority mortgage lien in favor of the Purchaser pursuant to the related Mortgage, subject only to encumbrances permitted pursuant to such Mortgage and containing certain endorsements and affirmative assurances.</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Trial Balance Information</w:t>
      </w:r>
      <w:r>
        <w:rPr>
          <w:rFonts w:ascii="Arial" w:cs="Arial" w:eastAsia="Arial" w:hAnsi="Arial"/>
          <w:sz w:val="18"/>
          <w:szCs w:val="18"/>
          <w:color w:val="auto"/>
        </w:rPr>
        <w:t xml:space="preserve">”: The meaning specified in </w:t>
      </w:r>
      <w:r>
        <w:rPr>
          <w:rFonts w:ascii="Arial" w:cs="Arial" w:eastAsia="Arial" w:hAnsi="Arial"/>
          <w:sz w:val="18"/>
          <w:szCs w:val="18"/>
          <w:u w:val="single" w:color="auto"/>
          <w:color w:val="auto"/>
        </w:rPr>
        <w:t>Section 9(g)</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Principal Balance</w:t>
      </w:r>
      <w:r>
        <w:rPr>
          <w:rFonts w:ascii="Arial" w:cs="Arial" w:eastAsia="Arial" w:hAnsi="Arial"/>
          <w:sz w:val="18"/>
          <w:szCs w:val="18"/>
          <w:color w:val="auto"/>
        </w:rPr>
        <w:t>”: With respect to each Loan, the net unpaid principal balance of such Loan as of the Cut-off Date as set forth in column (7) of the Asset List.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Exhibit C-1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ASSETS OTHER THAN SUBJECT RESIDENTIAL MORTGAGE LOANS</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respect to the Assets other than Subject Residential Mortgage Loans, as of the Closing Date (except for the exceptions set forth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 or the Asset List), the Seller represents and warrants as to such Assets:</w:t>
      </w:r>
    </w:p>
    <w:p>
      <w:pPr>
        <w:spacing w:after="0" w:line="265"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1</w:t>
      </w:r>
      <w:r>
        <w:rPr>
          <w:rFonts w:ascii="Arial" w:cs="Arial" w:eastAsia="Arial" w:hAnsi="Arial"/>
          <w:sz w:val="18"/>
          <w:szCs w:val="18"/>
          <w:i w:val="1"/>
          <w:iCs w:val="1"/>
          <w:color w:val="auto"/>
        </w:rPr>
        <w:t>. Ownership of Assets.</w:t>
      </w:r>
      <w:r>
        <w:rPr>
          <w:rFonts w:ascii="Arial" w:cs="Arial" w:eastAsia="Arial" w:hAnsi="Arial"/>
          <w:sz w:val="18"/>
          <w:szCs w:val="18"/>
          <w:color w:val="auto"/>
        </w:rPr>
        <w:t xml:space="preserve"> Immediately prior to the transfer thereof to the Purchaser, the Seller had good and marketable title to, and was the sole owner and holder of, such Assets, free and clear of any and all liens, encumbrances and other interests on, in or to such Asset other than Permitted Encumbrances.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140" w:val="left"/>
        </w:tabs>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 xml:space="preserve">Authority to Transfer Assets. </w:t>
      </w:r>
      <w:r>
        <w:rPr>
          <w:rFonts w:ascii="Arial" w:cs="Arial" w:eastAsia="Arial" w:hAnsi="Arial"/>
          <w:sz w:val="16"/>
          <w:szCs w:val="16"/>
          <w:color w:val="auto"/>
        </w:rPr>
        <w:t>The Seller has full right and authority to sell, assign and transfer such Assets.</w:t>
      </w:r>
    </w:p>
    <w:p>
      <w:pPr>
        <w:spacing w:after="0" w:line="200" w:lineRule="exact"/>
        <w:rPr>
          <w:sz w:val="20"/>
          <w:szCs w:val="20"/>
          <w:color w:val="auto"/>
        </w:rPr>
      </w:pPr>
    </w:p>
    <w:p>
      <w:pPr>
        <w:spacing w:after="0" w:line="32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3</w:t>
      </w:r>
      <w:r>
        <w:rPr>
          <w:rFonts w:ascii="Arial" w:cs="Arial" w:eastAsia="Arial" w:hAnsi="Arial"/>
          <w:sz w:val="18"/>
          <w:szCs w:val="18"/>
          <w:i w:val="1"/>
          <w:iCs w:val="1"/>
          <w:color w:val="auto"/>
        </w:rPr>
        <w:t>. Asset List.</w:t>
      </w:r>
      <w:r>
        <w:rPr>
          <w:rFonts w:ascii="Arial" w:cs="Arial" w:eastAsia="Arial" w:hAnsi="Arial"/>
          <w:sz w:val="18"/>
          <w:szCs w:val="18"/>
          <w:color w:val="auto"/>
        </w:rPr>
        <w:t xml:space="preserve"> The information pertaining to such Assets set forth in the Asset List is true and correct in all material respects as of the date specified therein.</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7"/>
          <w:szCs w:val="17"/>
          <w:color w:val="auto"/>
        </w:rPr>
        <w:t>4</w:t>
      </w:r>
      <w:r>
        <w:rPr>
          <w:rFonts w:ascii="Arial" w:cs="Arial" w:eastAsia="Arial" w:hAnsi="Arial"/>
          <w:sz w:val="17"/>
          <w:szCs w:val="17"/>
          <w:i w:val="1"/>
          <w:iCs w:val="1"/>
          <w:color w:val="auto"/>
        </w:rPr>
        <w:t>. Permitted Encumbrances.</w:t>
      </w:r>
      <w:r>
        <w:rPr>
          <w:rFonts w:ascii="Arial" w:cs="Arial" w:eastAsia="Arial" w:hAnsi="Arial"/>
          <w:sz w:val="17"/>
          <w:szCs w:val="17"/>
          <w:color w:val="auto"/>
        </w:rPr>
        <w:t xml:space="preserve"> Subject to the disclosures under the representation in </w:t>
      </w:r>
      <w:r>
        <w:rPr>
          <w:rFonts w:ascii="Arial" w:cs="Arial" w:eastAsia="Arial" w:hAnsi="Arial"/>
          <w:sz w:val="17"/>
          <w:szCs w:val="17"/>
          <w:u w:val="single" w:color="auto"/>
          <w:color w:val="auto"/>
        </w:rPr>
        <w:t>paragraph 25</w:t>
      </w:r>
      <w:r>
        <w:rPr>
          <w:rFonts w:ascii="Arial" w:cs="Arial" w:eastAsia="Arial" w:hAnsi="Arial"/>
          <w:sz w:val="17"/>
          <w:szCs w:val="17"/>
          <w:color w:val="auto"/>
        </w:rPr>
        <w:t xml:space="preserve"> (</w:t>
      </w:r>
      <w:r>
        <w:rPr>
          <w:rFonts w:ascii="Arial" w:cs="Arial" w:eastAsia="Arial" w:hAnsi="Arial"/>
          <w:sz w:val="17"/>
          <w:szCs w:val="17"/>
          <w:i w:val="1"/>
          <w:iCs w:val="1"/>
          <w:color w:val="auto"/>
        </w:rPr>
        <w:t>Lien Releases</w:t>
      </w:r>
      <w:r>
        <w:rPr>
          <w:rFonts w:ascii="Arial" w:cs="Arial" w:eastAsia="Arial" w:hAnsi="Arial"/>
          <w:sz w:val="17"/>
          <w:szCs w:val="17"/>
          <w:color w:val="auto"/>
        </w:rPr>
        <w:t xml:space="preserve">) below, if any, the related Mortgage and other Collateral Security, including personal property constitutes, unless otherwise specifically and expressly identified as a second or third lien on the Disclosure Schedule, a valid first priority lien upon the related Mortgaged Property and other Collateral Security, including personal property and all buildings located thereon and all fixtures attached thereto for the current outstanding principal balance of the Loan secured thereby, such lien being subject only to: (a) the lien of current real and personal property taxes, water rates, sewer rents and assessments or payments to the taxing authority in lieu thereof not yet due or payable, (b) covenants, conditions and restrictions, rights of way easements and other matters of public record or reflected on the related survey, (c) encumbrances and exceptions specifically referred to in any Title Insurance Policy or opinion issued with respect to the Mortgaged Property issued or, as evidenced by a “marked-up” commitment for title insurance (subject to </w:t>
      </w:r>
      <w:r>
        <w:rPr>
          <w:rFonts w:ascii="Arial" w:cs="Arial" w:eastAsia="Arial" w:hAnsi="Arial"/>
          <w:sz w:val="17"/>
          <w:szCs w:val="17"/>
          <w:u w:val="single" w:color="auto"/>
          <w:color w:val="auto"/>
        </w:rPr>
        <w:t>Section 2(d)</w:t>
      </w:r>
      <w:r>
        <w:rPr>
          <w:rFonts w:ascii="Arial" w:cs="Arial" w:eastAsia="Arial" w:hAnsi="Arial"/>
          <w:sz w:val="17"/>
          <w:szCs w:val="17"/>
          <w:color w:val="auto"/>
        </w:rPr>
        <w:t>), to be issued in respect of the Mortgaged Property, (d) rights of tenants, if any, as tenants only and (e) where a Mortgaged Property is a condominium unit, the lien of a condominium association on such Mortgaged Property for unpaid maintenance or common expense assessments which in either case are not yet due and payable (“</w:t>
      </w:r>
      <w:r>
        <w:rPr>
          <w:rFonts w:ascii="Arial" w:cs="Arial" w:eastAsia="Arial" w:hAnsi="Arial"/>
          <w:sz w:val="17"/>
          <w:szCs w:val="17"/>
          <w:u w:val="single" w:color="auto"/>
          <w:color w:val="auto"/>
        </w:rPr>
        <w:t>Permitted Encumbrances</w:t>
      </w:r>
      <w:r>
        <w:rPr>
          <w:rFonts w:ascii="Arial" w:cs="Arial" w:eastAsia="Arial" w:hAnsi="Arial"/>
          <w:sz w:val="17"/>
          <w:szCs w:val="17"/>
          <w:color w:val="auto"/>
        </w:rPr>
        <w:t>”). The Permitted Encumbrances do not materially interfere with the security intended to be provided by the related Mortgage or the current use or operation of the related Mortgaged Property or any other Collateral Security.</w:t>
      </w:r>
    </w:p>
    <w:p>
      <w:pPr>
        <w:spacing w:after="0" w:line="200" w:lineRule="exact"/>
        <w:rPr>
          <w:sz w:val="20"/>
          <w:szCs w:val="20"/>
          <w:color w:val="auto"/>
        </w:rPr>
      </w:pPr>
    </w:p>
    <w:p>
      <w:pPr>
        <w:spacing w:after="0" w:line="27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5</w:t>
      </w:r>
      <w:r>
        <w:rPr>
          <w:rFonts w:ascii="Arial" w:cs="Arial" w:eastAsia="Arial" w:hAnsi="Arial"/>
          <w:sz w:val="18"/>
          <w:szCs w:val="18"/>
          <w:i w:val="1"/>
          <w:iCs w:val="1"/>
          <w:color w:val="auto"/>
        </w:rPr>
        <w:t>. No Waivers by Seller of Material Defaults.</w:t>
      </w:r>
      <w:r>
        <w:rPr>
          <w:rFonts w:ascii="Arial" w:cs="Arial" w:eastAsia="Arial" w:hAnsi="Arial"/>
          <w:sz w:val="18"/>
          <w:szCs w:val="18"/>
          <w:color w:val="auto"/>
        </w:rPr>
        <w:t xml:space="preserve"> The Seller has not waived any material default, breach, violation or event of acceleration existing under the related Mortgage or Note.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6</w:t>
      </w:r>
      <w:r>
        <w:rPr>
          <w:rFonts w:ascii="Arial" w:cs="Arial" w:eastAsia="Arial" w:hAnsi="Arial"/>
          <w:sz w:val="18"/>
          <w:szCs w:val="18"/>
          <w:i w:val="1"/>
          <w:iCs w:val="1"/>
          <w:color w:val="auto"/>
        </w:rPr>
        <w:t>. No Offsets, Defenses or Counterclaims.</w:t>
      </w:r>
      <w:r>
        <w:rPr>
          <w:rFonts w:ascii="Arial" w:cs="Arial" w:eastAsia="Arial" w:hAnsi="Arial"/>
          <w:sz w:val="18"/>
          <w:szCs w:val="18"/>
          <w:color w:val="auto"/>
        </w:rPr>
        <w:t xml:space="preserve"> There is no material valid offset, defense or counterclaim to such Loan and, except as otherwise disclosed in the Loan Files, or to Seller’s Knowledge, there are no actions, suits or proceedings by or before any governmental authority pending against Seller or any Obligor with respect to any Loan or other Asset.</w:t>
      </w:r>
    </w:p>
    <w:p>
      <w:pPr>
        <w:spacing w:after="0" w:line="200" w:lineRule="exact"/>
        <w:rPr>
          <w:sz w:val="20"/>
          <w:szCs w:val="20"/>
          <w:color w:val="auto"/>
        </w:rPr>
      </w:pPr>
    </w:p>
    <w:p>
      <w:pPr>
        <w:spacing w:after="0" w:line="27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7</w:t>
      </w:r>
      <w:r>
        <w:rPr>
          <w:rFonts w:ascii="Arial" w:cs="Arial" w:eastAsia="Arial" w:hAnsi="Arial"/>
          <w:sz w:val="18"/>
          <w:szCs w:val="18"/>
          <w:i w:val="1"/>
          <w:iCs w:val="1"/>
          <w:color w:val="auto"/>
        </w:rPr>
        <w:t>. Condition of Property; Condemnation</w:t>
      </w:r>
      <w:r>
        <w:rPr>
          <w:rFonts w:ascii="Arial" w:cs="Arial" w:eastAsia="Arial" w:hAnsi="Arial"/>
          <w:sz w:val="18"/>
          <w:szCs w:val="18"/>
          <w:color w:val="auto"/>
        </w:rPr>
        <w:t>. To the Seller’s Knowledge, the related Mortgaged Property is free and clear of any damage that would materially and adversely affect its value as security for such Loan unless there has been already escrowed 100% of the amounts required to make any necessary repairs to correct such material damage. There are no pending proceedings for the condemnation of all or any material portion of the related Mortgaged Property.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8" w:name="page219"/>
    <w:bookmarkEnd w:id="218"/>
    <w:p>
      <w:pPr>
        <w:jc w:val="both"/>
        <w:ind w:firstLine="810"/>
        <w:spacing w:after="0" w:line="302" w:lineRule="auto"/>
        <w:rPr>
          <w:sz w:val="20"/>
          <w:szCs w:val="20"/>
          <w:color w:val="auto"/>
        </w:rPr>
      </w:pPr>
      <w:r>
        <w:rPr>
          <w:rFonts w:ascii="Arial" w:cs="Arial" w:eastAsia="Arial" w:hAnsi="Arial"/>
          <w:sz w:val="16"/>
          <w:szCs w:val="16"/>
          <w:color w:val="auto"/>
        </w:rPr>
        <w:t>8</w:t>
      </w:r>
      <w:r>
        <w:rPr>
          <w:rFonts w:ascii="Arial" w:cs="Arial" w:eastAsia="Arial" w:hAnsi="Arial"/>
          <w:sz w:val="16"/>
          <w:szCs w:val="16"/>
          <w:i w:val="1"/>
          <w:iCs w:val="1"/>
          <w:color w:val="auto"/>
        </w:rPr>
        <w:t>. Compliance with Certain Laws.</w:t>
      </w:r>
      <w:r>
        <w:rPr>
          <w:rFonts w:ascii="Arial" w:cs="Arial" w:eastAsia="Arial" w:hAnsi="Arial"/>
          <w:sz w:val="16"/>
          <w:szCs w:val="16"/>
          <w:color w:val="auto"/>
        </w:rPr>
        <w:t xml:space="preserve"> Such Loan complies with, or is exempt from, all applicable usury laws in effect as of its date of origination or the Loan File contains an opinion to that effect. Such Loan complies with, and was originated in compliance with, the requirements of the USA PATRIOT Act (Title III of Pub. L. 107-56 (signed into law October 26, 2001)) (the “Act”), including the delivery of documentation and other information required to comply with the ongoing obligations under applicable “know your customer” and anti-money laundering rules and regulations, including the Act.</w:t>
      </w:r>
    </w:p>
    <w:p>
      <w:pPr>
        <w:spacing w:after="0" w:line="200" w:lineRule="exact"/>
        <w:rPr>
          <w:sz w:val="20"/>
          <w:szCs w:val="20"/>
          <w:color w:val="auto"/>
        </w:rPr>
      </w:pPr>
    </w:p>
    <w:p>
      <w:pPr>
        <w:spacing w:after="0" w:line="251" w:lineRule="exact"/>
        <w:rPr>
          <w:sz w:val="20"/>
          <w:szCs w:val="20"/>
          <w:color w:val="auto"/>
        </w:rPr>
      </w:pPr>
    </w:p>
    <w:p>
      <w:pPr>
        <w:jc w:val="both"/>
        <w:ind w:firstLine="810"/>
        <w:spacing w:after="0" w:line="276" w:lineRule="auto"/>
        <w:rPr>
          <w:sz w:val="20"/>
          <w:szCs w:val="20"/>
          <w:color w:val="auto"/>
        </w:rPr>
      </w:pPr>
      <w:r>
        <w:rPr>
          <w:rFonts w:ascii="Arial" w:cs="Arial" w:eastAsia="Arial" w:hAnsi="Arial"/>
          <w:sz w:val="17"/>
          <w:szCs w:val="17"/>
          <w:color w:val="auto"/>
        </w:rPr>
        <w:t>9</w:t>
      </w:r>
      <w:r>
        <w:rPr>
          <w:rFonts w:ascii="Arial" w:cs="Arial" w:eastAsia="Arial" w:hAnsi="Arial"/>
          <w:sz w:val="17"/>
          <w:szCs w:val="17"/>
          <w:i w:val="1"/>
          <w:iCs w:val="1"/>
          <w:color w:val="auto"/>
        </w:rPr>
        <w:t>. Enforceability.</w:t>
      </w:r>
      <w:r>
        <w:rPr>
          <w:rFonts w:ascii="Arial" w:cs="Arial" w:eastAsia="Arial" w:hAnsi="Arial"/>
          <w:sz w:val="17"/>
          <w:szCs w:val="17"/>
          <w:color w:val="auto"/>
        </w:rPr>
        <w:t xml:space="preserve"> Each related Note, related Mortgage and related Assignment of Leases, Rents and Profits (if any) is the legal, valid and binding obligation of the maker thereof (subject to any non-recourse provisions contained in any of the foregoing agreements and any applicable state anti-deficiency or market value limit deficiency legislation), enforceable in accordance with its terms, except as such enforcement may be limited by anti-deficiency, bankruptcy, insolvency, reorganization, receivership, moratorium, redemption, liquidation or other laws relating to or affecting the rights of creditors generally and by general principles of equity (regardless of whether such enforcement is considered in a proceeding in equity or at law).</w:t>
      </w:r>
    </w:p>
    <w:p>
      <w:pPr>
        <w:spacing w:after="0" w:line="200" w:lineRule="exact"/>
        <w:rPr>
          <w:sz w:val="20"/>
          <w:szCs w:val="20"/>
          <w:color w:val="auto"/>
        </w:rPr>
      </w:pPr>
    </w:p>
    <w:p>
      <w:pPr>
        <w:spacing w:after="0" w:line="270" w:lineRule="exact"/>
        <w:rPr>
          <w:sz w:val="20"/>
          <w:szCs w:val="20"/>
          <w:color w:val="auto"/>
        </w:rPr>
      </w:pPr>
    </w:p>
    <w:p>
      <w:pPr>
        <w:jc w:val="both"/>
        <w:ind w:firstLine="818"/>
        <w:spacing w:after="0" w:line="286" w:lineRule="auto"/>
        <w:tabs>
          <w:tab w:leader="none" w:pos="1265"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To the Seller’s Knowledge, (i) the improvements upon the related Mortgaged Property are insured against loss by a fire and</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perils policy providing coverage against loss or damage included within the “all risk of physical loss” or the equivalent thereof, in an amount (subject to a customary deductible) at least equal to the lesser of (1) the outstanding principal amount of such Loan, (2) 100% of the full actual replacement cost or value of the improvements located on such Mortgaged Property (exclusive of costs of excavations, foundations and underground utilities and footings) and (3) the full insurable actual cash value of such improvements, and the related hazard insurance policy contains appropriate endorsements to avoid the application of co-insurance and does not permit reduction in insurance proceeds for depreciation. If any portion of the improvements on the related Mortgaged Property was, at the time of the origination of such Loan, in an area identified in the Federal Register by the Federal Emergency Management Agency as having “special flood hazards,” a flood insurance policy meeting any requirements of the then current guidelines of the Federal Insurance Administration is in effect with an Acceptable Insurer, in an amount representing coverage not less than the least of (1) the outstanding principal amount of such Loan, (2) the full insurable actual cash value of such Mortgaged Property, (3) the maximum amount of insurance available under the National Flood Insurance Act of 1968, as amended, and (4) 100% of the full actual replacement cost or value of the improvements located on such Mortgaged Property. The loan documents require the Borrower to maintain (or to cause the applicable tenant to maintain) the insurance referred to in this paragraph in respect of the Mortgaged Property, and all such insurance required by the loan documents to be maintained is in full force and affect and names the originator of such Loan as mortgagee, loss payee or additional insured. Each such insurance policy requires prior notice to the holder of the Mortgage of termination or cancellation, and no such notice has been received, including any notice of nonpayment of premiums, that has not been cured.</w:t>
      </w:r>
    </w:p>
    <w:p>
      <w:pPr>
        <w:spacing w:after="0" w:line="200" w:lineRule="exact"/>
        <w:rPr>
          <w:sz w:val="20"/>
          <w:szCs w:val="20"/>
          <w:color w:val="auto"/>
        </w:rPr>
      </w:pPr>
    </w:p>
    <w:p>
      <w:pPr>
        <w:spacing w:after="0" w:line="266"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11</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 xml:space="preserve">Environmental Conditions. </w:t>
      </w:r>
      <w:r>
        <w:rPr>
          <w:rFonts w:ascii="Arial" w:cs="Arial" w:eastAsia="Arial" w:hAnsi="Arial"/>
          <w:sz w:val="16"/>
          <w:szCs w:val="16"/>
          <w:color w:val="auto"/>
        </w:rPr>
        <w:t>(i) There are no material adverse environmental conditions or circumstances affecting such Mortgaged Property;</w:t>
      </w:r>
    </w:p>
    <w:p>
      <w:pPr>
        <w:spacing w:after="0" w:line="23" w:lineRule="exact"/>
        <w:rPr>
          <w:sz w:val="20"/>
          <w:szCs w:val="20"/>
          <w:color w:val="auto"/>
        </w:rPr>
      </w:pPr>
    </w:p>
    <w:p>
      <w:pPr>
        <w:jc w:val="both"/>
        <w:ind w:firstLine="8"/>
        <w:spacing w:after="0" w:line="252" w:lineRule="auto"/>
        <w:tabs>
          <w:tab w:leader="none" w:pos="27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Mortgaged Property is subject to a notice, Environmental Claim, request for information or order from or agreement with a government authority or any other Person respecting the Release or threatened Release of a Hazardous Substance; (iii) there has been no Release of Hazardous Substances on, at or under any Mortgaged Property which would reasonably be expected to result in the imposition of any material liability or any Environmental Claim; (iv) there are no judicial or administrative proceedings or any other Environmental Claims pending or threatened alleging any violation or failure to comply with any Environmental Law, or with respect to any release of any Hazardous Substance from any Mortgaged Property; and (v) none of the Mortgaged Properties are subject to any removal or remediation of any Hazardous Substances or are subject to notice to or approval from any governmental authority pertaining to environmental matters.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19" w:name="page220"/>
    <w:bookmarkEnd w:id="219"/>
    <w:p>
      <w:pPr>
        <w:jc w:val="both"/>
        <w:ind w:firstLine="810"/>
        <w:spacing w:after="0" w:line="308" w:lineRule="auto"/>
        <w:rPr>
          <w:sz w:val="20"/>
          <w:szCs w:val="20"/>
          <w:color w:val="auto"/>
        </w:rPr>
      </w:pPr>
      <w:r>
        <w:rPr>
          <w:rFonts w:ascii="Arial" w:cs="Arial" w:eastAsia="Arial" w:hAnsi="Arial"/>
          <w:sz w:val="17"/>
          <w:szCs w:val="17"/>
          <w:color w:val="auto"/>
        </w:rPr>
        <w:t>12</w:t>
      </w:r>
      <w:r>
        <w:rPr>
          <w:rFonts w:ascii="Arial" w:cs="Arial" w:eastAsia="Arial" w:hAnsi="Arial"/>
          <w:sz w:val="17"/>
          <w:szCs w:val="17"/>
          <w:i w:val="1"/>
          <w:iCs w:val="1"/>
          <w:color w:val="auto"/>
        </w:rPr>
        <w:t>. Cross-Collateralization with Other Loans.</w:t>
      </w:r>
      <w:r>
        <w:rPr>
          <w:rFonts w:ascii="Arial" w:cs="Arial" w:eastAsia="Arial" w:hAnsi="Arial"/>
          <w:sz w:val="17"/>
          <w:szCs w:val="17"/>
          <w:color w:val="auto"/>
        </w:rPr>
        <w:t xml:space="preserve"> Such Loan may be cross-collateralized with or share a common Obligor with a commercial loan, consumer loan, commercial mortgage loan or residential mortgage loan held by Seller on the Closing Date that is not included in the Assets.</w:t>
      </w:r>
    </w:p>
    <w:p>
      <w:pPr>
        <w:spacing w:after="0" w:line="200" w:lineRule="exact"/>
        <w:rPr>
          <w:sz w:val="20"/>
          <w:szCs w:val="20"/>
          <w:color w:val="auto"/>
        </w:rPr>
      </w:pPr>
    </w:p>
    <w:p>
      <w:pPr>
        <w:spacing w:after="0" w:line="24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13</w:t>
      </w:r>
      <w:r>
        <w:rPr>
          <w:rFonts w:ascii="Arial" w:cs="Arial" w:eastAsia="Arial" w:hAnsi="Arial"/>
          <w:sz w:val="18"/>
          <w:szCs w:val="18"/>
          <w:i w:val="1"/>
          <w:iCs w:val="1"/>
          <w:color w:val="auto"/>
        </w:rPr>
        <w:t>. Waivers and Modifications.</w:t>
      </w:r>
      <w:r>
        <w:rPr>
          <w:rFonts w:ascii="Arial" w:cs="Arial" w:eastAsia="Arial" w:hAnsi="Arial"/>
          <w:sz w:val="18"/>
          <w:szCs w:val="18"/>
          <w:color w:val="auto"/>
        </w:rPr>
        <w:t xml:space="preserve"> The terms of the related Mortgage and the related Note have not been impaired, waived, altered or modified in any material respect, except as specifically set forth in the related Loan File.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14</w:t>
      </w:r>
      <w:r>
        <w:rPr>
          <w:rFonts w:ascii="Arial" w:cs="Arial" w:eastAsia="Arial" w:hAnsi="Arial"/>
          <w:sz w:val="18"/>
          <w:szCs w:val="18"/>
          <w:i w:val="1"/>
          <w:iCs w:val="1"/>
          <w:color w:val="auto"/>
        </w:rPr>
        <w:t>. Taxes and Assessments.</w:t>
      </w:r>
      <w:r>
        <w:rPr>
          <w:rFonts w:ascii="Arial" w:cs="Arial" w:eastAsia="Arial" w:hAnsi="Arial"/>
          <w:sz w:val="18"/>
          <w:szCs w:val="18"/>
          <w:color w:val="auto"/>
        </w:rPr>
        <w:t xml:space="preserve"> There are no Delinquent Property Taxes affecting any Mortgaged Property, which are or may become a lien of priority equal or senior to the lien of the related Mortgage except such as have been paid.</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15</w:t>
      </w:r>
      <w:r>
        <w:rPr>
          <w:rFonts w:ascii="Arial" w:cs="Arial" w:eastAsia="Arial" w:hAnsi="Arial"/>
          <w:sz w:val="18"/>
          <w:szCs w:val="18"/>
          <w:i w:val="1"/>
          <w:iCs w:val="1"/>
          <w:color w:val="auto"/>
        </w:rPr>
        <w:t>. Valid Assignment.</w:t>
      </w:r>
      <w:r>
        <w:rPr>
          <w:rFonts w:ascii="Arial" w:cs="Arial" w:eastAsia="Arial" w:hAnsi="Arial"/>
          <w:sz w:val="18"/>
          <w:szCs w:val="18"/>
          <w:color w:val="auto"/>
        </w:rPr>
        <w:t xml:space="preserve"> The assignment of the Mortgage and operative Note related to each Loan, constitutes the legal, valid and binding assignment of such Mortgage and such operative Note from the Seller to the Purchaser subject to the exceptions described in </w:t>
      </w:r>
      <w:r>
        <w:rPr>
          <w:rFonts w:ascii="Arial" w:cs="Arial" w:eastAsia="Arial" w:hAnsi="Arial"/>
          <w:sz w:val="18"/>
          <w:szCs w:val="18"/>
          <w:u w:val="single" w:color="auto"/>
          <w:color w:val="auto"/>
        </w:rPr>
        <w:t>paragraph 9</w:t>
      </w:r>
      <w:r>
        <w:rPr>
          <w:rFonts w:ascii="Arial" w:cs="Arial" w:eastAsia="Arial" w:hAnsi="Arial"/>
          <w:sz w:val="18"/>
          <w:szCs w:val="18"/>
          <w:color w:val="auto"/>
        </w:rPr>
        <w:t xml:space="preserve"> (</w:t>
      </w:r>
      <w:r>
        <w:rPr>
          <w:rFonts w:ascii="Arial" w:cs="Arial" w:eastAsia="Arial" w:hAnsi="Arial"/>
          <w:sz w:val="18"/>
          <w:szCs w:val="18"/>
          <w:i w:val="1"/>
          <w:iCs w:val="1"/>
          <w:color w:val="auto"/>
        </w:rPr>
        <w:t>Enforceability</w:t>
      </w:r>
      <w:r>
        <w:rPr>
          <w:rFonts w:ascii="Arial" w:cs="Arial" w:eastAsia="Arial" w:hAnsi="Arial"/>
          <w:sz w:val="18"/>
          <w:szCs w:val="18"/>
          <w:color w:val="auto"/>
        </w:rPr>
        <w:t>) above.</w:t>
      </w:r>
    </w:p>
    <w:p>
      <w:pPr>
        <w:spacing w:after="0" w:line="200" w:lineRule="exact"/>
        <w:rPr>
          <w:sz w:val="20"/>
          <w:szCs w:val="20"/>
          <w:color w:val="auto"/>
        </w:rPr>
      </w:pPr>
    </w:p>
    <w:p>
      <w:pPr>
        <w:spacing w:after="0" w:line="27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16</w:t>
      </w:r>
      <w:r>
        <w:rPr>
          <w:rFonts w:ascii="Arial" w:cs="Arial" w:eastAsia="Arial" w:hAnsi="Arial"/>
          <w:sz w:val="18"/>
          <w:szCs w:val="18"/>
          <w:i w:val="1"/>
          <w:iCs w:val="1"/>
          <w:color w:val="auto"/>
        </w:rPr>
        <w:t>. Escrows.</w:t>
      </w:r>
      <w:r>
        <w:rPr>
          <w:rFonts w:ascii="Arial" w:cs="Arial" w:eastAsia="Arial" w:hAnsi="Arial"/>
          <w:sz w:val="18"/>
          <w:szCs w:val="18"/>
          <w:color w:val="auto"/>
        </w:rPr>
        <w:t xml:space="preserve"> There are no cash, escrow or reserve deposits relating to such Loan that are, as of the Closing Date, required to be deposited with the mortgagee or its agent.</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17</w:t>
      </w:r>
      <w:r>
        <w:rPr>
          <w:rFonts w:ascii="Arial" w:cs="Arial" w:eastAsia="Arial" w:hAnsi="Arial"/>
          <w:sz w:val="18"/>
          <w:szCs w:val="18"/>
          <w:i w:val="1"/>
          <w:iCs w:val="1"/>
          <w:color w:val="auto"/>
        </w:rPr>
        <w:t>. No Material Encroachments.</w:t>
      </w:r>
      <w:r>
        <w:rPr>
          <w:rFonts w:ascii="Arial" w:cs="Arial" w:eastAsia="Arial" w:hAnsi="Arial"/>
          <w:sz w:val="18"/>
          <w:szCs w:val="18"/>
          <w:color w:val="auto"/>
        </w:rPr>
        <w:t xml:space="preserve"> As of the date of origination of a Loan, no improvement that was included for the purpose of determining the Appraised Value of the related Mortgaged Property at the time of origination of such Loan lay outside the boundaries and building restriction lines of such property to any material extent, and no improvements on adjoining properties encroached upon such Mortgaged Property to any material extent. The improvements located on or forming part of such Mortgaged Property comply in all material respects with applicable zoning laws and ordinances (except to the extent that they may constitute legal nonconforming uses) or, if any such improvement does not comply, such noncompliance does not materially and adversely affect the value of the Mortgaged Property.</w:t>
      </w:r>
    </w:p>
    <w:p>
      <w:pPr>
        <w:spacing w:after="0" w:line="200" w:lineRule="exact"/>
        <w:rPr>
          <w:sz w:val="20"/>
          <w:szCs w:val="20"/>
          <w:color w:val="auto"/>
        </w:rPr>
      </w:pPr>
    </w:p>
    <w:p>
      <w:pPr>
        <w:spacing w:after="0" w:line="290"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18</w:t>
      </w:r>
      <w:r>
        <w:rPr>
          <w:rFonts w:ascii="Arial" w:cs="Arial" w:eastAsia="Arial" w:hAnsi="Arial"/>
          <w:sz w:val="18"/>
          <w:szCs w:val="18"/>
          <w:i w:val="1"/>
          <w:iCs w:val="1"/>
          <w:color w:val="auto"/>
        </w:rPr>
        <w:t>. Inspection.</w:t>
      </w:r>
      <w:r>
        <w:rPr>
          <w:rFonts w:ascii="Arial" w:cs="Arial" w:eastAsia="Arial" w:hAnsi="Arial"/>
          <w:sz w:val="18"/>
          <w:szCs w:val="18"/>
          <w:color w:val="auto"/>
        </w:rPr>
        <w:t xml:space="preserve"> In connection with the origination of each Loan, the Seller inspected or caused to be inspected (either directly by the Seller, by its correspondent or by a third party) the Mortgaged Property.</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308" w:lineRule="auto"/>
        <w:rPr>
          <w:sz w:val="20"/>
          <w:szCs w:val="20"/>
          <w:color w:val="auto"/>
        </w:rPr>
      </w:pPr>
      <w:r>
        <w:rPr>
          <w:rFonts w:ascii="Arial" w:cs="Arial" w:eastAsia="Arial" w:hAnsi="Arial"/>
          <w:sz w:val="17"/>
          <w:szCs w:val="17"/>
          <w:color w:val="auto"/>
        </w:rPr>
        <w:t>19</w:t>
      </w:r>
      <w:r>
        <w:rPr>
          <w:rFonts w:ascii="Arial" w:cs="Arial" w:eastAsia="Arial" w:hAnsi="Arial"/>
          <w:sz w:val="17"/>
          <w:szCs w:val="17"/>
          <w:i w:val="1"/>
          <w:iCs w:val="1"/>
          <w:color w:val="auto"/>
        </w:rPr>
        <w:t>. No Equity Participation or Contingent Interest.</w:t>
      </w:r>
      <w:r>
        <w:rPr>
          <w:rFonts w:ascii="Arial" w:cs="Arial" w:eastAsia="Arial" w:hAnsi="Arial"/>
          <w:sz w:val="17"/>
          <w:szCs w:val="17"/>
          <w:color w:val="auto"/>
        </w:rPr>
        <w:t xml:space="preserve"> No Loan contains an equity participation by the Seller, or provides for any contingent or additional interest in the form of participation in the cash flow of the related Mortgaged Property. No Loan provides for negative amortization.</w:t>
      </w:r>
    </w:p>
    <w:p>
      <w:pPr>
        <w:spacing w:after="0" w:line="200" w:lineRule="exact"/>
        <w:rPr>
          <w:sz w:val="20"/>
          <w:szCs w:val="20"/>
          <w:color w:val="auto"/>
        </w:rPr>
      </w:pPr>
    </w:p>
    <w:p>
      <w:pPr>
        <w:spacing w:after="0" w:line="244"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20</w:t>
      </w:r>
      <w:r>
        <w:rPr>
          <w:rFonts w:ascii="Arial" w:cs="Arial" w:eastAsia="Arial" w:hAnsi="Arial"/>
          <w:sz w:val="18"/>
          <w:szCs w:val="18"/>
          <w:i w:val="1"/>
          <w:iCs w:val="1"/>
          <w:color w:val="auto"/>
        </w:rPr>
        <w:t>. Licenses, Permits, Etc.</w:t>
      </w:r>
      <w:r>
        <w:rPr>
          <w:rFonts w:ascii="Arial" w:cs="Arial" w:eastAsia="Arial" w:hAnsi="Arial"/>
          <w:sz w:val="18"/>
          <w:szCs w:val="18"/>
          <w:color w:val="auto"/>
        </w:rPr>
        <w:t xml:space="preserve"> All licenses, permits and authorizations required by applicable laws for the use of the related Mortgaged Property as it is currently operated have been obtained and maintained in accordance with applicable laws, except for such licenses, permits and authorizations the failure of which to obtain would not materially adversely affect the value, use or operation of the Mortgaged Property.</w:t>
      </w:r>
    </w:p>
    <w:p>
      <w:pPr>
        <w:spacing w:after="0" w:line="200" w:lineRule="exact"/>
        <w:rPr>
          <w:sz w:val="20"/>
          <w:szCs w:val="20"/>
          <w:color w:val="auto"/>
        </w:rPr>
      </w:pPr>
    </w:p>
    <w:p>
      <w:pPr>
        <w:spacing w:after="0" w:line="278" w:lineRule="exact"/>
        <w:rPr>
          <w:sz w:val="20"/>
          <w:szCs w:val="20"/>
          <w:color w:val="auto"/>
        </w:rPr>
      </w:pPr>
    </w:p>
    <w:p>
      <w:pPr>
        <w:jc w:val="both"/>
        <w:ind w:firstLine="810"/>
        <w:spacing w:after="0" w:line="279" w:lineRule="auto"/>
        <w:rPr>
          <w:sz w:val="20"/>
          <w:szCs w:val="20"/>
          <w:color w:val="auto"/>
        </w:rPr>
      </w:pPr>
      <w:r>
        <w:rPr>
          <w:rFonts w:ascii="Arial" w:cs="Arial" w:eastAsia="Arial" w:hAnsi="Arial"/>
          <w:sz w:val="17"/>
          <w:szCs w:val="17"/>
          <w:color w:val="auto"/>
        </w:rPr>
        <w:t>21</w:t>
      </w:r>
      <w:r>
        <w:rPr>
          <w:rFonts w:ascii="Arial" w:cs="Arial" w:eastAsia="Arial" w:hAnsi="Arial"/>
          <w:sz w:val="17"/>
          <w:szCs w:val="17"/>
          <w:i w:val="1"/>
          <w:iCs w:val="1"/>
          <w:color w:val="auto"/>
        </w:rPr>
        <w:t>. Servicing; Loan Files.</w:t>
      </w:r>
      <w:r>
        <w:rPr>
          <w:rFonts w:ascii="Arial" w:cs="Arial" w:eastAsia="Arial" w:hAnsi="Arial"/>
          <w:sz w:val="17"/>
          <w:szCs w:val="17"/>
          <w:color w:val="auto"/>
        </w:rPr>
        <w:t xml:space="preserve"> The servicing and collection practices used by the Seller and its designees with respect to each Loan have been in all material respects in compliance with all laws and the Loan Documents and have met customary standards utilized by commercial banks in the area in which the Mortgaged Property is located for servicing of commercial mortgage loans. The Loan File for each Loan includes all documents material to the servicing and enforcement of such Loan, and true and correct copies of such documents were provided to the Purchaser prior to the date hereof.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0" w:name="page221"/>
    <w:bookmarkEnd w:id="220"/>
    <w:p>
      <w:pPr>
        <w:jc w:val="both"/>
        <w:ind w:firstLine="810"/>
        <w:spacing w:after="0" w:line="286" w:lineRule="auto"/>
        <w:rPr>
          <w:sz w:val="20"/>
          <w:szCs w:val="20"/>
          <w:color w:val="auto"/>
        </w:rPr>
      </w:pPr>
      <w:r>
        <w:rPr>
          <w:rFonts w:ascii="Arial" w:cs="Arial" w:eastAsia="Arial" w:hAnsi="Arial"/>
          <w:sz w:val="17"/>
          <w:szCs w:val="17"/>
          <w:color w:val="auto"/>
        </w:rPr>
        <w:t>22</w:t>
      </w:r>
      <w:r>
        <w:rPr>
          <w:rFonts w:ascii="Arial" w:cs="Arial" w:eastAsia="Arial" w:hAnsi="Arial"/>
          <w:sz w:val="17"/>
          <w:szCs w:val="17"/>
          <w:i w:val="1"/>
          <w:iCs w:val="1"/>
          <w:color w:val="auto"/>
        </w:rPr>
        <w:t>. Customary Remedies.</w:t>
      </w:r>
      <w:r>
        <w:rPr>
          <w:rFonts w:ascii="Arial" w:cs="Arial" w:eastAsia="Arial" w:hAnsi="Arial"/>
          <w:sz w:val="17"/>
          <w:szCs w:val="17"/>
          <w:color w:val="auto"/>
        </w:rPr>
        <w:t xml:space="preserve"> The related Mortgage or Note, together with applicable state law, contains customary and enforceable provisions (subject to the exceptions set forth in </w:t>
      </w:r>
      <w:r>
        <w:rPr>
          <w:rFonts w:ascii="Arial" w:cs="Arial" w:eastAsia="Arial" w:hAnsi="Arial"/>
          <w:sz w:val="17"/>
          <w:szCs w:val="17"/>
          <w:u w:val="single" w:color="auto"/>
          <w:color w:val="auto"/>
        </w:rPr>
        <w:t>paragraph 9</w:t>
      </w:r>
      <w:r>
        <w:rPr>
          <w:rFonts w:ascii="Arial" w:cs="Arial" w:eastAsia="Arial" w:hAnsi="Arial"/>
          <w:sz w:val="17"/>
          <w:szCs w:val="17"/>
          <w:color w:val="auto"/>
        </w:rPr>
        <w:t xml:space="preserve"> (</w:t>
      </w:r>
      <w:r>
        <w:rPr>
          <w:rFonts w:ascii="Arial" w:cs="Arial" w:eastAsia="Arial" w:hAnsi="Arial"/>
          <w:sz w:val="17"/>
          <w:szCs w:val="17"/>
          <w:i w:val="1"/>
          <w:iCs w:val="1"/>
          <w:color w:val="auto"/>
        </w:rPr>
        <w:t>Enforceability</w:t>
      </w:r>
      <w:r>
        <w:rPr>
          <w:rFonts w:ascii="Arial" w:cs="Arial" w:eastAsia="Arial" w:hAnsi="Arial"/>
          <w:sz w:val="17"/>
          <w:szCs w:val="17"/>
          <w:color w:val="auto"/>
        </w:rPr>
        <w:t>) above) such as to render the rights and remedies of the holders thereof adequate for the practical realization against the related Mortgaged Property of the principal benefits of the security intended to be provided thereby.</w:t>
      </w:r>
    </w:p>
    <w:p>
      <w:pPr>
        <w:spacing w:after="0" w:line="200" w:lineRule="exact"/>
        <w:rPr>
          <w:sz w:val="20"/>
          <w:szCs w:val="20"/>
          <w:color w:val="auto"/>
        </w:rPr>
      </w:pPr>
    </w:p>
    <w:p>
      <w:pPr>
        <w:spacing w:after="0" w:line="263"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23</w:t>
      </w:r>
      <w:r>
        <w:rPr>
          <w:rFonts w:ascii="Arial" w:cs="Arial" w:eastAsia="Arial" w:hAnsi="Arial"/>
          <w:sz w:val="18"/>
          <w:szCs w:val="18"/>
          <w:i w:val="1"/>
          <w:iCs w:val="1"/>
          <w:color w:val="auto"/>
        </w:rPr>
        <w:t>. Insurance and Condemnation Proceeds.</w:t>
      </w:r>
      <w:r>
        <w:rPr>
          <w:rFonts w:ascii="Arial" w:cs="Arial" w:eastAsia="Arial" w:hAnsi="Arial"/>
          <w:sz w:val="18"/>
          <w:szCs w:val="18"/>
          <w:color w:val="auto"/>
        </w:rPr>
        <w:t xml:space="preserve"> The related Mortgage or other related loan document provides that insurance proceeds and condemnation proceeds will be applied to either restore or repair the Mortgaged Property or repay the principal of the Loan, with, in some cases, the related Borrower (or the tenant or master lessee at the Mortgaged Property which maintains such insurance) being entitled to receive proceeds in excess of the amount utilized to restore or repair the Mortgaged Property.</w:t>
      </w:r>
    </w:p>
    <w:p>
      <w:pPr>
        <w:spacing w:after="0" w:line="200" w:lineRule="exact"/>
        <w:rPr>
          <w:sz w:val="20"/>
          <w:szCs w:val="20"/>
          <w:color w:val="auto"/>
        </w:rPr>
      </w:pPr>
    </w:p>
    <w:p>
      <w:pPr>
        <w:spacing w:after="0" w:line="28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24</w:t>
      </w:r>
      <w:r>
        <w:rPr>
          <w:rFonts w:ascii="Arial" w:cs="Arial" w:eastAsia="Arial" w:hAnsi="Arial"/>
          <w:sz w:val="18"/>
          <w:szCs w:val="18"/>
          <w:i w:val="1"/>
          <w:iCs w:val="1"/>
          <w:color w:val="auto"/>
        </w:rPr>
        <w:t>. Deed of Trust.</w:t>
      </w:r>
      <w:r>
        <w:rPr>
          <w:rFonts w:ascii="Arial" w:cs="Arial" w:eastAsia="Arial" w:hAnsi="Arial"/>
          <w:sz w:val="18"/>
          <w:szCs w:val="18"/>
          <w:color w:val="auto"/>
        </w:rPr>
        <w:t xml:space="preserve"> If the related Mortgage is a deed of trust, to the Seller’s Knowledge, a trustee, duly qualified under applicable law to serve as such, is properly designated and serving under such Mortgage.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25</w:t>
      </w:r>
      <w:r>
        <w:rPr>
          <w:rFonts w:ascii="Arial" w:cs="Arial" w:eastAsia="Arial" w:hAnsi="Arial"/>
          <w:sz w:val="18"/>
          <w:szCs w:val="18"/>
          <w:i w:val="1"/>
          <w:iCs w:val="1"/>
          <w:color w:val="auto"/>
        </w:rPr>
        <w:t>. Lien Releases.</w:t>
      </w:r>
      <w:r>
        <w:rPr>
          <w:rFonts w:ascii="Arial" w:cs="Arial" w:eastAsia="Arial" w:hAnsi="Arial"/>
          <w:sz w:val="18"/>
          <w:szCs w:val="18"/>
          <w:color w:val="auto"/>
        </w:rPr>
        <w:t xml:space="preserve"> The related Note or Mortgage does not require the holder thereof to release all or any portion of the Mortgaged Property from the lien of the related Mortgage, except upon payment in full of all amounts due under such Loan which have been allocated to such Mortgaged Property upon the payment of specified release consideration, satisfaction of a debt service coverage ratio test and subject to the satisfaction of certain customary criteria set forth in the related loan agreement.</w:t>
      </w:r>
    </w:p>
    <w:p>
      <w:pPr>
        <w:spacing w:after="0" w:line="200" w:lineRule="exact"/>
        <w:rPr>
          <w:sz w:val="20"/>
          <w:szCs w:val="20"/>
          <w:color w:val="auto"/>
        </w:rPr>
      </w:pPr>
    </w:p>
    <w:p>
      <w:pPr>
        <w:spacing w:after="0" w:line="28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26</w:t>
      </w:r>
      <w:r>
        <w:rPr>
          <w:rFonts w:ascii="Arial" w:cs="Arial" w:eastAsia="Arial" w:hAnsi="Arial"/>
          <w:sz w:val="18"/>
          <w:szCs w:val="18"/>
          <w:i w:val="1"/>
          <w:iCs w:val="1"/>
          <w:color w:val="auto"/>
        </w:rPr>
        <w:t>. Origination of Loans.</w:t>
      </w:r>
      <w:r>
        <w:rPr>
          <w:rFonts w:ascii="Arial" w:cs="Arial" w:eastAsia="Arial" w:hAnsi="Arial"/>
          <w:sz w:val="18"/>
          <w:szCs w:val="18"/>
          <w:color w:val="auto"/>
        </w:rPr>
        <w:t xml:space="preserve"> Other than approved exceptions, each Loan complies in all material respects with the Seller’s underwriting policies in effect as of such loan’s origination date.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27</w:t>
      </w:r>
      <w:r>
        <w:rPr>
          <w:rFonts w:ascii="Arial" w:cs="Arial" w:eastAsia="Arial" w:hAnsi="Arial"/>
          <w:sz w:val="18"/>
          <w:szCs w:val="18"/>
          <w:i w:val="1"/>
          <w:iCs w:val="1"/>
          <w:color w:val="auto"/>
        </w:rPr>
        <w:t>. Priority of Adjustable Rate Loans.</w:t>
      </w:r>
      <w:r>
        <w:rPr>
          <w:rFonts w:ascii="Arial" w:cs="Arial" w:eastAsia="Arial" w:hAnsi="Arial"/>
          <w:sz w:val="18"/>
          <w:szCs w:val="18"/>
          <w:color w:val="auto"/>
        </w:rPr>
        <w:t xml:space="preserve"> All terms of the loan documents pertaining to interest rate adjustments, payment adjustments and principal balance adjustments are enforceable and will not affect the priority of the mortgage lien.</w:t>
      </w:r>
    </w:p>
    <w:p>
      <w:pPr>
        <w:spacing w:after="0" w:line="200" w:lineRule="exact"/>
        <w:rPr>
          <w:sz w:val="20"/>
          <w:szCs w:val="20"/>
          <w:color w:val="auto"/>
        </w:rPr>
      </w:pPr>
    </w:p>
    <w:p>
      <w:pPr>
        <w:spacing w:after="0" w:line="268"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18"/>
          <w:szCs w:val="18"/>
          <w:color w:val="auto"/>
        </w:rPr>
        <w:t>28</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Title Insurance Claims</w:t>
      </w:r>
      <w:r>
        <w:rPr>
          <w:rFonts w:ascii="Arial" w:cs="Arial" w:eastAsia="Arial" w:hAnsi="Arial"/>
          <w:sz w:val="16"/>
          <w:szCs w:val="16"/>
          <w:color w:val="auto"/>
        </w:rPr>
        <w:t>. Seller has asserted no claims under a Title Insurance Policy relating to the priority or enforceability of its Mortgage.</w:t>
      </w:r>
    </w:p>
    <w:p>
      <w:pPr>
        <w:spacing w:after="0" w:line="200" w:lineRule="exact"/>
        <w:rPr>
          <w:sz w:val="20"/>
          <w:szCs w:val="20"/>
          <w:color w:val="auto"/>
        </w:rPr>
      </w:pPr>
    </w:p>
    <w:p>
      <w:pPr>
        <w:spacing w:after="0" w:line="322"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29</w:t>
      </w:r>
      <w:r>
        <w:rPr>
          <w:rFonts w:ascii="Arial" w:cs="Arial" w:eastAsia="Arial" w:hAnsi="Arial"/>
          <w:sz w:val="18"/>
          <w:szCs w:val="18"/>
          <w:i w:val="1"/>
          <w:iCs w:val="1"/>
          <w:color w:val="auto"/>
        </w:rPr>
        <w:t>. Assignability of Loans.</w:t>
      </w:r>
      <w:r>
        <w:rPr>
          <w:rFonts w:ascii="Arial" w:cs="Arial" w:eastAsia="Arial" w:hAnsi="Arial"/>
          <w:sz w:val="18"/>
          <w:szCs w:val="18"/>
          <w:color w:val="auto"/>
        </w:rPr>
        <w:t xml:space="preserve"> The note and mortgage contain no provision limiting the right or ability of the Seller to assign, transfer and convey the note or mortgage to the Purchaser other than provisions that have been complied with.</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30</w:t>
      </w:r>
      <w:r>
        <w:rPr>
          <w:rFonts w:ascii="Arial" w:cs="Arial" w:eastAsia="Arial" w:hAnsi="Arial"/>
          <w:sz w:val="18"/>
          <w:szCs w:val="18"/>
          <w:i w:val="1"/>
          <w:iCs w:val="1"/>
          <w:color w:val="auto"/>
        </w:rPr>
        <w:t>. Subordinate Financing</w:t>
      </w:r>
      <w:r>
        <w:rPr>
          <w:rFonts w:ascii="Arial" w:cs="Arial" w:eastAsia="Arial" w:hAnsi="Arial"/>
          <w:sz w:val="18"/>
          <w:szCs w:val="18"/>
          <w:color w:val="auto"/>
        </w:rPr>
        <w:t>. No Borrower is permitted to incur indebtedness subordinate to the related Loan and secured by the related Mortgaged Property.</w:t>
      </w:r>
    </w:p>
    <w:p>
      <w:pPr>
        <w:spacing w:after="0" w:line="200" w:lineRule="exact"/>
        <w:rPr>
          <w:sz w:val="20"/>
          <w:szCs w:val="20"/>
          <w:color w:val="auto"/>
        </w:rPr>
      </w:pPr>
    </w:p>
    <w:p>
      <w:pPr>
        <w:spacing w:after="0" w:line="268" w:lineRule="exact"/>
        <w:rPr>
          <w:sz w:val="20"/>
          <w:szCs w:val="20"/>
          <w:color w:val="auto"/>
        </w:rPr>
      </w:pPr>
    </w:p>
    <w:p>
      <w:pPr>
        <w:jc w:val="both"/>
        <w:ind w:firstLine="818"/>
        <w:spacing w:after="0" w:line="264" w:lineRule="auto"/>
        <w:tabs>
          <w:tab w:leader="none" w:pos="1296"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Consumer Regulations</w:t>
      </w:r>
      <w:r>
        <w:rPr>
          <w:rFonts w:ascii="Arial" w:cs="Arial" w:eastAsia="Arial" w:hAnsi="Arial"/>
          <w:sz w:val="18"/>
          <w:szCs w:val="18"/>
          <w:color w:val="auto"/>
        </w:rPr>
        <w:t>. Except for the Subject Residential Mortgage Loans, none of the Loans are subject to any requirement of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state or local laws or regulations, regarding consumer protection, including , truth-in-lending, real estate settlement procedures, consumer credit protection, predatory lending, fair credit reporting, fair housing and consumer protection disclosure laws and regulations.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EXHIBIT C-2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SELLER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ASSETS THAT ARE SUBJECT RESIDENTIAL MORTGAGE LOANS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 respect to the Assets that are Subject Residential Mortgage Loans (except for the exceptions set forth on the Disclosure Schedule and the Asset List), the Seller represents and warrants as to such Assets:</w:t>
      </w:r>
    </w:p>
    <w:p>
      <w:pPr>
        <w:spacing w:after="0" w:line="197" w:lineRule="exact"/>
        <w:rPr>
          <w:sz w:val="20"/>
          <w:szCs w:val="20"/>
          <w:color w:val="auto"/>
        </w:rPr>
      </w:pPr>
    </w:p>
    <w:p>
      <w:pPr>
        <w:jc w:val="both"/>
        <w:ind w:firstLine="818"/>
        <w:spacing w:after="0" w:line="264" w:lineRule="auto"/>
        <w:tabs>
          <w:tab w:leader="none" w:pos="1094"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Ownership of Assets. </w:t>
      </w:r>
      <w:r>
        <w:rPr>
          <w:rFonts w:ascii="Arial" w:cs="Arial" w:eastAsia="Arial" w:hAnsi="Arial"/>
          <w:sz w:val="18"/>
          <w:szCs w:val="18"/>
          <w:color w:val="auto"/>
        </w:rPr>
        <w:t>Immediately prior to the transfer thereof to the Purchaser, the Seller had good and marketable title to, and was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owner and holder of, such Assets, free and clear of any and all liens, encumbrances and other interests on, in or to such Asset other than Permitted Encumbrances.</w:t>
      </w:r>
    </w:p>
    <w:p>
      <w:pPr>
        <w:spacing w:after="0" w:line="235" w:lineRule="exact"/>
        <w:rPr>
          <w:sz w:val="20"/>
          <w:szCs w:val="20"/>
          <w:color w:val="auto"/>
        </w:rPr>
      </w:pPr>
    </w:p>
    <w:p>
      <w:pPr>
        <w:ind w:left="820"/>
        <w:spacing w:after="0"/>
        <w:tabs>
          <w:tab w:leader="none" w:pos="1140" w:val="left"/>
        </w:tabs>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 xml:space="preserve">Authority to Transfer Assets. </w:t>
      </w:r>
      <w:r>
        <w:rPr>
          <w:rFonts w:ascii="Arial" w:cs="Arial" w:eastAsia="Arial" w:hAnsi="Arial"/>
          <w:sz w:val="16"/>
          <w:szCs w:val="16"/>
          <w:color w:val="auto"/>
        </w:rPr>
        <w:t>The Seller has full right and authority to sell, assign and transfer such Assets.</w:t>
      </w:r>
    </w:p>
    <w:p>
      <w:pPr>
        <w:spacing w:after="0" w:line="200" w:lineRule="exact"/>
        <w:rPr>
          <w:sz w:val="20"/>
          <w:szCs w:val="20"/>
          <w:color w:val="auto"/>
        </w:rPr>
      </w:pPr>
    </w:p>
    <w:p>
      <w:pPr>
        <w:spacing w:after="0" w:line="322"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3</w:t>
      </w:r>
      <w:r>
        <w:rPr>
          <w:rFonts w:ascii="Arial" w:cs="Arial" w:eastAsia="Arial" w:hAnsi="Arial"/>
          <w:sz w:val="18"/>
          <w:szCs w:val="18"/>
          <w:i w:val="1"/>
          <w:iCs w:val="1"/>
          <w:color w:val="auto"/>
        </w:rPr>
        <w:t>. Asset List.</w:t>
      </w:r>
      <w:r>
        <w:rPr>
          <w:rFonts w:ascii="Arial" w:cs="Arial" w:eastAsia="Arial" w:hAnsi="Arial"/>
          <w:sz w:val="18"/>
          <w:szCs w:val="18"/>
          <w:color w:val="auto"/>
        </w:rPr>
        <w:t xml:space="preserve"> The information pertaining to such Assets set forth in the Asset List is true and correct in all material respects as of the date specified therein.</w:t>
      </w:r>
    </w:p>
    <w:p>
      <w:pPr>
        <w:spacing w:after="0" w:line="200" w:lineRule="exact"/>
        <w:rPr>
          <w:sz w:val="20"/>
          <w:szCs w:val="20"/>
          <w:color w:val="auto"/>
        </w:rPr>
      </w:pPr>
    </w:p>
    <w:p>
      <w:pPr>
        <w:spacing w:after="0" w:line="268" w:lineRule="exact"/>
        <w:rPr>
          <w:sz w:val="20"/>
          <w:szCs w:val="20"/>
          <w:color w:val="auto"/>
        </w:rPr>
      </w:pPr>
    </w:p>
    <w:p>
      <w:pPr>
        <w:jc w:val="both"/>
        <w:ind w:firstLine="818"/>
        <w:spacing w:after="0" w:line="302" w:lineRule="auto"/>
        <w:tabs>
          <w:tab w:leader="none" w:pos="1175"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Permitted Encumbrances. </w:t>
      </w:r>
      <w:r>
        <w:rPr>
          <w:rFonts w:ascii="Arial" w:cs="Arial" w:eastAsia="Arial" w:hAnsi="Arial"/>
          <w:sz w:val="16"/>
          <w:szCs w:val="16"/>
          <w:color w:val="auto"/>
        </w:rPr>
        <w:t>Subject to the disclosures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paragraph 27</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Lien Releases</w:t>
      </w:r>
      <w:r>
        <w:rPr>
          <w:rFonts w:ascii="Arial" w:cs="Arial" w:eastAsia="Arial" w:hAnsi="Arial"/>
          <w:sz w:val="16"/>
          <w:szCs w:val="16"/>
          <w:color w:val="auto"/>
        </w:rPr>
        <w:t>) below, if any, the related Mortgage constitutes a</w:t>
      </w:r>
      <w:r>
        <w:rPr>
          <w:rFonts w:ascii="Arial" w:cs="Arial" w:eastAsia="Arial" w:hAnsi="Arial"/>
          <w:sz w:val="16"/>
          <w:szCs w:val="16"/>
          <w:i w:val="1"/>
          <w:iCs w:val="1"/>
          <w:color w:val="auto"/>
        </w:rPr>
        <w:t xml:space="preserve"> </w:t>
      </w:r>
      <w:r>
        <w:rPr>
          <w:rFonts w:ascii="Arial" w:cs="Arial" w:eastAsia="Arial" w:hAnsi="Arial"/>
          <w:sz w:val="16"/>
          <w:szCs w:val="16"/>
          <w:color w:val="auto"/>
        </w:rPr>
        <w:t>valid first priority lien upon the related Mortgaged Property, including all buildings located thereon and all fixtures attached thereto for the current outstanding principal balance of the Loan secured thereby, such lien being subject only to Permitted Encumbrances. The Permitted Encumbrances do not materially interfere with the security intended to be provided by the related Mortgage or the current use or operation of the related Mortgaged Property.</w:t>
      </w:r>
    </w:p>
    <w:p>
      <w:pPr>
        <w:spacing w:after="0" w:line="200" w:lineRule="exact"/>
        <w:rPr>
          <w:sz w:val="20"/>
          <w:szCs w:val="20"/>
          <w:color w:val="auto"/>
        </w:rPr>
      </w:pPr>
    </w:p>
    <w:p>
      <w:pPr>
        <w:spacing w:after="0" w:line="251"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5</w:t>
      </w:r>
      <w:r>
        <w:rPr>
          <w:rFonts w:ascii="Arial" w:cs="Arial" w:eastAsia="Arial" w:hAnsi="Arial"/>
          <w:sz w:val="18"/>
          <w:szCs w:val="18"/>
          <w:i w:val="1"/>
          <w:iCs w:val="1"/>
          <w:color w:val="auto"/>
        </w:rPr>
        <w:t>. No Waivers by Seller of Material Defaults.</w:t>
      </w:r>
      <w:r>
        <w:rPr>
          <w:rFonts w:ascii="Arial" w:cs="Arial" w:eastAsia="Arial" w:hAnsi="Arial"/>
          <w:sz w:val="18"/>
          <w:szCs w:val="18"/>
          <w:color w:val="auto"/>
        </w:rPr>
        <w:t xml:space="preserve"> The Seller has not waived any material default, breach, violation or event of acceleration existing under the related Mortgage or Note.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6</w:t>
      </w:r>
      <w:r>
        <w:rPr>
          <w:rFonts w:ascii="Arial" w:cs="Arial" w:eastAsia="Arial" w:hAnsi="Arial"/>
          <w:sz w:val="18"/>
          <w:szCs w:val="18"/>
          <w:i w:val="1"/>
          <w:iCs w:val="1"/>
          <w:color w:val="auto"/>
        </w:rPr>
        <w:t>. No Offsets, Defenses or Counterclaims.</w:t>
      </w:r>
      <w:r>
        <w:rPr>
          <w:rFonts w:ascii="Arial" w:cs="Arial" w:eastAsia="Arial" w:hAnsi="Arial"/>
          <w:sz w:val="18"/>
          <w:szCs w:val="18"/>
          <w:color w:val="auto"/>
        </w:rPr>
        <w:t xml:space="preserve"> There is no material valid offset, defense or counterclaim to such Loan and, except as otherwise disclosed in the Loan Files, or to Seller’s Knowledge, there are no actions, suits or proceedings by or before any governmental authority pending against Seller or any Obligor with respect to any Loan or other Asset.</w:t>
      </w:r>
    </w:p>
    <w:p>
      <w:pPr>
        <w:spacing w:after="0" w:line="200" w:lineRule="exact"/>
        <w:rPr>
          <w:sz w:val="20"/>
          <w:szCs w:val="20"/>
          <w:color w:val="auto"/>
        </w:rPr>
      </w:pPr>
    </w:p>
    <w:p>
      <w:pPr>
        <w:spacing w:after="0" w:line="27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7</w:t>
      </w:r>
      <w:r>
        <w:rPr>
          <w:rFonts w:ascii="Arial" w:cs="Arial" w:eastAsia="Arial" w:hAnsi="Arial"/>
          <w:sz w:val="18"/>
          <w:szCs w:val="18"/>
          <w:i w:val="1"/>
          <w:iCs w:val="1"/>
          <w:color w:val="auto"/>
        </w:rPr>
        <w:t>. Condition of Property; Condemnation</w:t>
      </w:r>
      <w:r>
        <w:rPr>
          <w:rFonts w:ascii="Arial" w:cs="Arial" w:eastAsia="Arial" w:hAnsi="Arial"/>
          <w:sz w:val="18"/>
          <w:szCs w:val="18"/>
          <w:color w:val="auto"/>
        </w:rPr>
        <w:t>. To the Seller’s Knowledge, the related Mortgaged Property is free and clear of any damage that would materially and adversely affect its value as security for such Loan unless there has been already escrowed 100% of the amounts required to make any necessary repairs to correct such material damage. There are no pending proceedings for the condemnation of all or any material portion of the related Mortgaged Property.</w:t>
      </w:r>
    </w:p>
    <w:p>
      <w:pPr>
        <w:spacing w:after="0" w:line="200" w:lineRule="exact"/>
        <w:rPr>
          <w:sz w:val="20"/>
          <w:szCs w:val="20"/>
          <w:color w:val="auto"/>
        </w:rPr>
      </w:pPr>
    </w:p>
    <w:p>
      <w:pPr>
        <w:spacing w:after="0" w:line="284" w:lineRule="exact"/>
        <w:rPr>
          <w:sz w:val="20"/>
          <w:szCs w:val="20"/>
          <w:color w:val="auto"/>
        </w:rPr>
      </w:pPr>
    </w:p>
    <w:p>
      <w:pPr>
        <w:jc w:val="both"/>
        <w:ind w:firstLine="810"/>
        <w:spacing w:after="0" w:line="302" w:lineRule="auto"/>
        <w:rPr>
          <w:sz w:val="20"/>
          <w:szCs w:val="20"/>
          <w:color w:val="auto"/>
        </w:rPr>
      </w:pPr>
      <w:r>
        <w:rPr>
          <w:rFonts w:ascii="Arial" w:cs="Arial" w:eastAsia="Arial" w:hAnsi="Arial"/>
          <w:sz w:val="16"/>
          <w:szCs w:val="16"/>
          <w:color w:val="auto"/>
        </w:rPr>
        <w:t>8</w:t>
      </w:r>
      <w:r>
        <w:rPr>
          <w:rFonts w:ascii="Arial" w:cs="Arial" w:eastAsia="Arial" w:hAnsi="Arial"/>
          <w:sz w:val="16"/>
          <w:szCs w:val="16"/>
          <w:i w:val="1"/>
          <w:iCs w:val="1"/>
          <w:color w:val="auto"/>
        </w:rPr>
        <w:t>. Compliance with Usury Laws.</w:t>
      </w:r>
      <w:r>
        <w:rPr>
          <w:rFonts w:ascii="Arial" w:cs="Arial" w:eastAsia="Arial" w:hAnsi="Arial"/>
          <w:sz w:val="16"/>
          <w:szCs w:val="16"/>
          <w:color w:val="auto"/>
        </w:rPr>
        <w:t xml:space="preserve"> Such Loan complies with, or is exempt from, all applicable usury laws in effect as of its date of origination or the Loan File contains an opinion to that effect. Such Loan complies with, and was originated in compliance with, the requirements of the USA PATRIOT Act (Title III of Pub. L. 107-56 (signed into law October 26, 2001)) (the “Act”), including the delivery of documentation and other information required to comply with the ongoing obligations under applicable “know your customer” and anti-money laundering rules and regulations, including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422275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2" w:name="page223"/>
    <w:bookmarkEnd w:id="222"/>
    <w:p>
      <w:pPr>
        <w:jc w:val="both"/>
        <w:ind w:firstLine="810"/>
        <w:spacing w:after="0" w:line="257" w:lineRule="auto"/>
        <w:rPr>
          <w:sz w:val="20"/>
          <w:szCs w:val="20"/>
          <w:color w:val="auto"/>
        </w:rPr>
      </w:pPr>
      <w:r>
        <w:rPr>
          <w:rFonts w:ascii="Arial" w:cs="Arial" w:eastAsia="Arial" w:hAnsi="Arial"/>
          <w:sz w:val="18"/>
          <w:szCs w:val="18"/>
          <w:color w:val="auto"/>
        </w:rPr>
        <w:t>9</w:t>
      </w:r>
      <w:r>
        <w:rPr>
          <w:rFonts w:ascii="Arial" w:cs="Arial" w:eastAsia="Arial" w:hAnsi="Arial"/>
          <w:sz w:val="18"/>
          <w:szCs w:val="18"/>
          <w:i w:val="1"/>
          <w:iCs w:val="1"/>
          <w:color w:val="auto"/>
        </w:rPr>
        <w:t>. Enforceability.</w:t>
      </w:r>
      <w:r>
        <w:rPr>
          <w:rFonts w:ascii="Arial" w:cs="Arial" w:eastAsia="Arial" w:hAnsi="Arial"/>
          <w:sz w:val="18"/>
          <w:szCs w:val="18"/>
          <w:color w:val="auto"/>
        </w:rPr>
        <w:t xml:space="preserve"> Each related Note and each related Mortgage is the legal, valid and binding obligation of the maker thereof (subject to any non-recourse provisions contained in any of the foregoing agreements and any applicable state anti-deficiency or market value limit deficiency legislation), enforceable in accordance with its terms, except as such enforcement may be limited by anti-deficiency, bankruptcy, insolvency, reorganization, receivership, moratorium, redemption, liquidation or other laws relating to or affecting the rights of creditors generally and by general principles of equity (regardless of whether such enforcement is considered in a proceeding in equity or at law).</w:t>
      </w:r>
    </w:p>
    <w:p>
      <w:pPr>
        <w:spacing w:after="0" w:line="200" w:lineRule="exact"/>
        <w:rPr>
          <w:sz w:val="20"/>
          <w:szCs w:val="20"/>
          <w:color w:val="auto"/>
        </w:rPr>
      </w:pPr>
    </w:p>
    <w:p>
      <w:pPr>
        <w:spacing w:after="0" w:line="285"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6"/>
          <w:szCs w:val="16"/>
          <w:color w:val="auto"/>
        </w:rPr>
        <w:t>10</w:t>
      </w:r>
      <w:r>
        <w:rPr>
          <w:rFonts w:ascii="Arial" w:cs="Arial" w:eastAsia="Arial" w:hAnsi="Arial"/>
          <w:sz w:val="16"/>
          <w:szCs w:val="16"/>
          <w:i w:val="1"/>
          <w:iCs w:val="1"/>
          <w:color w:val="auto"/>
        </w:rPr>
        <w:t>. Insurance.</w:t>
      </w:r>
      <w:r>
        <w:rPr>
          <w:rFonts w:ascii="Arial" w:cs="Arial" w:eastAsia="Arial" w:hAnsi="Arial"/>
          <w:sz w:val="16"/>
          <w:szCs w:val="16"/>
          <w:color w:val="auto"/>
        </w:rPr>
        <w:t xml:space="preserve"> The improvements upon the related Mortgaged Property are insured against loss by a fire and extended perils policy providing coverage against loss or damage included within the “all risk of physical loss” or the equivalent thereof, in an amount (subject to a customary deductible) at least equal to the lesser of (1) the outstanding principal amount of such Loan, (2) 100% of the full actual replacement cost or value of the improvements located on such Mortgaged Property (exclusive of costs of excavations, foundations and underground utilities and footings) and (3) the full insurable actual cash value of such improvements, and the related hazard insurance policy contains appropriate endorsements to avoid the application of co-insurance and does not permit reduction in insurance proceeds for depreciation. If any portion of the improvements on the related Mortgaged Property was, at the time of the origination of such Loan, in an area identified in the Federal Register by the Federal Emergency Management Agency as having “special flood hazards,” a flood insurance policy meeting any requirements of the then current guidelines of the Federal Insurance Administration is in effect with an Acceptable Insurer, in an amount representing coverage not less than the least of (1) the outstanding principal amount of such Loan, (2) the full insurable actual cash value of such Mortgaged Property, (3) the maximum amount of insurance available under the National Flood Insurance Act of 1968, as amended, and (4) 100% of the replacement cost or value of the improvements located on such Mortgaged Property. The loan documents require the Borrower to maintain (or to cause the applicable tenant to maintain) the insurance referred to in this paragraph in respect of the Mortgaged Property, and all such insurance required by the loan documents to be maintained is in full force and affect and names the originator of such Loan as mortgagee, loss payee or additional insured. Each such insurance policy requires prior notice to the holder of the Mortgage of termination or cancellation, and no such notice has been received, including any notice of nonpayment of premiums, that has not been cured.</w:t>
      </w:r>
    </w:p>
    <w:p>
      <w:pPr>
        <w:spacing w:after="0" w:line="200" w:lineRule="exact"/>
        <w:rPr>
          <w:sz w:val="20"/>
          <w:szCs w:val="20"/>
          <w:color w:val="auto"/>
        </w:rPr>
      </w:pPr>
    </w:p>
    <w:p>
      <w:pPr>
        <w:spacing w:after="0" w:line="266"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11</w:t>
      </w:r>
      <w:r>
        <w:rPr>
          <w:rFonts w:ascii="Arial" w:cs="Arial" w:eastAsia="Arial" w:hAnsi="Arial"/>
          <w:sz w:val="17"/>
          <w:szCs w:val="17"/>
          <w:i w:val="1"/>
          <w:iCs w:val="1"/>
          <w:color w:val="auto"/>
        </w:rPr>
        <w:t>. Environmental Conditions.</w:t>
      </w:r>
      <w:r>
        <w:rPr>
          <w:rFonts w:ascii="Arial" w:cs="Arial" w:eastAsia="Arial" w:hAnsi="Arial"/>
          <w:sz w:val="17"/>
          <w:szCs w:val="17"/>
          <w:color w:val="auto"/>
        </w:rPr>
        <w:t xml:space="preserve"> To the Seller’s Knowledge, (i) there are no material adverse environmental conditions or circumstances affecting such Mortgaged Property; (ii) no Mortgaged Property is subject to a notice, Environmental Claim, request for information or order from or agreement with a government authority or any other Person respecting the Release or threatened Release of a Hazardous Substance; (iii) there has been no Release of Hazardous Substances on, at or under any Mortgaged Property which would reasonably be expected to result in the imposition of any material liability or any Environmental Claim; (iv) there are no judicial or administrative proceedings or any other Environmental Claims pending or threatened alleging any violation or failure to comply with any Environmental Law, or with respect to any release of any Hazardous Substance from any Mortgaged Property; and (v) none of the Mortgaged Properties are subject to any removal or remediation of any Hazardous Substances or are subject to notice to or approval from any governmental authority pertaining to environmental matters.</w:t>
      </w:r>
    </w:p>
    <w:p>
      <w:pPr>
        <w:spacing w:after="0" w:line="200" w:lineRule="exact"/>
        <w:rPr>
          <w:sz w:val="20"/>
          <w:szCs w:val="20"/>
          <w:color w:val="auto"/>
        </w:rPr>
      </w:pPr>
    </w:p>
    <w:p>
      <w:pPr>
        <w:spacing w:after="0" w:line="276"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12</w:t>
      </w:r>
      <w:r>
        <w:rPr>
          <w:rFonts w:ascii="Arial" w:cs="Arial" w:eastAsia="Arial" w:hAnsi="Arial"/>
          <w:sz w:val="18"/>
          <w:szCs w:val="18"/>
          <w:i w:val="1"/>
          <w:iCs w:val="1"/>
          <w:color w:val="auto"/>
        </w:rPr>
        <w:t>. Consumer Regulations</w:t>
      </w:r>
      <w:r>
        <w:rPr>
          <w:rFonts w:ascii="Arial" w:cs="Arial" w:eastAsia="Arial" w:hAnsi="Arial"/>
          <w:sz w:val="18"/>
          <w:szCs w:val="18"/>
          <w:color w:val="auto"/>
        </w:rPr>
        <w:t>. Each Loan complies in all material respects with any and all requirements of federal, state or local laws or regulations, including, without limitation, usury, truth-in-lending, real estate settlement procedures, consumer credit protection, predatory lending, abusive lending, fair lending, fair credit reporting, unfair collection practice, equal credit opportunity, fair housing and disclosure laws and regulations, applicable to the solicitation, origination, collection and servicing of such Loan; and any obligations of the holder of the Note, Mortgage and other loan documents have been complied with in all material respects and the consummation of the transaction contemplated hereby will not involve the violation of any such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3" w:name="page224"/>
    <w:bookmarkEnd w:id="223"/>
    <w:p>
      <w:pPr>
        <w:jc w:val="both"/>
        <w:ind w:firstLine="810"/>
        <w:spacing w:after="0" w:line="255" w:lineRule="auto"/>
        <w:rPr>
          <w:sz w:val="20"/>
          <w:szCs w:val="20"/>
          <w:color w:val="auto"/>
        </w:rPr>
      </w:pPr>
      <w:r>
        <w:rPr>
          <w:rFonts w:ascii="Arial" w:cs="Arial" w:eastAsia="Arial" w:hAnsi="Arial"/>
          <w:sz w:val="18"/>
          <w:szCs w:val="18"/>
          <w:color w:val="auto"/>
        </w:rPr>
        <w:t>13</w:t>
      </w:r>
      <w:r>
        <w:rPr>
          <w:rFonts w:ascii="Arial" w:cs="Arial" w:eastAsia="Arial" w:hAnsi="Arial"/>
          <w:sz w:val="18"/>
          <w:szCs w:val="18"/>
          <w:i w:val="1"/>
          <w:iCs w:val="1"/>
          <w:color w:val="auto"/>
        </w:rPr>
        <w:t>. HOEPA</w:t>
      </w:r>
      <w:r>
        <w:rPr>
          <w:rFonts w:ascii="Arial" w:cs="Arial" w:eastAsia="Arial" w:hAnsi="Arial"/>
          <w:sz w:val="18"/>
          <w:szCs w:val="18"/>
          <w:color w:val="auto"/>
        </w:rPr>
        <w:t>. No Loan is subject to the provisions of the Homeownership and Equity Protection Act of 1994 (“</w:t>
      </w:r>
      <w:r>
        <w:rPr>
          <w:rFonts w:ascii="Arial" w:cs="Arial" w:eastAsia="Arial" w:hAnsi="Arial"/>
          <w:sz w:val="18"/>
          <w:szCs w:val="18"/>
          <w:u w:val="single" w:color="auto"/>
          <w:color w:val="auto"/>
        </w:rPr>
        <w:t>HOEPA</w:t>
      </w:r>
      <w:r>
        <w:rPr>
          <w:rFonts w:ascii="Arial" w:cs="Arial" w:eastAsia="Arial" w:hAnsi="Arial"/>
          <w:sz w:val="18"/>
          <w:szCs w:val="18"/>
          <w:color w:val="auto"/>
        </w:rPr>
        <w:t>”) as amended or has an “annual percentage rate” or “total points and fees” payable by the mortgagor (as each such term is defined under HOEPA) that equal or exceed the applicable thresholds defined under HOEPA (Section 32 of Regulation Z, 12 C.F.R. Section 226.32(a)(1)(i) and (ii)) or is considered a “high cost,” “predatory” or “abusive” loan (or a similarly designated loan using different terminology) under any state, county or municipal laws or ordinances, including without limitation, the provisions of the Georgia Fair Lending Act or any other statute or regulation providing “assignee” or “originator” liability to holders of such mortgage loans.</w:t>
      </w:r>
    </w:p>
    <w:p>
      <w:pPr>
        <w:spacing w:after="0" w:line="200" w:lineRule="exact"/>
        <w:rPr>
          <w:sz w:val="20"/>
          <w:szCs w:val="20"/>
          <w:color w:val="auto"/>
        </w:rPr>
      </w:pPr>
    </w:p>
    <w:p>
      <w:pPr>
        <w:spacing w:after="0" w:line="290"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14</w:t>
      </w:r>
      <w:r>
        <w:rPr>
          <w:rFonts w:ascii="Arial" w:cs="Arial" w:eastAsia="Arial" w:hAnsi="Arial"/>
          <w:sz w:val="18"/>
          <w:szCs w:val="18"/>
          <w:i w:val="1"/>
          <w:iCs w:val="1"/>
          <w:color w:val="auto"/>
        </w:rPr>
        <w:t>. Cross-Collateralization with Other Loans.</w:t>
      </w:r>
      <w:r>
        <w:rPr>
          <w:rFonts w:ascii="Arial" w:cs="Arial" w:eastAsia="Arial" w:hAnsi="Arial"/>
          <w:sz w:val="18"/>
          <w:szCs w:val="18"/>
          <w:color w:val="auto"/>
        </w:rPr>
        <w:t xml:space="preserve"> Such Loan may be cross-collateralized with a Loan held by Seller. To the extent that any such resulting lien exists, Seller shall subordinate its lien to Purchaser.</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15</w:t>
      </w:r>
      <w:r>
        <w:rPr>
          <w:rFonts w:ascii="Arial" w:cs="Arial" w:eastAsia="Arial" w:hAnsi="Arial"/>
          <w:sz w:val="18"/>
          <w:szCs w:val="18"/>
          <w:i w:val="1"/>
          <w:iCs w:val="1"/>
          <w:color w:val="auto"/>
        </w:rPr>
        <w:t>. Waivers and Modifications.</w:t>
      </w:r>
      <w:r>
        <w:rPr>
          <w:rFonts w:ascii="Arial" w:cs="Arial" w:eastAsia="Arial" w:hAnsi="Arial"/>
          <w:sz w:val="18"/>
          <w:szCs w:val="18"/>
          <w:color w:val="auto"/>
        </w:rPr>
        <w:t xml:space="preserve"> The terms of the related Mortgage and the related Note have not been impaired, waived, altered or modified in any material respect, except as specifically set forth in the related Loan File.</w:t>
      </w:r>
    </w:p>
    <w:p>
      <w:pPr>
        <w:spacing w:after="0" w:line="200" w:lineRule="exact"/>
        <w:rPr>
          <w:sz w:val="20"/>
          <w:szCs w:val="20"/>
          <w:color w:val="auto"/>
        </w:rPr>
      </w:pPr>
    </w:p>
    <w:p>
      <w:pPr>
        <w:spacing w:after="0" w:line="268"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16</w:t>
      </w:r>
      <w:r>
        <w:rPr>
          <w:rFonts w:ascii="Arial" w:cs="Arial" w:eastAsia="Arial" w:hAnsi="Arial"/>
          <w:sz w:val="18"/>
          <w:szCs w:val="18"/>
          <w:i w:val="1"/>
          <w:iCs w:val="1"/>
          <w:color w:val="auto"/>
        </w:rPr>
        <w:t>. Taxes and Assessments.</w:t>
      </w:r>
      <w:r>
        <w:rPr>
          <w:rFonts w:ascii="Arial" w:cs="Arial" w:eastAsia="Arial" w:hAnsi="Arial"/>
          <w:sz w:val="18"/>
          <w:szCs w:val="18"/>
          <w:color w:val="auto"/>
        </w:rPr>
        <w:t xml:space="preserve"> There are no Delinquent Property Taxes affecting any Mortgaged Property which are or may become a lien of priority equal or senior to the lien of the related Mortgage except such as have been paid.</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17</w:t>
      </w:r>
      <w:r>
        <w:rPr>
          <w:rFonts w:ascii="Arial" w:cs="Arial" w:eastAsia="Arial" w:hAnsi="Arial"/>
          <w:sz w:val="18"/>
          <w:szCs w:val="18"/>
          <w:i w:val="1"/>
          <w:iCs w:val="1"/>
          <w:color w:val="auto"/>
        </w:rPr>
        <w:t>. Valid Assignment.</w:t>
      </w:r>
      <w:r>
        <w:rPr>
          <w:rFonts w:ascii="Arial" w:cs="Arial" w:eastAsia="Arial" w:hAnsi="Arial"/>
          <w:sz w:val="18"/>
          <w:szCs w:val="18"/>
          <w:color w:val="auto"/>
        </w:rPr>
        <w:t xml:space="preserve"> The assignment of the Mortgage and the operative Note related to each Loan, constitutes the legal, valid and binding assignment of such Mortgage and such operative Note from the Seller to the Purchaser subject to the exceptions described in </w:t>
      </w:r>
      <w:r>
        <w:rPr>
          <w:rFonts w:ascii="Arial" w:cs="Arial" w:eastAsia="Arial" w:hAnsi="Arial"/>
          <w:sz w:val="18"/>
          <w:szCs w:val="18"/>
          <w:u w:val="single" w:color="auto"/>
          <w:color w:val="auto"/>
        </w:rPr>
        <w:t>paragraph 9</w:t>
      </w:r>
      <w:r>
        <w:rPr>
          <w:rFonts w:ascii="Arial" w:cs="Arial" w:eastAsia="Arial" w:hAnsi="Arial"/>
          <w:sz w:val="18"/>
          <w:szCs w:val="18"/>
          <w:color w:val="auto"/>
        </w:rPr>
        <w:t xml:space="preserve"> (</w:t>
      </w:r>
      <w:r>
        <w:rPr>
          <w:rFonts w:ascii="Arial" w:cs="Arial" w:eastAsia="Arial" w:hAnsi="Arial"/>
          <w:sz w:val="18"/>
          <w:szCs w:val="18"/>
          <w:i w:val="1"/>
          <w:iCs w:val="1"/>
          <w:color w:val="auto"/>
        </w:rPr>
        <w:t>Enforceability</w:t>
      </w:r>
      <w:r>
        <w:rPr>
          <w:rFonts w:ascii="Arial" w:cs="Arial" w:eastAsia="Arial" w:hAnsi="Arial"/>
          <w:sz w:val="18"/>
          <w:szCs w:val="18"/>
          <w:color w:val="auto"/>
        </w:rPr>
        <w:t>) above.</w:t>
      </w:r>
    </w:p>
    <w:p>
      <w:pPr>
        <w:spacing w:after="0" w:line="200" w:lineRule="exact"/>
        <w:rPr>
          <w:sz w:val="20"/>
          <w:szCs w:val="20"/>
          <w:color w:val="auto"/>
        </w:rPr>
      </w:pPr>
    </w:p>
    <w:p>
      <w:pPr>
        <w:spacing w:after="0" w:line="27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18</w:t>
      </w:r>
      <w:r>
        <w:rPr>
          <w:rFonts w:ascii="Arial" w:cs="Arial" w:eastAsia="Arial" w:hAnsi="Arial"/>
          <w:sz w:val="18"/>
          <w:szCs w:val="18"/>
          <w:i w:val="1"/>
          <w:iCs w:val="1"/>
          <w:color w:val="auto"/>
        </w:rPr>
        <w:t>. Escrows.</w:t>
      </w:r>
      <w:r>
        <w:rPr>
          <w:rFonts w:ascii="Arial" w:cs="Arial" w:eastAsia="Arial" w:hAnsi="Arial"/>
          <w:sz w:val="18"/>
          <w:szCs w:val="18"/>
          <w:color w:val="auto"/>
        </w:rPr>
        <w:t xml:space="preserve"> There are no cash, escrow or reserve deposits relating to such Loan that are, as of the Closing Date, required to be deposited with the mortgagee or its agent.</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19</w:t>
      </w:r>
      <w:r>
        <w:rPr>
          <w:rFonts w:ascii="Arial" w:cs="Arial" w:eastAsia="Arial" w:hAnsi="Arial"/>
          <w:sz w:val="18"/>
          <w:szCs w:val="18"/>
          <w:i w:val="1"/>
          <w:iCs w:val="1"/>
          <w:color w:val="auto"/>
        </w:rPr>
        <w:t>. No Material Encroachments.</w:t>
      </w:r>
      <w:r>
        <w:rPr>
          <w:rFonts w:ascii="Arial" w:cs="Arial" w:eastAsia="Arial" w:hAnsi="Arial"/>
          <w:sz w:val="18"/>
          <w:szCs w:val="18"/>
          <w:color w:val="auto"/>
        </w:rPr>
        <w:t xml:space="preserve"> As of the date of origination of a Loan, no improvement that was included for the purpose of determining the Appraised Value of the related Mortgaged Property at the time of origination of such Loan lay outside the boundaries and building restriction lines of such property to any material extent, and no improvements on adjoining properties encroached upon such Mortgaged Property to any material extent. The improvements located on or forming part of such Mortgaged Property comply in all material respects with applicable zoning laws and ordinances (except to the extent that they may constitute legal nonconforming uses) or, if any such improvement does not comply, such noncompliance does not materially and adversely affect the value of the Mortgaged Property.</w:t>
      </w:r>
    </w:p>
    <w:p>
      <w:pPr>
        <w:spacing w:after="0" w:line="200" w:lineRule="exact"/>
        <w:rPr>
          <w:sz w:val="20"/>
          <w:szCs w:val="20"/>
          <w:color w:val="auto"/>
        </w:rPr>
      </w:pPr>
    </w:p>
    <w:p>
      <w:pPr>
        <w:spacing w:after="0" w:line="290"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20</w:t>
      </w:r>
      <w:r>
        <w:rPr>
          <w:rFonts w:ascii="Arial" w:cs="Arial" w:eastAsia="Arial" w:hAnsi="Arial"/>
          <w:sz w:val="18"/>
          <w:szCs w:val="18"/>
          <w:i w:val="1"/>
          <w:iCs w:val="1"/>
          <w:color w:val="auto"/>
        </w:rPr>
        <w:t>. Inspection.</w:t>
      </w:r>
      <w:r>
        <w:rPr>
          <w:rFonts w:ascii="Arial" w:cs="Arial" w:eastAsia="Arial" w:hAnsi="Arial"/>
          <w:sz w:val="18"/>
          <w:szCs w:val="18"/>
          <w:color w:val="auto"/>
        </w:rPr>
        <w:t xml:space="preserve"> In connection with the origination of each Loan, the Seller inspected or caused to be inspected (either directly by the Seller, by its correspondent or by a third party) the Mortgaged Property.</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308" w:lineRule="auto"/>
        <w:rPr>
          <w:sz w:val="20"/>
          <w:szCs w:val="20"/>
          <w:color w:val="auto"/>
        </w:rPr>
      </w:pPr>
      <w:r>
        <w:rPr>
          <w:rFonts w:ascii="Arial" w:cs="Arial" w:eastAsia="Arial" w:hAnsi="Arial"/>
          <w:sz w:val="17"/>
          <w:szCs w:val="17"/>
          <w:color w:val="auto"/>
        </w:rPr>
        <w:t>21</w:t>
      </w:r>
      <w:r>
        <w:rPr>
          <w:rFonts w:ascii="Arial" w:cs="Arial" w:eastAsia="Arial" w:hAnsi="Arial"/>
          <w:sz w:val="17"/>
          <w:szCs w:val="17"/>
          <w:i w:val="1"/>
          <w:iCs w:val="1"/>
          <w:color w:val="auto"/>
        </w:rPr>
        <w:t>. No Equity Participation or Contingent Interest.</w:t>
      </w:r>
      <w:r>
        <w:rPr>
          <w:rFonts w:ascii="Arial" w:cs="Arial" w:eastAsia="Arial" w:hAnsi="Arial"/>
          <w:sz w:val="17"/>
          <w:szCs w:val="17"/>
          <w:color w:val="auto"/>
        </w:rPr>
        <w:t xml:space="preserve"> No Loan contains an equity participation by the Seller, or provides for any contingent or additional interest in the form of participation in the cash flow of the related Mortgaged Property. No Loan provides for negative amortization.</w:t>
      </w:r>
    </w:p>
    <w:p>
      <w:pPr>
        <w:spacing w:after="0" w:line="200" w:lineRule="exact"/>
        <w:rPr>
          <w:sz w:val="20"/>
          <w:szCs w:val="20"/>
          <w:color w:val="auto"/>
        </w:rPr>
      </w:pPr>
    </w:p>
    <w:p>
      <w:pPr>
        <w:spacing w:after="0" w:line="244"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22</w:t>
      </w:r>
      <w:r>
        <w:rPr>
          <w:rFonts w:ascii="Arial" w:cs="Arial" w:eastAsia="Arial" w:hAnsi="Arial"/>
          <w:sz w:val="18"/>
          <w:szCs w:val="18"/>
          <w:i w:val="1"/>
          <w:iCs w:val="1"/>
          <w:color w:val="auto"/>
        </w:rPr>
        <w:t>. Licenses, Permits, Etc.</w:t>
      </w:r>
      <w:r>
        <w:rPr>
          <w:rFonts w:ascii="Arial" w:cs="Arial" w:eastAsia="Arial" w:hAnsi="Arial"/>
          <w:sz w:val="18"/>
          <w:szCs w:val="18"/>
          <w:color w:val="auto"/>
        </w:rPr>
        <w:t xml:space="preserve"> All licenses, permits and authorizations required by applicable laws for the use of the related Mortgaged Property as it is currently operated have been obtained and maintained in accordance with applicable laws except for such licenses, permits and authorizations the failure of which to obtain would not materially adversely affect the value, use or operation of the Mortgaged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439420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4" w:name="page225"/>
    <w:bookmarkEnd w:id="224"/>
    <w:p>
      <w:pPr>
        <w:jc w:val="both"/>
        <w:ind w:firstLine="810"/>
        <w:spacing w:after="0" w:line="279" w:lineRule="auto"/>
        <w:rPr>
          <w:sz w:val="20"/>
          <w:szCs w:val="20"/>
          <w:color w:val="auto"/>
        </w:rPr>
      </w:pPr>
      <w:r>
        <w:rPr>
          <w:rFonts w:ascii="Arial" w:cs="Arial" w:eastAsia="Arial" w:hAnsi="Arial"/>
          <w:sz w:val="17"/>
          <w:szCs w:val="17"/>
          <w:color w:val="auto"/>
        </w:rPr>
        <w:t>23</w:t>
      </w:r>
      <w:r>
        <w:rPr>
          <w:rFonts w:ascii="Arial" w:cs="Arial" w:eastAsia="Arial" w:hAnsi="Arial"/>
          <w:sz w:val="17"/>
          <w:szCs w:val="17"/>
          <w:i w:val="1"/>
          <w:iCs w:val="1"/>
          <w:color w:val="auto"/>
        </w:rPr>
        <w:t>. Servicing; Loan Files.</w:t>
      </w:r>
      <w:r>
        <w:rPr>
          <w:rFonts w:ascii="Arial" w:cs="Arial" w:eastAsia="Arial" w:hAnsi="Arial"/>
          <w:sz w:val="17"/>
          <w:szCs w:val="17"/>
          <w:color w:val="auto"/>
        </w:rPr>
        <w:t xml:space="preserve"> The servicing and collection practices used by the Seller and its designees with respect to each Loan have been in all material respects in compliance with all laws and the Loan Documents and have met customary standards utilized by commercial banks in the area in which the Mortgaged Property is located for servicing of residential mortgage loans. The Loan File for each Loan includes all documents material to the servicing and enforcement of such Loan, and true and correct copies of such documents were provided to the Purchaser prior to the date hereof.</w:t>
      </w:r>
    </w:p>
    <w:p>
      <w:pPr>
        <w:spacing w:after="0" w:line="200" w:lineRule="exact"/>
        <w:rPr>
          <w:sz w:val="20"/>
          <w:szCs w:val="20"/>
          <w:color w:val="auto"/>
        </w:rPr>
      </w:pPr>
    </w:p>
    <w:p>
      <w:pPr>
        <w:spacing w:after="0" w:line="269"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24</w:t>
      </w:r>
      <w:r>
        <w:rPr>
          <w:rFonts w:ascii="Arial" w:cs="Arial" w:eastAsia="Arial" w:hAnsi="Arial"/>
          <w:sz w:val="17"/>
          <w:szCs w:val="17"/>
          <w:i w:val="1"/>
          <w:iCs w:val="1"/>
          <w:color w:val="auto"/>
        </w:rPr>
        <w:t>. Customary Remedies.</w:t>
      </w:r>
      <w:r>
        <w:rPr>
          <w:rFonts w:ascii="Arial" w:cs="Arial" w:eastAsia="Arial" w:hAnsi="Arial"/>
          <w:sz w:val="17"/>
          <w:szCs w:val="17"/>
          <w:color w:val="auto"/>
        </w:rPr>
        <w:t xml:space="preserve"> The related Mortgage or Note, together with applicable state law, contains customary and enforceable provisions (subject to the exceptions set forth in </w:t>
      </w:r>
      <w:r>
        <w:rPr>
          <w:rFonts w:ascii="Arial" w:cs="Arial" w:eastAsia="Arial" w:hAnsi="Arial"/>
          <w:sz w:val="17"/>
          <w:szCs w:val="17"/>
          <w:u w:val="single" w:color="auto"/>
          <w:color w:val="auto"/>
        </w:rPr>
        <w:t>paragraph 9</w:t>
      </w:r>
      <w:r>
        <w:rPr>
          <w:rFonts w:ascii="Arial" w:cs="Arial" w:eastAsia="Arial" w:hAnsi="Arial"/>
          <w:sz w:val="17"/>
          <w:szCs w:val="17"/>
          <w:color w:val="auto"/>
        </w:rPr>
        <w:t xml:space="preserve"> (</w:t>
      </w:r>
      <w:r>
        <w:rPr>
          <w:rFonts w:ascii="Arial" w:cs="Arial" w:eastAsia="Arial" w:hAnsi="Arial"/>
          <w:sz w:val="17"/>
          <w:szCs w:val="17"/>
          <w:i w:val="1"/>
          <w:iCs w:val="1"/>
          <w:color w:val="auto"/>
        </w:rPr>
        <w:t>Enforceability</w:t>
      </w:r>
      <w:r>
        <w:rPr>
          <w:rFonts w:ascii="Arial" w:cs="Arial" w:eastAsia="Arial" w:hAnsi="Arial"/>
          <w:sz w:val="17"/>
          <w:szCs w:val="17"/>
          <w:color w:val="auto"/>
        </w:rPr>
        <w:t>) above) such as to render the rights and remedies of the holders thereof adequate for the practical realization against the related Mortgaged Property of the principal benefits of the security intended to be provided thereby.</w:t>
      </w:r>
    </w:p>
    <w:p>
      <w:pPr>
        <w:spacing w:after="0" w:line="200" w:lineRule="exact"/>
        <w:rPr>
          <w:sz w:val="20"/>
          <w:szCs w:val="20"/>
          <w:color w:val="auto"/>
        </w:rPr>
      </w:pPr>
    </w:p>
    <w:p>
      <w:pPr>
        <w:spacing w:after="0" w:line="263"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25</w:t>
      </w:r>
      <w:r>
        <w:rPr>
          <w:rFonts w:ascii="Arial" w:cs="Arial" w:eastAsia="Arial" w:hAnsi="Arial"/>
          <w:sz w:val="18"/>
          <w:szCs w:val="18"/>
          <w:i w:val="1"/>
          <w:iCs w:val="1"/>
          <w:color w:val="auto"/>
        </w:rPr>
        <w:t>. Insurance and Condemnation Proceeds.</w:t>
      </w:r>
      <w:r>
        <w:rPr>
          <w:rFonts w:ascii="Arial" w:cs="Arial" w:eastAsia="Arial" w:hAnsi="Arial"/>
          <w:sz w:val="18"/>
          <w:szCs w:val="18"/>
          <w:color w:val="auto"/>
        </w:rPr>
        <w:t xml:space="preserve"> The related Mortgage or other related loan document provides that insurance proceeds and condemnation proceeds will be applied to either restore or repair the Mortgaged Property or repay the principal of the Loan, with, in some cases, the related Borrower (or the tenant or master lessee at the Mortgaged Property which maintains such insurance) being entitled to receive proceeds in excess of the amount utilized to restore or repair the Mortgaged Property.</w:t>
      </w:r>
    </w:p>
    <w:p>
      <w:pPr>
        <w:spacing w:after="0" w:line="200" w:lineRule="exact"/>
        <w:rPr>
          <w:sz w:val="20"/>
          <w:szCs w:val="20"/>
          <w:color w:val="auto"/>
        </w:rPr>
      </w:pPr>
    </w:p>
    <w:p>
      <w:pPr>
        <w:spacing w:after="0" w:line="284"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26</w:t>
      </w:r>
      <w:r>
        <w:rPr>
          <w:rFonts w:ascii="Arial" w:cs="Arial" w:eastAsia="Arial" w:hAnsi="Arial"/>
          <w:sz w:val="18"/>
          <w:szCs w:val="18"/>
          <w:i w:val="1"/>
          <w:iCs w:val="1"/>
          <w:color w:val="auto"/>
        </w:rPr>
        <w:t>. Deed of Trust.</w:t>
      </w:r>
      <w:r>
        <w:rPr>
          <w:rFonts w:ascii="Arial" w:cs="Arial" w:eastAsia="Arial" w:hAnsi="Arial"/>
          <w:sz w:val="18"/>
          <w:szCs w:val="18"/>
          <w:color w:val="auto"/>
        </w:rPr>
        <w:t xml:space="preserve"> If the related Mortgage is a deed of trust, to the Seller’s Knowledge, a trustee, duly qualified under applicable law to serve as such, is properly designated and serving under such Mortgage.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27</w:t>
      </w:r>
      <w:r>
        <w:rPr>
          <w:rFonts w:ascii="Arial" w:cs="Arial" w:eastAsia="Arial" w:hAnsi="Arial"/>
          <w:sz w:val="18"/>
          <w:szCs w:val="18"/>
          <w:i w:val="1"/>
          <w:iCs w:val="1"/>
          <w:color w:val="auto"/>
        </w:rPr>
        <w:t>. Lien Releases.</w:t>
      </w:r>
      <w:r>
        <w:rPr>
          <w:rFonts w:ascii="Arial" w:cs="Arial" w:eastAsia="Arial" w:hAnsi="Arial"/>
          <w:sz w:val="18"/>
          <w:szCs w:val="18"/>
          <w:color w:val="auto"/>
        </w:rPr>
        <w:t xml:space="preserve"> The related Note or Mortgage does not require the holder thereof to release all or any portion of the Mortgaged Property from the lien of the related Mortgage, except upon payment in full of all amounts due under such Loan which have been allocated to such Mortgaged Property upon the payment of specified release consideration, satisfaction of a debt service coverage ratio test and subject to the satisfaction of certain customary criteria set forth in the related loan agreement.</w:t>
      </w:r>
    </w:p>
    <w:p>
      <w:pPr>
        <w:spacing w:after="0" w:line="200" w:lineRule="exact"/>
        <w:rPr>
          <w:sz w:val="20"/>
          <w:szCs w:val="20"/>
          <w:color w:val="auto"/>
        </w:rPr>
      </w:pPr>
    </w:p>
    <w:p>
      <w:pPr>
        <w:spacing w:after="0" w:line="284"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28</w:t>
      </w:r>
      <w:r>
        <w:rPr>
          <w:rFonts w:ascii="Arial" w:cs="Arial" w:eastAsia="Arial" w:hAnsi="Arial"/>
          <w:sz w:val="18"/>
          <w:szCs w:val="18"/>
          <w:i w:val="1"/>
          <w:iCs w:val="1"/>
          <w:color w:val="auto"/>
        </w:rPr>
        <w:t>. Origination of Loans.</w:t>
      </w:r>
      <w:r>
        <w:rPr>
          <w:rFonts w:ascii="Arial" w:cs="Arial" w:eastAsia="Arial" w:hAnsi="Arial"/>
          <w:sz w:val="18"/>
          <w:szCs w:val="18"/>
          <w:color w:val="auto"/>
        </w:rPr>
        <w:t xml:space="preserve"> Other than approved exceptions, each Loan complies in all material respects with the Seller’s underwriting policies effect as of such loan’s origination date.</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29</w:t>
      </w:r>
      <w:r>
        <w:rPr>
          <w:rFonts w:ascii="Arial" w:cs="Arial" w:eastAsia="Arial" w:hAnsi="Arial"/>
          <w:sz w:val="18"/>
          <w:szCs w:val="18"/>
          <w:i w:val="1"/>
          <w:iCs w:val="1"/>
          <w:color w:val="auto"/>
        </w:rPr>
        <w:t>. Priority of Adjustable Rate Loans.</w:t>
      </w:r>
      <w:r>
        <w:rPr>
          <w:rFonts w:ascii="Arial" w:cs="Arial" w:eastAsia="Arial" w:hAnsi="Arial"/>
          <w:sz w:val="18"/>
          <w:szCs w:val="18"/>
          <w:color w:val="auto"/>
        </w:rPr>
        <w:t xml:space="preserve"> All terms of the Loan Documents pertaining to interest rate adjustments, payment adjustments and principal balance adjustments are enforceable and will not affect the priority of the mortgage lien.</w:t>
      </w:r>
    </w:p>
    <w:p>
      <w:pPr>
        <w:spacing w:after="0" w:line="200" w:lineRule="exact"/>
        <w:rPr>
          <w:sz w:val="20"/>
          <w:szCs w:val="20"/>
          <w:color w:val="auto"/>
        </w:rPr>
      </w:pPr>
    </w:p>
    <w:p>
      <w:pPr>
        <w:spacing w:after="0" w:line="268" w:lineRule="exact"/>
        <w:rPr>
          <w:sz w:val="20"/>
          <w:szCs w:val="20"/>
          <w:color w:val="auto"/>
        </w:rPr>
      </w:pPr>
    </w:p>
    <w:p>
      <w:pPr>
        <w:ind w:firstLine="818"/>
        <w:spacing w:after="0" w:line="277" w:lineRule="auto"/>
        <w:tabs>
          <w:tab w:leader="none" w:pos="1251"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of Loans. </w:t>
      </w:r>
      <w:r>
        <w:rPr>
          <w:rFonts w:ascii="Arial" w:cs="Arial" w:eastAsia="Arial" w:hAnsi="Arial"/>
          <w:sz w:val="18"/>
          <w:szCs w:val="18"/>
          <w:color w:val="auto"/>
        </w:rPr>
        <w:t>The Note and Mortgage contain no provision limiting the right or ability of the Seller to assign, transfer and convey</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 or mortgage to the Purchaser other than provisions that have been complied with.</w:t>
      </w:r>
    </w:p>
    <w:p>
      <w:pPr>
        <w:spacing w:after="0" w:line="200" w:lineRule="exact"/>
        <w:rPr>
          <w:sz w:val="20"/>
          <w:szCs w:val="20"/>
          <w:color w:val="auto"/>
        </w:rPr>
      </w:pPr>
    </w:p>
    <w:p>
      <w:pPr>
        <w:spacing w:after="0" w:line="268" w:lineRule="exact"/>
        <w:rPr>
          <w:sz w:val="20"/>
          <w:szCs w:val="20"/>
          <w:color w:val="auto"/>
        </w:rPr>
      </w:pPr>
    </w:p>
    <w:p>
      <w:pPr>
        <w:jc w:val="both"/>
        <w:ind w:firstLine="810"/>
        <w:spacing w:after="0" w:line="289" w:lineRule="auto"/>
        <w:rPr>
          <w:sz w:val="20"/>
          <w:szCs w:val="20"/>
          <w:color w:val="auto"/>
        </w:rPr>
      </w:pPr>
      <w:r>
        <w:rPr>
          <w:rFonts w:ascii="Arial" w:cs="Arial" w:eastAsia="Arial" w:hAnsi="Arial"/>
          <w:sz w:val="16"/>
          <w:szCs w:val="16"/>
          <w:color w:val="auto"/>
        </w:rPr>
        <w:t>31</w:t>
      </w:r>
      <w:r>
        <w:rPr>
          <w:rFonts w:ascii="Arial" w:cs="Arial" w:eastAsia="Arial" w:hAnsi="Arial"/>
          <w:sz w:val="16"/>
          <w:szCs w:val="16"/>
          <w:i w:val="1"/>
          <w:iCs w:val="1"/>
          <w:color w:val="auto"/>
        </w:rPr>
        <w:t>. Documentation Requirements</w:t>
      </w:r>
      <w:r>
        <w:rPr>
          <w:rFonts w:ascii="Arial" w:cs="Arial" w:eastAsia="Arial" w:hAnsi="Arial"/>
          <w:sz w:val="16"/>
          <w:szCs w:val="16"/>
          <w:color w:val="auto"/>
        </w:rPr>
        <w:t>. The Loan File with respect to each Loan contains the following documents: (a) an original of the operative Note or a copy of the operative Note together with a lost note affidavit in form and substance reasonably acceptable to the Purchaser, (b) an executed endorsement or an allonge attached to the operative Note executed in blank, (c) originals or copies of all intervening endorsements necessary to show complete chain of title; (d) an original of the Mortgage securing the operative Note with evidence of recording or a copy of mortgage with recording information set forth thereon, (e) an assignment of the Mortgage securing the operative Note executed in blank, and all intervening assignments necessary to show complete chain of title, (f) a final title insurance policy, (g) an original of any guarantee of the operative Note (g) the original of any letter of credit issued for the benefit of Seller or any of its predecessors to secure the operative Note, (h) the final executed settlement statement with respect to the operative Note or as otherwise delivered at the original closing and (i) all final and executed (to the extent execution is required) notices, disclosure statements and similar items required in connection with the origination of a residential mortgage loan pursuant to federal, state and /or local law, rule and/or regulation.</w:t>
      </w:r>
    </w:p>
    <w:p>
      <w:pPr>
        <w:sectPr>
          <w:pgSz w:w="11900" w:h="16838" w:orient="portrait"/>
          <w:cols w:equalWidth="0" w:num="1">
            <w:col w:w="11420"/>
          </w:cols>
          <w:pgMar w:left="240" w:top="544"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-130175</wp:posOffset>
            </wp:positionV>
            <wp:extent cx="3387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4, 2011</w:t>
      </w:r>
    </w:p>
    <w:p>
      <w:pPr>
        <w:sectPr>
          <w:pgSz w:w="11900" w:h="16838" w:orient="portrait"/>
          <w:cols w:equalWidth="0" w:num="1">
            <w:col w:w="11420"/>
          </w:cols>
          <w:pgMar w:left="240" w:top="243"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2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4, 2011</w:t>
      </w:r>
    </w:p>
    <w:p>
      <w:pPr>
        <w:sectPr>
          <w:pgSz w:w="11900" w:h="16838" w:orient="portrait"/>
          <w:cols w:equalWidth="0" w:num="1">
            <w:col w:w="11420"/>
          </w:cols>
          <w:pgMar w:left="240" w:top="243"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2011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00" w:lineRule="exact"/>
        <w:rPr>
          <w:sz w:val="20"/>
          <w:szCs w:val="20"/>
          <w:color w:val="auto"/>
        </w:rPr>
      </w:pPr>
    </w:p>
    <w:p>
      <w:pPr>
        <w:spacing w:after="0" w:line="257" w:lineRule="exact"/>
        <w:rPr>
          <w:sz w:val="20"/>
          <w:szCs w:val="20"/>
          <w:color w:val="auto"/>
        </w:rPr>
      </w:pPr>
    </w:p>
    <w:p>
      <w:pPr>
        <w:ind w:left="980" w:hanging="299"/>
        <w:spacing w:after="0"/>
        <w:tabs>
          <w:tab w:leader="none" w:pos="9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299"/>
        <w:spacing w:after="0"/>
        <w:tabs>
          <w:tab w:leader="none" w:pos="9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4, 2011</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D15094"/>
    <w:multiLevelType w:val="hybridMultilevel"/>
    <w:lvl w:ilvl="0">
      <w:lvlJc w:val="left"/>
      <w:lvlText w:val="(%1)"/>
      <w:numFmt w:val="decimal"/>
      <w:start w:val="1"/>
    </w:lvl>
  </w:abstractNum>
  <w:abstractNum w:abstractNumId="1">
    <w:nsid w:val="3DB012B3"/>
    <w:multiLevelType w:val="hybridMultilevel"/>
    <w:lvl w:ilvl="0">
      <w:lvlJc w:val="left"/>
      <w:lvlText w:val="(%1)"/>
      <w:numFmt w:val="decimal"/>
      <w:start w:val="1"/>
    </w:lvl>
  </w:abstractNum>
  <w:abstractNum w:abstractNumId="2">
    <w:nsid w:val="2708C9AF"/>
    <w:multiLevelType w:val="hybridMultilevel"/>
    <w:lvl w:ilvl="0">
      <w:lvlJc w:val="left"/>
      <w:lvlText w:val="·"/>
      <w:numFmt w:val="bullet"/>
      <w:start w:val="1"/>
    </w:lvl>
  </w:abstractNum>
  <w:abstractNum w:abstractNumId="3">
    <w:nsid w:val="5B25ACE2"/>
    <w:multiLevelType w:val="hybridMultilevel"/>
    <w:lvl w:ilvl="0">
      <w:lvlJc w:val="left"/>
      <w:lvlText w:val="("/>
      <w:numFmt w:val="bullet"/>
      <w:start w:val="1"/>
    </w:lvl>
  </w:abstractNum>
  <w:abstractNum w:abstractNumId="4">
    <w:nsid w:val="175DFCF0"/>
    <w:multiLevelType w:val="hybridMultilevel"/>
    <w:lvl w:ilvl="0">
      <w:lvlJc w:val="left"/>
      <w:lvlText w:val="(%1)"/>
      <w:numFmt w:val="decimal"/>
      <w:start w:val="1"/>
    </w:lvl>
  </w:abstractNum>
  <w:abstractNum w:abstractNumId="5">
    <w:nsid w:val="4F97E3E4"/>
    <w:multiLevelType w:val="hybridMultilevel"/>
    <w:lvl w:ilvl="0">
      <w:lvlJc w:val="left"/>
      <w:lvlText w:val="(%1)"/>
      <w:numFmt w:val="decimal"/>
      <w:start w:val="1"/>
    </w:lvl>
  </w:abstractNum>
  <w:abstractNum w:abstractNumId="6">
    <w:nsid w:val="53B0A9E"/>
    <w:multiLevelType w:val="hybridMultilevel"/>
    <w:lvl w:ilvl="0">
      <w:lvlJc w:val="left"/>
      <w:lvlText w:val="*"/>
      <w:numFmt w:val="bullet"/>
      <w:start w:val="1"/>
    </w:lvl>
  </w:abstractNum>
  <w:abstractNum w:abstractNumId="7">
    <w:nsid w:val="34FD6B4F"/>
    <w:multiLevelType w:val="hybridMultilevel"/>
    <w:lvl w:ilvl="0">
      <w:lvlJc w:val="left"/>
      <w:lvlText w:val="(%1)"/>
      <w:numFmt w:val="decimal"/>
      <w:start w:val="1"/>
    </w:lvl>
  </w:abstractNum>
  <w:abstractNum w:abstractNumId="8">
    <w:nsid w:val="5915FF32"/>
    <w:multiLevelType w:val="hybridMultilevel"/>
    <w:lvl w:ilvl="0">
      <w:lvlJc w:val="left"/>
      <w:lvlText w:val="(%1)"/>
      <w:numFmt w:val="decimal"/>
      <w:start w:val="1"/>
    </w:lvl>
  </w:abstractNum>
  <w:abstractNum w:abstractNumId="9">
    <w:nsid w:val="56438D15"/>
    <w:multiLevelType w:val="hybridMultilevel"/>
    <w:lvl w:ilvl="0">
      <w:lvlJc w:val="left"/>
      <w:lvlText w:val="(%1)"/>
      <w:numFmt w:val="decimal"/>
      <w:start w:val="1"/>
    </w:lvl>
  </w:abstractNum>
  <w:abstractNum w:abstractNumId="10">
    <w:nsid w:val="519E3149"/>
    <w:multiLevelType w:val="hybridMultilevel"/>
    <w:lvl w:ilvl="0">
      <w:lvlJc w:val="left"/>
      <w:lvlText w:val="(%1)"/>
      <w:numFmt w:val="decimal"/>
      <w:start w:val="1"/>
    </w:lvl>
  </w:abstractNum>
  <w:abstractNum w:abstractNumId="11">
    <w:nsid w:val="2C6E4AFD"/>
    <w:multiLevelType w:val="hybridMultilevel"/>
    <w:lvl w:ilvl="0">
      <w:lvlJc w:val="left"/>
      <w:lvlText w:val="(%1)"/>
      <w:numFmt w:val="decimal"/>
      <w:start w:val="1"/>
    </w:lvl>
  </w:abstractNum>
  <w:abstractNum w:abstractNumId="12">
    <w:nsid w:val="17A1B582"/>
    <w:multiLevelType w:val="hybridMultilevel"/>
    <w:lvl w:ilvl="0">
      <w:lvlJc w:val="left"/>
      <w:lvlText w:val="%1"/>
      <w:numFmt w:val="decimal"/>
      <w:start w:val="32"/>
    </w:lvl>
  </w:abstractNum>
  <w:abstractNum w:abstractNumId="13">
    <w:nsid w:val="4DF72E4E"/>
    <w:multiLevelType w:val="hybridMultilevel"/>
    <w:lvl w:ilvl="0">
      <w:lvlJc w:val="left"/>
      <w:lvlText w:val="(%1)"/>
      <w:numFmt w:val="lowerLetter"/>
      <w:start w:val="1"/>
    </w:lvl>
  </w:abstractNum>
  <w:abstractNum w:abstractNumId="14">
    <w:nsid w:val="5046B5A9"/>
    <w:multiLevelType w:val="hybridMultilevel"/>
    <w:lvl w:ilvl="0">
      <w:lvlJc w:val="left"/>
      <w:lvlText w:val="(%1)"/>
      <w:numFmt w:val="lowerLetter"/>
      <w:start w:val="5"/>
    </w:lvl>
  </w:abstractNum>
  <w:abstractNum w:abstractNumId="15">
    <w:nsid w:val="5D888A08"/>
    <w:multiLevelType w:val="hybridMultilevel"/>
    <w:lvl w:ilvl="0">
      <w:lvlJc w:val="left"/>
      <w:lvlText w:val="(%1)"/>
      <w:numFmt w:val="lowerLetter"/>
      <w:start w:val="11"/>
    </w:lvl>
  </w:abstractNum>
  <w:abstractNum w:abstractNumId="16">
    <w:nsid w:val="2A082C70"/>
    <w:multiLevelType w:val="hybridMultilevel"/>
    <w:lvl w:ilvl="0">
      <w:lvlJc w:val="left"/>
      <w:lvlText w:val="(%1)"/>
      <w:numFmt w:val="lowerLetter"/>
      <w:start w:val="13"/>
    </w:lvl>
  </w:abstractNum>
  <w:abstractNum w:abstractNumId="17">
    <w:nsid w:val="5EC6AFD4"/>
    <w:multiLevelType w:val="hybridMultilevel"/>
    <w:lvl w:ilvl="0">
      <w:lvlJc w:val="left"/>
      <w:lvlText w:val="(%1)"/>
      <w:numFmt w:val="lowerLetter"/>
      <w:start w:val="26"/>
    </w:lvl>
  </w:abstractNum>
  <w:abstractNum w:abstractNumId="18">
    <w:nsid w:val="19E21BB2"/>
    <w:multiLevelType w:val="hybridMultilevel"/>
    <w:lvl w:ilvl="0">
      <w:lvlJc w:val="left"/>
      <w:lvlText w:val="(%1)"/>
      <w:numFmt w:val="lowerLetter"/>
      <w:start w:val="27"/>
    </w:lvl>
  </w:abstractNum>
  <w:abstractNum w:abstractNumId="19">
    <w:nsid w:val="75E0858A"/>
    <w:multiLevelType w:val="hybridMultilevel"/>
    <w:lvl w:ilvl="0">
      <w:lvlJc w:val="left"/>
      <w:lvlText w:val="(%1)"/>
      <w:numFmt w:val="lowerLetter"/>
      <w:start w:val="34"/>
    </w:lvl>
  </w:abstractNum>
  <w:abstractNum w:abstractNumId="20">
    <w:nsid w:val="57A61A29"/>
    <w:multiLevelType w:val="hybridMultilevel"/>
    <w:lvl w:ilvl="0">
      <w:lvlJc w:val="left"/>
      <w:lvlText w:val="(%1)"/>
      <w:numFmt w:val="lowerRoman"/>
      <w:start w:val="1"/>
    </w:lvl>
  </w:abstractNum>
  <w:abstractNum w:abstractNumId="21">
    <w:nsid w:val="5399C654"/>
    <w:multiLevelType w:val="hybridMultilevel"/>
    <w:lvl w:ilvl="0">
      <w:lvlJc w:val="left"/>
      <w:lvlText w:val="(%1)"/>
      <w:numFmt w:val="lowerLetter"/>
      <w:start w:val="39"/>
    </w:lvl>
  </w:abstractNum>
  <w:abstractNum w:abstractNumId="22">
    <w:nsid w:val="20EE1348"/>
    <w:multiLevelType w:val="hybridMultilevel"/>
    <w:lvl w:ilvl="0">
      <w:lvlJc w:val="left"/>
      <w:lvlText w:val="(%1)"/>
      <w:numFmt w:val="lowerLetter"/>
      <w:start w:val="2"/>
    </w:lvl>
  </w:abstractNum>
  <w:abstractNum w:abstractNumId="23">
    <w:nsid w:val="4427069A"/>
    <w:multiLevelType w:val="hybridMultilevel"/>
    <w:lvl w:ilvl="0">
      <w:lvlJc w:val="left"/>
      <w:lvlText w:val="%1"/>
      <w:numFmt w:val="decimal"/>
      <w:start w:val="1"/>
    </w:lvl>
    <w:lvl w:ilvl="1">
      <w:lvlJc w:val="left"/>
      <w:lvlText w:val="(%2)"/>
      <w:numFmt w:val="lowerLetter"/>
      <w:start w:val="3"/>
    </w:lvl>
  </w:abstractNum>
  <w:abstractNum w:abstractNumId="24">
    <w:nsid w:val="B37E80A"/>
    <w:multiLevelType w:val="hybridMultilevel"/>
    <w:lvl w:ilvl="0">
      <w:lvlJc w:val="left"/>
      <w:lvlText w:val="%1."/>
      <w:numFmt w:val="decimal"/>
      <w:start w:val="360"/>
    </w:lvl>
    <w:lvl w:ilvl="1">
      <w:lvlJc w:val="left"/>
      <w:lvlText w:val="(%2)"/>
      <w:numFmt w:val="lowerLetter"/>
      <w:start w:val="4"/>
    </w:lvl>
  </w:abstractNum>
  <w:abstractNum w:abstractNumId="25">
    <w:nsid w:val="2157F6BC"/>
    <w:multiLevelType w:val="hybridMultilevel"/>
    <w:lvl w:ilvl="0">
      <w:lvlJc w:val="left"/>
      <w:lvlText w:val="(%1)"/>
      <w:numFmt w:val="lowerLetter"/>
      <w:start w:val="7"/>
    </w:lvl>
  </w:abstractNum>
  <w:abstractNum w:abstractNumId="26">
    <w:nsid w:val="704E1DD5"/>
    <w:multiLevelType w:val="hybridMultilevel"/>
    <w:lvl w:ilvl="0">
      <w:lvlJc w:val="left"/>
      <w:lvlText w:val="(%1)"/>
      <w:numFmt w:val="lowerLetter"/>
      <w:start w:val="2"/>
    </w:lvl>
  </w:abstractNum>
  <w:abstractNum w:abstractNumId="27">
    <w:nsid w:val="57D2F10E"/>
    <w:multiLevelType w:val="hybridMultilevel"/>
    <w:lvl w:ilvl="0">
      <w:lvlJc w:val="left"/>
      <w:lvlText w:val="(%1)"/>
      <w:numFmt w:val="lowerLetter"/>
      <w:start w:val="1"/>
    </w:lvl>
  </w:abstractNum>
  <w:abstractNum w:abstractNumId="28">
    <w:nsid w:val="BFFAE18"/>
    <w:multiLevelType w:val="hybridMultilevel"/>
    <w:lvl w:ilvl="0">
      <w:lvlJc w:val="left"/>
      <w:lvlText w:val="(%1)"/>
      <w:numFmt w:val="lowerLetter"/>
      <w:start w:val="4"/>
    </w:lvl>
  </w:abstractNum>
  <w:abstractNum w:abstractNumId="29">
    <w:nsid w:val="E3E47A8"/>
    <w:multiLevelType w:val="hybridMultilevel"/>
    <w:lvl w:ilvl="0">
      <w:lvlJc w:val="left"/>
      <w:lvlText w:val="(%1)"/>
      <w:numFmt w:val="lowerLetter"/>
      <w:start w:val="1"/>
    </w:lvl>
  </w:abstractNum>
  <w:abstractNum w:abstractNumId="30">
    <w:nsid w:val="2E48F044"/>
    <w:multiLevelType w:val="hybridMultilevel"/>
    <w:lvl w:ilvl="0">
      <w:lvlJc w:val="left"/>
      <w:lvlText w:val="(%1)"/>
      <w:numFmt w:val="lowerRoman"/>
      <w:start w:val="1"/>
    </w:lvl>
  </w:abstractNum>
  <w:abstractNum w:abstractNumId="31">
    <w:nsid w:val="49D0FEAC"/>
    <w:multiLevelType w:val="hybridMultilevel"/>
    <w:lvl w:ilvl="0">
      <w:lvlJc w:val="left"/>
      <w:lvlText w:val="(%1)"/>
      <w:numFmt w:val="lowerRoman"/>
      <w:start w:val="4"/>
    </w:lvl>
  </w:abstractNum>
  <w:abstractNum w:abstractNumId="32">
    <w:nsid w:val="4BEE5A5B"/>
    <w:multiLevelType w:val="hybridMultilevel"/>
    <w:lvl w:ilvl="0">
      <w:lvlJc w:val="left"/>
      <w:lvlText w:val="(%1)"/>
      <w:numFmt w:val="lowerLetter"/>
      <w:start w:val="2"/>
    </w:lvl>
  </w:abstractNum>
  <w:abstractNum w:abstractNumId="33">
    <w:nsid w:val="5551B9F3"/>
    <w:multiLevelType w:val="hybridMultilevel"/>
    <w:lvl w:ilvl="0">
      <w:lvlJc w:val="left"/>
      <w:lvlText w:val="(%1)"/>
      <w:numFmt w:val="lowerLetter"/>
      <w:start w:val="6"/>
    </w:lvl>
  </w:abstractNum>
  <w:abstractNum w:abstractNumId="34">
    <w:nsid w:val="24F6AB8E"/>
    <w:multiLevelType w:val="hybridMultilevel"/>
    <w:lvl w:ilvl="0">
      <w:lvlJc w:val="left"/>
      <w:lvlText w:val="(%1)"/>
      <w:numFmt w:val="lowerLetter"/>
      <w:start w:val="1"/>
    </w:lvl>
  </w:abstractNum>
  <w:abstractNum w:abstractNumId="35">
    <w:nsid w:val="634C574C"/>
    <w:multiLevelType w:val="hybridMultilevel"/>
    <w:lvl w:ilvl="0">
      <w:lvlJc w:val="left"/>
      <w:lvlText w:val="(%1)"/>
      <w:numFmt w:val="lowerRoman"/>
      <w:start w:val="1"/>
    </w:lvl>
  </w:abstractNum>
  <w:abstractNum w:abstractNumId="36">
    <w:nsid w:val="24E99DD7"/>
    <w:multiLevelType w:val="hybridMultilevel"/>
    <w:lvl w:ilvl="0">
      <w:lvlJc w:val="left"/>
      <w:lvlText w:val="(%1)"/>
      <w:numFmt w:val="lowerRoman"/>
      <w:start w:val="2"/>
    </w:lvl>
  </w:abstractNum>
  <w:abstractNum w:abstractNumId="37">
    <w:nsid w:val="2A31B62D"/>
    <w:multiLevelType w:val="hybridMultilevel"/>
    <w:lvl w:ilvl="0">
      <w:lvlJc w:val="left"/>
      <w:lvlText w:val="(%1)"/>
      <w:numFmt w:val="lowerRoman"/>
      <w:start w:val="3"/>
    </w:lvl>
  </w:abstractNum>
  <w:abstractNum w:abstractNumId="38">
    <w:nsid w:val="1849C29B"/>
    <w:multiLevelType w:val="hybridMultilevel"/>
    <w:lvl w:ilvl="0">
      <w:lvlJc w:val="left"/>
      <w:lvlText w:val="(%1)"/>
      <w:numFmt w:val="lowerRoman"/>
      <w:start w:val="4"/>
    </w:lvl>
  </w:abstractNum>
  <w:abstractNum w:abstractNumId="39">
    <w:nsid w:val="7DFF9D09"/>
    <w:multiLevelType w:val="hybridMultilevel"/>
    <w:lvl w:ilvl="0">
      <w:lvlJc w:val="left"/>
      <w:lvlText w:val="(%1)"/>
      <w:numFmt w:val="lowerRoman"/>
      <w:start w:val="5"/>
    </w:lvl>
  </w:abstractNum>
  <w:abstractNum w:abstractNumId="40">
    <w:nsid w:val="754342"/>
    <w:multiLevelType w:val="hybridMultilevel"/>
    <w:lvl w:ilvl="0">
      <w:lvlJc w:val="left"/>
      <w:lvlText w:val="(%1)"/>
      <w:numFmt w:val="lowerRoman"/>
      <w:start w:val="6"/>
    </w:lvl>
  </w:abstractNum>
  <w:abstractNum w:abstractNumId="41">
    <w:nsid w:val="69E7F3E5"/>
    <w:multiLevelType w:val="hybridMultilevel"/>
    <w:lvl w:ilvl="0">
      <w:lvlJc w:val="left"/>
      <w:lvlText w:val="(%1)"/>
      <w:numFmt w:val="lowerRoman"/>
      <w:start w:val="7"/>
    </w:lvl>
  </w:abstractNum>
  <w:abstractNum w:abstractNumId="42">
    <w:nsid w:val="2A6DE806"/>
    <w:multiLevelType w:val="hybridMultilevel"/>
    <w:lvl w:ilvl="0">
      <w:lvlJc w:val="left"/>
      <w:lvlText w:val="(%1)"/>
      <w:numFmt w:val="lowerLetter"/>
      <w:start w:val="2"/>
    </w:lvl>
  </w:abstractNum>
  <w:abstractNum w:abstractNumId="43">
    <w:nsid w:val="1816F8C4"/>
    <w:multiLevelType w:val="hybridMultilevel"/>
    <w:lvl w:ilvl="0">
      <w:lvlJc w:val="left"/>
      <w:lvlText w:val="(%1)"/>
      <w:numFmt w:val="lowerRoman"/>
      <w:start w:val="2"/>
    </w:lvl>
    <w:lvl w:ilvl="1">
      <w:lvlJc w:val="left"/>
      <w:lvlText w:val="(%2)"/>
      <w:numFmt w:val="upperLetter"/>
      <w:start w:val="1"/>
    </w:lvl>
  </w:abstractNum>
  <w:abstractNum w:abstractNumId="44">
    <w:nsid w:val="37DF2233"/>
    <w:multiLevelType w:val="hybridMultilevel"/>
    <w:lvl w:ilvl="0">
      <w:lvlJc w:val="left"/>
      <w:lvlText w:val="(%1)"/>
      <w:numFmt w:val="upperLetter"/>
      <w:start w:val="2"/>
    </w:lvl>
  </w:abstractNum>
  <w:abstractNum w:abstractNumId="45">
    <w:nsid w:val="7AB49DAF"/>
    <w:multiLevelType w:val="hybridMultilevel"/>
    <w:lvl w:ilvl="0">
      <w:lvlJc w:val="left"/>
      <w:lvlText w:val="(%1)"/>
      <w:numFmt w:val="lowerLetter"/>
      <w:start w:val="4"/>
    </w:lvl>
  </w:abstractNum>
  <w:abstractNum w:abstractNumId="46">
    <w:nsid w:val="759F82CD"/>
    <w:multiLevelType w:val="hybridMultilevel"/>
    <w:lvl w:ilvl="0">
      <w:lvlJc w:val="left"/>
      <w:lvlText w:val="(%1)"/>
      <w:numFmt w:val="lowerRoman"/>
      <w:start w:val="1"/>
    </w:lvl>
  </w:abstractNum>
  <w:abstractNum w:abstractNumId="47">
    <w:nsid w:val="61E74EA3"/>
    <w:multiLevelType w:val="hybridMultilevel"/>
    <w:lvl w:ilvl="0">
      <w:lvlJc w:val="left"/>
      <w:lvlText w:val="(%1)"/>
      <w:numFmt w:val="lowerLetter"/>
      <w:start w:val="2"/>
    </w:lvl>
  </w:abstractNum>
  <w:abstractNum w:abstractNumId="48">
    <w:nsid w:val="597B4D84"/>
    <w:multiLevelType w:val="hybridMultilevel"/>
    <w:lvl w:ilvl="0">
      <w:lvlJc w:val="left"/>
      <w:lvlText w:val="(%1)"/>
      <w:numFmt w:val="lowerLetter"/>
      <w:start w:val="2"/>
    </w:lvl>
  </w:abstractNum>
  <w:abstractNum w:abstractNumId="49">
    <w:nsid w:val="F819E7F"/>
    <w:multiLevelType w:val="hybridMultilevel"/>
    <w:lvl w:ilvl="0">
      <w:lvlJc w:val="left"/>
      <w:lvlText w:val="(%1)"/>
      <w:numFmt w:val="lowerRoman"/>
      <w:start w:val="1"/>
    </w:lvl>
  </w:abstractNum>
  <w:abstractNum w:abstractNumId="50">
    <w:nsid w:val="57C7D42D"/>
    <w:multiLevelType w:val="hybridMultilevel"/>
    <w:lvl w:ilvl="0">
      <w:lvlJc w:val="left"/>
      <w:lvlText w:val="(%1)"/>
      <w:numFmt w:val="lowerLetter"/>
      <w:start w:val="3"/>
    </w:lvl>
  </w:abstractNum>
  <w:abstractNum w:abstractNumId="51">
    <w:nsid w:val="312167AD"/>
    <w:multiLevelType w:val="hybridMultilevel"/>
    <w:lvl w:ilvl="0">
      <w:lvlJc w:val="left"/>
      <w:lvlText w:val="(%1)"/>
      <w:numFmt w:val="lowerLetter"/>
      <w:start w:val="1"/>
    </w:lvl>
  </w:abstractNum>
  <w:abstractNum w:abstractNumId="52">
    <w:nsid w:val="631B64D4"/>
    <w:multiLevelType w:val="hybridMultilevel"/>
    <w:lvl w:ilvl="0">
      <w:lvlJc w:val="left"/>
      <w:lvlText w:val="(%1)"/>
      <w:numFmt w:val="lowerLetter"/>
      <w:start w:val="1"/>
    </w:lvl>
  </w:abstractNum>
  <w:abstractNum w:abstractNumId="53">
    <w:nsid w:val="78B5E776"/>
    <w:multiLevelType w:val="hybridMultilevel"/>
    <w:lvl w:ilvl="0">
      <w:lvlJc w:val="left"/>
      <w:lvlText w:val="(%1)"/>
      <w:numFmt w:val="lowerLetter"/>
      <w:start w:val="1"/>
    </w:lvl>
  </w:abstractNum>
  <w:abstractNum w:abstractNumId="54">
    <w:nsid w:val="75486E47"/>
    <w:multiLevelType w:val="hybridMultilevel"/>
    <w:lvl w:ilvl="0">
      <w:lvlJc w:val="left"/>
      <w:lvlText w:val="(%1)"/>
      <w:numFmt w:val="lowerLetter"/>
      <w:start w:val="1"/>
    </w:lvl>
  </w:abstractNum>
  <w:abstractNum w:abstractNumId="55">
    <w:nsid w:val="6E534CDE"/>
    <w:multiLevelType w:val="hybridMultilevel"/>
    <w:lvl w:ilvl="0">
      <w:lvlJc w:val="left"/>
      <w:lvlText w:val="(%1)"/>
      <w:numFmt w:val="lowerLetter"/>
      <w:start w:val="1"/>
    </w:lvl>
  </w:abstractNum>
  <w:abstractNum w:abstractNumId="56">
    <w:nsid w:val="1A0DDE32"/>
    <w:multiLevelType w:val="hybridMultilevel"/>
    <w:lvl w:ilvl="0">
      <w:lvlJc w:val="left"/>
      <w:lvlText w:val="(%1)"/>
      <w:numFmt w:val="lowerLetter"/>
      <w:start w:val="8"/>
    </w:lvl>
  </w:abstractNum>
  <w:abstractNum w:abstractNumId="57">
    <w:nsid w:val="65968C1C"/>
    <w:multiLevelType w:val="hybridMultilevel"/>
    <w:lvl w:ilvl="0">
      <w:lvlJc w:val="left"/>
      <w:lvlText w:val="(%1)"/>
      <w:numFmt w:val="lowerLetter"/>
      <w:start w:val="11"/>
    </w:lvl>
  </w:abstractNum>
  <w:abstractNum w:abstractNumId="58">
    <w:nsid w:val="46263DEC"/>
    <w:multiLevelType w:val="hybridMultilevel"/>
    <w:lvl w:ilvl="0">
      <w:lvlJc w:val="left"/>
      <w:lvlText w:val="(%1)"/>
      <w:numFmt w:val="lowerLetter"/>
      <w:start w:val="16"/>
    </w:lvl>
  </w:abstractNum>
  <w:abstractNum w:abstractNumId="59">
    <w:nsid w:val="260D8C4A"/>
    <w:multiLevelType w:val="hybridMultilevel"/>
    <w:lvl w:ilvl="0">
      <w:lvlJc w:val="left"/>
      <w:lvlText w:val="(%1)"/>
      <w:numFmt w:val="lowerLetter"/>
      <w:start w:val="26"/>
    </w:lvl>
  </w:abstractNum>
  <w:abstractNum w:abstractNumId="60">
    <w:nsid w:val="73D4D3C4"/>
    <w:multiLevelType w:val="hybridMultilevel"/>
    <w:lvl w:ilvl="0">
      <w:lvlJc w:val="left"/>
      <w:lvlText w:val="(%1)"/>
      <w:numFmt w:val="lowerLetter"/>
      <w:start w:val="27"/>
    </w:lvl>
  </w:abstractNum>
  <w:abstractNum w:abstractNumId="61">
    <w:nsid w:val="746F2E30"/>
    <w:multiLevelType w:val="hybridMultilevel"/>
    <w:lvl w:ilvl="0">
      <w:lvlJc w:val="left"/>
      <w:lvlText w:val="%1"/>
      <w:numFmt w:val="lowerLetter"/>
      <w:start w:val="1"/>
    </w:lvl>
    <w:lvl w:ilvl="1">
      <w:lvlJc w:val="left"/>
      <w:lvlText w:val="(%2)"/>
      <w:numFmt w:val="lowerLetter"/>
      <w:start w:val="35"/>
    </w:lvl>
  </w:abstractNum>
  <w:abstractNum w:abstractNumId="62">
    <w:nsid w:val="6FDE8AF6"/>
    <w:multiLevelType w:val="hybridMultilevel"/>
    <w:lvl w:ilvl="0">
      <w:lvlJc w:val="left"/>
      <w:lvlText w:val="(%1)"/>
      <w:numFmt w:val="lowerLetter"/>
      <w:start w:val="9"/>
    </w:lvl>
    <w:lvl w:ilvl="1">
      <w:lvlJc w:val="left"/>
      <w:lvlText w:val="(%2)"/>
      <w:numFmt w:val="lowerLetter"/>
      <w:start w:val="38"/>
    </w:lvl>
  </w:abstractNum>
  <w:abstractNum w:abstractNumId="63">
    <w:nsid w:val="3FC32E20"/>
    <w:multiLevelType w:val="hybridMultilevel"/>
    <w:lvl w:ilvl="0">
      <w:lvlJc w:val="left"/>
      <w:lvlText w:val="(%1)"/>
      <w:numFmt w:val="lowerRoman"/>
      <w:start w:val="1"/>
    </w:lvl>
  </w:abstractNum>
  <w:abstractNum w:abstractNumId="64">
    <w:nsid w:val="49C0E823"/>
    <w:multiLevelType w:val="hybridMultilevel"/>
    <w:lvl w:ilvl="0">
      <w:lvlJc w:val="left"/>
      <w:lvlText w:val="(%1)"/>
      <w:numFmt w:val="lowerLetter"/>
      <w:start w:val="39"/>
    </w:lvl>
  </w:abstractNum>
  <w:abstractNum w:abstractNumId="65">
    <w:nsid w:val="14D53685"/>
    <w:multiLevelType w:val="hybridMultilevel"/>
    <w:lvl w:ilvl="0">
      <w:lvlJc w:val="left"/>
      <w:lvlText w:val="(%1)"/>
      <w:numFmt w:val="lowerLetter"/>
      <w:start w:val="2"/>
    </w:lvl>
  </w:abstractNum>
  <w:abstractNum w:abstractNumId="66">
    <w:nsid w:val="230F856C"/>
    <w:multiLevelType w:val="hybridMultilevel"/>
    <w:lvl w:ilvl="0">
      <w:lvlJc w:val="left"/>
      <w:lvlText w:val="%1"/>
      <w:numFmt w:val="decimal"/>
      <w:start w:val="1"/>
    </w:lvl>
    <w:lvl w:ilvl="1">
      <w:lvlJc w:val="left"/>
      <w:lvlText w:val="(%2)"/>
      <w:numFmt w:val="lowerLetter"/>
      <w:start w:val="3"/>
    </w:lvl>
  </w:abstractNum>
  <w:abstractNum w:abstractNumId="67">
    <w:nsid w:val="6EAA85FB"/>
    <w:multiLevelType w:val="hybridMultilevel"/>
    <w:lvl w:ilvl="0">
      <w:lvlJc w:val="left"/>
      <w:lvlText w:val="%1."/>
      <w:numFmt w:val="decimal"/>
      <w:start w:val="360"/>
    </w:lvl>
    <w:lvl w:ilvl="1">
      <w:lvlJc w:val="left"/>
      <w:lvlText w:val="(%2)"/>
      <w:numFmt w:val="lowerLetter"/>
      <w:start w:val="4"/>
    </w:lvl>
  </w:abstractNum>
  <w:abstractNum w:abstractNumId="68">
    <w:nsid w:val="3F06ECB2"/>
    <w:multiLevelType w:val="hybridMultilevel"/>
    <w:lvl w:ilvl="0">
      <w:lvlJc w:val="left"/>
      <w:lvlText w:val="(%1)"/>
      <w:numFmt w:val="lowerLetter"/>
      <w:start w:val="7"/>
    </w:lvl>
  </w:abstractNum>
  <w:abstractNum w:abstractNumId="69">
    <w:nsid w:val="3B594807"/>
    <w:multiLevelType w:val="hybridMultilevel"/>
    <w:lvl w:ilvl="0">
      <w:lvlJc w:val="left"/>
      <w:lvlText w:val="(%1)"/>
      <w:numFmt w:val="lowerLetter"/>
      <w:start w:val="2"/>
    </w:lvl>
  </w:abstractNum>
  <w:abstractNum w:abstractNumId="70">
    <w:nsid w:val="6CAA2304"/>
    <w:multiLevelType w:val="hybridMultilevel"/>
    <w:lvl w:ilvl="0">
      <w:lvlJc w:val="left"/>
      <w:lvlText w:val="(%1)"/>
      <w:numFmt w:val="lowerLetter"/>
      <w:start w:val="1"/>
    </w:lvl>
  </w:abstractNum>
  <w:abstractNum w:abstractNumId="71">
    <w:nsid w:val="3F7C2FF4"/>
    <w:multiLevelType w:val="hybridMultilevel"/>
    <w:lvl w:ilvl="0">
      <w:lvlJc w:val="left"/>
      <w:lvlText w:val="(%1)"/>
      <w:numFmt w:val="lowerLetter"/>
      <w:start w:val="4"/>
    </w:lvl>
  </w:abstractNum>
  <w:abstractNum w:abstractNumId="72">
    <w:nsid w:val="25413BEC"/>
    <w:multiLevelType w:val="hybridMultilevel"/>
    <w:lvl w:ilvl="0">
      <w:lvlJc w:val="left"/>
      <w:lvlText w:val="(%1)"/>
      <w:numFmt w:val="lowerLetter"/>
      <w:start w:val="1"/>
    </w:lvl>
  </w:abstractNum>
  <w:abstractNum w:abstractNumId="73">
    <w:nsid w:val="17180B0B"/>
    <w:multiLevelType w:val="hybridMultilevel"/>
    <w:lvl w:ilvl="0">
      <w:lvlJc w:val="left"/>
      <w:lvlText w:val="(%1)"/>
      <w:numFmt w:val="lowerRoman"/>
      <w:start w:val="1"/>
    </w:lvl>
  </w:abstractNum>
  <w:abstractNum w:abstractNumId="74">
    <w:nsid w:val="579328B9"/>
    <w:multiLevelType w:val="hybridMultilevel"/>
    <w:lvl w:ilvl="0">
      <w:lvlJc w:val="left"/>
      <w:lvlText w:val="(%1)"/>
      <w:numFmt w:val="lowerRoman"/>
      <w:start w:val="2"/>
    </w:lvl>
  </w:abstractNum>
  <w:abstractNum w:abstractNumId="75">
    <w:nsid w:val="5D205E20"/>
    <w:multiLevelType w:val="hybridMultilevel"/>
    <w:lvl w:ilvl="0">
      <w:lvlJc w:val="left"/>
      <w:lvlText w:val="(%1)"/>
      <w:numFmt w:val="lowerLetter"/>
      <w:start w:val="2"/>
    </w:lvl>
  </w:abstractNum>
  <w:abstractNum w:abstractNumId="76">
    <w:nsid w:val="11CCA8BA"/>
    <w:multiLevelType w:val="hybridMultilevel"/>
    <w:lvl w:ilvl="0">
      <w:lvlJc w:val="left"/>
      <w:lvlText w:val="(%1)"/>
      <w:numFmt w:val="lowerLetter"/>
      <w:start w:val="5"/>
    </w:lvl>
  </w:abstractNum>
  <w:abstractNum w:abstractNumId="77">
    <w:nsid w:val="4D32AB86"/>
    <w:multiLevelType w:val="hybridMultilevel"/>
    <w:lvl w:ilvl="0">
      <w:lvlJc w:val="left"/>
      <w:lvlText w:val="(%1)"/>
      <w:numFmt w:val="lowerLetter"/>
      <w:start w:val="1"/>
    </w:lvl>
  </w:abstractNum>
  <w:abstractNum w:abstractNumId="78">
    <w:nsid w:val="3F07ACC3"/>
    <w:multiLevelType w:val="hybridMultilevel"/>
    <w:lvl w:ilvl="0">
      <w:lvlJc w:val="left"/>
      <w:lvlText w:val="(%1)"/>
      <w:numFmt w:val="lowerRoman"/>
      <w:start w:val="1"/>
    </w:lvl>
  </w:abstractNum>
  <w:abstractNum w:abstractNumId="79">
    <w:nsid w:val="6B47F63E"/>
    <w:multiLevelType w:val="hybridMultilevel"/>
    <w:lvl w:ilvl="0">
      <w:lvlJc w:val="left"/>
      <w:lvlText w:val="(%1)"/>
      <w:numFmt w:val="lowerRoman"/>
      <w:start w:val="2"/>
    </w:lvl>
  </w:abstractNum>
  <w:abstractNum w:abstractNumId="80">
    <w:nsid w:val="5CB44A05"/>
    <w:multiLevelType w:val="hybridMultilevel"/>
    <w:lvl w:ilvl="0">
      <w:lvlJc w:val="left"/>
      <w:lvlText w:val="(%1)"/>
      <w:numFmt w:val="lowerRoman"/>
      <w:start w:val="3"/>
    </w:lvl>
  </w:abstractNum>
  <w:abstractNum w:abstractNumId="81">
    <w:nsid w:val="16CF80F1"/>
    <w:multiLevelType w:val="hybridMultilevel"/>
    <w:lvl w:ilvl="0">
      <w:lvlJc w:val="left"/>
      <w:lvlText w:val="(%1)"/>
      <w:numFmt w:val="lowerRoman"/>
      <w:start w:val="4"/>
    </w:lvl>
  </w:abstractNum>
  <w:abstractNum w:abstractNumId="82">
    <w:nsid w:val="1C695DEC"/>
    <w:multiLevelType w:val="hybridMultilevel"/>
    <w:lvl w:ilvl="0">
      <w:lvlJc w:val="left"/>
      <w:lvlText w:val="%1"/>
      <w:numFmt w:val="lowerLetter"/>
      <w:start w:val="1"/>
    </w:lvl>
    <w:lvl w:ilvl="1">
      <w:lvlJc w:val="left"/>
      <w:lvlText w:val="(%2)"/>
      <w:numFmt w:val="lowerLetter"/>
      <w:start w:val="22"/>
    </w:lvl>
  </w:abstractNum>
  <w:abstractNum w:abstractNumId="83">
    <w:nsid w:val="3FCFAED9"/>
    <w:multiLevelType w:val="hybridMultilevel"/>
    <w:lvl w:ilvl="0">
      <w:lvlJc w:val="left"/>
      <w:lvlText w:val="(%1)"/>
      <w:numFmt w:val="lowerLetter"/>
      <w:start w:val="3"/>
    </w:lvl>
    <w:lvl w:ilvl="1">
      <w:lvlJc w:val="left"/>
      <w:lvlText w:val="%2"/>
      <w:numFmt w:val="lowerLetter"/>
      <w:start w:val="1"/>
    </w:lvl>
  </w:abstractNum>
  <w:abstractNum w:abstractNumId="84">
    <w:nsid w:val="F856867"/>
    <w:multiLevelType w:val="hybridMultilevel"/>
    <w:lvl w:ilvl="0">
      <w:lvlJc w:val="left"/>
      <w:lvlText w:val="(%1)"/>
      <w:numFmt w:val="lowerRoman"/>
      <w:start w:val="6"/>
    </w:lvl>
  </w:abstractNum>
  <w:abstractNum w:abstractNumId="85">
    <w:nsid w:val="11B1CC33"/>
    <w:multiLevelType w:val="hybridMultilevel"/>
    <w:lvl w:ilvl="0">
      <w:lvlJc w:val="left"/>
      <w:lvlText w:val="(%1)"/>
      <w:numFmt w:val="lowerRoman"/>
      <w:start w:val="7"/>
    </w:lvl>
  </w:abstractNum>
  <w:abstractNum w:abstractNumId="86">
    <w:nsid w:val="2E22FBB7"/>
    <w:multiLevelType w:val="hybridMultilevel"/>
    <w:lvl w:ilvl="0">
      <w:lvlJc w:val="left"/>
      <w:lvlText w:val="(%1)"/>
      <w:numFmt w:val="lowerLetter"/>
      <w:start w:val="2"/>
    </w:lvl>
  </w:abstractNum>
  <w:abstractNum w:abstractNumId="87">
    <w:nsid w:val="29934699"/>
    <w:multiLevelType w:val="hybridMultilevel"/>
    <w:lvl w:ilvl="0">
      <w:lvlJc w:val="left"/>
      <w:lvlText w:val="(%1)"/>
      <w:numFmt w:val="lowerRoman"/>
      <w:start w:val="2"/>
    </w:lvl>
    <w:lvl w:ilvl="1">
      <w:lvlJc w:val="left"/>
      <w:lvlText w:val="(%2)"/>
      <w:numFmt w:val="upperLetter"/>
      <w:start w:val="1"/>
    </w:lvl>
  </w:abstractNum>
  <w:abstractNum w:abstractNumId="88">
    <w:nsid w:val="77485850"/>
    <w:multiLevelType w:val="hybridMultilevel"/>
    <w:lvl w:ilvl="0">
      <w:lvlJc w:val="left"/>
      <w:lvlText w:val="(%1)"/>
      <w:numFmt w:val="upperLetter"/>
      <w:start w:val="3"/>
    </w:lvl>
  </w:abstractNum>
  <w:abstractNum w:abstractNumId="89">
    <w:nsid w:val="744939A3"/>
    <w:multiLevelType w:val="hybridMultilevel"/>
    <w:lvl w:ilvl="0">
      <w:lvlJc w:val="left"/>
      <w:lvlText w:val="(%1)"/>
      <w:numFmt w:val="lowerLetter"/>
      <w:start w:val="4"/>
    </w:lvl>
  </w:abstractNum>
  <w:abstractNum w:abstractNumId="90">
    <w:nsid w:val="4FA0D2E3"/>
    <w:multiLevelType w:val="hybridMultilevel"/>
    <w:lvl w:ilvl="0">
      <w:lvlJc w:val="left"/>
      <w:lvlText w:val="(%1)"/>
      <w:numFmt w:val="lowerRoman"/>
      <w:start w:val="1"/>
    </w:lvl>
  </w:abstractNum>
  <w:abstractNum w:abstractNumId="91">
    <w:nsid w:val="6B1D2C14"/>
    <w:multiLevelType w:val="hybridMultilevel"/>
    <w:lvl w:ilvl="0">
      <w:lvlJc w:val="left"/>
      <w:lvlText w:val="(%1)"/>
      <w:numFmt w:val="lowerLetter"/>
      <w:start w:val="2"/>
    </w:lvl>
  </w:abstractNum>
  <w:abstractNum w:abstractNumId="92">
    <w:nsid w:val="68B867D3"/>
    <w:multiLevelType w:val="hybridMultilevel"/>
    <w:lvl w:ilvl="0">
      <w:lvlJc w:val="left"/>
      <w:lvlText w:val="(%1)"/>
      <w:numFmt w:val="lowerLetter"/>
      <w:start w:val="2"/>
    </w:lvl>
  </w:abstractNum>
  <w:abstractNum w:abstractNumId="93">
    <w:nsid w:val="3F7F5DD9"/>
    <w:multiLevelType w:val="hybridMultilevel"/>
    <w:lvl w:ilvl="0">
      <w:lvlJc w:val="left"/>
      <w:lvlText w:val="(%1)"/>
      <w:numFmt w:val="lowerRoman"/>
      <w:start w:val="1"/>
    </w:lvl>
  </w:abstractNum>
  <w:abstractNum w:abstractNumId="94">
    <w:nsid w:val="2AE05A34"/>
    <w:multiLevelType w:val="hybridMultilevel"/>
    <w:lvl w:ilvl="0">
      <w:lvlJc w:val="left"/>
      <w:lvlText w:val="(%1)"/>
      <w:numFmt w:val="lowerLetter"/>
      <w:start w:val="3"/>
    </w:lvl>
  </w:abstractNum>
  <w:abstractNum w:abstractNumId="95">
    <w:nsid w:val="32794FF7"/>
    <w:multiLevelType w:val="hybridMultilevel"/>
    <w:lvl w:ilvl="0">
      <w:lvlJc w:val="left"/>
      <w:lvlText w:val="(%1)"/>
      <w:numFmt w:val="lowerLetter"/>
      <w:start w:val="1"/>
    </w:lvl>
  </w:abstractNum>
  <w:abstractNum w:abstractNumId="96">
    <w:nsid w:val="5454945E"/>
    <w:multiLevelType w:val="hybridMultilevel"/>
    <w:lvl w:ilvl="0">
      <w:lvlJc w:val="left"/>
      <w:lvlText w:val="(%1)"/>
      <w:numFmt w:val="lowerLetter"/>
      <w:start w:val="2"/>
    </w:lvl>
  </w:abstractNum>
  <w:abstractNum w:abstractNumId="97">
    <w:nsid w:val="4DEFDFA0"/>
    <w:multiLevelType w:val="hybridMultilevel"/>
    <w:lvl w:ilvl="0">
      <w:lvlJc w:val="left"/>
      <w:lvlText w:val="(%1)"/>
      <w:numFmt w:val="lowerLetter"/>
      <w:start w:val="1"/>
    </w:lvl>
  </w:abstractNum>
  <w:abstractNum w:abstractNumId="98">
    <w:nsid w:val="2123D5F2"/>
    <w:multiLevelType w:val="hybridMultilevel"/>
    <w:lvl w:ilvl="0">
      <w:lvlJc w:val="left"/>
      <w:lvlText w:val="(%1)"/>
      <w:numFmt w:val="lowerLetter"/>
      <w:start w:val="1"/>
    </w:lvl>
  </w:abstractNum>
  <w:abstractNum w:abstractNumId="99">
    <w:nsid w:val="135B8110"/>
    <w:multiLevelType w:val="hybridMultilevel"/>
    <w:lvl w:ilvl="0">
      <w:lvlJc w:val="left"/>
      <w:lvlText w:val="(%1)"/>
      <w:numFmt w:val="lowerLetter"/>
      <w:start w:val="1"/>
    </w:lvl>
  </w:abstractNum>
  <w:abstractNum w:abstractNumId="100">
    <w:nsid w:val="94927A8"/>
    <w:multiLevelType w:val="hybridMultilevel"/>
    <w:lvl w:ilvl="0">
      <w:lvlJc w:val="left"/>
      <w:lvlText w:val="(%1)"/>
      <w:numFmt w:val="lowerLetter"/>
      <w:start w:val="1"/>
    </w:lvl>
  </w:abstractNum>
  <w:abstractNum w:abstractNumId="101">
    <w:nsid w:val="DCDF8F6"/>
    <w:multiLevelType w:val="hybridMultilevel"/>
    <w:lvl w:ilvl="0">
      <w:lvlJc w:val="left"/>
      <w:lvlText w:val="(%1)"/>
      <w:numFmt w:val="lowerLetter"/>
      <w:start w:val="1"/>
    </w:lvl>
  </w:abstractNum>
  <w:abstractNum w:abstractNumId="102">
    <w:nsid w:val="52D7B105"/>
    <w:multiLevelType w:val="hybridMultilevel"/>
    <w:lvl w:ilvl="0">
      <w:lvlJc w:val="left"/>
      <w:lvlText w:val="(%1)"/>
      <w:numFmt w:val="lowerLetter"/>
      <w:start w:val="2"/>
    </w:lvl>
  </w:abstractNum>
  <w:abstractNum w:abstractNumId="103">
    <w:nsid w:val="2E8A6394"/>
    <w:multiLevelType w:val="hybridMultilevel"/>
    <w:lvl w:ilvl="0">
      <w:lvlJc w:val="left"/>
      <w:lvlText w:val="(%1)"/>
      <w:numFmt w:val="lowerLetter"/>
      <w:start w:val="1"/>
    </w:lvl>
  </w:abstractNum>
  <w:abstractNum w:abstractNumId="104">
    <w:nsid w:val="24E60401"/>
    <w:multiLevelType w:val="hybridMultilevel"/>
    <w:lvl w:ilvl="0">
      <w:lvlJc w:val="left"/>
      <w:lvlText w:val="(%1)"/>
      <w:numFmt w:val="lowerLetter"/>
      <w:start w:val="7"/>
    </w:lvl>
  </w:abstractNum>
  <w:abstractNum w:abstractNumId="105">
    <w:nsid w:val="2A6AD9BE"/>
    <w:multiLevelType w:val="hybridMultilevel"/>
    <w:lvl w:ilvl="0">
      <w:lvlJc w:val="left"/>
      <w:lvlText w:val="(%1)"/>
      <w:numFmt w:val="lowerLetter"/>
      <w:start w:val="1"/>
    </w:lvl>
  </w:abstractNum>
  <w:abstractNum w:abstractNumId="106">
    <w:nsid w:val="BAAC1B4"/>
    <w:multiLevelType w:val="hybridMultilevel"/>
    <w:lvl w:ilvl="0">
      <w:lvlJc w:val="left"/>
      <w:lvlText w:val="(%1)"/>
      <w:numFmt w:val="lowerLetter"/>
      <w:start w:val="2"/>
    </w:lvl>
  </w:abstractNum>
  <w:abstractNum w:abstractNumId="107">
    <w:nsid w:val="36B2ACBC"/>
    <w:multiLevelType w:val="hybridMultilevel"/>
    <w:lvl w:ilvl="0">
      <w:lvlJc w:val="left"/>
      <w:lvlText w:val="(%1)"/>
      <w:numFmt w:val="lowerLetter"/>
      <w:start w:val="1"/>
    </w:lvl>
  </w:abstractNum>
  <w:abstractNum w:abstractNumId="108">
    <w:nsid w:val="779D8544"/>
    <w:multiLevelType w:val="hybridMultilevel"/>
    <w:lvl w:ilvl="0">
      <w:lvlJc w:val="left"/>
      <w:lvlText w:val="(%1)"/>
      <w:numFmt w:val="lowerLetter"/>
      <w:start w:val="4"/>
    </w:lvl>
  </w:abstractNum>
  <w:abstractNum w:abstractNumId="109">
    <w:nsid w:val="4AB26E78"/>
    <w:multiLevelType w:val="hybridMultilevel"/>
    <w:lvl w:ilvl="0">
      <w:lvlJc w:val="left"/>
      <w:lvlText w:val="(%1)"/>
      <w:numFmt w:val="lowerLetter"/>
      <w:start w:val="1"/>
    </w:lvl>
  </w:abstractNum>
  <w:abstractNum w:abstractNumId="110">
    <w:nsid w:val="21FAA2FA"/>
    <w:multiLevelType w:val="hybridMultilevel"/>
    <w:lvl w:ilvl="0">
      <w:lvlJc w:val="left"/>
      <w:lvlText w:val="(%1)"/>
      <w:numFmt w:val="lowerLetter"/>
      <w:start w:val="35"/>
    </w:lvl>
  </w:abstractNum>
  <w:abstractNum w:abstractNumId="111">
    <w:nsid w:val="5451CF49"/>
    <w:multiLevelType w:val="hybridMultilevel"/>
    <w:lvl w:ilvl="0">
      <w:lvlJc w:val="left"/>
      <w:lvlText w:val="(%1)"/>
      <w:numFmt w:val="lowerLetter"/>
      <w:start w:val="2"/>
    </w:lvl>
  </w:abstractNum>
  <w:abstractNum w:abstractNumId="112">
    <w:nsid w:val="6181EF69"/>
    <w:multiLevelType w:val="hybridMultilevel"/>
    <w:lvl w:ilvl="0">
      <w:lvlJc w:val="left"/>
      <w:lvlText w:val="(%1)"/>
      <w:numFmt w:val="lowerLetter"/>
      <w:start w:val="4"/>
    </w:lvl>
  </w:abstractNum>
  <w:abstractNum w:abstractNumId="113">
    <w:nsid w:val="3E6400E6"/>
    <w:multiLevelType w:val="hybridMultilevel"/>
    <w:lvl w:ilvl="0">
      <w:lvlJc w:val="left"/>
      <w:lvlText w:val="(%1)"/>
      <w:numFmt w:val="lowerLetter"/>
      <w:start w:val="1"/>
    </w:lvl>
  </w:abstractNum>
  <w:abstractNum w:abstractNumId="114">
    <w:nsid w:val="14217E23"/>
    <w:multiLevelType w:val="hybridMultilevel"/>
    <w:lvl w:ilvl="0">
      <w:lvlJc w:val="left"/>
      <w:lvlText w:val="(%1)"/>
      <w:numFmt w:val="lowerRoman"/>
      <w:start w:val="1"/>
    </w:lvl>
  </w:abstractNum>
  <w:abstractNum w:abstractNumId="115">
    <w:nsid w:val="710757D0"/>
    <w:multiLevelType w:val="hybridMultilevel"/>
    <w:lvl w:ilvl="0">
      <w:lvlJc w:val="left"/>
      <w:lvlText w:val="(%1)"/>
      <w:numFmt w:val="lowerRoman"/>
      <w:start w:val="3"/>
    </w:lvl>
  </w:abstractNum>
  <w:abstractNum w:abstractNumId="116">
    <w:nsid w:val="5015CD1A"/>
    <w:multiLevelType w:val="hybridMultilevel"/>
    <w:lvl w:ilvl="0">
      <w:lvlJc w:val="left"/>
      <w:lvlText w:val="(%1)"/>
      <w:numFmt w:val="lowerLetter"/>
      <w:start w:val="3"/>
    </w:lvl>
  </w:abstractNum>
  <w:abstractNum w:abstractNumId="117">
    <w:nsid w:val="424479DA"/>
    <w:multiLevelType w:val="hybridMultilevel"/>
    <w:lvl w:ilvl="0">
      <w:lvlJc w:val="left"/>
      <w:lvlText w:val="%1."/>
      <w:numFmt w:val="decimal"/>
      <w:start w:val="1"/>
    </w:lvl>
  </w:abstractNum>
  <w:abstractNum w:abstractNumId="118">
    <w:nsid w:val="1A9A9E69"/>
    <w:multiLevelType w:val="hybridMultilevel"/>
    <w:lvl w:ilvl="0">
      <w:lvlJc w:val="left"/>
      <w:lvlText w:val="%1."/>
      <w:numFmt w:val="decimal"/>
      <w:start w:val="3"/>
    </w:lvl>
  </w:abstractNum>
  <w:abstractNum w:abstractNumId="119">
    <w:nsid w:val="475E256A"/>
    <w:multiLevelType w:val="hybridMultilevel"/>
    <w:lvl w:ilvl="0">
      <w:lvlJc w:val="left"/>
      <w:lvlText w:val="(%1)"/>
      <w:numFmt w:val="lowerLetter"/>
      <w:start w:val="1"/>
    </w:lvl>
  </w:abstractNum>
  <w:abstractNum w:abstractNumId="120">
    <w:nsid w:val="368DB37E"/>
    <w:multiLevelType w:val="hybridMultilevel"/>
    <w:lvl w:ilvl="0">
      <w:lvlJc w:val="left"/>
      <w:lvlText w:val="(%1)"/>
      <w:numFmt w:val="lowerLetter"/>
      <w:start w:val="2"/>
    </w:lvl>
  </w:abstractNum>
  <w:abstractNum w:abstractNumId="121">
    <w:nsid w:val="6A3B714C"/>
    <w:multiLevelType w:val="hybridMultilevel"/>
    <w:lvl w:ilvl="0">
      <w:lvlJc w:val="left"/>
      <w:lvlText w:val="%1."/>
      <w:numFmt w:val="decimal"/>
      <w:start w:val="4"/>
    </w:lvl>
  </w:abstractNum>
  <w:abstractNum w:abstractNumId="122">
    <w:nsid w:val="327B517E"/>
    <w:multiLevelType w:val="hybridMultilevel"/>
    <w:lvl w:ilvl="0">
      <w:lvlJc w:val="left"/>
      <w:lvlText w:val="(%1)"/>
      <w:numFmt w:val="lowerLetter"/>
      <w:start w:val="1"/>
    </w:lvl>
  </w:abstractNum>
  <w:abstractNum w:abstractNumId="123">
    <w:nsid w:val="1F461B51"/>
    <w:multiLevelType w:val="hybridMultilevel"/>
    <w:lvl w:ilvl="0">
      <w:lvlJc w:val="left"/>
      <w:lvlText w:val="(%1)"/>
      <w:numFmt w:val="lowerRoman"/>
      <w:start w:val="1"/>
    </w:lvl>
  </w:abstractNum>
  <w:abstractNum w:abstractNumId="124">
    <w:nsid w:val="29BACF25"/>
    <w:multiLevelType w:val="hybridMultilevel"/>
    <w:lvl w:ilvl="0">
      <w:lvlJc w:val="left"/>
      <w:lvlText w:val="(%1)"/>
      <w:numFmt w:val="lowerRoman"/>
      <w:start w:val="3"/>
    </w:lvl>
  </w:abstractNum>
  <w:abstractNum w:abstractNumId="125">
    <w:nsid w:val="5D5BABB3"/>
    <w:multiLevelType w:val="hybridMultilevel"/>
    <w:lvl w:ilvl="0">
      <w:lvlJc w:val="left"/>
      <w:lvlText w:val="%1."/>
      <w:numFmt w:val="decimal"/>
      <w:start w:val="6"/>
    </w:lvl>
  </w:abstractNum>
  <w:abstractNum w:abstractNumId="126">
    <w:nsid w:val="51BF6B48"/>
    <w:multiLevelType w:val="hybridMultilevel"/>
    <w:lvl w:ilvl="0">
      <w:lvlJc w:val="left"/>
      <w:lvlText w:val="(%1)"/>
      <w:numFmt w:val="lowerLetter"/>
      <w:start w:val="1"/>
    </w:lvl>
  </w:abstractNum>
  <w:abstractNum w:abstractNumId="127">
    <w:nsid w:val="7E0F6384"/>
    <w:multiLevelType w:val="hybridMultilevel"/>
    <w:lvl w:ilvl="0">
      <w:lvlJc w:val="left"/>
      <w:lvlText w:val="(%1)"/>
      <w:numFmt w:val="lowerRoman"/>
      <w:start w:val="1"/>
    </w:lvl>
  </w:abstractNum>
  <w:abstractNum w:abstractNumId="128">
    <w:nsid w:val="2B4B8B53"/>
    <w:multiLevelType w:val="hybridMultilevel"/>
    <w:lvl w:ilvl="0">
      <w:lvlJc w:val="left"/>
      <w:lvlText w:val="(%1)"/>
      <w:numFmt w:val="lowerRoman"/>
      <w:start w:val="3"/>
    </w:lvl>
  </w:abstractNum>
  <w:abstractNum w:abstractNumId="129">
    <w:nsid w:val="72E3413A"/>
    <w:multiLevelType w:val="hybridMultilevel"/>
    <w:lvl w:ilvl="0">
      <w:lvlJc w:val="left"/>
      <w:lvlText w:val="(%1)"/>
      <w:numFmt w:val="upperLetter"/>
      <w:start w:val="1"/>
    </w:lvl>
  </w:abstractNum>
  <w:abstractNum w:abstractNumId="130">
    <w:nsid w:val="116AE494"/>
    <w:multiLevelType w:val="hybridMultilevel"/>
    <w:lvl w:ilvl="0">
      <w:lvlJc w:val="left"/>
      <w:lvlText w:val="(%1)"/>
      <w:numFmt w:val="lowerRoman"/>
      <w:start w:val="4"/>
    </w:lvl>
  </w:abstractNum>
  <w:abstractNum w:abstractNumId="131">
    <w:nsid w:val="3494B2FB"/>
    <w:multiLevelType w:val="hybridMultilevel"/>
    <w:lvl w:ilvl="0">
      <w:lvlJc w:val="left"/>
      <w:lvlText w:val="(%1)"/>
      <w:numFmt w:val="lowerLetter"/>
      <w:start w:val="2"/>
    </w:lvl>
  </w:abstractNum>
  <w:abstractNum w:abstractNumId="132">
    <w:nsid w:val="B13A31"/>
    <w:multiLevelType w:val="hybridMultilevel"/>
    <w:lvl w:ilvl="0">
      <w:lvlJc w:val="left"/>
      <w:lvlText w:val="(%1)"/>
      <w:numFmt w:val="lowerRoman"/>
      <w:start w:val="1"/>
    </w:lvl>
  </w:abstractNum>
  <w:abstractNum w:abstractNumId="133">
    <w:nsid w:val="64429599"/>
    <w:multiLevelType w:val="hybridMultilevel"/>
    <w:lvl w:ilvl="0">
      <w:lvlJc w:val="left"/>
      <w:lvlText w:val="(%1)"/>
      <w:numFmt w:val="lowerRoman"/>
      <w:start w:val="3"/>
    </w:lvl>
  </w:abstractNum>
  <w:abstractNum w:abstractNumId="134">
    <w:nsid w:val="631F1690"/>
    <w:multiLevelType w:val="hybridMultilevel"/>
    <w:lvl w:ilvl="0">
      <w:lvlJc w:val="left"/>
      <w:lvlText w:val="(%1)"/>
      <w:numFmt w:val="upperLetter"/>
      <w:start w:val="1"/>
    </w:lvl>
  </w:abstractNum>
  <w:abstractNum w:abstractNumId="135">
    <w:nsid w:val="25973E32"/>
    <w:multiLevelType w:val="hybridMultilevel"/>
    <w:lvl w:ilvl="0">
      <w:lvlJc w:val="left"/>
      <w:lvlText w:val="(%1)"/>
      <w:numFmt w:val="lowerRoman"/>
      <w:start w:val="4"/>
    </w:lvl>
  </w:abstractNum>
  <w:abstractNum w:abstractNumId="136">
    <w:nsid w:val="EAD6F57"/>
    <w:multiLevelType w:val="hybridMultilevel"/>
    <w:lvl w:ilvl="0">
      <w:lvlJc w:val="left"/>
      <w:lvlText w:val="(%1)"/>
      <w:numFmt w:val="lowerLetter"/>
      <w:start w:val="3"/>
    </w:lvl>
  </w:abstractNum>
  <w:abstractNum w:abstractNumId="137">
    <w:nsid w:val="6EC9D844"/>
    <w:multiLevelType w:val="hybridMultilevel"/>
    <w:lvl w:ilvl="0">
      <w:lvlJc w:val="left"/>
      <w:lvlText w:val="(%1)"/>
      <w:numFmt w:val="lowerLetter"/>
      <w:start w:val="6"/>
    </w:lvl>
  </w:abstractNum>
  <w:abstractNum w:abstractNumId="138">
    <w:nsid w:val="5C49EAEE"/>
    <w:multiLevelType w:val="hybridMultilevel"/>
    <w:lvl w:ilvl="0">
      <w:lvlJc w:val="left"/>
      <w:lvlText w:val="(%1)"/>
      <w:numFmt w:val="lowerRoman"/>
      <w:start w:val="1"/>
    </w:lvl>
  </w:abstractNum>
  <w:abstractNum w:abstractNumId="139">
    <w:nsid w:val="64AF49B"/>
    <w:multiLevelType w:val="hybridMultilevel"/>
    <w:lvl w:ilvl="0">
      <w:lvlJc w:val="left"/>
      <w:lvlText w:val="(%1)"/>
      <w:numFmt w:val="upperLetter"/>
      <w:start w:val="1"/>
    </w:lvl>
  </w:abstractNum>
  <w:abstractNum w:abstractNumId="140">
    <w:nsid w:val="397C46BC"/>
    <w:multiLevelType w:val="hybridMultilevel"/>
    <w:lvl w:ilvl="0">
      <w:lvlJc w:val="left"/>
      <w:lvlText w:val="(%1)"/>
      <w:numFmt w:val="upperLetter"/>
      <w:start w:val="2"/>
    </w:lvl>
  </w:abstractNum>
  <w:abstractNum w:abstractNumId="141">
    <w:nsid w:val="7E448DE9"/>
    <w:multiLevelType w:val="hybridMultilevel"/>
    <w:lvl w:ilvl="0">
      <w:lvlJc w:val="left"/>
      <w:lvlText w:val="(%1)"/>
      <w:numFmt w:val="lowerRoman"/>
      <w:start w:val="3"/>
    </w:lvl>
  </w:abstractNum>
  <w:abstractNum w:abstractNumId="142">
    <w:nsid w:val="5A9CC3E5"/>
    <w:multiLevelType w:val="hybridMultilevel"/>
    <w:lvl w:ilvl="0">
      <w:lvlJc w:val="left"/>
      <w:lvlText w:val="(%1)"/>
      <w:numFmt w:val="upperLetter"/>
      <w:start w:val="1"/>
    </w:lvl>
  </w:abstractNum>
  <w:abstractNum w:abstractNumId="143">
    <w:nsid w:val="1AFE3625"/>
    <w:multiLevelType w:val="hybridMultilevel"/>
    <w:lvl w:ilvl="0">
      <w:lvlJc w:val="left"/>
      <w:lvlText w:val="%1."/>
      <w:numFmt w:val="decimal"/>
      <w:start w:val="7"/>
    </w:lvl>
  </w:abstractNum>
  <w:abstractNum w:abstractNumId="144">
    <w:nsid w:val="3CA88ECF"/>
    <w:multiLevelType w:val="hybridMultilevel"/>
    <w:lvl w:ilvl="0">
      <w:lvlJc w:val="left"/>
      <w:lvlText w:val="%1."/>
      <w:numFmt w:val="decimal"/>
      <w:start w:val="8"/>
    </w:lvl>
  </w:abstractNum>
  <w:abstractNum w:abstractNumId="145">
    <w:nsid w:val="6EBE4208"/>
    <w:multiLevelType w:val="hybridMultilevel"/>
    <w:lvl w:ilvl="0">
      <w:lvlJc w:val="left"/>
      <w:lvlText w:val="%1."/>
      <w:numFmt w:val="decimal"/>
      <w:start w:val="1"/>
    </w:lvl>
  </w:abstractNum>
  <w:abstractNum w:abstractNumId="146">
    <w:nsid w:val="C058DF5"/>
    <w:multiLevelType w:val="hybridMultilevel"/>
    <w:lvl w:ilvl="0">
      <w:lvlJc w:val="left"/>
      <w:lvlText w:val="%1."/>
      <w:numFmt w:val="decimal"/>
      <w:start w:val="2"/>
    </w:lvl>
  </w:abstractNum>
  <w:abstractNum w:abstractNumId="147">
    <w:nsid w:val="CBE5B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48">
    <w:nsid w:val="3102BBE2"/>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149">
    <w:nsid w:val="26A02C5E"/>
    <w:multiLevelType w:val="hybridMultilevel"/>
    <w:lvl w:ilvl="0">
      <w:lvlJc w:val="left"/>
      <w:lvlText w:val="(%1)"/>
      <w:numFmt w:val="lowerRoman"/>
      <w:start w:val="2"/>
    </w:lvl>
  </w:abstractNum>
  <w:abstractNum w:abstractNumId="150">
    <w:nsid w:val="541C8153"/>
    <w:multiLevelType w:val="hybridMultilevel"/>
    <w:lvl w:ilvl="0">
      <w:lvlJc w:val="left"/>
      <w:lvlText w:val="(%1)"/>
      <w:numFmt w:val="lowerLetter"/>
      <w:start w:val="4"/>
    </w:lvl>
  </w:abstractNum>
  <w:abstractNum w:abstractNumId="151">
    <w:nsid w:val="67906F60"/>
    <w:multiLevelType w:val="hybridMultilevel"/>
    <w:lvl w:ilvl="0">
      <w:lvlJc w:val="left"/>
      <w:lvlText w:val="(%1)"/>
      <w:numFmt w:val="lowerLetter"/>
      <w:start w:val="1"/>
    </w:lvl>
  </w:abstractNum>
  <w:abstractNum w:abstractNumId="152">
    <w:nsid w:val="10DB9DAA"/>
    <w:multiLevelType w:val="hybridMultilevel"/>
    <w:lvl w:ilvl="0">
      <w:lvlJc w:val="left"/>
      <w:lvlText w:val="(%1)"/>
      <w:numFmt w:val="lowerLetter"/>
      <w:start w:val="5"/>
    </w:lvl>
  </w:abstractNum>
  <w:abstractNum w:abstractNumId="153">
    <w:nsid w:val="697D2D2"/>
    <w:multiLevelType w:val="hybridMultilevel"/>
    <w:lvl w:ilvl="0">
      <w:lvlJc w:val="left"/>
      <w:lvlText w:val="(%1)"/>
      <w:numFmt w:val="lowerLetter"/>
      <w:start w:val="1"/>
    </w:lvl>
  </w:abstractNum>
  <w:abstractNum w:abstractNumId="154">
    <w:nsid w:val="6D68AB2"/>
    <w:multiLevelType w:val="hybridMultilevel"/>
    <w:lvl w:ilvl="0">
      <w:lvlJc w:val="left"/>
      <w:lvlText w:val="(%1)"/>
      <w:numFmt w:val="lowerLetter"/>
      <w:start w:val="1"/>
    </w:lvl>
    <w:lvl w:ilvl="1">
      <w:lvlJc w:val="left"/>
      <w:lvlText w:val="(%2)"/>
      <w:numFmt w:val="lowerLetter"/>
      <w:start w:val="3"/>
    </w:lvl>
  </w:abstractNum>
  <w:abstractNum w:abstractNumId="155">
    <w:nsid w:val="3A966CD0"/>
    <w:multiLevelType w:val="hybridMultilevel"/>
    <w:lvl w:ilvl="0">
      <w:lvlJc w:val="left"/>
      <w:lvlText w:val="(%1)"/>
      <w:numFmt w:val="lowerLetter"/>
      <w:start w:val="4"/>
    </w:lvl>
  </w:abstractNum>
  <w:abstractNum w:abstractNumId="156">
    <w:nsid w:val="63F37E85"/>
    <w:multiLevelType w:val="hybridMultilevel"/>
    <w:lvl w:ilvl="0">
      <w:lvlJc w:val="left"/>
      <w:lvlText w:val="(%1)"/>
      <w:numFmt w:val="lowerLetter"/>
      <w:start w:val="1"/>
    </w:lvl>
    <w:lvl w:ilvl="1">
      <w:lvlJc w:val="left"/>
      <w:lvlText w:val="(%2)"/>
      <w:numFmt w:val="lowerLetter"/>
      <w:start w:val="9"/>
    </w:lvl>
  </w:abstractNum>
  <w:abstractNum w:abstractNumId="157">
    <w:nsid w:val="5895F5FA"/>
    <w:multiLevelType w:val="hybridMultilevel"/>
    <w:lvl w:ilvl="0">
      <w:lvlJc w:val="left"/>
      <w:lvlText w:val="(%1)"/>
      <w:numFmt w:val="lowerRoman"/>
      <w:start w:val="2"/>
    </w:lvl>
  </w:abstractNum>
  <w:abstractNum w:abstractNumId="158">
    <w:nsid w:val="38A5D054"/>
    <w:multiLevelType w:val="hybridMultilevel"/>
    <w:lvl w:ilvl="0">
      <w:lvlJc w:val="left"/>
      <w:lvlText w:val="(%1)"/>
      <w:numFmt w:val="lowerLetter"/>
      <w:start w:val="3"/>
    </w:lvl>
  </w:abstractNum>
  <w:abstractNum w:abstractNumId="159">
    <w:nsid w:val="F3F09D8"/>
    <w:multiLevelType w:val="hybridMultilevel"/>
    <w:lvl w:ilvl="0">
      <w:lvlJc w:val="left"/>
      <w:lvlText w:val="(%1)"/>
      <w:numFmt w:val="lowerLetter"/>
      <w:start w:val="1"/>
    </w:lvl>
  </w:abstractNum>
  <w:abstractNum w:abstractNumId="160">
    <w:nsid w:val="4B793735"/>
    <w:multiLevelType w:val="hybridMultilevel"/>
    <w:lvl w:ilvl="0">
      <w:lvlJc w:val="left"/>
      <w:lvlText w:val="(%1)"/>
      <w:numFmt w:val="lowerLetter"/>
      <w:start w:val="1"/>
    </w:lvl>
  </w:abstractNum>
  <w:abstractNum w:abstractNumId="161">
    <w:nsid w:val="4A10B4E8"/>
    <w:multiLevelType w:val="hybridMultilevel"/>
    <w:lvl w:ilvl="0">
      <w:lvlJc w:val="left"/>
      <w:lvlText w:val="(%1)"/>
      <w:numFmt w:val="lowerLetter"/>
      <w:start w:val="11"/>
    </w:lvl>
  </w:abstractNum>
  <w:abstractNum w:abstractNumId="162">
    <w:nsid w:val="43D3BCD4"/>
    <w:multiLevelType w:val="hybridMultilevel"/>
    <w:lvl w:ilvl="0">
      <w:lvlJc w:val="left"/>
      <w:lvlText w:val="(%1)"/>
      <w:numFmt w:val="lowerLetter"/>
      <w:start w:val="1"/>
    </w:lvl>
  </w:abstractNum>
  <w:abstractNum w:abstractNumId="163">
    <w:nsid w:val="4C2A7166"/>
    <w:multiLevelType w:val="hybridMultilevel"/>
    <w:lvl w:ilvl="0">
      <w:lvlJc w:val="left"/>
      <w:lvlText w:val="(%1)"/>
      <w:numFmt w:val="lowerLetter"/>
      <w:start w:val="2"/>
    </w:lvl>
  </w:abstractNum>
  <w:abstractNum w:abstractNumId="164">
    <w:nsid w:val="2E534A82"/>
    <w:multiLevelType w:val="hybridMultilevel"/>
    <w:lvl w:ilvl="0">
      <w:lvlJc w:val="left"/>
      <w:lvlText w:val="(%1)"/>
      <w:numFmt w:val="lowerLetter"/>
      <w:start w:val="1"/>
    </w:lvl>
  </w:abstractNum>
  <w:abstractNum w:abstractNumId="165">
    <w:nsid w:val="26F2D364"/>
    <w:multiLevelType w:val="hybridMultilevel"/>
    <w:lvl w:ilvl="0">
      <w:lvlJc w:val="left"/>
      <w:lvlText w:val="(%1)"/>
      <w:numFmt w:val="lowerLetter"/>
      <w:start w:val="1"/>
    </w:lvl>
  </w:abstractNum>
  <w:abstractNum w:abstractNumId="166">
    <w:nsid w:val="71C1AF98"/>
    <w:multiLevelType w:val="hybridMultilevel"/>
    <w:lvl w:ilvl="0">
      <w:lvlJc w:val="left"/>
      <w:lvlText w:val="(%1)"/>
      <w:numFmt w:val="lowerLetter"/>
      <w:start w:val="25"/>
    </w:lvl>
  </w:abstractNum>
  <w:abstractNum w:abstractNumId="167">
    <w:nsid w:val="3D00B9D9"/>
    <w:multiLevelType w:val="hybridMultilevel"/>
    <w:lvl w:ilvl="0">
      <w:lvlJc w:val="left"/>
      <w:lvlText w:val="(%1)"/>
      <w:numFmt w:val="lowerLetter"/>
      <w:start w:val="2"/>
    </w:lvl>
  </w:abstractNum>
  <w:abstractNum w:abstractNumId="168">
    <w:nsid w:val="15BCABA8"/>
    <w:multiLevelType w:val="hybridMultilevel"/>
    <w:lvl w:ilvl="0">
      <w:lvlJc w:val="left"/>
      <w:lvlText w:val="(%1)"/>
      <w:numFmt w:val="lowerLetter"/>
      <w:start w:val="4"/>
    </w:lvl>
  </w:abstractNum>
  <w:abstractNum w:abstractNumId="169">
    <w:nsid w:val="4E0B9A87"/>
    <w:multiLevelType w:val="hybridMultilevel"/>
    <w:lvl w:ilvl="0">
      <w:lvlJc w:val="left"/>
      <w:lvlText w:val="(%1)"/>
      <w:numFmt w:val="lowerLetter"/>
      <w:start w:val="1"/>
    </w:lvl>
  </w:abstractNum>
  <w:abstractNum w:abstractNumId="170">
    <w:nsid w:val="434BAE75"/>
    <w:multiLevelType w:val="hybridMultilevel"/>
    <w:lvl w:ilvl="0">
      <w:lvlJc w:val="left"/>
      <w:lvlText w:val="(%1)"/>
      <w:numFmt w:val="lowerLetter"/>
      <w:start w:val="2"/>
    </w:lvl>
    <w:lvl w:ilvl="1">
      <w:lvlJc w:val="left"/>
      <w:lvlText w:val="(%2)"/>
      <w:numFmt w:val="lowerLetter"/>
      <w:start w:val="9"/>
    </w:lvl>
  </w:abstractNum>
  <w:abstractNum w:abstractNumId="171">
    <w:nsid w:val="4F38F265"/>
    <w:multiLevelType w:val="hybridMultilevel"/>
    <w:lvl w:ilvl="0">
      <w:lvlJc w:val="left"/>
      <w:lvlText w:val="(%1)"/>
      <w:numFmt w:val="lowerRoman"/>
      <w:start w:val="2"/>
    </w:lvl>
  </w:abstractNum>
  <w:abstractNum w:abstractNumId="172">
    <w:nsid w:val="4C502870"/>
    <w:multiLevelType w:val="hybridMultilevel"/>
    <w:lvl w:ilvl="0">
      <w:lvlJc w:val="left"/>
      <w:lvlText w:val="(%1)"/>
      <w:numFmt w:val="lowerLetter"/>
      <w:start w:val="4"/>
    </w:lvl>
  </w:abstractNum>
  <w:abstractNum w:abstractNumId="173">
    <w:nsid w:val="1DE8725A"/>
    <w:multiLevelType w:val="hybridMultilevel"/>
    <w:lvl w:ilvl="0">
      <w:lvlJc w:val="left"/>
      <w:lvlText w:val="(%1)"/>
      <w:numFmt w:val="lowerLetter"/>
      <w:start w:val="1"/>
    </w:lvl>
  </w:abstractNum>
  <w:abstractNum w:abstractNumId="174">
    <w:nsid w:val="6A37288A"/>
    <w:multiLevelType w:val="hybridMultilevel"/>
    <w:lvl w:ilvl="0">
      <w:lvlJc w:val="left"/>
      <w:lvlText w:val="%1."/>
      <w:numFmt w:val="decimal"/>
      <w:start w:val="1"/>
    </w:lvl>
  </w:abstractNum>
  <w:abstractNum w:abstractNumId="175">
    <w:nsid w:val="8F8B73F"/>
    <w:multiLevelType w:val="hybridMultilevel"/>
    <w:lvl w:ilvl="0">
      <w:lvlJc w:val="left"/>
      <w:lvlText w:val="%1."/>
      <w:numFmt w:val="decimal"/>
      <w:start w:val="2"/>
    </w:lvl>
  </w:abstractNum>
  <w:abstractNum w:abstractNumId="176">
    <w:nsid w:val="CA6B462"/>
    <w:multiLevelType w:val="hybridMultilevel"/>
    <w:lvl w:ilvl="0">
      <w:lvlJc w:val="left"/>
      <w:lvlText w:val="(%1)"/>
      <w:numFmt w:val="lowerRoman"/>
      <w:start w:val="1"/>
    </w:lvl>
  </w:abstractNum>
  <w:abstractNum w:abstractNumId="177">
    <w:nsid w:val="763CB680"/>
    <w:multiLevelType w:val="hybridMultilevel"/>
    <w:lvl w:ilvl="0">
      <w:lvlJc w:val="left"/>
      <w:lvlText w:val="(%1)"/>
      <w:numFmt w:val="lowerRoman"/>
      <w:start w:val="2"/>
    </w:lvl>
  </w:abstractNum>
  <w:abstractNum w:abstractNumId="178">
    <w:nsid w:val="15B71329"/>
    <w:multiLevelType w:val="hybridMultilevel"/>
    <w:lvl w:ilvl="0">
      <w:lvlJc w:val="left"/>
      <w:lvlText w:val="(%1)"/>
      <w:numFmt w:val="lowerLetter"/>
      <w:start w:val="2"/>
    </w:lvl>
  </w:abstractNum>
  <w:abstractNum w:abstractNumId="179">
    <w:nsid w:val="3DA97044"/>
    <w:multiLevelType w:val="hybridMultilevel"/>
    <w:lvl w:ilvl="0">
      <w:lvlJc w:val="left"/>
      <w:lvlText w:val="%1."/>
      <w:numFmt w:val="decimal"/>
      <w:start w:val="4"/>
    </w:lvl>
    <w:lvl w:ilvl="1">
      <w:lvlJc w:val="left"/>
      <w:lvlText w:val="(%2)"/>
      <w:numFmt w:val="lowerLetter"/>
      <w:start w:val="1"/>
    </w:lvl>
  </w:abstractNum>
  <w:abstractNum w:abstractNumId="180">
    <w:nsid w:val="1CDCE2DE"/>
    <w:multiLevelType w:val="hybridMultilevel"/>
    <w:lvl w:ilvl="0">
      <w:lvlJc w:val="left"/>
      <w:lvlText w:val="(%1)"/>
      <w:numFmt w:val="lowerLetter"/>
      <w:start w:val="4"/>
    </w:lvl>
  </w:abstractNum>
  <w:abstractNum w:abstractNumId="181">
    <w:nsid w:val="69D3947C"/>
    <w:multiLevelType w:val="hybridMultilevel"/>
    <w:lvl w:ilvl="0">
      <w:lvlJc w:val="left"/>
      <w:lvlText w:val="(%1)"/>
      <w:numFmt w:val="lowerLetter"/>
      <w:start w:val="1"/>
    </w:lvl>
  </w:abstractNum>
  <w:abstractNum w:abstractNumId="182">
    <w:nsid w:val="2539DFA5"/>
    <w:multiLevelType w:val="hybridMultilevel"/>
    <w:lvl w:ilvl="0">
      <w:lvlJc w:val="left"/>
      <w:lvlText w:val="(%1)"/>
      <w:numFmt w:val="lowerRoman"/>
      <w:start w:val="1"/>
    </w:lvl>
  </w:abstractNum>
  <w:abstractNum w:abstractNumId="183">
    <w:nsid w:val="2DB88089"/>
    <w:multiLevelType w:val="hybridMultilevel"/>
    <w:lvl w:ilvl="0">
      <w:lvlJc w:val="left"/>
      <w:lvlText w:val="(%1)"/>
      <w:numFmt w:val="lowerRoman"/>
      <w:start w:val="3"/>
    </w:lvl>
  </w:abstractNum>
  <w:abstractNum w:abstractNumId="184">
    <w:nsid w:val="706B674E"/>
    <w:multiLevelType w:val="hybridMultilevel"/>
    <w:lvl w:ilvl="0">
      <w:lvlJc w:val="left"/>
      <w:lvlText w:val="(%1)"/>
      <w:numFmt w:val="upperLetter"/>
      <w:start w:val="1"/>
    </w:lvl>
  </w:abstractNum>
  <w:abstractNum w:abstractNumId="185">
    <w:nsid w:val="2C106A57"/>
    <w:multiLevelType w:val="hybridMultilevel"/>
    <w:lvl w:ilvl="0">
      <w:lvlJc w:val="left"/>
      <w:lvlText w:val="(%1)"/>
      <w:numFmt w:val="lowerRoman"/>
      <w:start w:val="1"/>
    </w:lvl>
  </w:abstractNum>
  <w:abstractNum w:abstractNumId="186">
    <w:nsid w:val="684EED59"/>
    <w:multiLevelType w:val="hybridMultilevel"/>
    <w:lvl w:ilvl="0">
      <w:lvlJc w:val="left"/>
      <w:lvlText w:val="(%1)"/>
      <w:numFmt w:val="lowerRoman"/>
      <w:start w:val="2"/>
    </w:lvl>
  </w:abstractNum>
  <w:abstractNum w:abstractNumId="187">
    <w:nsid w:val="545EE5D3"/>
    <w:multiLevelType w:val="hybridMultilevel"/>
    <w:lvl w:ilvl="0">
      <w:lvlJc w:val="left"/>
      <w:lvlText w:val="(%1)"/>
      <w:numFmt w:val="upperLetter"/>
      <w:start w:val="4"/>
    </w:lvl>
  </w:abstractNum>
  <w:abstractNum w:abstractNumId="188">
    <w:nsid w:val="4A66051"/>
    <w:multiLevelType w:val="hybridMultilevel"/>
    <w:lvl w:ilvl="0">
      <w:lvlJc w:val="left"/>
      <w:lvlText w:val="(%1)"/>
      <w:numFmt w:val="lowerRoman"/>
      <w:start w:val="2"/>
    </w:lvl>
  </w:abstractNum>
  <w:abstractNum w:abstractNumId="189">
    <w:nsid w:val="20F4BDAD"/>
    <w:multiLevelType w:val="hybridMultilevel"/>
    <w:lvl w:ilvl="0">
      <w:lvlJc w:val="left"/>
      <w:lvlText w:val="(%1)"/>
      <w:numFmt w:val="upperLetter"/>
      <w:start w:val="6"/>
    </w:lvl>
  </w:abstractNum>
  <w:abstractNum w:abstractNumId="190">
    <w:nsid w:val="639DEFAC"/>
    <w:multiLevelType w:val="hybridMultilevel"/>
    <w:lvl w:ilvl="0">
      <w:lvlJc w:val="left"/>
      <w:lvlText w:val="(%1)"/>
      <w:numFmt w:val="lowerRoman"/>
      <w:start w:val="1"/>
    </w:lvl>
  </w:abstractNum>
  <w:abstractNum w:abstractNumId="191">
    <w:nsid w:val="501F9786"/>
    <w:multiLevelType w:val="hybridMultilevel"/>
    <w:lvl w:ilvl="0">
      <w:lvlJc w:val="left"/>
      <w:lvlText w:val="%1"/>
      <w:numFmt w:val="upperLetter"/>
      <w:start w:val="1"/>
    </w:lvl>
    <w:lvl w:ilvl="1">
      <w:lvlJc w:val="left"/>
      <w:lvlText w:val="(%2)"/>
      <w:numFmt w:val="lowerRoman"/>
      <w:start w:val="2"/>
    </w:lvl>
  </w:abstractNum>
  <w:abstractNum w:abstractNumId="192">
    <w:nsid w:val="6B057295"/>
    <w:multiLevelType w:val="hybridMultilevel"/>
    <w:lvl w:ilvl="0">
      <w:lvlJc w:val="left"/>
      <w:lvlText w:val="(%1)"/>
      <w:numFmt w:val="upperLetter"/>
      <w:start w:val="8"/>
    </w:lvl>
    <w:lvl w:ilvl="1">
      <w:lvlJc w:val="left"/>
      <w:lvlText w:val="%2"/>
      <w:numFmt w:val="lowerRoman"/>
      <w:start w:val="1"/>
    </w:lvl>
  </w:abstractNum>
  <w:abstractNum w:abstractNumId="193">
    <w:nsid w:val="2771AC80"/>
    <w:multiLevelType w:val="hybridMultilevel"/>
    <w:lvl w:ilvl="0">
      <w:lvlJc w:val="left"/>
      <w:lvlText w:val="(%1)"/>
      <w:numFmt w:val="lowerRoman"/>
      <w:start w:val="1"/>
    </w:lvl>
  </w:abstractNum>
  <w:abstractNum w:abstractNumId="194">
    <w:nsid w:val="1C4A08EC"/>
    <w:multiLevelType w:val="hybridMultilevel"/>
    <w:lvl w:ilvl="0">
      <w:lvlJc w:val="left"/>
      <w:lvlText w:val="(%1)"/>
      <w:numFmt w:val="upperLetter"/>
      <w:start w:val="10"/>
    </w:lvl>
  </w:abstractNum>
  <w:abstractNum w:abstractNumId="195">
    <w:nsid w:val="1958BD17"/>
    <w:multiLevelType w:val="hybridMultilevel"/>
    <w:lvl w:ilvl="0">
      <w:lvlJc w:val="left"/>
      <w:lvlText w:val="%1."/>
      <w:numFmt w:val="decimal"/>
      <w:start w:val="1"/>
    </w:lvl>
  </w:abstractNum>
  <w:abstractNum w:abstractNumId="196">
    <w:nsid w:val="4E647FE4"/>
    <w:multiLevelType w:val="hybridMultilevel"/>
    <w:lvl w:ilvl="0">
      <w:lvlJc w:val="left"/>
      <w:lvlText w:val="%1."/>
      <w:numFmt w:val="decimal"/>
      <w:start w:val="2"/>
    </w:lvl>
  </w:abstractNum>
  <w:abstractNum w:abstractNumId="197">
    <w:nsid w:val="E0BB885"/>
    <w:multiLevelType w:val="hybridMultilevel"/>
    <w:lvl w:ilvl="0">
      <w:lvlJc w:val="left"/>
      <w:lvlText w:val="(%1)"/>
      <w:numFmt w:val="lowerLetter"/>
      <w:start w:val="1"/>
    </w:lvl>
  </w:abstractNum>
  <w:abstractNum w:abstractNumId="198">
    <w:nsid w:val="565976F1"/>
    <w:multiLevelType w:val="hybridMultilevel"/>
    <w:lvl w:ilvl="0">
      <w:lvlJc w:val="left"/>
      <w:lvlText w:val="(%1)"/>
      <w:numFmt w:val="lowerLetter"/>
      <w:start w:val="2"/>
    </w:lvl>
  </w:abstractNum>
  <w:abstractNum w:abstractNumId="199">
    <w:nsid w:val="64212B8C"/>
    <w:multiLevelType w:val="hybridMultilevel"/>
    <w:lvl w:ilvl="0">
      <w:lvlJc w:val="left"/>
      <w:lvlText w:val="(%1)"/>
      <w:numFmt w:val="lowerLetter"/>
      <w:start w:val="1"/>
    </w:lvl>
  </w:abstractNum>
  <w:abstractNum w:abstractNumId="200">
    <w:nsid w:val="5C17530C"/>
    <w:multiLevelType w:val="hybridMultilevel"/>
    <w:lvl w:ilvl="0">
      <w:lvlJc w:val="left"/>
      <w:lvlText w:val="(%1)"/>
      <w:numFmt w:val="lowerLetter"/>
      <w:start w:val="9"/>
    </w:lvl>
    <w:lvl w:ilvl="1">
      <w:lvlJc w:val="left"/>
      <w:lvlText w:val="(%2)"/>
      <w:numFmt w:val="lowerLetter"/>
      <w:start w:val="2"/>
    </w:lvl>
  </w:abstractNum>
  <w:abstractNum w:abstractNumId="201">
    <w:nsid w:val="19A52566"/>
    <w:multiLevelType w:val="hybridMultilevel"/>
    <w:lvl w:ilvl="0">
      <w:lvlJc w:val="left"/>
      <w:lvlText w:val="(%1)"/>
      <w:numFmt w:val="lowerLetter"/>
      <w:start w:val="1"/>
    </w:lvl>
  </w:abstractNum>
  <w:abstractNum w:abstractNumId="202">
    <w:nsid w:val="335A1DF1"/>
    <w:multiLevelType w:val="hybridMultilevel"/>
    <w:lvl w:ilvl="0">
      <w:lvlJc w:val="left"/>
      <w:lvlText w:val="(%1)"/>
      <w:numFmt w:val="lowerLetter"/>
      <w:start w:val="3"/>
    </w:lvl>
  </w:abstractNum>
  <w:abstractNum w:abstractNumId="203">
    <w:nsid w:val="28677B7C"/>
    <w:multiLevelType w:val="hybridMultilevel"/>
    <w:lvl w:ilvl="0">
      <w:lvlJc w:val="left"/>
      <w:lvlText w:val="%1"/>
      <w:numFmt w:val="decimal"/>
      <w:start w:val="1"/>
    </w:lvl>
    <w:lvl w:ilvl="1">
      <w:lvlJc w:val="left"/>
      <w:lvlText w:val="(%2)"/>
      <w:numFmt w:val="lowerLetter"/>
      <w:start w:val="7"/>
    </w:lvl>
  </w:abstractNum>
  <w:abstractNum w:abstractNumId="204">
    <w:nsid w:val="378D97C0"/>
    <w:multiLevelType w:val="hybridMultilevel"/>
    <w:lvl w:ilvl="0">
      <w:lvlJc w:val="left"/>
      <w:lvlText w:val="(%1)"/>
      <w:numFmt w:val="decimal"/>
      <w:start w:val="10"/>
    </w:lvl>
    <w:lvl w:ilvl="1">
      <w:lvlJc w:val="left"/>
      <w:lvlText w:val="(%2)"/>
      <w:numFmt w:val="lowerLetter"/>
      <w:start w:val="10"/>
    </w:lvl>
  </w:abstractNum>
  <w:abstractNum w:abstractNumId="205">
    <w:nsid w:val="1D91467C"/>
    <w:multiLevelType w:val="hybridMultilevel"/>
    <w:lvl w:ilvl="0">
      <w:lvlJc w:val="left"/>
      <w:lvlText w:val="(%1)"/>
      <w:numFmt w:val="lowerLetter"/>
      <w:start w:val="1"/>
    </w:lvl>
  </w:abstractNum>
  <w:abstractNum w:abstractNumId="206">
    <w:nsid w:val="316032BB"/>
    <w:multiLevelType w:val="hybridMultilevel"/>
    <w:lvl w:ilvl="0">
      <w:lvlJc w:val="left"/>
      <w:lvlText w:val="(%1)"/>
      <w:numFmt w:val="lowerRoman"/>
      <w:start w:val="1"/>
    </w:lvl>
  </w:abstractNum>
  <w:abstractNum w:abstractNumId="207">
    <w:nsid w:val="44344C22"/>
    <w:multiLevelType w:val="hybridMultilevel"/>
    <w:lvl w:ilvl="0">
      <w:lvlJc w:val="left"/>
      <w:lvlText w:val="(%1)"/>
      <w:numFmt w:val="lowerRoman"/>
      <w:start w:val="8"/>
    </w:lvl>
  </w:abstractNum>
  <w:abstractNum w:abstractNumId="208">
    <w:nsid w:val="13CDFCFC"/>
    <w:multiLevelType w:val="hybridMultilevel"/>
    <w:lvl w:ilvl="0">
      <w:lvlJc w:val="left"/>
      <w:lvlText w:val="(%1)"/>
      <w:numFmt w:val="lowerLetter"/>
      <w:start w:val="1"/>
    </w:lvl>
  </w:abstractNum>
  <w:abstractNum w:abstractNumId="209">
    <w:nsid w:val="471745E4"/>
    <w:multiLevelType w:val="hybridMultilevel"/>
    <w:lvl w:ilvl="0">
      <w:lvlJc w:val="left"/>
      <w:lvlText w:val="%1"/>
      <w:numFmt w:val="lowerRoman"/>
      <w:start w:val="1"/>
    </w:lvl>
    <w:lvl w:ilvl="1">
      <w:lvlJc w:val="left"/>
      <w:lvlText w:val="(%2)"/>
      <w:numFmt w:val="lowerLetter"/>
      <w:start w:val="3"/>
    </w:lvl>
  </w:abstractNum>
  <w:abstractNum w:abstractNumId="210">
    <w:nsid w:val="1DDBC66"/>
    <w:multiLevelType w:val="hybridMultilevel"/>
    <w:lvl w:ilvl="0">
      <w:lvlJc w:val="left"/>
      <w:lvlText w:val="(%1)"/>
      <w:numFmt w:val="lowerRoman"/>
      <w:start w:val="14"/>
    </w:lvl>
    <w:lvl w:ilvl="1">
      <w:lvlJc w:val="left"/>
      <w:lvlText w:val="%2"/>
      <w:numFmt w:val="lowerLetter"/>
      <w:start w:val="1"/>
    </w:lvl>
  </w:abstractNum>
  <w:abstractNum w:abstractNumId="211">
    <w:nsid w:val="30AADFDA"/>
    <w:multiLevelType w:val="hybridMultilevel"/>
    <w:lvl w:ilvl="0">
      <w:lvlJc w:val="left"/>
      <w:lvlText w:val="(%1)"/>
      <w:numFmt w:val="lowerLetter"/>
      <w:start w:val="1"/>
    </w:lvl>
  </w:abstractNum>
  <w:abstractNum w:abstractNumId="212">
    <w:nsid w:val="30EADA61"/>
    <w:multiLevelType w:val="hybridMultilevel"/>
    <w:lvl w:ilvl="0">
      <w:lvlJc w:val="left"/>
      <w:lvlText w:val="(%1)"/>
      <w:numFmt w:val="lowerLetter"/>
      <w:start w:val="3"/>
    </w:lvl>
  </w:abstractNum>
  <w:abstractNum w:abstractNumId="213">
    <w:nsid w:val="27179C0B"/>
    <w:multiLevelType w:val="hybridMultilevel"/>
    <w:lvl w:ilvl="0">
      <w:lvlJc w:val="left"/>
      <w:lvlText w:val="(%1)"/>
      <w:numFmt w:val="lowerLetter"/>
      <w:start w:val="1"/>
    </w:lvl>
    <w:lvl w:ilvl="1">
      <w:lvlJc w:val="left"/>
      <w:lvlText w:val="(%2)"/>
      <w:numFmt w:val="lowerRoman"/>
      <w:start w:val="1"/>
    </w:lvl>
  </w:abstractNum>
  <w:abstractNum w:abstractNumId="214">
    <w:nsid w:val="5E636063"/>
    <w:multiLevelType w:val="hybridMultilevel"/>
    <w:lvl w:ilvl="0">
      <w:lvlJc w:val="left"/>
      <w:lvlText w:val="(%1)"/>
      <w:numFmt w:val="lowerLetter"/>
      <w:start w:val="1"/>
    </w:lvl>
    <w:lvl w:ilvl="1">
      <w:lvlJc w:val="left"/>
      <w:lvlText w:val="(%2)"/>
      <w:numFmt w:val="lowerRoman"/>
      <w:start w:val="1"/>
    </w:lvl>
  </w:abstractNum>
  <w:abstractNum w:abstractNumId="215">
    <w:nsid w:val="215641AF"/>
    <w:multiLevelType w:val="hybridMultilevel"/>
    <w:lvl w:ilvl="0">
      <w:lvlJc w:val="left"/>
      <w:lvlText w:val="(%1)"/>
      <w:numFmt w:val="lowerLetter"/>
      <w:start w:val="7"/>
    </w:lvl>
  </w:abstractNum>
  <w:abstractNum w:abstractNumId="216">
    <w:nsid w:val="53280662"/>
    <w:multiLevelType w:val="hybridMultilevel"/>
    <w:lvl w:ilvl="0">
      <w:lvlJc w:val="left"/>
      <w:lvlText w:val="(%1)"/>
      <w:numFmt w:val="lowerLetter"/>
      <w:start w:val="1"/>
    </w:lvl>
    <w:lvl w:ilvl="1">
      <w:lvlJc w:val="left"/>
      <w:lvlText w:val="(%2)"/>
      <w:numFmt w:val="lowerRoman"/>
      <w:start w:val="1"/>
    </w:lvl>
  </w:abstractNum>
  <w:abstractNum w:abstractNumId="217">
    <w:nsid w:val="46B24DBC"/>
    <w:multiLevelType w:val="hybridMultilevel"/>
    <w:lvl w:ilvl="0">
      <w:lvlJc w:val="left"/>
      <w:lvlText w:val="(%1)"/>
      <w:numFmt w:val="lowerLetter"/>
      <w:start w:val="2"/>
    </w:lvl>
  </w:abstractNum>
  <w:abstractNum w:abstractNumId="218">
    <w:nsid w:val="75B52783"/>
    <w:multiLevelType w:val="hybridMultilevel"/>
    <w:lvl w:ilvl="0">
      <w:lvlJc w:val="left"/>
      <w:lvlText w:val="(%1)"/>
      <w:numFmt w:val="lowerLetter"/>
      <w:start w:val="6"/>
    </w:lvl>
  </w:abstractNum>
  <w:abstractNum w:abstractNumId="219">
    <w:nsid w:val="57CE66B4"/>
    <w:multiLevelType w:val="hybridMultilevel"/>
    <w:lvl w:ilvl="0">
      <w:lvlJc w:val="left"/>
      <w:lvlText w:val="(%1)"/>
      <w:numFmt w:val="lowerLetter"/>
      <w:start w:val="1"/>
    </w:lvl>
    <w:lvl w:ilvl="1">
      <w:lvlJc w:val="left"/>
      <w:lvlText w:val="(%2)"/>
      <w:numFmt w:val="lowerRoman"/>
      <w:start w:val="1"/>
    </w:lvl>
  </w:abstractNum>
  <w:abstractNum w:abstractNumId="220">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1">
    <w:nsid w:val="5953172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2">
    <w:nsid w:val="27EDFE3A"/>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23">
    <w:nsid w:val="52AC7DFF"/>
    <w:multiLevelType w:val="hybridMultilevel"/>
    <w:lvl w:ilvl="0">
      <w:lvlJc w:val="left"/>
      <w:lvlText w:val="(%1)"/>
      <w:numFmt w:val="lowerLetter"/>
      <w:start w:val="5"/>
    </w:lvl>
    <w:lvl w:ilvl="1">
      <w:lvlJc w:val="left"/>
      <w:lvlText w:val="(%2)"/>
      <w:numFmt w:val="lowerRoman"/>
      <w:start w:val="1"/>
    </w:lvl>
  </w:abstractNum>
  <w:abstractNum w:abstractNumId="224">
    <w:nsid w:val="C4C3AF"/>
    <w:multiLevelType w:val="hybridMultilevel"/>
    <w:lvl w:ilvl="0">
      <w:lvlJc w:val="left"/>
      <w:lvlText w:val="(%1)"/>
      <w:numFmt w:val="lowerRoman"/>
      <w:start w:val="2"/>
    </w:lvl>
  </w:abstractNum>
  <w:abstractNum w:abstractNumId="225">
    <w:nsid w:val="44380727"/>
    <w:multiLevelType w:val="hybridMultilevel"/>
    <w:lvl w:ilvl="0">
      <w:lvlJc w:val="left"/>
      <w:lvlText w:val="(%1)"/>
      <w:numFmt w:val="lowerLetter"/>
      <w:start w:val="3"/>
    </w:lvl>
  </w:abstractNum>
  <w:abstractNum w:abstractNumId="226">
    <w:nsid w:val="6C053B16"/>
    <w:multiLevelType w:val="hybridMultilevel"/>
    <w:lvl w:ilvl="0">
      <w:lvlJc w:val="left"/>
      <w:lvlText w:val="(%1)"/>
      <w:numFmt w:val="lowerLetter"/>
      <w:start w:val="1"/>
    </w:lvl>
  </w:abstractNum>
  <w:abstractNum w:abstractNumId="227">
    <w:nsid w:val="4F294393"/>
    <w:multiLevelType w:val="hybridMultilevel"/>
    <w:lvl w:ilvl="0">
      <w:lvlJc w:val="left"/>
      <w:lvlText w:val="(%1)"/>
      <w:numFmt w:val="decimal"/>
      <w:start w:val="1"/>
    </w:lvl>
  </w:abstractNum>
  <w:abstractNum w:abstractNumId="228">
    <w:nsid w:val="5243BFAC"/>
    <w:multiLevelType w:val="hybridMultilevel"/>
    <w:lvl w:ilvl="0">
      <w:lvlJc w:val="left"/>
      <w:lvlText w:val="(%1)"/>
      <w:numFmt w:val="decimal"/>
      <w:start w:val="5"/>
    </w:lvl>
  </w:abstractNum>
  <w:abstractNum w:abstractNumId="229">
    <w:nsid w:val="425EB207"/>
    <w:multiLevelType w:val="hybridMultilevel"/>
    <w:lvl w:ilvl="0">
      <w:lvlJc w:val="left"/>
      <w:lvlText w:val="(%1)"/>
      <w:numFmt w:val="decimal"/>
      <w:start w:val="28"/>
    </w:lvl>
  </w:abstractNum>
  <w:abstractNum w:abstractNumId="230">
    <w:nsid w:val="334A6F1F"/>
    <w:multiLevelType w:val="hybridMultilevel"/>
    <w:lvl w:ilvl="0">
      <w:lvlJc w:val="left"/>
      <w:lvlText w:val="(%1)"/>
      <w:numFmt w:val="lowerLetter"/>
      <w:start w:val="1"/>
    </w:lvl>
  </w:abstractNum>
  <w:abstractNum w:abstractNumId="231">
    <w:nsid w:val="2E5B12B8"/>
    <w:multiLevelType w:val="hybridMultilevel"/>
    <w:lvl w:ilvl="0">
      <w:lvlJc w:val="left"/>
      <w:lvlText w:val="(%1)"/>
      <w:numFmt w:val="lowerLetter"/>
      <w:start w:val="1"/>
    </w:lvl>
  </w:abstractNum>
  <w:abstractNum w:abstractNumId="232">
    <w:nsid w:val="5C03D76D"/>
    <w:multiLevelType w:val="hybridMultilevel"/>
    <w:lvl w:ilvl="0">
      <w:lvlJc w:val="left"/>
      <w:lvlText w:val="%1."/>
      <w:numFmt w:val="decimal"/>
      <w:start w:val="10"/>
    </w:lvl>
  </w:abstractNum>
  <w:abstractNum w:abstractNumId="233">
    <w:nsid w:val="66A48D11"/>
    <w:multiLevelType w:val="hybridMultilevel"/>
    <w:lvl w:ilvl="0">
      <w:lvlJc w:val="left"/>
      <w:lvlText w:val="(%1)"/>
      <w:numFmt w:val="lowerRoman"/>
      <w:start w:val="2"/>
    </w:lvl>
  </w:abstractNum>
  <w:abstractNum w:abstractNumId="234">
    <w:nsid w:val="56C28E34"/>
    <w:multiLevelType w:val="hybridMultilevel"/>
    <w:lvl w:ilvl="0">
      <w:lvlJc w:val="left"/>
      <w:lvlText w:val="%1."/>
      <w:numFmt w:val="decimal"/>
      <w:start w:val="31"/>
    </w:lvl>
  </w:abstractNum>
  <w:abstractNum w:abstractNumId="235">
    <w:nsid w:val="13916F2D"/>
    <w:multiLevelType w:val="hybridMultilevel"/>
    <w:lvl w:ilvl="0">
      <w:lvlJc w:val="left"/>
      <w:lvlText w:val="%1."/>
      <w:numFmt w:val="decimal"/>
      <w:start w:val="1"/>
    </w:lvl>
  </w:abstractNum>
  <w:abstractNum w:abstractNumId="236">
    <w:nsid w:val="435D38D"/>
    <w:multiLevelType w:val="hybridMultilevel"/>
    <w:lvl w:ilvl="0">
      <w:lvlJc w:val="left"/>
      <w:lvlText w:val="%1."/>
      <w:numFmt w:val="decimal"/>
      <w:start w:val="4"/>
    </w:lvl>
  </w:abstractNum>
  <w:abstractNum w:abstractNumId="237">
    <w:nsid w:val="822C0EF"/>
    <w:multiLevelType w:val="hybridMultilevel"/>
    <w:lvl w:ilvl="0">
      <w:lvlJc w:val="left"/>
      <w:lvlText w:val="%1."/>
      <w:numFmt w:val="decimal"/>
      <w:start w:val="30"/>
    </w:lvl>
  </w:abstractNum>
  <w:abstractNum w:abstractNumId="238">
    <w:nsid w:val="57C5BB4F"/>
    <w:multiLevelType w:val="hybridMultilevel"/>
    <w:lvl w:ilvl="0">
      <w:lvlJc w:val="left"/>
      <w:lvlText w:val="%1."/>
      <w:numFmt w:val="decimal"/>
      <w:start w:val="1"/>
    </w:lvl>
    <w:lvl w:ilvl="1">
      <w:lvlJc w:val="left"/>
      <w:lvlText w:val="%2)"/>
      <w:numFmt w:val="lowerLetter"/>
      <w:start w:val="1"/>
    </w:lvl>
  </w:abstractNum>
  <w:abstractNum w:abstractNumId="239">
    <w:nsid w:val="1803D089"/>
    <w:multiLevelType w:val="hybridMultilevel"/>
    <w:lvl w:ilvl="0">
      <w:lvlJc w:val="left"/>
      <w:lvlText w:val="%1."/>
      <w:numFmt w:val="decimal"/>
      <w:start w:val="1"/>
    </w:lvl>
    <w:lvl w:ilvl="1">
      <w:lvlJc w:val="left"/>
      <w:lvlText w:val="%2)"/>
      <w:numFmt w:val="lowerLetter"/>
      <w:start w:val="1"/>
    </w:lvl>
  </w:abstractNum>
  <w:abstractNum w:abstractNumId="240">
    <w:nsid w:val="4F3A06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2019-12-10T09:44:08Z</dcterms:created>
  <dcterms:modified xsi:type="dcterms:W3CDTF">2019-12-10T09:44:08Z</dcterms:modified>
</cp:coreProperties>
</file>