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8"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732155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688975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UNITED STATES</w:t>
      </w:r>
    </w:p>
    <w:p>
      <w:pPr>
        <w:spacing w:after="0" w:line="2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SECURITIES AND EXCHANGE COMMISSION</w:t>
      </w:r>
    </w:p>
    <w:p>
      <w:pPr>
        <w:spacing w:after="0" w:line="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Washington, D.C. 20549</w:t>
      </w:r>
    </w:p>
    <w:p>
      <w:pPr>
        <w:spacing w:after="0" w:line="9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FORM 10-Q</w:t>
      </w:r>
    </w:p>
    <w:p>
      <w:pPr>
        <w:spacing w:after="0" w:line="138" w:lineRule="exact"/>
        <w:rPr>
          <w:sz w:val="24"/>
          <w:szCs w:val="24"/>
          <w:color w:val="auto"/>
        </w:rPr>
      </w:pPr>
    </w:p>
    <w:p>
      <w:pPr>
        <w:ind w:left="3320" w:hanging="1006"/>
        <w:spacing w:after="0"/>
        <w:tabs>
          <w:tab w:leader="none" w:pos="33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6"/>
          <w:szCs w:val="16"/>
          <w:b w:val="1"/>
          <w:bCs w:val="1"/>
          <w:color w:val="auto"/>
        </w:rPr>
        <w:t>QUARTERLY REPORT PURSUANT TO SECTION 13 OR 15(d)</w:t>
      </w:r>
    </w:p>
    <w:p>
      <w:pPr>
        <w:ind w:left="3800"/>
        <w:spacing w:after="0"/>
        <w:rPr>
          <w:rFonts w:ascii="MS PGothic" w:cs="MS PGothic" w:eastAsia="MS PGothic" w:hAnsi="MS PGothic"/>
          <w:sz w:val="18"/>
          <w:szCs w:val="18"/>
          <w:color w:val="auto"/>
        </w:rPr>
      </w:pPr>
      <w:r>
        <w:rPr>
          <w:rFonts w:ascii="Times New Roman" w:cs="Times New Roman" w:eastAsia="Times New Roman" w:hAnsi="Times New Roman"/>
          <w:sz w:val="16"/>
          <w:szCs w:val="16"/>
          <w:b w:val="1"/>
          <w:bCs w:val="1"/>
          <w:color w:val="auto"/>
        </w:rPr>
        <w:t>OF THE SECURITIES EXCHANGE ACT OF 1934</w:t>
      </w:r>
    </w:p>
    <w:p>
      <w:pPr>
        <w:spacing w:after="0" w:line="13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For the Quarterly Period Ended September 30, 2025</w:t>
      </w:r>
    </w:p>
    <w:p>
      <w:pPr>
        <w:spacing w:after="0" w:line="11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OR</w:t>
      </w:r>
    </w:p>
    <w:p>
      <w:pPr>
        <w:spacing w:after="0" w:line="214" w:lineRule="exact"/>
        <w:rPr>
          <w:sz w:val="24"/>
          <w:szCs w:val="24"/>
          <w:color w:val="auto"/>
        </w:rPr>
      </w:pPr>
    </w:p>
    <w:p>
      <w:pPr>
        <w:ind w:left="3320" w:hanging="1006"/>
        <w:spacing w:after="0"/>
        <w:tabs>
          <w:tab w:leader="none" w:pos="332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6"/>
          <w:szCs w:val="16"/>
          <w:b w:val="1"/>
          <w:bCs w:val="1"/>
          <w:color w:val="auto"/>
        </w:rPr>
        <w:t>TRANSITION REPORT PURSUANT TO SECTION 13 OR 15(d)</w:t>
      </w:r>
    </w:p>
    <w:p>
      <w:pPr>
        <w:ind w:left="3800"/>
        <w:spacing w:after="0"/>
        <w:rPr>
          <w:rFonts w:ascii="MS PGothic" w:cs="MS PGothic" w:eastAsia="MS PGothic" w:hAnsi="MS PGothic"/>
          <w:sz w:val="18"/>
          <w:szCs w:val="18"/>
          <w:color w:val="auto"/>
        </w:rPr>
      </w:pPr>
      <w:r>
        <w:rPr>
          <w:rFonts w:ascii="Times New Roman" w:cs="Times New Roman" w:eastAsia="Times New Roman" w:hAnsi="Times New Roman"/>
          <w:sz w:val="16"/>
          <w:szCs w:val="16"/>
          <w:b w:val="1"/>
          <w:bCs w:val="1"/>
          <w:color w:val="auto"/>
        </w:rPr>
        <w:t>OF THE SECURITIES EXCHANGE ACT OF 1934</w:t>
      </w:r>
    </w:p>
    <w:p>
      <w:pPr>
        <w:spacing w:after="0" w:line="53"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16"/>
          <w:szCs w:val="16"/>
          <w:b w:val="1"/>
          <w:bCs w:val="1"/>
          <w:color w:val="auto"/>
        </w:rPr>
        <w:t>For the Transition Period from ___________ to ___________</w:t>
      </w:r>
    </w:p>
    <w:p>
      <w:pPr>
        <w:spacing w:after="0" w:line="18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Commission file number 001-35095</w:t>
      </w:r>
    </w:p>
    <w:p>
      <w:pPr>
        <w:spacing w:after="0" w:line="15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UNITED COMMUNITY BANKS, INC.</w:t>
      </w:r>
    </w:p>
    <w:p>
      <w:pPr>
        <w:spacing w:after="0" w:line="4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(Exact name of registrant as specified in its charter)</w:t>
      </w:r>
    </w:p>
    <w:p>
      <w:pPr>
        <w:spacing w:after="0" w:line="120" w:lineRule="exact"/>
        <w:rPr>
          <w:sz w:val="24"/>
          <w:szCs w:val="24"/>
          <w:color w:val="auto"/>
        </w:rPr>
      </w:pPr>
    </w:p>
    <w:tbl>
      <w:tblPr>
        <w:tblLayout w:type="fixed"/>
        <w:tblInd w:w="760" w:type="dxa"/>
        <w:tblCellMar>
          <w:top w:w="0" w:type="dxa"/>
          <w:left w:w="0" w:type="dxa"/>
          <w:bottom w:w="0" w:type="dxa"/>
          <w:right w:w="0" w:type="dxa"/>
        </w:tblCellMar>
      </w:tblPr>
      <w:tr>
        <w:trPr>
          <w:trHeight w:val="256"/>
        </w:trPr>
        <w:tc>
          <w:tcPr>
            <w:tcW w:w="20" w:type="dxa"/>
            <w:vAlign w:val="bottom"/>
          </w:tcPr>
          <w:p>
            <w:pPr>
              <w:spacing w:after="0"/>
              <w:rPr>
                <w:sz w:val="22"/>
                <w:szCs w:val="22"/>
                <w:color w:val="auto"/>
              </w:rPr>
            </w:pPr>
          </w:p>
        </w:tc>
        <w:tc>
          <w:tcPr>
            <w:tcW w:w="372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rPr>
              <w:t>Georgia</w:t>
            </w:r>
          </w:p>
        </w:tc>
        <w:tc>
          <w:tcPr>
            <w:tcW w:w="5980" w:type="dxa"/>
            <w:vAlign w:val="bottom"/>
            <w:gridSpan w:val="2"/>
          </w:tcPr>
          <w:p>
            <w:pPr>
              <w:jc w:val="center"/>
              <w:ind w:left="2159"/>
              <w:spacing w:after="0"/>
              <w:rPr>
                <w:sz w:val="20"/>
                <w:szCs w:val="20"/>
                <w:color w:val="auto"/>
              </w:rPr>
            </w:pPr>
            <w:r>
              <w:rPr>
                <w:rFonts w:ascii="Times New Roman" w:cs="Times New Roman" w:eastAsia="Times New Roman" w:hAnsi="Times New Roman"/>
                <w:sz w:val="16"/>
                <w:szCs w:val="16"/>
                <w:b w:val="1"/>
                <w:bCs w:val="1"/>
                <w:color w:val="auto"/>
              </w:rPr>
              <w:t>58-1807304</w:t>
            </w:r>
          </w:p>
        </w:tc>
      </w:tr>
      <w:tr>
        <w:trPr>
          <w:trHeight w:val="234"/>
        </w:trPr>
        <w:tc>
          <w:tcPr>
            <w:tcW w:w="20" w:type="dxa"/>
            <w:vAlign w:val="bottom"/>
          </w:tcPr>
          <w:p>
            <w:pPr>
              <w:spacing w:after="0"/>
              <w:rPr>
                <w:sz w:val="20"/>
                <w:szCs w:val="20"/>
                <w:color w:val="auto"/>
              </w:rPr>
            </w:pPr>
          </w:p>
        </w:tc>
        <w:tc>
          <w:tcPr>
            <w:tcW w:w="3720" w:type="dxa"/>
            <w:vAlign w:val="bottom"/>
            <w:tcBorders>
              <w:top w:val="single" w:sz="8" w:color="auto"/>
            </w:tcBorders>
            <w:gridSpan w:val="2"/>
          </w:tcPr>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(State of incorporation)</w:t>
            </w:r>
          </w:p>
        </w:tc>
        <w:tc>
          <w:tcPr>
            <w:tcW w:w="2240" w:type="dxa"/>
            <w:vAlign w:val="bottom"/>
          </w:tcPr>
          <w:p>
            <w:pPr>
              <w:spacing w:after="0"/>
              <w:rPr>
                <w:sz w:val="20"/>
                <w:szCs w:val="20"/>
                <w:color w:val="auto"/>
              </w:rPr>
            </w:pPr>
          </w:p>
        </w:tc>
        <w:tc>
          <w:tcPr>
            <w:tcW w:w="37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(I.R.S. Employer Identification No.)</w:t>
            </w:r>
          </w:p>
        </w:tc>
      </w:tr>
      <w:tr>
        <w:trPr>
          <w:trHeight w:val="338"/>
        </w:trPr>
        <w:tc>
          <w:tcPr>
            <w:tcW w:w="20" w:type="dxa"/>
            <w:vAlign w:val="bottom"/>
          </w:tcPr>
          <w:p>
            <w:pPr>
              <w:spacing w:after="0"/>
              <w:rPr>
                <w:sz w:val="24"/>
                <w:szCs w:val="24"/>
                <w:color w:val="auto"/>
              </w:rPr>
            </w:pPr>
          </w:p>
        </w:tc>
        <w:tc>
          <w:tcPr>
            <w:tcW w:w="3720" w:type="dxa"/>
            <w:vAlign w:val="bottom"/>
            <w:gridSpan w:val="2"/>
          </w:tcPr>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200 East Camperdown Way</w:t>
            </w:r>
          </w:p>
        </w:tc>
        <w:tc>
          <w:tcPr>
            <w:tcW w:w="2240" w:type="dxa"/>
            <w:vAlign w:val="bottom"/>
          </w:tcPr>
          <w:p>
            <w:pPr>
              <w:spacing w:after="0"/>
              <w:rPr>
                <w:sz w:val="24"/>
                <w:szCs w:val="24"/>
                <w:color w:val="auto"/>
              </w:rPr>
            </w:pPr>
          </w:p>
        </w:tc>
        <w:tc>
          <w:tcPr>
            <w:tcW w:w="3740" w:type="dxa"/>
            <w:vAlign w:val="bottom"/>
          </w:tcPr>
          <w:p>
            <w:pPr>
              <w:spacing w:after="0"/>
              <w:rPr>
                <w:sz w:val="24"/>
                <w:szCs w:val="24"/>
                <w:color w:val="auto"/>
              </w:rPr>
            </w:pPr>
          </w:p>
        </w:tc>
      </w:tr>
      <w:tr>
        <w:trPr>
          <w:trHeight w:val="219"/>
        </w:trPr>
        <w:tc>
          <w:tcPr>
            <w:tcW w:w="20" w:type="dxa"/>
            <w:vAlign w:val="bottom"/>
          </w:tcPr>
          <w:p>
            <w:pPr>
              <w:spacing w:after="0"/>
              <w:rPr>
                <w:sz w:val="19"/>
                <w:szCs w:val="19"/>
                <w:color w:val="auto"/>
              </w:rPr>
            </w:pPr>
          </w:p>
        </w:tc>
        <w:tc>
          <w:tcPr>
            <w:tcW w:w="3720" w:type="dxa"/>
            <w:vAlign w:val="bottom"/>
            <w:gridSpan w:val="2"/>
          </w:tcPr>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Greenville, South Carolina</w:t>
            </w:r>
          </w:p>
        </w:tc>
        <w:tc>
          <w:tcPr>
            <w:tcW w:w="5980" w:type="dxa"/>
            <w:vAlign w:val="bottom"/>
            <w:gridSpan w:val="2"/>
          </w:tcPr>
          <w:p>
            <w:pPr>
              <w:jc w:val="center"/>
              <w:ind w:left="2179"/>
              <w:spacing w:after="0"/>
              <w:rPr>
                <w:sz w:val="20"/>
                <w:szCs w:val="20"/>
                <w:color w:val="auto"/>
              </w:rPr>
            </w:pPr>
            <w:r>
              <w:rPr>
                <w:rFonts w:ascii="Times New Roman" w:cs="Times New Roman" w:eastAsia="Times New Roman" w:hAnsi="Times New Roman"/>
                <w:sz w:val="16"/>
                <w:szCs w:val="16"/>
                <w:b w:val="1"/>
                <w:bCs w:val="1"/>
                <w:color w:val="auto"/>
                <w:w w:val="99"/>
              </w:rPr>
              <w:t>29601</w:t>
            </w:r>
          </w:p>
        </w:tc>
      </w:tr>
      <w:tr>
        <w:trPr>
          <w:trHeight w:val="209"/>
        </w:trPr>
        <w:tc>
          <w:tcPr>
            <w:tcW w:w="20" w:type="dxa"/>
            <w:vAlign w:val="bottom"/>
            <w:tcBorders>
              <w:top w:val="single" w:sz="8" w:color="auto"/>
            </w:tcBorders>
          </w:tcPr>
          <w:p>
            <w:pPr>
              <w:spacing w:after="0"/>
              <w:rPr>
                <w:sz w:val="18"/>
                <w:szCs w:val="18"/>
                <w:color w:val="auto"/>
              </w:rPr>
            </w:pPr>
          </w:p>
        </w:tc>
        <w:tc>
          <w:tcPr>
            <w:tcW w:w="37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(Address of principal executive offices)</w:t>
            </w:r>
          </w:p>
        </w:tc>
        <w:tc>
          <w:tcPr>
            <w:tcW w:w="2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37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(Zip code)</w:t>
            </w:r>
          </w:p>
        </w:tc>
      </w:tr>
      <w:tr>
        <w:trPr>
          <w:trHeight w:val="291"/>
        </w:trPr>
        <w:tc>
          <w:tcPr>
            <w:tcW w:w="20" w:type="dxa"/>
            <w:vAlign w:val="bottom"/>
          </w:tcPr>
          <w:p>
            <w:pPr>
              <w:spacing w:after="0"/>
              <w:rPr>
                <w:sz w:val="24"/>
                <w:szCs w:val="24"/>
                <w:color w:val="auto"/>
              </w:rPr>
            </w:pPr>
          </w:p>
        </w:tc>
        <w:tc>
          <w:tcPr>
            <w:tcW w:w="3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40" w:type="dxa"/>
            <w:vAlign w:val="bottom"/>
          </w:tcPr>
          <w:p>
            <w:pPr>
              <w:jc w:val="right"/>
              <w:ind w:right="519"/>
              <w:spacing w:after="0"/>
              <w:rPr>
                <w:sz w:val="20"/>
                <w:szCs w:val="20"/>
                <w:color w:val="auto"/>
              </w:rPr>
            </w:pPr>
            <w:r>
              <w:rPr>
                <w:rFonts w:ascii="Times New Roman" w:cs="Times New Roman" w:eastAsia="Times New Roman" w:hAnsi="Times New Roman"/>
                <w:sz w:val="16"/>
                <w:szCs w:val="16"/>
                <w:b w:val="1"/>
                <w:bCs w:val="1"/>
                <w:color w:val="auto"/>
              </w:rPr>
              <w:t>(800) 822-2651</w:t>
            </w:r>
          </w:p>
        </w:tc>
        <w:tc>
          <w:tcPr>
            <w:tcW w:w="3740" w:type="dxa"/>
            <w:vAlign w:val="bottom"/>
          </w:tcPr>
          <w:p>
            <w:pPr>
              <w:spacing w:after="0"/>
              <w:rPr>
                <w:sz w:val="24"/>
                <w:szCs w:val="24"/>
                <w:color w:val="auto"/>
              </w:rPr>
            </w:pPr>
          </w:p>
        </w:tc>
      </w:tr>
    </w:tbl>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(Registrant’s telephone number, including area code)</w:t>
      </w:r>
    </w:p>
    <w:p>
      <w:pPr>
        <w:spacing w:after="0" w:line="111" w:lineRule="exact"/>
        <w:rPr>
          <w:sz w:val="24"/>
          <w:szCs w:val="24"/>
          <w:color w:val="auto"/>
        </w:rPr>
      </w:pPr>
    </w:p>
    <w:tbl>
      <w:tblPr>
        <w:tblLayout w:type="fixed"/>
        <w:tblInd w:w="40" w:type="dxa"/>
        <w:tblCellMar>
          <w:top w:w="0" w:type="dxa"/>
          <w:left w:w="0" w:type="dxa"/>
          <w:bottom w:w="0" w:type="dxa"/>
          <w:right w:w="0" w:type="dxa"/>
        </w:tblCellMar>
      </w:tblPr>
      <w:tr>
        <w:trPr>
          <w:trHeight w:val="190"/>
        </w:trPr>
        <w:tc>
          <w:tcPr>
            <w:tcW w:w="472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Securities registered pursuant to Section 12(b) of the Act:</w:t>
            </w:r>
          </w:p>
        </w:tc>
        <w:tc>
          <w:tcPr>
            <w:tcW w:w="2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2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80"/>
        </w:trPr>
        <w:tc>
          <w:tcPr>
            <w:tcW w:w="1840" w:type="dxa"/>
            <w:vAlign w:val="bottom"/>
          </w:tcPr>
          <w:p>
            <w:pPr>
              <w:spacing w:after="0"/>
              <w:rPr>
                <w:sz w:val="24"/>
                <w:szCs w:val="24"/>
                <w:color w:val="auto"/>
              </w:rPr>
            </w:pPr>
          </w:p>
        </w:tc>
        <w:tc>
          <w:tcPr>
            <w:tcW w:w="2880" w:type="dxa"/>
            <w:vAlign w:val="bottom"/>
            <w:gridSpan w:val="2"/>
          </w:tcPr>
          <w:p>
            <w:pPr>
              <w:jc w:val="center"/>
              <w:ind w:right="174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2620" w:type="dxa"/>
            <w:vAlign w:val="bottom"/>
            <w:gridSpan w:val="3"/>
          </w:tcPr>
          <w:p>
            <w:pPr>
              <w:jc w:val="center"/>
              <w:ind w:right="920"/>
              <w:spacing w:after="0"/>
              <w:rPr>
                <w:sz w:val="20"/>
                <w:szCs w:val="20"/>
                <w:color w:val="auto"/>
              </w:rPr>
            </w:pPr>
            <w:r>
              <w:rPr>
                <w:rFonts w:ascii="Times New Roman" w:cs="Times New Roman" w:eastAsia="Times New Roman" w:hAnsi="Times New Roman"/>
                <w:sz w:val="14"/>
                <w:szCs w:val="14"/>
                <w:b w:val="1"/>
                <w:bCs w:val="1"/>
                <w:color w:val="auto"/>
              </w:rPr>
              <w:t>Trading Symbol(s)</w:t>
            </w:r>
          </w:p>
        </w:tc>
        <w:tc>
          <w:tcPr>
            <w:tcW w:w="28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c>
          <w:tcPr>
            <w:tcW w:w="0" w:type="dxa"/>
            <w:vAlign w:val="bottom"/>
          </w:tcPr>
          <w:p>
            <w:pPr>
              <w:spacing w:after="0"/>
              <w:rPr>
                <w:sz w:val="1"/>
                <w:szCs w:val="1"/>
                <w:color w:val="auto"/>
              </w:rPr>
            </w:pPr>
          </w:p>
        </w:tc>
      </w:tr>
      <w:tr>
        <w:trPr>
          <w:trHeight w:val="20"/>
        </w:trPr>
        <w:tc>
          <w:tcPr>
            <w:tcW w:w="184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82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4720" w:type="dxa"/>
            <w:vAlign w:val="bottom"/>
            <w:gridSpan w:val="3"/>
          </w:tcPr>
          <w:p>
            <w:pPr>
              <w:jc w:val="center"/>
              <w:ind w:left="28"/>
              <w:spacing w:after="0"/>
              <w:rPr>
                <w:sz w:val="20"/>
                <w:szCs w:val="20"/>
                <w:color w:val="auto"/>
              </w:rPr>
            </w:pPr>
            <w:r>
              <w:rPr>
                <w:rFonts w:ascii="Times New Roman" w:cs="Times New Roman" w:eastAsia="Times New Roman" w:hAnsi="Times New Roman"/>
                <w:sz w:val="14"/>
                <w:szCs w:val="14"/>
                <w:b w:val="1"/>
                <w:bCs w:val="1"/>
                <w:color w:val="auto"/>
              </w:rPr>
              <w:t>Common stock, par value $1 per share</w:t>
            </w:r>
          </w:p>
        </w:tc>
        <w:tc>
          <w:tcPr>
            <w:tcW w:w="280" w:type="dxa"/>
            <w:vAlign w:val="bottom"/>
          </w:tcPr>
          <w:p>
            <w:pPr>
              <w:spacing w:after="0"/>
              <w:rPr>
                <w:sz w:val="18"/>
                <w:szCs w:val="18"/>
                <w:color w:val="auto"/>
              </w:rPr>
            </w:pPr>
          </w:p>
        </w:tc>
        <w:tc>
          <w:tcPr>
            <w:tcW w:w="2340" w:type="dxa"/>
            <w:vAlign w:val="bottom"/>
            <w:gridSpan w:val="2"/>
          </w:tcPr>
          <w:p>
            <w:pPr>
              <w:jc w:val="center"/>
              <w:ind w:right="1200"/>
              <w:spacing w:after="0"/>
              <w:rPr>
                <w:sz w:val="20"/>
                <w:szCs w:val="20"/>
                <w:color w:val="auto"/>
              </w:rPr>
            </w:pPr>
            <w:r>
              <w:rPr>
                <w:rFonts w:ascii="Times New Roman" w:cs="Times New Roman" w:eastAsia="Times New Roman" w:hAnsi="Times New Roman"/>
                <w:sz w:val="14"/>
                <w:szCs w:val="14"/>
                <w:b w:val="1"/>
                <w:bCs w:val="1"/>
                <w:color w:val="auto"/>
              </w:rPr>
              <w:t>UCB</w:t>
            </w:r>
          </w:p>
        </w:tc>
        <w:tc>
          <w:tcPr>
            <w:tcW w:w="28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New York Stock Exchange</w:t>
            </w:r>
          </w:p>
        </w:tc>
        <w:tc>
          <w:tcPr>
            <w:tcW w:w="0" w:type="dxa"/>
            <w:vAlign w:val="bottom"/>
          </w:tcPr>
          <w:p>
            <w:pPr>
              <w:spacing w:after="0"/>
              <w:rPr>
                <w:sz w:val="1"/>
                <w:szCs w:val="1"/>
                <w:color w:val="auto"/>
              </w:rPr>
            </w:pPr>
          </w:p>
        </w:tc>
      </w:tr>
      <w:tr>
        <w:trPr>
          <w:trHeight w:val="161"/>
        </w:trPr>
        <w:tc>
          <w:tcPr>
            <w:tcW w:w="472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Depositary shares, each representing 1/1000th interest in a share of</w:t>
            </w:r>
          </w:p>
        </w:tc>
        <w:tc>
          <w:tcPr>
            <w:tcW w:w="280" w:type="dxa"/>
            <w:vAlign w:val="bottom"/>
          </w:tcPr>
          <w:p>
            <w:pPr>
              <w:spacing w:after="0"/>
              <w:rPr>
                <w:sz w:val="13"/>
                <w:szCs w:val="13"/>
                <w:color w:val="auto"/>
              </w:rPr>
            </w:pPr>
          </w:p>
        </w:tc>
        <w:tc>
          <w:tcPr>
            <w:tcW w:w="2340" w:type="dxa"/>
            <w:vAlign w:val="bottom"/>
            <w:gridSpan w:val="2"/>
            <w:vMerge w:val="restart"/>
          </w:tcPr>
          <w:p>
            <w:pPr>
              <w:jc w:val="center"/>
              <w:ind w:right="1200"/>
              <w:spacing w:after="0"/>
              <w:rPr>
                <w:sz w:val="20"/>
                <w:szCs w:val="20"/>
                <w:color w:val="auto"/>
              </w:rPr>
            </w:pPr>
            <w:r>
              <w:rPr>
                <w:rFonts w:ascii="Times New Roman" w:cs="Times New Roman" w:eastAsia="Times New Roman" w:hAnsi="Times New Roman"/>
                <w:sz w:val="14"/>
                <w:szCs w:val="14"/>
                <w:b w:val="1"/>
                <w:bCs w:val="1"/>
                <w:color w:val="auto"/>
              </w:rPr>
              <w:t>UCB PRI</w:t>
            </w:r>
          </w:p>
        </w:tc>
        <w:tc>
          <w:tcPr>
            <w:tcW w:w="28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New York Stock Exchange</w:t>
            </w:r>
          </w:p>
        </w:tc>
        <w:tc>
          <w:tcPr>
            <w:tcW w:w="0" w:type="dxa"/>
            <w:vAlign w:val="bottom"/>
          </w:tcPr>
          <w:p>
            <w:pPr>
              <w:spacing w:after="0"/>
              <w:rPr>
                <w:sz w:val="1"/>
                <w:szCs w:val="1"/>
                <w:color w:val="auto"/>
              </w:rPr>
            </w:pPr>
          </w:p>
        </w:tc>
      </w:tr>
      <w:tr>
        <w:trPr>
          <w:trHeight w:val="190"/>
        </w:trPr>
        <w:tc>
          <w:tcPr>
            <w:tcW w:w="4720" w:type="dxa"/>
            <w:vAlign w:val="bottom"/>
            <w:gridSpan w:val="3"/>
          </w:tcPr>
          <w:p>
            <w:pPr>
              <w:jc w:val="center"/>
              <w:ind w:left="28"/>
              <w:spacing w:after="0"/>
              <w:rPr>
                <w:sz w:val="20"/>
                <w:szCs w:val="20"/>
                <w:color w:val="auto"/>
              </w:rPr>
            </w:pPr>
            <w:r>
              <w:rPr>
                <w:rFonts w:ascii="Times New Roman" w:cs="Times New Roman" w:eastAsia="Times New Roman" w:hAnsi="Times New Roman"/>
                <w:sz w:val="14"/>
                <w:szCs w:val="14"/>
                <w:b w:val="1"/>
                <w:bCs w:val="1"/>
                <w:color w:val="auto"/>
              </w:rPr>
              <w:t>Series I Non-Cumulative Preferred Stock</w:t>
            </w:r>
          </w:p>
        </w:tc>
        <w:tc>
          <w:tcPr>
            <w:tcW w:w="280" w:type="dxa"/>
            <w:vAlign w:val="bottom"/>
          </w:tcPr>
          <w:p>
            <w:pPr>
              <w:spacing w:after="0"/>
              <w:rPr>
                <w:sz w:val="16"/>
                <w:szCs w:val="16"/>
                <w:color w:val="auto"/>
              </w:rPr>
            </w:pPr>
          </w:p>
        </w:tc>
        <w:tc>
          <w:tcPr>
            <w:tcW w:w="2340" w:type="dxa"/>
            <w:vAlign w:val="bottom"/>
            <w:gridSpan w:val="2"/>
            <w:vMerge w:val="continue"/>
          </w:tcPr>
          <w:p>
            <w:pPr>
              <w:spacing w:after="0"/>
              <w:rPr>
                <w:sz w:val="16"/>
                <w:szCs w:val="16"/>
                <w:color w:val="auto"/>
              </w:rPr>
            </w:pPr>
          </w:p>
        </w:tc>
        <w:tc>
          <w:tcPr>
            <w:tcW w:w="28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332" w:lineRule="exact"/>
        <w:rPr>
          <w:sz w:val="24"/>
          <w:szCs w:val="24"/>
          <w:color w:val="auto"/>
        </w:rPr>
      </w:pPr>
    </w:p>
    <w:p>
      <w:pPr>
        <w:jc w:val="both"/>
        <w:spacing w:after="0" w:line="257" w:lineRule="auto"/>
        <w:rPr>
          <w:sz w:val="20"/>
          <w:szCs w:val="20"/>
          <w:color w:val="auto"/>
        </w:rPr>
      </w:pPr>
      <w:r>
        <w:rPr>
          <w:rFonts w:ascii="Times New Roman" w:cs="Times New Roman" w:eastAsia="Times New Roman" w:hAnsi="Times New Roman"/>
          <w:sz w:val="16"/>
          <w:szCs w:val="16"/>
          <w:b w:val="1"/>
          <w:bCs w:val="1"/>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jc w:val="center"/>
        <w:ind w:right="-19"/>
        <w:spacing w:after="0" w:line="196" w:lineRule="exact"/>
        <w:rPr>
          <w:sz w:val="20"/>
          <w:szCs w:val="20"/>
          <w:color w:val="auto"/>
        </w:rPr>
      </w:pPr>
      <w:r>
        <w:rPr>
          <w:rFonts w:ascii="Times New Roman" w:cs="Times New Roman" w:eastAsia="Times New Roman" w:hAnsi="Times New Roman"/>
          <w:sz w:val="16"/>
          <w:szCs w:val="16"/>
          <w:b w:val="1"/>
          <w:bCs w:val="1"/>
          <w:color w:val="auto"/>
        </w:rPr>
        <w:t xml:space="preserve">Yes </w:t>
      </w:r>
      <w:r>
        <w:rPr>
          <w:rFonts w:ascii="MS PGothic" w:cs="MS PGothic" w:eastAsia="MS PGothic" w:hAnsi="MS PGothic"/>
          <w:sz w:val="17"/>
          <w:szCs w:val="17"/>
          <w:color w:val="auto"/>
        </w:rPr>
        <w:t>☒</w:t>
      </w:r>
      <w:r>
        <w:rPr>
          <w:rFonts w:ascii="Times New Roman" w:cs="Times New Roman" w:eastAsia="Times New Roman" w:hAnsi="Times New Roman"/>
          <w:sz w:val="16"/>
          <w:szCs w:val="16"/>
          <w:b w:val="1"/>
          <w:bCs w:val="1"/>
          <w:color w:val="auto"/>
        </w:rPr>
        <w:t xml:space="preserve"> No </w:t>
      </w:r>
      <w:r>
        <w:rPr>
          <w:rFonts w:ascii="MS PGothic" w:cs="MS PGothic" w:eastAsia="MS PGothic" w:hAnsi="MS PGothic"/>
          <w:sz w:val="17"/>
          <w:szCs w:val="17"/>
          <w:color w:val="auto"/>
        </w:rPr>
        <w:t>☐</w:t>
      </w:r>
    </w:p>
    <w:p>
      <w:pPr>
        <w:spacing w:after="0" w:line="253" w:lineRule="exact"/>
        <w:rPr>
          <w:sz w:val="24"/>
          <w:szCs w:val="24"/>
          <w:color w:val="auto"/>
        </w:rPr>
      </w:pPr>
    </w:p>
    <w:p>
      <w:pPr>
        <w:jc w:val="both"/>
        <w:ind w:right="20"/>
        <w:spacing w:after="0" w:line="261" w:lineRule="auto"/>
        <w:rPr>
          <w:sz w:val="20"/>
          <w:szCs w:val="20"/>
          <w:color w:val="auto"/>
        </w:rPr>
      </w:pPr>
      <w:r>
        <w:rPr>
          <w:rFonts w:ascii="Times New Roman" w:cs="Times New Roman" w:eastAsia="Times New Roman" w:hAnsi="Times New Roman"/>
          <w:sz w:val="16"/>
          <w:szCs w:val="16"/>
          <w:b w:val="1"/>
          <w:bCs w:val="1"/>
          <w:color w:val="auto"/>
        </w:rPr>
        <w:t>Indicate by check mark whether the registrant has submitted electronically every Interactive Date File required to be submitted pursuant to Rule 405 of Regulation S-T (§232.405 of this chapter) during the preceding 12 months (or for such shorter period that the registrant was required to submit such files).</w:t>
      </w:r>
    </w:p>
    <w:p>
      <w:pPr>
        <w:spacing w:after="0" w:line="1" w:lineRule="exact"/>
        <w:rPr>
          <w:sz w:val="24"/>
          <w:szCs w:val="24"/>
          <w:color w:val="auto"/>
        </w:rPr>
      </w:pPr>
    </w:p>
    <w:p>
      <w:pPr>
        <w:jc w:val="center"/>
        <w:ind w:right="-19"/>
        <w:spacing w:after="0" w:line="196" w:lineRule="exact"/>
        <w:rPr>
          <w:sz w:val="20"/>
          <w:szCs w:val="20"/>
          <w:color w:val="auto"/>
        </w:rPr>
      </w:pPr>
      <w:r>
        <w:rPr>
          <w:rFonts w:ascii="Times New Roman" w:cs="Times New Roman" w:eastAsia="Times New Roman" w:hAnsi="Times New Roman"/>
          <w:sz w:val="16"/>
          <w:szCs w:val="16"/>
          <w:b w:val="1"/>
          <w:bCs w:val="1"/>
          <w:color w:val="auto"/>
        </w:rPr>
        <w:t xml:space="preserve">Yes </w:t>
      </w:r>
      <w:r>
        <w:rPr>
          <w:rFonts w:ascii="MS PGothic" w:cs="MS PGothic" w:eastAsia="MS PGothic" w:hAnsi="MS PGothic"/>
          <w:sz w:val="17"/>
          <w:szCs w:val="17"/>
          <w:color w:val="auto"/>
        </w:rPr>
        <w:t>☒</w:t>
      </w:r>
      <w:r>
        <w:rPr>
          <w:rFonts w:ascii="Times New Roman" w:cs="Times New Roman" w:eastAsia="Times New Roman" w:hAnsi="Times New Roman"/>
          <w:sz w:val="16"/>
          <w:szCs w:val="16"/>
          <w:b w:val="1"/>
          <w:bCs w:val="1"/>
          <w:color w:val="auto"/>
        </w:rPr>
        <w:t xml:space="preserve"> No </w:t>
      </w:r>
      <w:r>
        <w:rPr>
          <w:rFonts w:ascii="MS PGothic" w:cs="MS PGothic" w:eastAsia="MS PGothic" w:hAnsi="MS PGothic"/>
          <w:sz w:val="17"/>
          <w:szCs w:val="17"/>
          <w:color w:val="auto"/>
        </w:rPr>
        <w:t>☐</w:t>
      </w:r>
    </w:p>
    <w:p>
      <w:pPr>
        <w:spacing w:after="0" w:line="254" w:lineRule="exact"/>
        <w:rPr>
          <w:sz w:val="24"/>
          <w:szCs w:val="24"/>
          <w:color w:val="auto"/>
        </w:rPr>
      </w:pPr>
    </w:p>
    <w:p>
      <w:pPr>
        <w:jc w:val="both"/>
        <w:spacing w:after="0" w:line="265" w:lineRule="auto"/>
        <w:rPr>
          <w:sz w:val="20"/>
          <w:szCs w:val="20"/>
          <w:color w:val="auto"/>
        </w:rPr>
      </w:pPr>
      <w:r>
        <w:rPr>
          <w:rFonts w:ascii="Times New Roman" w:cs="Times New Roman" w:eastAsia="Times New Roman" w:hAnsi="Times New Roman"/>
          <w:sz w:val="16"/>
          <w:szCs w:val="16"/>
          <w:b w:val="1"/>
          <w:bCs w:val="1"/>
          <w:color w:val="auto"/>
        </w:rPr>
        <w:t>Indicate by check mark whether the registrant is a large accelerated filer, an accelerated filer, a non-accelerated filer, a smaller reporting company, or an emerging growth company. See definitions of “large accelerated filer,” “accelerated filer,” “smaller reporting company,” and “emerging growth company” in Rule 12b-2 of the Exchange Act.</w:t>
      </w:r>
    </w:p>
    <w:p>
      <w:pPr>
        <w:spacing w:after="0" w:line="63" w:lineRule="exact"/>
        <w:rPr>
          <w:sz w:val="24"/>
          <w:szCs w:val="24"/>
          <w:color w:val="auto"/>
        </w:rPr>
      </w:pPr>
    </w:p>
    <w:tbl>
      <w:tblPr>
        <w:tblLayout w:type="fixed"/>
        <w:tblInd w:w="20" w:type="dxa"/>
        <w:tblCellMar>
          <w:top w:w="0" w:type="dxa"/>
          <w:left w:w="0" w:type="dxa"/>
          <w:bottom w:w="0" w:type="dxa"/>
          <w:right w:w="0" w:type="dxa"/>
        </w:tblCellMar>
      </w:tblPr>
      <w:tr>
        <w:trPr>
          <w:trHeight w:val="230"/>
        </w:trPr>
        <w:tc>
          <w:tcPr>
            <w:tcW w:w="22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Large accelerated filer</w:t>
            </w:r>
          </w:p>
        </w:tc>
        <w:tc>
          <w:tcPr>
            <w:tcW w:w="3340" w:type="dxa"/>
            <w:vAlign w:val="bottom"/>
          </w:tcPr>
          <w:p>
            <w:pPr>
              <w:ind w:left="600"/>
              <w:spacing w:after="0" w:line="181" w:lineRule="exact"/>
              <w:rPr>
                <w:sz w:val="20"/>
                <w:szCs w:val="20"/>
                <w:color w:val="auto"/>
              </w:rPr>
            </w:pPr>
            <w:r>
              <w:rPr>
                <w:rFonts w:ascii="MS PGothic" w:cs="MS PGothic" w:eastAsia="MS PGothic" w:hAnsi="MS PGothic"/>
                <w:sz w:val="18"/>
                <w:szCs w:val="18"/>
                <w:color w:val="auto"/>
              </w:rPr>
              <w:t>☒</w:t>
            </w:r>
          </w:p>
        </w:tc>
        <w:tc>
          <w:tcPr>
            <w:tcW w:w="4920" w:type="dxa"/>
            <w:vAlign w:val="bottom"/>
          </w:tcPr>
          <w:p>
            <w:pPr>
              <w:ind w:left="2560"/>
              <w:spacing w:after="0"/>
              <w:rPr>
                <w:sz w:val="20"/>
                <w:szCs w:val="20"/>
                <w:color w:val="auto"/>
              </w:rPr>
            </w:pPr>
            <w:r>
              <w:rPr>
                <w:rFonts w:ascii="Times New Roman" w:cs="Times New Roman" w:eastAsia="Times New Roman" w:hAnsi="Times New Roman"/>
                <w:sz w:val="16"/>
                <w:szCs w:val="16"/>
                <w:b w:val="1"/>
                <w:bCs w:val="1"/>
                <w:color w:val="auto"/>
              </w:rPr>
              <w:t>Accelerated filer</w:t>
            </w:r>
          </w:p>
        </w:tc>
        <w:tc>
          <w:tcPr>
            <w:tcW w:w="620" w:type="dxa"/>
            <w:vAlign w:val="bottom"/>
          </w:tcPr>
          <w:p>
            <w:pPr>
              <w:ind w:left="4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30"/>
        </w:trPr>
        <w:tc>
          <w:tcPr>
            <w:tcW w:w="22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Non-accelerated filer</w:t>
            </w:r>
          </w:p>
        </w:tc>
        <w:tc>
          <w:tcPr>
            <w:tcW w:w="3340" w:type="dxa"/>
            <w:vAlign w:val="bottom"/>
          </w:tcPr>
          <w:p>
            <w:pPr>
              <w:ind w:left="600"/>
              <w:spacing w:after="0" w:line="181" w:lineRule="exact"/>
              <w:rPr>
                <w:sz w:val="20"/>
                <w:szCs w:val="20"/>
                <w:color w:val="auto"/>
              </w:rPr>
            </w:pPr>
            <w:r>
              <w:rPr>
                <w:rFonts w:ascii="MS PGothic" w:cs="MS PGothic" w:eastAsia="MS PGothic" w:hAnsi="MS PGothic"/>
                <w:sz w:val="18"/>
                <w:szCs w:val="18"/>
                <w:color w:val="auto"/>
              </w:rPr>
              <w:t>☐</w:t>
            </w:r>
          </w:p>
        </w:tc>
        <w:tc>
          <w:tcPr>
            <w:tcW w:w="4920" w:type="dxa"/>
            <w:vAlign w:val="bottom"/>
          </w:tcPr>
          <w:p>
            <w:pPr>
              <w:ind w:left="2560"/>
              <w:spacing w:after="0"/>
              <w:rPr>
                <w:sz w:val="20"/>
                <w:szCs w:val="20"/>
                <w:color w:val="auto"/>
              </w:rPr>
            </w:pPr>
            <w:r>
              <w:rPr>
                <w:rFonts w:ascii="Times New Roman" w:cs="Times New Roman" w:eastAsia="Times New Roman" w:hAnsi="Times New Roman"/>
                <w:sz w:val="16"/>
                <w:szCs w:val="16"/>
                <w:b w:val="1"/>
                <w:bCs w:val="1"/>
                <w:color w:val="auto"/>
              </w:rPr>
              <w:t>Smaller reporting company</w:t>
            </w:r>
          </w:p>
        </w:tc>
        <w:tc>
          <w:tcPr>
            <w:tcW w:w="620" w:type="dxa"/>
            <w:vAlign w:val="bottom"/>
          </w:tcPr>
          <w:p>
            <w:pPr>
              <w:ind w:left="4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03"/>
        </w:trPr>
        <w:tc>
          <w:tcPr>
            <w:tcW w:w="2200" w:type="dxa"/>
            <w:vAlign w:val="bottom"/>
          </w:tcPr>
          <w:p>
            <w:pPr>
              <w:spacing w:after="0"/>
              <w:rPr>
                <w:sz w:val="24"/>
                <w:szCs w:val="24"/>
                <w:color w:val="auto"/>
              </w:rPr>
            </w:pPr>
          </w:p>
        </w:tc>
        <w:tc>
          <w:tcPr>
            <w:tcW w:w="3340" w:type="dxa"/>
            <w:vAlign w:val="bottom"/>
          </w:tcPr>
          <w:p>
            <w:pPr>
              <w:spacing w:after="0"/>
              <w:rPr>
                <w:sz w:val="24"/>
                <w:szCs w:val="24"/>
                <w:color w:val="auto"/>
              </w:rPr>
            </w:pPr>
          </w:p>
        </w:tc>
        <w:tc>
          <w:tcPr>
            <w:tcW w:w="4920" w:type="dxa"/>
            <w:vAlign w:val="bottom"/>
          </w:tcPr>
          <w:p>
            <w:pPr>
              <w:ind w:left="2560"/>
              <w:spacing w:after="0"/>
              <w:rPr>
                <w:sz w:val="20"/>
                <w:szCs w:val="20"/>
                <w:color w:val="auto"/>
              </w:rPr>
            </w:pPr>
            <w:r>
              <w:rPr>
                <w:rFonts w:ascii="Times New Roman" w:cs="Times New Roman" w:eastAsia="Times New Roman" w:hAnsi="Times New Roman"/>
                <w:sz w:val="16"/>
                <w:szCs w:val="16"/>
                <w:b w:val="1"/>
                <w:bCs w:val="1"/>
                <w:color w:val="auto"/>
              </w:rPr>
              <w:t>Emerging growth company</w:t>
            </w:r>
          </w:p>
        </w:tc>
        <w:tc>
          <w:tcPr>
            <w:tcW w:w="620" w:type="dxa"/>
            <w:vAlign w:val="bottom"/>
          </w:tcPr>
          <w:p>
            <w:pPr>
              <w:ind w:left="46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37" w:lineRule="exact"/>
        <w:rPr>
          <w:sz w:val="24"/>
          <w:szCs w:val="24"/>
          <w:color w:val="auto"/>
        </w:rPr>
      </w:pPr>
    </w:p>
    <w:p>
      <w:pPr>
        <w:spacing w:after="0" w:line="231" w:lineRule="exact"/>
        <w:rPr>
          <w:sz w:val="20"/>
          <w:szCs w:val="20"/>
          <w:color w:val="auto"/>
        </w:rPr>
      </w:pPr>
      <w:r>
        <w:rPr>
          <w:rFonts w:ascii="Times New Roman" w:cs="Times New Roman" w:eastAsia="Times New Roman" w:hAnsi="Times New Roman"/>
          <w:sz w:val="16"/>
          <w:szCs w:val="16"/>
          <w:b w:val="1"/>
          <w:bCs w:val="1"/>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200"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Indicate by check mark whether the registrant is a shell company (as defined in Rule 12b-2 of the Exchange Act).</w:t>
      </w:r>
    </w:p>
    <w:p>
      <w:pPr>
        <w:spacing w:after="0" w:line="16" w:lineRule="exact"/>
        <w:rPr>
          <w:sz w:val="24"/>
          <w:szCs w:val="24"/>
          <w:color w:val="auto"/>
        </w:rPr>
      </w:pPr>
    </w:p>
    <w:p>
      <w:pPr>
        <w:ind w:left="5180"/>
        <w:spacing w:after="0" w:line="196" w:lineRule="exact"/>
        <w:rPr>
          <w:sz w:val="20"/>
          <w:szCs w:val="20"/>
          <w:color w:val="auto"/>
        </w:rPr>
      </w:pPr>
      <w:r>
        <w:rPr>
          <w:rFonts w:ascii="Times New Roman" w:cs="Times New Roman" w:eastAsia="Times New Roman" w:hAnsi="Times New Roman"/>
          <w:sz w:val="16"/>
          <w:szCs w:val="16"/>
          <w:b w:val="1"/>
          <w:bCs w:val="1"/>
          <w:color w:val="auto"/>
        </w:rPr>
        <w:t xml:space="preserve">Yes </w:t>
      </w:r>
      <w:r>
        <w:rPr>
          <w:rFonts w:ascii="MS PGothic" w:cs="MS PGothic" w:eastAsia="MS PGothic" w:hAnsi="MS PGothic"/>
          <w:sz w:val="17"/>
          <w:szCs w:val="17"/>
          <w:color w:val="auto"/>
        </w:rPr>
        <w:t>☐</w:t>
      </w:r>
      <w:r>
        <w:rPr>
          <w:rFonts w:ascii="Times New Roman" w:cs="Times New Roman" w:eastAsia="Times New Roman" w:hAnsi="Times New Roman"/>
          <w:sz w:val="16"/>
          <w:szCs w:val="16"/>
          <w:b w:val="1"/>
          <w:bCs w:val="1"/>
          <w:color w:val="auto"/>
        </w:rPr>
        <w:t xml:space="preserve"> No </w:t>
      </w:r>
      <w:r>
        <w:rPr>
          <w:rFonts w:ascii="MS PGothic" w:cs="MS PGothic" w:eastAsia="MS PGothic" w:hAnsi="MS PGothic"/>
          <w:sz w:val="17"/>
          <w:szCs w:val="17"/>
          <w:color w:val="auto"/>
        </w:rPr>
        <w:t>☒</w:t>
      </w:r>
    </w:p>
    <w:p>
      <w:pPr>
        <w:spacing w:after="0" w:line="253"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There were 121,556,906 shares of the registrant’s common stock, par value $1 per share, outstanding as of October 31,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703580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55880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30480</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UNITED COMMUNITY BANKS,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10-Q</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INDEX</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58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480" w:type="dxa"/>
            <w:vAlign w:val="bottom"/>
            <w:gridSpan w:val="18"/>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0000FF"/>
              </w:rPr>
              <w:t>Glossary of Defined Terms</w:t>
            </w:r>
          </w:p>
        </w:tc>
        <w:tc>
          <w:tcPr>
            <w:tcW w:w="20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0000FF"/>
              </w:rPr>
              <w:t>3</w:t>
            </w:r>
          </w:p>
        </w:tc>
      </w:tr>
      <w:tr>
        <w:trPr>
          <w:trHeight w:val="270"/>
        </w:trPr>
        <w:tc>
          <w:tcPr>
            <w:tcW w:w="580" w:type="dxa"/>
            <w:vAlign w:val="bottom"/>
            <w:tcBorders>
              <w:top w:val="single" w:sz="8" w:color="CCEEFF"/>
            </w:tcBorders>
          </w:tcPr>
          <w:p>
            <w:pPr>
              <w:spacing w:after="0"/>
              <w:rPr>
                <w:sz w:val="23"/>
                <w:szCs w:val="23"/>
                <w:color w:val="auto"/>
              </w:rPr>
            </w:pPr>
          </w:p>
        </w:tc>
        <w:tc>
          <w:tcPr>
            <w:tcW w:w="540" w:type="dxa"/>
            <w:vAlign w:val="bottom"/>
            <w:tcBorders>
              <w:top w:val="single" w:sz="8" w:color="CCEEFF"/>
            </w:tcBorders>
          </w:tcPr>
          <w:p>
            <w:pPr>
              <w:spacing w:after="0"/>
              <w:rPr>
                <w:sz w:val="23"/>
                <w:szCs w:val="23"/>
                <w:color w:val="auto"/>
              </w:rPr>
            </w:pPr>
          </w:p>
        </w:tc>
        <w:tc>
          <w:tcPr>
            <w:tcW w:w="440" w:type="dxa"/>
            <w:vAlign w:val="bottom"/>
            <w:tcBorders>
              <w:top w:val="single" w:sz="8" w:color="CCEEFF"/>
            </w:tcBorders>
          </w:tcPr>
          <w:p>
            <w:pPr>
              <w:spacing w:after="0"/>
              <w:rPr>
                <w:sz w:val="23"/>
                <w:szCs w:val="23"/>
                <w:color w:val="auto"/>
              </w:rPr>
            </w:pPr>
          </w:p>
        </w:tc>
        <w:tc>
          <w:tcPr>
            <w:tcW w:w="640" w:type="dxa"/>
            <w:vAlign w:val="bottom"/>
            <w:tcBorders>
              <w:top w:val="single" w:sz="8" w:color="0000FF"/>
            </w:tcBorders>
          </w:tcPr>
          <w:p>
            <w:pPr>
              <w:spacing w:after="0"/>
              <w:rPr>
                <w:sz w:val="23"/>
                <w:szCs w:val="23"/>
                <w:color w:val="auto"/>
              </w:rPr>
            </w:pPr>
          </w:p>
        </w:tc>
        <w:tc>
          <w:tcPr>
            <w:tcW w:w="860" w:type="dxa"/>
            <w:vAlign w:val="bottom"/>
            <w:tcBorders>
              <w:top w:val="single" w:sz="8" w:color="0000FF"/>
            </w:tcBorders>
          </w:tcPr>
          <w:p>
            <w:pPr>
              <w:spacing w:after="0"/>
              <w:rPr>
                <w:sz w:val="23"/>
                <w:szCs w:val="23"/>
                <w:color w:val="auto"/>
              </w:rPr>
            </w:pPr>
          </w:p>
        </w:tc>
        <w:tc>
          <w:tcPr>
            <w:tcW w:w="420" w:type="dxa"/>
            <w:vAlign w:val="bottom"/>
            <w:tcBorders>
              <w:top w:val="single" w:sz="8" w:color="0000FF"/>
            </w:tcBorders>
          </w:tcPr>
          <w:p>
            <w:pPr>
              <w:spacing w:after="0"/>
              <w:rPr>
                <w:sz w:val="23"/>
                <w:szCs w:val="23"/>
                <w:color w:val="auto"/>
              </w:rPr>
            </w:pPr>
          </w:p>
        </w:tc>
        <w:tc>
          <w:tcPr>
            <w:tcW w:w="140" w:type="dxa"/>
            <w:vAlign w:val="bottom"/>
            <w:tcBorders>
              <w:top w:val="single" w:sz="8" w:color="0000FF"/>
            </w:tcBorders>
          </w:tcPr>
          <w:p>
            <w:pPr>
              <w:spacing w:after="0"/>
              <w:rPr>
                <w:sz w:val="23"/>
                <w:szCs w:val="23"/>
                <w:color w:val="auto"/>
              </w:rPr>
            </w:pPr>
          </w:p>
        </w:tc>
        <w:tc>
          <w:tcPr>
            <w:tcW w:w="780" w:type="dxa"/>
            <w:vAlign w:val="bottom"/>
            <w:tcBorders>
              <w:top w:val="single" w:sz="8" w:color="CCEEFF"/>
            </w:tcBorders>
          </w:tcPr>
          <w:p>
            <w:pPr>
              <w:spacing w:after="0"/>
              <w:rPr>
                <w:sz w:val="23"/>
                <w:szCs w:val="23"/>
                <w:color w:val="auto"/>
              </w:rPr>
            </w:pPr>
          </w:p>
        </w:tc>
        <w:tc>
          <w:tcPr>
            <w:tcW w:w="100" w:type="dxa"/>
            <w:vAlign w:val="bottom"/>
            <w:tcBorders>
              <w:top w:val="single" w:sz="8" w:color="CCEEFF"/>
            </w:tcBorders>
          </w:tcPr>
          <w:p>
            <w:pPr>
              <w:spacing w:after="0"/>
              <w:rPr>
                <w:sz w:val="23"/>
                <w:szCs w:val="23"/>
                <w:color w:val="auto"/>
              </w:rPr>
            </w:pPr>
          </w:p>
        </w:tc>
        <w:tc>
          <w:tcPr>
            <w:tcW w:w="200" w:type="dxa"/>
            <w:vAlign w:val="bottom"/>
            <w:tcBorders>
              <w:top w:val="single" w:sz="8" w:color="CCEEFF"/>
            </w:tcBorders>
          </w:tcPr>
          <w:p>
            <w:pPr>
              <w:spacing w:after="0"/>
              <w:rPr>
                <w:sz w:val="23"/>
                <w:szCs w:val="23"/>
                <w:color w:val="auto"/>
              </w:rPr>
            </w:pPr>
          </w:p>
        </w:tc>
        <w:tc>
          <w:tcPr>
            <w:tcW w:w="200" w:type="dxa"/>
            <w:vAlign w:val="bottom"/>
            <w:tcBorders>
              <w:top w:val="single" w:sz="8" w:color="CCEEFF"/>
            </w:tcBorders>
          </w:tcPr>
          <w:p>
            <w:pPr>
              <w:spacing w:after="0"/>
              <w:rPr>
                <w:sz w:val="23"/>
                <w:szCs w:val="23"/>
                <w:color w:val="auto"/>
              </w:rPr>
            </w:pPr>
          </w:p>
        </w:tc>
        <w:tc>
          <w:tcPr>
            <w:tcW w:w="320" w:type="dxa"/>
            <w:vAlign w:val="bottom"/>
            <w:tcBorders>
              <w:top w:val="single" w:sz="8" w:color="CCEEFF"/>
            </w:tcBorders>
          </w:tcPr>
          <w:p>
            <w:pPr>
              <w:spacing w:after="0"/>
              <w:rPr>
                <w:sz w:val="23"/>
                <w:szCs w:val="23"/>
                <w:color w:val="auto"/>
              </w:rPr>
            </w:pPr>
          </w:p>
        </w:tc>
        <w:tc>
          <w:tcPr>
            <w:tcW w:w="320" w:type="dxa"/>
            <w:vAlign w:val="bottom"/>
            <w:tcBorders>
              <w:top w:val="single" w:sz="8" w:color="CCEEFF"/>
            </w:tcBorders>
          </w:tcPr>
          <w:p>
            <w:pPr>
              <w:spacing w:after="0"/>
              <w:rPr>
                <w:sz w:val="23"/>
                <w:szCs w:val="23"/>
                <w:color w:val="auto"/>
              </w:rPr>
            </w:pPr>
          </w:p>
        </w:tc>
        <w:tc>
          <w:tcPr>
            <w:tcW w:w="420" w:type="dxa"/>
            <w:vAlign w:val="bottom"/>
            <w:tcBorders>
              <w:top w:val="single" w:sz="8" w:color="CCEEFF"/>
            </w:tcBorders>
          </w:tcPr>
          <w:p>
            <w:pPr>
              <w:spacing w:after="0"/>
              <w:rPr>
                <w:sz w:val="23"/>
                <w:szCs w:val="23"/>
                <w:color w:val="auto"/>
              </w:rPr>
            </w:pPr>
          </w:p>
        </w:tc>
        <w:tc>
          <w:tcPr>
            <w:tcW w:w="260" w:type="dxa"/>
            <w:vAlign w:val="bottom"/>
            <w:tcBorders>
              <w:top w:val="single" w:sz="8" w:color="CCEEFF"/>
            </w:tcBorders>
          </w:tcPr>
          <w:p>
            <w:pPr>
              <w:spacing w:after="0"/>
              <w:rPr>
                <w:sz w:val="23"/>
                <w:szCs w:val="23"/>
                <w:color w:val="auto"/>
              </w:rPr>
            </w:pPr>
          </w:p>
        </w:tc>
        <w:tc>
          <w:tcPr>
            <w:tcW w:w="240" w:type="dxa"/>
            <w:vAlign w:val="bottom"/>
            <w:tcBorders>
              <w:top w:val="single" w:sz="8" w:color="CCEEFF"/>
            </w:tcBorders>
          </w:tcPr>
          <w:p>
            <w:pPr>
              <w:spacing w:after="0"/>
              <w:rPr>
                <w:sz w:val="23"/>
                <w:szCs w:val="23"/>
                <w:color w:val="auto"/>
              </w:rPr>
            </w:pPr>
          </w:p>
        </w:tc>
        <w:tc>
          <w:tcPr>
            <w:tcW w:w="280" w:type="dxa"/>
            <w:vAlign w:val="bottom"/>
            <w:tcBorders>
              <w:top w:val="single" w:sz="8" w:color="CCEEFF"/>
            </w:tcBorders>
          </w:tcPr>
          <w:p>
            <w:pPr>
              <w:spacing w:after="0"/>
              <w:rPr>
                <w:sz w:val="23"/>
                <w:szCs w:val="23"/>
                <w:color w:val="auto"/>
              </w:rPr>
            </w:pPr>
          </w:p>
        </w:tc>
        <w:tc>
          <w:tcPr>
            <w:tcW w:w="100" w:type="dxa"/>
            <w:vAlign w:val="bottom"/>
            <w:tcBorders>
              <w:top w:val="single" w:sz="8" w:color="CCEEFF"/>
            </w:tcBorders>
          </w:tcPr>
          <w:p>
            <w:pPr>
              <w:spacing w:after="0"/>
              <w:rPr>
                <w:sz w:val="23"/>
                <w:szCs w:val="23"/>
                <w:color w:val="auto"/>
              </w:rPr>
            </w:pPr>
          </w:p>
        </w:tc>
        <w:tc>
          <w:tcPr>
            <w:tcW w:w="360" w:type="dxa"/>
            <w:vAlign w:val="bottom"/>
            <w:tcBorders>
              <w:top w:val="single" w:sz="8" w:color="CCEEFF"/>
            </w:tcBorders>
          </w:tcPr>
          <w:p>
            <w:pPr>
              <w:spacing w:after="0"/>
              <w:rPr>
                <w:sz w:val="23"/>
                <w:szCs w:val="23"/>
                <w:color w:val="auto"/>
              </w:rPr>
            </w:pPr>
          </w:p>
        </w:tc>
        <w:tc>
          <w:tcPr>
            <w:tcW w:w="1200" w:type="dxa"/>
            <w:vAlign w:val="bottom"/>
            <w:tcBorders>
              <w:top w:val="single" w:sz="8" w:color="CCEEFF"/>
            </w:tcBorders>
          </w:tcPr>
          <w:p>
            <w:pPr>
              <w:spacing w:after="0"/>
              <w:rPr>
                <w:sz w:val="23"/>
                <w:szCs w:val="23"/>
                <w:color w:val="auto"/>
              </w:rPr>
            </w:pPr>
          </w:p>
        </w:tc>
        <w:tc>
          <w:tcPr>
            <w:tcW w:w="2640" w:type="dxa"/>
            <w:vAlign w:val="bottom"/>
            <w:tcBorders>
              <w:top w:val="single" w:sz="8" w:color="CCEEFF"/>
            </w:tcBorders>
          </w:tcPr>
          <w:p>
            <w:pPr>
              <w:spacing w:after="0"/>
              <w:rPr>
                <w:sz w:val="23"/>
                <w:szCs w:val="23"/>
                <w:color w:val="auto"/>
              </w:rPr>
            </w:pPr>
          </w:p>
        </w:tc>
        <w:tc>
          <w:tcPr>
            <w:tcW w:w="100" w:type="dxa"/>
            <w:vAlign w:val="bottom"/>
            <w:tcBorders>
              <w:top w:val="single" w:sz="8" w:color="CCEEFF"/>
            </w:tcBorders>
          </w:tcPr>
          <w:p>
            <w:pPr>
              <w:spacing w:after="0"/>
              <w:rPr>
                <w:sz w:val="23"/>
                <w:szCs w:val="23"/>
                <w:color w:val="auto"/>
              </w:rPr>
            </w:pPr>
          </w:p>
        </w:tc>
        <w:tc>
          <w:tcPr>
            <w:tcW w:w="80" w:type="dxa"/>
            <w:vAlign w:val="bottom"/>
            <w:tcBorders>
              <w:top w:val="single" w:sz="8" w:color="0000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r>
      <w:tr>
        <w:trPr>
          <w:trHeight w:val="209"/>
        </w:trPr>
        <w:tc>
          <w:tcPr>
            <w:tcW w:w="5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480" w:type="dxa"/>
            <w:vAlign w:val="bottom"/>
            <w:gridSpan w:val="18"/>
            <w:shd w:val="clear" w:color="auto" w:fill="CCEEFF"/>
          </w:tcPr>
          <w:p>
            <w:pPr>
              <w:spacing w:after="0" w:line="189" w:lineRule="exact"/>
              <w:rPr>
                <w:sz w:val="20"/>
                <w:szCs w:val="20"/>
                <w:color w:val="auto"/>
              </w:rPr>
            </w:pPr>
            <w:r>
              <w:rPr>
                <w:rFonts w:ascii="Times New Roman" w:cs="Times New Roman" w:eastAsia="Times New Roman" w:hAnsi="Times New Roman"/>
                <w:sz w:val="18"/>
                <w:szCs w:val="18"/>
                <w:b w:val="1"/>
                <w:bCs w:val="1"/>
                <w:color w:val="0000FF"/>
              </w:rPr>
              <w:t>Cautionary Note Regarding Forward-looking Statements</w:t>
            </w:r>
          </w:p>
        </w:tc>
        <w:tc>
          <w:tcPr>
            <w:tcW w:w="200" w:type="dxa"/>
            <w:vAlign w:val="bottom"/>
            <w:gridSpan w:val="3"/>
            <w:shd w:val="clear" w:color="auto" w:fill="CCEEFF"/>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FF"/>
              </w:rPr>
              <w:t>4</w:t>
            </w:r>
          </w:p>
        </w:tc>
      </w:tr>
      <w:tr>
        <w:trPr>
          <w:trHeight w:val="270"/>
        </w:trPr>
        <w:tc>
          <w:tcPr>
            <w:tcW w:w="580" w:type="dxa"/>
            <w:vAlign w:val="bottom"/>
            <w:tcBorders>
              <w:top w:val="single" w:sz="8" w:color="CCEEFF"/>
            </w:tcBorders>
          </w:tcPr>
          <w:p>
            <w:pPr>
              <w:spacing w:after="0"/>
              <w:rPr>
                <w:sz w:val="23"/>
                <w:szCs w:val="23"/>
                <w:color w:val="auto"/>
              </w:rPr>
            </w:pPr>
          </w:p>
        </w:tc>
        <w:tc>
          <w:tcPr>
            <w:tcW w:w="540" w:type="dxa"/>
            <w:vAlign w:val="bottom"/>
            <w:tcBorders>
              <w:top w:val="single" w:sz="8" w:color="CCEEFF"/>
            </w:tcBorders>
          </w:tcPr>
          <w:p>
            <w:pPr>
              <w:spacing w:after="0"/>
              <w:rPr>
                <w:sz w:val="23"/>
                <w:szCs w:val="23"/>
                <w:color w:val="auto"/>
              </w:rPr>
            </w:pPr>
          </w:p>
        </w:tc>
        <w:tc>
          <w:tcPr>
            <w:tcW w:w="440" w:type="dxa"/>
            <w:vAlign w:val="bottom"/>
            <w:tcBorders>
              <w:top w:val="single" w:sz="8" w:color="CCEEFF"/>
            </w:tcBorders>
          </w:tcPr>
          <w:p>
            <w:pPr>
              <w:spacing w:after="0"/>
              <w:rPr>
                <w:sz w:val="23"/>
                <w:szCs w:val="23"/>
                <w:color w:val="auto"/>
              </w:rPr>
            </w:pPr>
          </w:p>
        </w:tc>
        <w:tc>
          <w:tcPr>
            <w:tcW w:w="640" w:type="dxa"/>
            <w:vAlign w:val="bottom"/>
            <w:tcBorders>
              <w:top w:val="single" w:sz="8" w:color="0000FF"/>
            </w:tcBorders>
          </w:tcPr>
          <w:p>
            <w:pPr>
              <w:spacing w:after="0"/>
              <w:rPr>
                <w:sz w:val="23"/>
                <w:szCs w:val="23"/>
                <w:color w:val="auto"/>
              </w:rPr>
            </w:pPr>
          </w:p>
        </w:tc>
        <w:tc>
          <w:tcPr>
            <w:tcW w:w="860" w:type="dxa"/>
            <w:vAlign w:val="bottom"/>
            <w:tcBorders>
              <w:top w:val="single" w:sz="8" w:color="0000FF"/>
            </w:tcBorders>
          </w:tcPr>
          <w:p>
            <w:pPr>
              <w:spacing w:after="0"/>
              <w:rPr>
                <w:sz w:val="23"/>
                <w:szCs w:val="23"/>
                <w:color w:val="auto"/>
              </w:rPr>
            </w:pPr>
          </w:p>
        </w:tc>
        <w:tc>
          <w:tcPr>
            <w:tcW w:w="420" w:type="dxa"/>
            <w:vAlign w:val="bottom"/>
            <w:tcBorders>
              <w:top w:val="single" w:sz="8" w:color="0000FF"/>
            </w:tcBorders>
          </w:tcPr>
          <w:p>
            <w:pPr>
              <w:spacing w:after="0"/>
              <w:rPr>
                <w:sz w:val="23"/>
                <w:szCs w:val="23"/>
                <w:color w:val="auto"/>
              </w:rPr>
            </w:pPr>
          </w:p>
        </w:tc>
        <w:tc>
          <w:tcPr>
            <w:tcW w:w="140" w:type="dxa"/>
            <w:vAlign w:val="bottom"/>
            <w:tcBorders>
              <w:top w:val="single" w:sz="8" w:color="0000FF"/>
            </w:tcBorders>
          </w:tcPr>
          <w:p>
            <w:pPr>
              <w:spacing w:after="0"/>
              <w:rPr>
                <w:sz w:val="23"/>
                <w:szCs w:val="23"/>
                <w:color w:val="auto"/>
              </w:rPr>
            </w:pPr>
          </w:p>
        </w:tc>
        <w:tc>
          <w:tcPr>
            <w:tcW w:w="780" w:type="dxa"/>
            <w:vAlign w:val="bottom"/>
            <w:tcBorders>
              <w:top w:val="single" w:sz="8" w:color="0000FF"/>
            </w:tcBorders>
          </w:tcPr>
          <w:p>
            <w:pPr>
              <w:spacing w:after="0"/>
              <w:rPr>
                <w:sz w:val="23"/>
                <w:szCs w:val="23"/>
                <w:color w:val="auto"/>
              </w:rPr>
            </w:pPr>
          </w:p>
        </w:tc>
        <w:tc>
          <w:tcPr>
            <w:tcW w:w="100" w:type="dxa"/>
            <w:vAlign w:val="bottom"/>
            <w:tcBorders>
              <w:top w:val="single" w:sz="8" w:color="0000FF"/>
            </w:tcBorders>
          </w:tcPr>
          <w:p>
            <w:pPr>
              <w:spacing w:after="0"/>
              <w:rPr>
                <w:sz w:val="23"/>
                <w:szCs w:val="23"/>
                <w:color w:val="auto"/>
              </w:rPr>
            </w:pPr>
          </w:p>
        </w:tc>
        <w:tc>
          <w:tcPr>
            <w:tcW w:w="200" w:type="dxa"/>
            <w:vAlign w:val="bottom"/>
            <w:tcBorders>
              <w:top w:val="single" w:sz="8" w:color="0000FF"/>
            </w:tcBorders>
          </w:tcPr>
          <w:p>
            <w:pPr>
              <w:spacing w:after="0"/>
              <w:rPr>
                <w:sz w:val="23"/>
                <w:szCs w:val="23"/>
                <w:color w:val="auto"/>
              </w:rPr>
            </w:pPr>
          </w:p>
        </w:tc>
        <w:tc>
          <w:tcPr>
            <w:tcW w:w="200" w:type="dxa"/>
            <w:vAlign w:val="bottom"/>
            <w:tcBorders>
              <w:top w:val="single" w:sz="8" w:color="0000FF"/>
            </w:tcBorders>
          </w:tcPr>
          <w:p>
            <w:pPr>
              <w:spacing w:after="0"/>
              <w:rPr>
                <w:sz w:val="23"/>
                <w:szCs w:val="23"/>
                <w:color w:val="auto"/>
              </w:rPr>
            </w:pPr>
          </w:p>
        </w:tc>
        <w:tc>
          <w:tcPr>
            <w:tcW w:w="320" w:type="dxa"/>
            <w:vAlign w:val="bottom"/>
            <w:tcBorders>
              <w:top w:val="single" w:sz="8" w:color="0000FF"/>
            </w:tcBorders>
          </w:tcPr>
          <w:p>
            <w:pPr>
              <w:spacing w:after="0"/>
              <w:rPr>
                <w:sz w:val="23"/>
                <w:szCs w:val="23"/>
                <w:color w:val="auto"/>
              </w:rPr>
            </w:pPr>
          </w:p>
        </w:tc>
        <w:tc>
          <w:tcPr>
            <w:tcW w:w="320" w:type="dxa"/>
            <w:vAlign w:val="bottom"/>
            <w:tcBorders>
              <w:top w:val="single" w:sz="8" w:color="0000FF"/>
            </w:tcBorders>
          </w:tcPr>
          <w:p>
            <w:pPr>
              <w:spacing w:after="0"/>
              <w:rPr>
                <w:sz w:val="23"/>
                <w:szCs w:val="23"/>
                <w:color w:val="auto"/>
              </w:rPr>
            </w:pPr>
          </w:p>
        </w:tc>
        <w:tc>
          <w:tcPr>
            <w:tcW w:w="420" w:type="dxa"/>
            <w:vAlign w:val="bottom"/>
            <w:tcBorders>
              <w:top w:val="single" w:sz="8" w:color="0000FF"/>
            </w:tcBorders>
          </w:tcPr>
          <w:p>
            <w:pPr>
              <w:spacing w:after="0"/>
              <w:rPr>
                <w:sz w:val="23"/>
                <w:szCs w:val="23"/>
                <w:color w:val="auto"/>
              </w:rPr>
            </w:pPr>
          </w:p>
        </w:tc>
        <w:tc>
          <w:tcPr>
            <w:tcW w:w="260" w:type="dxa"/>
            <w:vAlign w:val="bottom"/>
            <w:tcBorders>
              <w:top w:val="single" w:sz="8" w:color="CCEEFF"/>
            </w:tcBorders>
          </w:tcPr>
          <w:p>
            <w:pPr>
              <w:spacing w:after="0"/>
              <w:rPr>
                <w:sz w:val="23"/>
                <w:szCs w:val="23"/>
                <w:color w:val="auto"/>
              </w:rPr>
            </w:pPr>
          </w:p>
        </w:tc>
        <w:tc>
          <w:tcPr>
            <w:tcW w:w="240" w:type="dxa"/>
            <w:vAlign w:val="bottom"/>
            <w:tcBorders>
              <w:top w:val="single" w:sz="8" w:color="CCEEFF"/>
            </w:tcBorders>
          </w:tcPr>
          <w:p>
            <w:pPr>
              <w:spacing w:after="0"/>
              <w:rPr>
                <w:sz w:val="23"/>
                <w:szCs w:val="23"/>
                <w:color w:val="auto"/>
              </w:rPr>
            </w:pPr>
          </w:p>
        </w:tc>
        <w:tc>
          <w:tcPr>
            <w:tcW w:w="280" w:type="dxa"/>
            <w:vAlign w:val="bottom"/>
            <w:tcBorders>
              <w:top w:val="single" w:sz="8" w:color="CCEEFF"/>
            </w:tcBorders>
          </w:tcPr>
          <w:p>
            <w:pPr>
              <w:spacing w:after="0"/>
              <w:rPr>
                <w:sz w:val="23"/>
                <w:szCs w:val="23"/>
                <w:color w:val="auto"/>
              </w:rPr>
            </w:pPr>
          </w:p>
        </w:tc>
        <w:tc>
          <w:tcPr>
            <w:tcW w:w="100" w:type="dxa"/>
            <w:vAlign w:val="bottom"/>
            <w:tcBorders>
              <w:top w:val="single" w:sz="8" w:color="CCEEFF"/>
            </w:tcBorders>
          </w:tcPr>
          <w:p>
            <w:pPr>
              <w:spacing w:after="0"/>
              <w:rPr>
                <w:sz w:val="23"/>
                <w:szCs w:val="23"/>
                <w:color w:val="auto"/>
              </w:rPr>
            </w:pPr>
          </w:p>
        </w:tc>
        <w:tc>
          <w:tcPr>
            <w:tcW w:w="360" w:type="dxa"/>
            <w:vAlign w:val="bottom"/>
            <w:tcBorders>
              <w:top w:val="single" w:sz="8" w:color="CCEEFF"/>
            </w:tcBorders>
          </w:tcPr>
          <w:p>
            <w:pPr>
              <w:spacing w:after="0"/>
              <w:rPr>
                <w:sz w:val="23"/>
                <w:szCs w:val="23"/>
                <w:color w:val="auto"/>
              </w:rPr>
            </w:pPr>
          </w:p>
        </w:tc>
        <w:tc>
          <w:tcPr>
            <w:tcW w:w="1200" w:type="dxa"/>
            <w:vAlign w:val="bottom"/>
            <w:tcBorders>
              <w:top w:val="single" w:sz="8" w:color="CCEEFF"/>
            </w:tcBorders>
          </w:tcPr>
          <w:p>
            <w:pPr>
              <w:spacing w:after="0"/>
              <w:rPr>
                <w:sz w:val="23"/>
                <w:szCs w:val="23"/>
                <w:color w:val="auto"/>
              </w:rPr>
            </w:pPr>
          </w:p>
        </w:tc>
        <w:tc>
          <w:tcPr>
            <w:tcW w:w="2640" w:type="dxa"/>
            <w:vAlign w:val="bottom"/>
            <w:tcBorders>
              <w:top w:val="single" w:sz="8" w:color="CCEEFF"/>
            </w:tcBorders>
          </w:tcPr>
          <w:p>
            <w:pPr>
              <w:spacing w:after="0"/>
              <w:rPr>
                <w:sz w:val="23"/>
                <w:szCs w:val="23"/>
                <w:color w:val="auto"/>
              </w:rPr>
            </w:pPr>
          </w:p>
        </w:tc>
        <w:tc>
          <w:tcPr>
            <w:tcW w:w="100" w:type="dxa"/>
            <w:vAlign w:val="bottom"/>
            <w:tcBorders>
              <w:top w:val="single" w:sz="8" w:color="CCEEFF"/>
            </w:tcBorders>
          </w:tcPr>
          <w:p>
            <w:pPr>
              <w:spacing w:after="0"/>
              <w:rPr>
                <w:sz w:val="23"/>
                <w:szCs w:val="23"/>
                <w:color w:val="auto"/>
              </w:rPr>
            </w:pPr>
          </w:p>
        </w:tc>
        <w:tc>
          <w:tcPr>
            <w:tcW w:w="80" w:type="dxa"/>
            <w:vAlign w:val="bottom"/>
            <w:tcBorders>
              <w:top w:val="single" w:sz="8" w:color="0000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r>
      <w:tr>
        <w:trPr>
          <w:trHeight w:val="210"/>
        </w:trPr>
        <w:tc>
          <w:tcPr>
            <w:tcW w:w="5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640" w:type="dxa"/>
            <w:vAlign w:val="bottom"/>
            <w:gridSpan w:val="13"/>
            <w:shd w:val="clear" w:color="auto" w:fill="CCEEFF"/>
          </w:tcPr>
          <w:p>
            <w:pPr>
              <w:jc w:val="center"/>
              <w:ind w:right="4200"/>
              <w:spacing w:after="0" w:line="189" w:lineRule="exact"/>
              <w:rPr>
                <w:sz w:val="20"/>
                <w:szCs w:val="20"/>
                <w:color w:val="auto"/>
              </w:rPr>
            </w:pPr>
            <w:r>
              <w:rPr>
                <w:rFonts w:ascii="Times New Roman" w:cs="Times New Roman" w:eastAsia="Times New Roman" w:hAnsi="Times New Roman"/>
                <w:sz w:val="18"/>
                <w:szCs w:val="18"/>
                <w:b w:val="1"/>
                <w:bCs w:val="1"/>
                <w:color w:val="0000FF"/>
                <w:w w:val="99"/>
              </w:rPr>
              <w:t>PART I - Financial Information</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r>
      <w:tr>
        <w:trPr>
          <w:trHeight w:val="229"/>
        </w:trPr>
        <w:tc>
          <w:tcPr>
            <w:tcW w:w="1560" w:type="dxa"/>
            <w:vAlign w:val="bottom"/>
            <w:tcBorders>
              <w:top w:val="single" w:sz="8" w:color="CCEEFF"/>
            </w:tcBorders>
            <w:gridSpan w:val="3"/>
          </w:tcPr>
          <w:p>
            <w:pPr>
              <w:ind w:left="580"/>
              <w:spacing w:after="0"/>
              <w:rPr>
                <w:sz w:val="20"/>
                <w:szCs w:val="20"/>
                <w:color w:val="auto"/>
              </w:rPr>
            </w:pPr>
            <w:r>
              <w:rPr>
                <w:rFonts w:ascii="Times New Roman" w:cs="Times New Roman" w:eastAsia="Times New Roman" w:hAnsi="Times New Roman"/>
                <w:sz w:val="18"/>
                <w:szCs w:val="18"/>
                <w:b w:val="1"/>
                <w:bCs w:val="1"/>
                <w:color w:val="auto"/>
              </w:rPr>
              <w:t>Item 1.</w:t>
            </w:r>
          </w:p>
        </w:tc>
        <w:tc>
          <w:tcPr>
            <w:tcW w:w="2840" w:type="dxa"/>
            <w:vAlign w:val="bottom"/>
            <w:tcBorders>
              <w:top w:val="single" w:sz="8" w:color="CCEEFF"/>
            </w:tcBorders>
            <w:gridSpan w:val="5"/>
          </w:tcPr>
          <w:p>
            <w:pPr>
              <w:spacing w:after="0"/>
              <w:rPr>
                <w:sz w:val="20"/>
                <w:szCs w:val="20"/>
                <w:color w:val="auto"/>
              </w:rPr>
            </w:pPr>
            <w:r>
              <w:rPr>
                <w:rFonts w:ascii="Times New Roman" w:cs="Times New Roman" w:eastAsia="Times New Roman" w:hAnsi="Times New Roman"/>
                <w:sz w:val="18"/>
                <w:szCs w:val="18"/>
                <w:b w:val="1"/>
                <w:bCs w:val="1"/>
                <w:color w:val="auto"/>
              </w:rPr>
              <w:t>Financial Statements</w:t>
            </w:r>
          </w:p>
        </w:tc>
        <w:tc>
          <w:tcPr>
            <w:tcW w:w="2440" w:type="dxa"/>
            <w:vAlign w:val="bottom"/>
            <w:tcBorders>
              <w:top w:val="single" w:sz="8" w:color="0000FF"/>
            </w:tcBorders>
            <w:gridSpan w:val="10"/>
          </w:tcPr>
          <w:p>
            <w:pPr>
              <w:spacing w:after="0"/>
              <w:rPr>
                <w:sz w:val="19"/>
                <w:szCs w:val="19"/>
                <w:color w:val="auto"/>
              </w:rPr>
            </w:pPr>
          </w:p>
        </w:tc>
        <w:tc>
          <w:tcPr>
            <w:tcW w:w="4200" w:type="dxa"/>
            <w:vAlign w:val="bottom"/>
            <w:tcBorders>
              <w:top w:val="single" w:sz="8" w:color="CCEEFF"/>
            </w:tcBorders>
            <w:gridSpan w:val="3"/>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r>
      <w:tr>
        <w:trPr>
          <w:trHeight w:val="270"/>
        </w:trPr>
        <w:tc>
          <w:tcPr>
            <w:tcW w:w="580" w:type="dxa"/>
            <w:vAlign w:val="bottom"/>
            <w:shd w:val="clear" w:color="auto" w:fill="CCEEFF"/>
          </w:tcPr>
          <w:p>
            <w:pPr>
              <w:spacing w:after="0"/>
              <w:rPr>
                <w:sz w:val="23"/>
                <w:szCs w:val="23"/>
                <w:color w:val="auto"/>
              </w:rPr>
            </w:pPr>
          </w:p>
        </w:tc>
        <w:tc>
          <w:tcPr>
            <w:tcW w:w="54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640" w:type="dxa"/>
            <w:vAlign w:val="bottom"/>
            <w:shd w:val="clear" w:color="auto" w:fill="CCEEFF"/>
          </w:tcPr>
          <w:p>
            <w:pPr>
              <w:spacing w:after="0"/>
              <w:rPr>
                <w:sz w:val="23"/>
                <w:szCs w:val="23"/>
                <w:color w:val="auto"/>
              </w:rPr>
            </w:pPr>
          </w:p>
        </w:tc>
        <w:tc>
          <w:tcPr>
            <w:tcW w:w="86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c>
          <w:tcPr>
            <w:tcW w:w="26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r>
      <w:tr>
        <w:trPr>
          <w:trHeight w:val="189"/>
        </w:trPr>
        <w:tc>
          <w:tcPr>
            <w:tcW w:w="5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9480" w:type="dxa"/>
            <w:vAlign w:val="bottom"/>
            <w:gridSpan w:val="18"/>
          </w:tcPr>
          <w:p>
            <w:pPr>
              <w:spacing w:after="0" w:line="189" w:lineRule="exact"/>
              <w:rPr>
                <w:sz w:val="20"/>
                <w:szCs w:val="20"/>
                <w:color w:val="auto"/>
              </w:rPr>
            </w:pPr>
            <w:r>
              <w:rPr>
                <w:rFonts w:ascii="Times New Roman" w:cs="Times New Roman" w:eastAsia="Times New Roman" w:hAnsi="Times New Roman"/>
                <w:sz w:val="18"/>
                <w:szCs w:val="18"/>
                <w:b w:val="1"/>
                <w:bCs w:val="1"/>
                <w:color w:val="0000FF"/>
              </w:rPr>
              <w:t>Consolidated Balance Sheets (unaudited)</w:t>
            </w:r>
          </w:p>
        </w:tc>
        <w:tc>
          <w:tcPr>
            <w:tcW w:w="200" w:type="dxa"/>
            <w:vAlign w:val="bottom"/>
            <w:gridSpan w:val="3"/>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FF"/>
              </w:rPr>
              <w:t>5</w:t>
            </w:r>
          </w:p>
        </w:tc>
      </w:tr>
      <w:tr>
        <w:trPr>
          <w:trHeight w:val="20"/>
        </w:trPr>
        <w:tc>
          <w:tcPr>
            <w:tcW w:w="5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40" w:type="dxa"/>
            <w:vAlign w:val="bottom"/>
            <w:tcBorders>
              <w:top w:val="single" w:sz="8" w:color="0000FF"/>
            </w:tcBorders>
          </w:tcPr>
          <w:p>
            <w:pPr>
              <w:spacing w:after="0" w:line="20" w:lineRule="exact"/>
              <w:rPr>
                <w:sz w:val="1"/>
                <w:szCs w:val="1"/>
                <w:color w:val="auto"/>
              </w:rPr>
            </w:pPr>
          </w:p>
        </w:tc>
        <w:tc>
          <w:tcPr>
            <w:tcW w:w="86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78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0"/>
        </w:trPr>
        <w:tc>
          <w:tcPr>
            <w:tcW w:w="58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2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r>
      <w:tr>
        <w:trPr>
          <w:trHeight w:val="189"/>
        </w:trPr>
        <w:tc>
          <w:tcPr>
            <w:tcW w:w="5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9480" w:type="dxa"/>
            <w:vAlign w:val="bottom"/>
            <w:gridSpan w:val="18"/>
          </w:tcPr>
          <w:p>
            <w:pPr>
              <w:spacing w:after="0" w:line="189" w:lineRule="exact"/>
              <w:rPr>
                <w:sz w:val="20"/>
                <w:szCs w:val="20"/>
                <w:color w:val="auto"/>
              </w:rPr>
            </w:pPr>
            <w:r>
              <w:rPr>
                <w:rFonts w:ascii="Times New Roman" w:cs="Times New Roman" w:eastAsia="Times New Roman" w:hAnsi="Times New Roman"/>
                <w:sz w:val="18"/>
                <w:szCs w:val="18"/>
                <w:b w:val="1"/>
                <w:bCs w:val="1"/>
                <w:color w:val="0000FF"/>
              </w:rPr>
              <w:t>Consolidated Statements of Income (unaudited)</w:t>
            </w:r>
          </w:p>
        </w:tc>
        <w:tc>
          <w:tcPr>
            <w:tcW w:w="200" w:type="dxa"/>
            <w:vAlign w:val="bottom"/>
            <w:gridSpan w:val="3"/>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FF"/>
              </w:rPr>
              <w:t>6</w:t>
            </w:r>
          </w:p>
        </w:tc>
      </w:tr>
      <w:tr>
        <w:trPr>
          <w:trHeight w:val="21"/>
        </w:trPr>
        <w:tc>
          <w:tcPr>
            <w:tcW w:w="5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40" w:type="dxa"/>
            <w:vAlign w:val="bottom"/>
            <w:tcBorders>
              <w:top w:val="single" w:sz="8" w:color="0000FF"/>
            </w:tcBorders>
          </w:tcPr>
          <w:p>
            <w:pPr>
              <w:spacing w:after="0" w:line="20" w:lineRule="exact"/>
              <w:rPr>
                <w:sz w:val="1"/>
                <w:szCs w:val="1"/>
                <w:color w:val="auto"/>
              </w:rPr>
            </w:pPr>
          </w:p>
        </w:tc>
        <w:tc>
          <w:tcPr>
            <w:tcW w:w="86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78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0"/>
        </w:trPr>
        <w:tc>
          <w:tcPr>
            <w:tcW w:w="58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2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r>
      <w:tr>
        <w:trPr>
          <w:trHeight w:val="189"/>
        </w:trPr>
        <w:tc>
          <w:tcPr>
            <w:tcW w:w="5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9480" w:type="dxa"/>
            <w:vAlign w:val="bottom"/>
            <w:gridSpan w:val="18"/>
          </w:tcPr>
          <w:p>
            <w:pPr>
              <w:spacing w:after="0" w:line="189" w:lineRule="exact"/>
              <w:rPr>
                <w:sz w:val="20"/>
                <w:szCs w:val="20"/>
                <w:color w:val="auto"/>
              </w:rPr>
            </w:pPr>
            <w:r>
              <w:rPr>
                <w:rFonts w:ascii="Times New Roman" w:cs="Times New Roman" w:eastAsia="Times New Roman" w:hAnsi="Times New Roman"/>
                <w:sz w:val="18"/>
                <w:szCs w:val="18"/>
                <w:b w:val="1"/>
                <w:bCs w:val="1"/>
                <w:color w:val="0000FF"/>
              </w:rPr>
              <w:t>Consolidated Statements of Comprehensive Income (unaudited)</w:t>
            </w:r>
          </w:p>
        </w:tc>
        <w:tc>
          <w:tcPr>
            <w:tcW w:w="200" w:type="dxa"/>
            <w:vAlign w:val="bottom"/>
            <w:gridSpan w:val="3"/>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FF"/>
              </w:rPr>
              <w:t>7</w:t>
            </w:r>
          </w:p>
        </w:tc>
      </w:tr>
      <w:tr>
        <w:trPr>
          <w:trHeight w:val="21"/>
        </w:trPr>
        <w:tc>
          <w:tcPr>
            <w:tcW w:w="5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40" w:type="dxa"/>
            <w:vAlign w:val="bottom"/>
            <w:tcBorders>
              <w:top w:val="single" w:sz="8" w:color="0000FF"/>
            </w:tcBorders>
          </w:tcPr>
          <w:p>
            <w:pPr>
              <w:spacing w:after="0" w:line="20" w:lineRule="exact"/>
              <w:rPr>
                <w:sz w:val="1"/>
                <w:szCs w:val="1"/>
                <w:color w:val="auto"/>
              </w:rPr>
            </w:pPr>
          </w:p>
        </w:tc>
        <w:tc>
          <w:tcPr>
            <w:tcW w:w="86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78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70"/>
        </w:trPr>
        <w:tc>
          <w:tcPr>
            <w:tcW w:w="580" w:type="dxa"/>
            <w:vAlign w:val="bottom"/>
            <w:shd w:val="clear" w:color="auto" w:fill="CCEEFF"/>
          </w:tcPr>
          <w:p>
            <w:pPr>
              <w:spacing w:after="0"/>
              <w:rPr>
                <w:sz w:val="23"/>
                <w:szCs w:val="23"/>
                <w:color w:val="auto"/>
              </w:rPr>
            </w:pPr>
          </w:p>
        </w:tc>
        <w:tc>
          <w:tcPr>
            <w:tcW w:w="54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640" w:type="dxa"/>
            <w:vAlign w:val="bottom"/>
            <w:shd w:val="clear" w:color="auto" w:fill="CCEEFF"/>
          </w:tcPr>
          <w:p>
            <w:pPr>
              <w:spacing w:after="0"/>
              <w:rPr>
                <w:sz w:val="23"/>
                <w:szCs w:val="23"/>
                <w:color w:val="auto"/>
              </w:rPr>
            </w:pPr>
          </w:p>
        </w:tc>
        <w:tc>
          <w:tcPr>
            <w:tcW w:w="86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c>
          <w:tcPr>
            <w:tcW w:w="26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r>
      <w:tr>
        <w:trPr>
          <w:trHeight w:val="189"/>
        </w:trPr>
        <w:tc>
          <w:tcPr>
            <w:tcW w:w="5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9480" w:type="dxa"/>
            <w:vAlign w:val="bottom"/>
            <w:gridSpan w:val="18"/>
          </w:tcPr>
          <w:p>
            <w:pPr>
              <w:spacing w:after="0" w:line="189" w:lineRule="exact"/>
              <w:rPr>
                <w:sz w:val="20"/>
                <w:szCs w:val="20"/>
                <w:color w:val="auto"/>
              </w:rPr>
            </w:pPr>
            <w:r>
              <w:rPr>
                <w:rFonts w:ascii="Times New Roman" w:cs="Times New Roman" w:eastAsia="Times New Roman" w:hAnsi="Times New Roman"/>
                <w:sz w:val="18"/>
                <w:szCs w:val="18"/>
                <w:b w:val="1"/>
                <w:bCs w:val="1"/>
                <w:color w:val="0000FF"/>
              </w:rPr>
              <w:t>Consolidated Statements of Changes in Shareholders’ Equity (unaudited)</w:t>
            </w:r>
          </w:p>
        </w:tc>
        <w:tc>
          <w:tcPr>
            <w:tcW w:w="200" w:type="dxa"/>
            <w:vAlign w:val="bottom"/>
            <w:gridSpan w:val="3"/>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FF"/>
              </w:rPr>
              <w:t>8</w:t>
            </w:r>
          </w:p>
        </w:tc>
      </w:tr>
      <w:tr>
        <w:trPr>
          <w:trHeight w:val="20"/>
        </w:trPr>
        <w:tc>
          <w:tcPr>
            <w:tcW w:w="5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40" w:type="dxa"/>
            <w:vAlign w:val="bottom"/>
            <w:tcBorders>
              <w:top w:val="single" w:sz="8" w:color="0000FF"/>
            </w:tcBorders>
          </w:tcPr>
          <w:p>
            <w:pPr>
              <w:spacing w:after="0" w:line="20" w:lineRule="exact"/>
              <w:rPr>
                <w:sz w:val="1"/>
                <w:szCs w:val="1"/>
                <w:color w:val="auto"/>
              </w:rPr>
            </w:pPr>
          </w:p>
        </w:tc>
        <w:tc>
          <w:tcPr>
            <w:tcW w:w="86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78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360" w:type="dxa"/>
            <w:vAlign w:val="bottom"/>
            <w:tcBorders>
              <w:top w:val="single" w:sz="8" w:color="0000FF"/>
            </w:tcBorders>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0"/>
        </w:trPr>
        <w:tc>
          <w:tcPr>
            <w:tcW w:w="58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2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r>
      <w:tr>
        <w:trPr>
          <w:trHeight w:val="189"/>
        </w:trPr>
        <w:tc>
          <w:tcPr>
            <w:tcW w:w="5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9480" w:type="dxa"/>
            <w:vAlign w:val="bottom"/>
            <w:gridSpan w:val="18"/>
          </w:tcPr>
          <w:p>
            <w:pPr>
              <w:spacing w:after="0" w:line="189" w:lineRule="exact"/>
              <w:rPr>
                <w:sz w:val="20"/>
                <w:szCs w:val="20"/>
                <w:color w:val="auto"/>
              </w:rPr>
            </w:pPr>
            <w:r>
              <w:rPr>
                <w:rFonts w:ascii="Times New Roman" w:cs="Times New Roman" w:eastAsia="Times New Roman" w:hAnsi="Times New Roman"/>
                <w:sz w:val="18"/>
                <w:szCs w:val="18"/>
                <w:b w:val="1"/>
                <w:bCs w:val="1"/>
                <w:color w:val="0000FF"/>
              </w:rPr>
              <w:t>Consolidated Statements of Cash Flows (unaudited)</w:t>
            </w:r>
          </w:p>
        </w:tc>
        <w:tc>
          <w:tcPr>
            <w:tcW w:w="200" w:type="dxa"/>
            <w:vAlign w:val="bottom"/>
            <w:gridSpan w:val="3"/>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FF"/>
              </w:rPr>
              <w:t>9</w:t>
            </w:r>
          </w:p>
        </w:tc>
      </w:tr>
      <w:tr>
        <w:trPr>
          <w:trHeight w:val="21"/>
        </w:trPr>
        <w:tc>
          <w:tcPr>
            <w:tcW w:w="5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40" w:type="dxa"/>
            <w:vAlign w:val="bottom"/>
            <w:tcBorders>
              <w:top w:val="single" w:sz="8" w:color="0000FF"/>
            </w:tcBorders>
          </w:tcPr>
          <w:p>
            <w:pPr>
              <w:spacing w:after="0" w:line="20" w:lineRule="exact"/>
              <w:rPr>
                <w:sz w:val="1"/>
                <w:szCs w:val="1"/>
                <w:color w:val="auto"/>
              </w:rPr>
            </w:pPr>
          </w:p>
        </w:tc>
        <w:tc>
          <w:tcPr>
            <w:tcW w:w="86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78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9"/>
        </w:trPr>
        <w:tc>
          <w:tcPr>
            <w:tcW w:w="58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2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r>
      <w:tr>
        <w:trPr>
          <w:trHeight w:val="189"/>
        </w:trPr>
        <w:tc>
          <w:tcPr>
            <w:tcW w:w="5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9480" w:type="dxa"/>
            <w:vAlign w:val="bottom"/>
            <w:gridSpan w:val="18"/>
          </w:tcPr>
          <w:p>
            <w:pPr>
              <w:spacing w:after="0" w:line="189" w:lineRule="exact"/>
              <w:rPr>
                <w:sz w:val="20"/>
                <w:szCs w:val="20"/>
                <w:color w:val="auto"/>
              </w:rPr>
            </w:pPr>
            <w:r>
              <w:rPr>
                <w:rFonts w:ascii="Times New Roman" w:cs="Times New Roman" w:eastAsia="Times New Roman" w:hAnsi="Times New Roman"/>
                <w:sz w:val="18"/>
                <w:szCs w:val="18"/>
                <w:b w:val="1"/>
                <w:bCs w:val="1"/>
                <w:color w:val="0000FF"/>
              </w:rPr>
              <w:t>Notes to Consolidated Financial Statements</w:t>
            </w:r>
          </w:p>
        </w:tc>
        <w:tc>
          <w:tcPr>
            <w:tcW w:w="180" w:type="dxa"/>
            <w:vAlign w:val="bottom"/>
            <w:gridSpan w:val="2"/>
          </w:tcPr>
          <w:p>
            <w:pPr>
              <w:jc w:val="right"/>
              <w:spacing w:after="0" w:line="189" w:lineRule="exact"/>
              <w:rPr>
                <w:sz w:val="20"/>
                <w:szCs w:val="20"/>
                <w:color w:val="auto"/>
              </w:rPr>
            </w:pPr>
            <w:r>
              <w:rPr>
                <w:rFonts w:ascii="Times New Roman" w:cs="Times New Roman" w:eastAsia="Times New Roman" w:hAnsi="Times New Roman"/>
                <w:sz w:val="18"/>
                <w:szCs w:val="18"/>
                <w:color w:val="0000FF"/>
                <w:w w:val="88"/>
              </w:rPr>
              <w:t>10</w:t>
            </w:r>
          </w:p>
        </w:tc>
        <w:tc>
          <w:tcPr>
            <w:tcW w:w="20" w:type="dxa"/>
            <w:vAlign w:val="bottom"/>
          </w:tcPr>
          <w:p>
            <w:pPr>
              <w:spacing w:after="0"/>
              <w:rPr>
                <w:sz w:val="16"/>
                <w:szCs w:val="16"/>
                <w:color w:val="auto"/>
              </w:rPr>
            </w:pPr>
          </w:p>
        </w:tc>
      </w:tr>
      <w:tr>
        <w:trPr>
          <w:trHeight w:val="21"/>
        </w:trPr>
        <w:tc>
          <w:tcPr>
            <w:tcW w:w="5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40" w:type="dxa"/>
            <w:vAlign w:val="bottom"/>
            <w:tcBorders>
              <w:top w:val="single" w:sz="8" w:color="0000FF"/>
            </w:tcBorders>
          </w:tcPr>
          <w:p>
            <w:pPr>
              <w:spacing w:after="0" w:line="20" w:lineRule="exact"/>
              <w:rPr>
                <w:sz w:val="1"/>
                <w:szCs w:val="1"/>
                <w:color w:val="auto"/>
              </w:rPr>
            </w:pPr>
          </w:p>
        </w:tc>
        <w:tc>
          <w:tcPr>
            <w:tcW w:w="86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78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9"/>
        </w:trPr>
        <w:tc>
          <w:tcPr>
            <w:tcW w:w="58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2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r>
      <w:tr>
        <w:trPr>
          <w:trHeight w:val="189"/>
        </w:trPr>
        <w:tc>
          <w:tcPr>
            <w:tcW w:w="1560" w:type="dxa"/>
            <w:vAlign w:val="bottom"/>
            <w:gridSpan w:val="3"/>
          </w:tcPr>
          <w:p>
            <w:pPr>
              <w:ind w:left="580"/>
              <w:spacing w:after="0" w:line="189" w:lineRule="exact"/>
              <w:rPr>
                <w:sz w:val="20"/>
                <w:szCs w:val="20"/>
                <w:color w:val="auto"/>
              </w:rPr>
            </w:pPr>
            <w:r>
              <w:rPr>
                <w:rFonts w:ascii="Times New Roman" w:cs="Times New Roman" w:eastAsia="Times New Roman" w:hAnsi="Times New Roman"/>
                <w:sz w:val="18"/>
                <w:szCs w:val="18"/>
                <w:b w:val="1"/>
                <w:bCs w:val="1"/>
                <w:color w:val="0000FF"/>
              </w:rPr>
              <w:t>Item 2.</w:t>
            </w:r>
          </w:p>
        </w:tc>
        <w:tc>
          <w:tcPr>
            <w:tcW w:w="9480" w:type="dxa"/>
            <w:vAlign w:val="bottom"/>
            <w:gridSpan w:val="18"/>
          </w:tcPr>
          <w:p>
            <w:pPr>
              <w:spacing w:after="0" w:line="189" w:lineRule="exact"/>
              <w:rPr>
                <w:sz w:val="20"/>
                <w:szCs w:val="20"/>
                <w:color w:val="auto"/>
              </w:rPr>
            </w:pPr>
            <w:r>
              <w:rPr>
                <w:rFonts w:ascii="Times New Roman" w:cs="Times New Roman" w:eastAsia="Times New Roman" w:hAnsi="Times New Roman"/>
                <w:sz w:val="18"/>
                <w:szCs w:val="18"/>
                <w:b w:val="1"/>
                <w:bCs w:val="1"/>
                <w:color w:val="0000FF"/>
              </w:rPr>
              <w:t>Management’s Discussion and Analysis of Financial Condition and Results of Operations</w:t>
            </w:r>
          </w:p>
        </w:tc>
        <w:tc>
          <w:tcPr>
            <w:tcW w:w="180" w:type="dxa"/>
            <w:vAlign w:val="bottom"/>
            <w:gridSpan w:val="2"/>
          </w:tcPr>
          <w:p>
            <w:pPr>
              <w:jc w:val="right"/>
              <w:spacing w:after="0" w:line="189" w:lineRule="exact"/>
              <w:rPr>
                <w:sz w:val="20"/>
                <w:szCs w:val="20"/>
                <w:color w:val="auto"/>
              </w:rPr>
            </w:pPr>
            <w:r>
              <w:rPr>
                <w:rFonts w:ascii="Times New Roman" w:cs="Times New Roman" w:eastAsia="Times New Roman" w:hAnsi="Times New Roman"/>
                <w:sz w:val="18"/>
                <w:szCs w:val="18"/>
                <w:color w:val="0000FF"/>
                <w:w w:val="88"/>
              </w:rPr>
              <w:t>35</w:t>
            </w:r>
          </w:p>
        </w:tc>
        <w:tc>
          <w:tcPr>
            <w:tcW w:w="20" w:type="dxa"/>
            <w:vAlign w:val="bottom"/>
          </w:tcPr>
          <w:p>
            <w:pPr>
              <w:spacing w:after="0"/>
              <w:rPr>
                <w:sz w:val="16"/>
                <w:szCs w:val="16"/>
                <w:color w:val="auto"/>
              </w:rPr>
            </w:pPr>
          </w:p>
        </w:tc>
      </w:tr>
      <w:tr>
        <w:trPr>
          <w:trHeight w:val="21"/>
        </w:trPr>
        <w:tc>
          <w:tcPr>
            <w:tcW w:w="580" w:type="dxa"/>
            <w:vAlign w:val="bottom"/>
          </w:tcPr>
          <w:p>
            <w:pPr>
              <w:spacing w:after="0" w:line="20" w:lineRule="exact"/>
              <w:rPr>
                <w:sz w:val="1"/>
                <w:szCs w:val="1"/>
                <w:color w:val="auto"/>
              </w:rPr>
            </w:pPr>
          </w:p>
        </w:tc>
        <w:tc>
          <w:tcPr>
            <w:tcW w:w="540" w:type="dxa"/>
            <w:vAlign w:val="bottom"/>
            <w:tcBorders>
              <w:top w:val="single" w:sz="8" w:color="0000FF"/>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40" w:type="dxa"/>
            <w:vAlign w:val="bottom"/>
            <w:tcBorders>
              <w:top w:val="single" w:sz="8" w:color="0000FF"/>
            </w:tcBorders>
          </w:tcPr>
          <w:p>
            <w:pPr>
              <w:spacing w:after="0" w:line="20" w:lineRule="exact"/>
              <w:rPr>
                <w:sz w:val="1"/>
                <w:szCs w:val="1"/>
                <w:color w:val="auto"/>
              </w:rPr>
            </w:pPr>
          </w:p>
        </w:tc>
        <w:tc>
          <w:tcPr>
            <w:tcW w:w="86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78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360" w:type="dxa"/>
            <w:vAlign w:val="bottom"/>
            <w:tcBorders>
              <w:top w:val="single" w:sz="8" w:color="0000FF"/>
            </w:tcBorders>
          </w:tcPr>
          <w:p>
            <w:pPr>
              <w:spacing w:after="0" w:line="20" w:lineRule="exact"/>
              <w:rPr>
                <w:sz w:val="1"/>
                <w:szCs w:val="1"/>
                <w:color w:val="auto"/>
              </w:rPr>
            </w:pPr>
          </w:p>
        </w:tc>
        <w:tc>
          <w:tcPr>
            <w:tcW w:w="1200" w:type="dxa"/>
            <w:vAlign w:val="bottom"/>
            <w:tcBorders>
              <w:top w:val="single" w:sz="8" w:color="0000FF"/>
            </w:tcBorders>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9"/>
        </w:trPr>
        <w:tc>
          <w:tcPr>
            <w:tcW w:w="58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2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r>
      <w:tr>
        <w:trPr>
          <w:trHeight w:val="189"/>
        </w:trPr>
        <w:tc>
          <w:tcPr>
            <w:tcW w:w="1560" w:type="dxa"/>
            <w:vAlign w:val="bottom"/>
            <w:gridSpan w:val="3"/>
          </w:tcPr>
          <w:p>
            <w:pPr>
              <w:ind w:left="580"/>
              <w:spacing w:after="0" w:line="189" w:lineRule="exact"/>
              <w:rPr>
                <w:sz w:val="20"/>
                <w:szCs w:val="20"/>
                <w:color w:val="auto"/>
              </w:rPr>
            </w:pPr>
            <w:r>
              <w:rPr>
                <w:rFonts w:ascii="Times New Roman" w:cs="Times New Roman" w:eastAsia="Times New Roman" w:hAnsi="Times New Roman"/>
                <w:sz w:val="18"/>
                <w:szCs w:val="18"/>
                <w:b w:val="1"/>
                <w:bCs w:val="1"/>
                <w:color w:val="0000FF"/>
              </w:rPr>
              <w:t>Item 3.</w:t>
            </w:r>
          </w:p>
        </w:tc>
        <w:tc>
          <w:tcPr>
            <w:tcW w:w="9480" w:type="dxa"/>
            <w:vAlign w:val="bottom"/>
            <w:gridSpan w:val="18"/>
          </w:tcPr>
          <w:p>
            <w:pPr>
              <w:spacing w:after="0" w:line="189" w:lineRule="exact"/>
              <w:rPr>
                <w:sz w:val="20"/>
                <w:szCs w:val="20"/>
                <w:color w:val="auto"/>
              </w:rPr>
            </w:pPr>
            <w:r>
              <w:rPr>
                <w:rFonts w:ascii="Times New Roman" w:cs="Times New Roman" w:eastAsia="Times New Roman" w:hAnsi="Times New Roman"/>
                <w:sz w:val="18"/>
                <w:szCs w:val="18"/>
                <w:b w:val="1"/>
                <w:bCs w:val="1"/>
                <w:color w:val="0000FF"/>
              </w:rPr>
              <w:t>Quantitative and Qualitative Disclosures About Market Risk</w:t>
            </w:r>
          </w:p>
        </w:tc>
        <w:tc>
          <w:tcPr>
            <w:tcW w:w="180" w:type="dxa"/>
            <w:vAlign w:val="bottom"/>
            <w:gridSpan w:val="2"/>
          </w:tcPr>
          <w:p>
            <w:pPr>
              <w:jc w:val="right"/>
              <w:spacing w:after="0" w:line="189" w:lineRule="exact"/>
              <w:rPr>
                <w:sz w:val="20"/>
                <w:szCs w:val="20"/>
                <w:color w:val="auto"/>
              </w:rPr>
            </w:pPr>
            <w:r>
              <w:rPr>
                <w:rFonts w:ascii="Times New Roman" w:cs="Times New Roman" w:eastAsia="Times New Roman" w:hAnsi="Times New Roman"/>
                <w:sz w:val="18"/>
                <w:szCs w:val="18"/>
                <w:color w:val="0000FF"/>
                <w:w w:val="88"/>
              </w:rPr>
              <w:t>51</w:t>
            </w:r>
          </w:p>
        </w:tc>
        <w:tc>
          <w:tcPr>
            <w:tcW w:w="20" w:type="dxa"/>
            <w:vAlign w:val="bottom"/>
          </w:tcPr>
          <w:p>
            <w:pPr>
              <w:spacing w:after="0"/>
              <w:rPr>
                <w:sz w:val="16"/>
                <w:szCs w:val="16"/>
                <w:color w:val="auto"/>
              </w:rPr>
            </w:pPr>
          </w:p>
        </w:tc>
      </w:tr>
      <w:tr>
        <w:trPr>
          <w:trHeight w:val="20"/>
        </w:trPr>
        <w:tc>
          <w:tcPr>
            <w:tcW w:w="580" w:type="dxa"/>
            <w:vAlign w:val="bottom"/>
          </w:tcPr>
          <w:p>
            <w:pPr>
              <w:spacing w:after="0" w:line="20" w:lineRule="exact"/>
              <w:rPr>
                <w:sz w:val="1"/>
                <w:szCs w:val="1"/>
                <w:color w:val="auto"/>
              </w:rPr>
            </w:pPr>
          </w:p>
        </w:tc>
        <w:tc>
          <w:tcPr>
            <w:tcW w:w="540" w:type="dxa"/>
            <w:vAlign w:val="bottom"/>
            <w:tcBorders>
              <w:top w:val="single" w:sz="8" w:color="0000FF"/>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40" w:type="dxa"/>
            <w:vAlign w:val="bottom"/>
            <w:tcBorders>
              <w:top w:val="single" w:sz="8" w:color="0000FF"/>
            </w:tcBorders>
          </w:tcPr>
          <w:p>
            <w:pPr>
              <w:spacing w:after="0" w:line="20" w:lineRule="exact"/>
              <w:rPr>
                <w:sz w:val="1"/>
                <w:szCs w:val="1"/>
                <w:color w:val="auto"/>
              </w:rPr>
            </w:pPr>
          </w:p>
        </w:tc>
        <w:tc>
          <w:tcPr>
            <w:tcW w:w="86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78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9"/>
        </w:trPr>
        <w:tc>
          <w:tcPr>
            <w:tcW w:w="58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2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r>
      <w:tr>
        <w:trPr>
          <w:trHeight w:val="189"/>
        </w:trPr>
        <w:tc>
          <w:tcPr>
            <w:tcW w:w="1560" w:type="dxa"/>
            <w:vAlign w:val="bottom"/>
            <w:gridSpan w:val="3"/>
          </w:tcPr>
          <w:p>
            <w:pPr>
              <w:ind w:left="580"/>
              <w:spacing w:after="0" w:line="189" w:lineRule="exact"/>
              <w:rPr>
                <w:sz w:val="20"/>
                <w:szCs w:val="20"/>
                <w:color w:val="auto"/>
              </w:rPr>
            </w:pPr>
            <w:r>
              <w:rPr>
                <w:rFonts w:ascii="Times New Roman" w:cs="Times New Roman" w:eastAsia="Times New Roman" w:hAnsi="Times New Roman"/>
                <w:sz w:val="18"/>
                <w:szCs w:val="18"/>
                <w:b w:val="1"/>
                <w:bCs w:val="1"/>
                <w:color w:val="0000FF"/>
              </w:rPr>
              <w:t>Item 4.</w:t>
            </w:r>
          </w:p>
        </w:tc>
        <w:tc>
          <w:tcPr>
            <w:tcW w:w="9480" w:type="dxa"/>
            <w:vAlign w:val="bottom"/>
            <w:gridSpan w:val="18"/>
          </w:tcPr>
          <w:p>
            <w:pPr>
              <w:spacing w:after="0" w:line="189" w:lineRule="exact"/>
              <w:rPr>
                <w:sz w:val="20"/>
                <w:szCs w:val="20"/>
                <w:color w:val="auto"/>
              </w:rPr>
            </w:pPr>
            <w:r>
              <w:rPr>
                <w:rFonts w:ascii="Times New Roman" w:cs="Times New Roman" w:eastAsia="Times New Roman" w:hAnsi="Times New Roman"/>
                <w:sz w:val="18"/>
                <w:szCs w:val="18"/>
                <w:b w:val="1"/>
                <w:bCs w:val="1"/>
                <w:color w:val="0000FF"/>
              </w:rPr>
              <w:t>Controls and Procedures</w:t>
            </w:r>
          </w:p>
        </w:tc>
        <w:tc>
          <w:tcPr>
            <w:tcW w:w="180" w:type="dxa"/>
            <w:vAlign w:val="bottom"/>
            <w:gridSpan w:val="2"/>
          </w:tcPr>
          <w:p>
            <w:pPr>
              <w:jc w:val="right"/>
              <w:spacing w:after="0" w:line="189" w:lineRule="exact"/>
              <w:rPr>
                <w:sz w:val="20"/>
                <w:szCs w:val="20"/>
                <w:color w:val="auto"/>
              </w:rPr>
            </w:pPr>
            <w:r>
              <w:rPr>
                <w:rFonts w:ascii="Times New Roman" w:cs="Times New Roman" w:eastAsia="Times New Roman" w:hAnsi="Times New Roman"/>
                <w:sz w:val="18"/>
                <w:szCs w:val="18"/>
                <w:color w:val="0000FF"/>
                <w:w w:val="88"/>
              </w:rPr>
              <w:t>51</w:t>
            </w:r>
          </w:p>
        </w:tc>
        <w:tc>
          <w:tcPr>
            <w:tcW w:w="20" w:type="dxa"/>
            <w:vAlign w:val="bottom"/>
          </w:tcPr>
          <w:p>
            <w:pPr>
              <w:spacing w:after="0"/>
              <w:rPr>
                <w:sz w:val="16"/>
                <w:szCs w:val="16"/>
                <w:color w:val="auto"/>
              </w:rPr>
            </w:pPr>
          </w:p>
        </w:tc>
      </w:tr>
      <w:tr>
        <w:trPr>
          <w:trHeight w:val="20"/>
        </w:trPr>
        <w:tc>
          <w:tcPr>
            <w:tcW w:w="580" w:type="dxa"/>
            <w:vAlign w:val="bottom"/>
          </w:tcPr>
          <w:p>
            <w:pPr>
              <w:spacing w:after="0" w:line="20" w:lineRule="exact"/>
              <w:rPr>
                <w:sz w:val="1"/>
                <w:szCs w:val="1"/>
                <w:color w:val="auto"/>
              </w:rPr>
            </w:pPr>
          </w:p>
        </w:tc>
        <w:tc>
          <w:tcPr>
            <w:tcW w:w="540" w:type="dxa"/>
            <w:vAlign w:val="bottom"/>
            <w:tcBorders>
              <w:top w:val="single" w:sz="8" w:color="0000FF"/>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40" w:type="dxa"/>
            <w:vAlign w:val="bottom"/>
            <w:tcBorders>
              <w:top w:val="single" w:sz="8" w:color="0000FF"/>
            </w:tcBorders>
          </w:tcPr>
          <w:p>
            <w:pPr>
              <w:spacing w:after="0" w:line="20" w:lineRule="exact"/>
              <w:rPr>
                <w:sz w:val="1"/>
                <w:szCs w:val="1"/>
                <w:color w:val="auto"/>
              </w:rPr>
            </w:pPr>
          </w:p>
        </w:tc>
        <w:tc>
          <w:tcPr>
            <w:tcW w:w="86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0"/>
        </w:trPr>
        <w:tc>
          <w:tcPr>
            <w:tcW w:w="58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2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r>
      <w:tr>
        <w:trPr>
          <w:trHeight w:val="189"/>
        </w:trPr>
        <w:tc>
          <w:tcPr>
            <w:tcW w:w="5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6640" w:type="dxa"/>
            <w:vAlign w:val="bottom"/>
            <w:gridSpan w:val="13"/>
          </w:tcPr>
          <w:p>
            <w:pPr>
              <w:jc w:val="center"/>
              <w:ind w:right="4200"/>
              <w:spacing w:after="0" w:line="189" w:lineRule="exact"/>
              <w:rPr>
                <w:sz w:val="20"/>
                <w:szCs w:val="20"/>
                <w:color w:val="auto"/>
              </w:rPr>
            </w:pPr>
            <w:r>
              <w:rPr>
                <w:rFonts w:ascii="Times New Roman" w:cs="Times New Roman" w:eastAsia="Times New Roman" w:hAnsi="Times New Roman"/>
                <w:sz w:val="18"/>
                <w:szCs w:val="18"/>
                <w:b w:val="1"/>
                <w:bCs w:val="1"/>
                <w:color w:val="0000FF"/>
                <w:w w:val="98"/>
              </w:rPr>
              <w:t>PART II - Other Information</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0"/>
        </w:trPr>
        <w:tc>
          <w:tcPr>
            <w:tcW w:w="5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0"/>
        </w:trPr>
        <w:tc>
          <w:tcPr>
            <w:tcW w:w="58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2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r>
      <w:tr>
        <w:trPr>
          <w:trHeight w:val="189"/>
        </w:trPr>
        <w:tc>
          <w:tcPr>
            <w:tcW w:w="1560" w:type="dxa"/>
            <w:vAlign w:val="bottom"/>
            <w:gridSpan w:val="3"/>
          </w:tcPr>
          <w:p>
            <w:pPr>
              <w:ind w:left="580"/>
              <w:spacing w:after="0" w:line="189" w:lineRule="exact"/>
              <w:rPr>
                <w:sz w:val="20"/>
                <w:szCs w:val="20"/>
                <w:color w:val="auto"/>
              </w:rPr>
            </w:pPr>
            <w:r>
              <w:rPr>
                <w:rFonts w:ascii="Times New Roman" w:cs="Times New Roman" w:eastAsia="Times New Roman" w:hAnsi="Times New Roman"/>
                <w:sz w:val="18"/>
                <w:szCs w:val="18"/>
                <w:b w:val="1"/>
                <w:bCs w:val="1"/>
                <w:color w:val="0000FF"/>
              </w:rPr>
              <w:t>Item 5.</w:t>
            </w:r>
          </w:p>
        </w:tc>
        <w:tc>
          <w:tcPr>
            <w:tcW w:w="9480" w:type="dxa"/>
            <w:vAlign w:val="bottom"/>
            <w:gridSpan w:val="18"/>
          </w:tcPr>
          <w:p>
            <w:pPr>
              <w:spacing w:after="0" w:line="189" w:lineRule="exact"/>
              <w:rPr>
                <w:sz w:val="20"/>
                <w:szCs w:val="20"/>
                <w:color w:val="auto"/>
              </w:rPr>
            </w:pPr>
            <w:r>
              <w:rPr>
                <w:rFonts w:ascii="Times New Roman" w:cs="Times New Roman" w:eastAsia="Times New Roman" w:hAnsi="Times New Roman"/>
                <w:sz w:val="18"/>
                <w:szCs w:val="18"/>
                <w:b w:val="1"/>
                <w:bCs w:val="1"/>
                <w:color w:val="0000FF"/>
              </w:rPr>
              <w:t>Other Information.</w:t>
            </w:r>
          </w:p>
        </w:tc>
        <w:tc>
          <w:tcPr>
            <w:tcW w:w="180" w:type="dxa"/>
            <w:vAlign w:val="bottom"/>
            <w:gridSpan w:val="2"/>
          </w:tcPr>
          <w:p>
            <w:pPr>
              <w:jc w:val="right"/>
              <w:spacing w:after="0" w:line="189" w:lineRule="exact"/>
              <w:rPr>
                <w:sz w:val="20"/>
                <w:szCs w:val="20"/>
                <w:color w:val="auto"/>
              </w:rPr>
            </w:pPr>
            <w:r>
              <w:rPr>
                <w:rFonts w:ascii="Times New Roman" w:cs="Times New Roman" w:eastAsia="Times New Roman" w:hAnsi="Times New Roman"/>
                <w:sz w:val="18"/>
                <w:szCs w:val="18"/>
                <w:color w:val="0000FF"/>
                <w:w w:val="88"/>
              </w:rPr>
              <w:t>52</w:t>
            </w:r>
          </w:p>
        </w:tc>
        <w:tc>
          <w:tcPr>
            <w:tcW w:w="20" w:type="dxa"/>
            <w:vAlign w:val="bottom"/>
          </w:tcPr>
          <w:p>
            <w:pPr>
              <w:spacing w:after="0"/>
              <w:rPr>
                <w:sz w:val="16"/>
                <w:szCs w:val="16"/>
                <w:color w:val="auto"/>
              </w:rPr>
            </w:pPr>
          </w:p>
        </w:tc>
      </w:tr>
      <w:tr>
        <w:trPr>
          <w:trHeight w:val="20"/>
        </w:trPr>
        <w:tc>
          <w:tcPr>
            <w:tcW w:w="580" w:type="dxa"/>
            <w:vAlign w:val="bottom"/>
          </w:tcPr>
          <w:p>
            <w:pPr>
              <w:spacing w:after="0" w:line="20" w:lineRule="exact"/>
              <w:rPr>
                <w:sz w:val="1"/>
                <w:szCs w:val="1"/>
                <w:color w:val="auto"/>
              </w:rPr>
            </w:pPr>
          </w:p>
        </w:tc>
        <w:tc>
          <w:tcPr>
            <w:tcW w:w="540" w:type="dxa"/>
            <w:vAlign w:val="bottom"/>
            <w:tcBorders>
              <w:top w:val="single" w:sz="8" w:color="0000FF"/>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40" w:type="dxa"/>
            <w:vAlign w:val="bottom"/>
            <w:tcBorders>
              <w:top w:val="single" w:sz="8" w:color="0000FF"/>
            </w:tcBorders>
          </w:tcPr>
          <w:p>
            <w:pPr>
              <w:spacing w:after="0" w:line="20" w:lineRule="exact"/>
              <w:rPr>
                <w:sz w:val="1"/>
                <w:szCs w:val="1"/>
                <w:color w:val="auto"/>
              </w:rPr>
            </w:pPr>
          </w:p>
        </w:tc>
        <w:tc>
          <w:tcPr>
            <w:tcW w:w="860" w:type="dxa"/>
            <w:vAlign w:val="bottom"/>
            <w:tcBorders>
              <w:top w:val="single" w:sz="8" w:color="0000FF"/>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1560" w:type="dxa"/>
            <w:vAlign w:val="bottom"/>
            <w:gridSpan w:val="3"/>
            <w:shd w:val="clear" w:color="auto" w:fill="CCEEFF"/>
          </w:tcPr>
          <w:p>
            <w:pPr>
              <w:ind w:left="580"/>
              <w:spacing w:after="0" w:line="189" w:lineRule="exact"/>
              <w:rPr>
                <w:sz w:val="20"/>
                <w:szCs w:val="20"/>
                <w:color w:val="auto"/>
              </w:rPr>
            </w:pPr>
            <w:r>
              <w:rPr>
                <w:rFonts w:ascii="Times New Roman" w:cs="Times New Roman" w:eastAsia="Times New Roman" w:hAnsi="Times New Roman"/>
                <w:sz w:val="18"/>
                <w:szCs w:val="18"/>
                <w:b w:val="1"/>
                <w:bCs w:val="1"/>
                <w:color w:val="0000FF"/>
              </w:rPr>
              <w:t>Item 6.</w:t>
            </w:r>
          </w:p>
        </w:tc>
        <w:tc>
          <w:tcPr>
            <w:tcW w:w="9480" w:type="dxa"/>
            <w:vAlign w:val="bottom"/>
            <w:gridSpan w:val="18"/>
            <w:shd w:val="clear" w:color="auto" w:fill="CCEEFF"/>
          </w:tcPr>
          <w:p>
            <w:pPr>
              <w:spacing w:after="0" w:line="189" w:lineRule="exact"/>
              <w:rPr>
                <w:sz w:val="20"/>
                <w:szCs w:val="20"/>
                <w:color w:val="auto"/>
              </w:rPr>
            </w:pPr>
            <w:r>
              <w:rPr>
                <w:rFonts w:ascii="Times New Roman" w:cs="Times New Roman" w:eastAsia="Times New Roman" w:hAnsi="Times New Roman"/>
                <w:sz w:val="18"/>
                <w:szCs w:val="18"/>
                <w:b w:val="1"/>
                <w:bCs w:val="1"/>
                <w:color w:val="0000FF"/>
              </w:rPr>
              <w:t>Exhibits</w:t>
            </w:r>
          </w:p>
        </w:tc>
        <w:tc>
          <w:tcPr>
            <w:tcW w:w="180" w:type="dxa"/>
            <w:vAlign w:val="bottom"/>
            <w:gridSpan w:val="2"/>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FF"/>
                <w:w w:val="88"/>
              </w:rPr>
              <w:t>52</w:t>
            </w:r>
          </w:p>
        </w:tc>
        <w:tc>
          <w:tcPr>
            <w:tcW w:w="20" w:type="dxa"/>
            <w:vAlign w:val="bottom"/>
            <w:shd w:val="clear" w:color="auto" w:fill="CCEEFF"/>
          </w:tcPr>
          <w:p>
            <w:pPr>
              <w:spacing w:after="0"/>
              <w:rPr>
                <w:sz w:val="16"/>
                <w:szCs w:val="16"/>
                <w:color w:val="auto"/>
              </w:rPr>
            </w:pPr>
          </w:p>
        </w:tc>
      </w:tr>
      <w:tr>
        <w:trPr>
          <w:trHeight w:val="20"/>
        </w:trPr>
        <w:tc>
          <w:tcPr>
            <w:tcW w:w="58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0000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0000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1200" w:type="dxa"/>
            <w:vAlign w:val="bottom"/>
            <w:tcBorders>
              <w:top w:val="single" w:sz="8" w:color="CCEEFF"/>
            </w:tcBorders>
            <w:shd w:val="clear" w:color="auto" w:fill="CCEEFF"/>
          </w:tcPr>
          <w:p>
            <w:pPr>
              <w:spacing w:after="0" w:line="20" w:lineRule="exact"/>
              <w:rPr>
                <w:sz w:val="1"/>
                <w:szCs w:val="1"/>
                <w:color w:val="auto"/>
              </w:rPr>
            </w:pPr>
          </w:p>
        </w:tc>
        <w:tc>
          <w:tcPr>
            <w:tcW w:w="26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t>Glossary of Defined Terms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terms may be used throughout this report, including the consolidated financial statements and related notes.</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62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Term</w:t>
            </w:r>
          </w:p>
        </w:tc>
        <w:tc>
          <w:tcPr>
            <w:tcW w:w="862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Definition</w:t>
            </w:r>
          </w:p>
        </w:tc>
      </w:tr>
      <w:tr>
        <w:trPr>
          <w:trHeight w:val="169"/>
        </w:trPr>
        <w:tc>
          <w:tcPr>
            <w:tcW w:w="2500" w:type="dxa"/>
            <w:vAlign w:val="bottom"/>
            <w:tcBorders>
              <w:top w:val="single" w:sz="8" w:color="auto"/>
            </w:tcBorders>
            <w:shd w:val="clear" w:color="auto" w:fill="CCEEFF"/>
          </w:tcPr>
          <w:p>
            <w:pPr>
              <w:ind w:left="20"/>
              <w:spacing w:after="0" w:line="169" w:lineRule="exact"/>
              <w:rPr>
                <w:sz w:val="20"/>
                <w:szCs w:val="20"/>
                <w:color w:val="auto"/>
              </w:rPr>
            </w:pPr>
            <w:r>
              <w:rPr>
                <w:rFonts w:ascii="Times New Roman" w:cs="Times New Roman" w:eastAsia="Times New Roman" w:hAnsi="Times New Roman"/>
                <w:sz w:val="18"/>
                <w:szCs w:val="18"/>
                <w:color w:val="auto"/>
              </w:rPr>
              <w:t>2024 10-K</w:t>
            </w:r>
          </w:p>
        </w:tc>
        <w:tc>
          <w:tcPr>
            <w:tcW w:w="120" w:type="dxa"/>
            <w:vAlign w:val="bottom"/>
            <w:tcBorders>
              <w:top w:val="single" w:sz="8" w:color="CCEEFF"/>
            </w:tcBorders>
            <w:shd w:val="clear" w:color="auto" w:fill="CCEEFF"/>
          </w:tcPr>
          <w:p>
            <w:pPr>
              <w:spacing w:after="0"/>
              <w:rPr>
                <w:sz w:val="14"/>
                <w:szCs w:val="14"/>
                <w:color w:val="auto"/>
              </w:rPr>
            </w:pPr>
          </w:p>
        </w:tc>
        <w:tc>
          <w:tcPr>
            <w:tcW w:w="8580" w:type="dxa"/>
            <w:vAlign w:val="bottom"/>
            <w:tcBorders>
              <w:top w:val="single" w:sz="8" w:color="auto"/>
            </w:tcBorders>
            <w:shd w:val="clear" w:color="auto" w:fill="CCEEFF"/>
          </w:tcPr>
          <w:p>
            <w:pPr>
              <w:ind w:left="20"/>
              <w:spacing w:after="0" w:line="169" w:lineRule="exact"/>
              <w:rPr>
                <w:sz w:val="20"/>
                <w:szCs w:val="20"/>
                <w:color w:val="auto"/>
              </w:rPr>
            </w:pPr>
            <w:r>
              <w:rPr>
                <w:rFonts w:ascii="Times New Roman" w:cs="Times New Roman" w:eastAsia="Times New Roman" w:hAnsi="Times New Roman"/>
                <w:sz w:val="18"/>
                <w:szCs w:val="18"/>
                <w:color w:val="auto"/>
              </w:rPr>
              <w:t>United’s Annual Report on Form 10-K for the year ended December 31, 2024 filed with the SEC on February 27,</w:t>
            </w:r>
          </w:p>
        </w:tc>
        <w:tc>
          <w:tcPr>
            <w:tcW w:w="40" w:type="dxa"/>
            <w:vAlign w:val="bottom"/>
          </w:tcPr>
          <w:p>
            <w:pPr>
              <w:spacing w:after="0"/>
              <w:rPr>
                <w:sz w:val="14"/>
                <w:szCs w:val="14"/>
                <w:color w:val="auto"/>
              </w:rPr>
            </w:pPr>
          </w:p>
        </w:tc>
      </w:tr>
      <w:tr>
        <w:trPr>
          <w:trHeight w:val="243"/>
        </w:trPr>
        <w:tc>
          <w:tcPr>
            <w:tcW w:w="25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40" w:type="dxa"/>
            <w:vAlign w:val="bottom"/>
          </w:tcPr>
          <w:p>
            <w:pPr>
              <w:spacing w:after="0"/>
              <w:rPr>
                <w:sz w:val="21"/>
                <w:szCs w:val="21"/>
                <w:color w:val="auto"/>
              </w:rPr>
            </w:pPr>
          </w:p>
        </w:tc>
      </w:tr>
      <w:tr>
        <w:trPr>
          <w:trHeight w:val="229"/>
        </w:trPr>
        <w:tc>
          <w:tcPr>
            <w:tcW w:w="2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ACL</w:t>
            </w:r>
          </w:p>
        </w:tc>
        <w:tc>
          <w:tcPr>
            <w:tcW w:w="8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Allowance for credit losses</w:t>
            </w:r>
          </w:p>
        </w:tc>
        <w:tc>
          <w:tcPr>
            <w:tcW w:w="40" w:type="dxa"/>
            <w:vAlign w:val="bottom"/>
          </w:tcPr>
          <w:p>
            <w:pPr>
              <w:spacing w:after="0"/>
              <w:rPr>
                <w:sz w:val="19"/>
                <w:szCs w:val="19"/>
                <w:color w:val="auto"/>
              </w:rPr>
            </w:pPr>
          </w:p>
        </w:tc>
      </w:tr>
      <w:tr>
        <w:trPr>
          <w:trHeight w:val="230"/>
        </w:trPr>
        <w:tc>
          <w:tcPr>
            <w:tcW w:w="2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AFS</w:t>
            </w:r>
          </w:p>
        </w:tc>
        <w:tc>
          <w:tcPr>
            <w:tcW w:w="8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Available-for-sale</w:t>
            </w:r>
          </w:p>
        </w:tc>
        <w:tc>
          <w:tcPr>
            <w:tcW w:w="40" w:type="dxa"/>
            <w:vAlign w:val="bottom"/>
          </w:tcPr>
          <w:p>
            <w:pPr>
              <w:spacing w:after="0"/>
              <w:rPr>
                <w:sz w:val="19"/>
                <w:szCs w:val="19"/>
                <w:color w:val="auto"/>
              </w:rPr>
            </w:pPr>
          </w:p>
        </w:tc>
      </w:tr>
      <w:tr>
        <w:trPr>
          <w:trHeight w:val="229"/>
        </w:trPr>
        <w:tc>
          <w:tcPr>
            <w:tcW w:w="2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ANB</w:t>
            </w:r>
          </w:p>
        </w:tc>
        <w:tc>
          <w:tcPr>
            <w:tcW w:w="8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ANB Holdings, Inc. and its wholly-owned subsidiary, American National Bank</w:t>
            </w:r>
          </w:p>
        </w:tc>
        <w:tc>
          <w:tcPr>
            <w:tcW w:w="40" w:type="dxa"/>
            <w:vAlign w:val="bottom"/>
          </w:tcPr>
          <w:p>
            <w:pPr>
              <w:spacing w:after="0"/>
              <w:rPr>
                <w:sz w:val="19"/>
                <w:szCs w:val="19"/>
                <w:color w:val="auto"/>
              </w:rPr>
            </w:pPr>
          </w:p>
        </w:tc>
      </w:tr>
      <w:tr>
        <w:trPr>
          <w:trHeight w:val="230"/>
        </w:trPr>
        <w:tc>
          <w:tcPr>
            <w:tcW w:w="2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AOCI</w:t>
            </w:r>
          </w:p>
        </w:tc>
        <w:tc>
          <w:tcPr>
            <w:tcW w:w="8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Accumulated other comprehensive income (loss)</w:t>
            </w:r>
          </w:p>
        </w:tc>
        <w:tc>
          <w:tcPr>
            <w:tcW w:w="40" w:type="dxa"/>
            <w:vAlign w:val="bottom"/>
          </w:tcPr>
          <w:p>
            <w:pPr>
              <w:spacing w:after="0"/>
              <w:rPr>
                <w:sz w:val="19"/>
                <w:szCs w:val="19"/>
                <w:color w:val="auto"/>
              </w:rPr>
            </w:pPr>
          </w:p>
        </w:tc>
      </w:tr>
      <w:tr>
        <w:trPr>
          <w:trHeight w:val="229"/>
        </w:trPr>
        <w:tc>
          <w:tcPr>
            <w:tcW w:w="2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Bank</w:t>
            </w:r>
          </w:p>
        </w:tc>
        <w:tc>
          <w:tcPr>
            <w:tcW w:w="8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United Community Bank</w:t>
            </w:r>
          </w:p>
        </w:tc>
        <w:tc>
          <w:tcPr>
            <w:tcW w:w="40" w:type="dxa"/>
            <w:vAlign w:val="bottom"/>
          </w:tcPr>
          <w:p>
            <w:pPr>
              <w:spacing w:after="0"/>
              <w:rPr>
                <w:sz w:val="19"/>
                <w:szCs w:val="19"/>
                <w:color w:val="auto"/>
              </w:rPr>
            </w:pPr>
          </w:p>
        </w:tc>
      </w:tr>
      <w:tr>
        <w:trPr>
          <w:trHeight w:val="229"/>
        </w:trPr>
        <w:tc>
          <w:tcPr>
            <w:tcW w:w="2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Board</w:t>
            </w:r>
          </w:p>
        </w:tc>
        <w:tc>
          <w:tcPr>
            <w:tcW w:w="8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United Community Banks Inc., Board of Directors</w:t>
            </w:r>
          </w:p>
        </w:tc>
        <w:tc>
          <w:tcPr>
            <w:tcW w:w="40" w:type="dxa"/>
            <w:vAlign w:val="bottom"/>
          </w:tcPr>
          <w:p>
            <w:pPr>
              <w:spacing w:after="0"/>
              <w:rPr>
                <w:sz w:val="19"/>
                <w:szCs w:val="19"/>
                <w:color w:val="auto"/>
              </w:rPr>
            </w:pPr>
          </w:p>
        </w:tc>
      </w:tr>
      <w:tr>
        <w:trPr>
          <w:trHeight w:val="230"/>
        </w:trPr>
        <w:tc>
          <w:tcPr>
            <w:tcW w:w="2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BOLI</w:t>
            </w:r>
          </w:p>
        </w:tc>
        <w:tc>
          <w:tcPr>
            <w:tcW w:w="8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Bank-owned life insurance</w:t>
            </w:r>
          </w:p>
        </w:tc>
        <w:tc>
          <w:tcPr>
            <w:tcW w:w="40" w:type="dxa"/>
            <w:vAlign w:val="bottom"/>
          </w:tcPr>
          <w:p>
            <w:pPr>
              <w:spacing w:after="0"/>
              <w:rPr>
                <w:sz w:val="19"/>
                <w:szCs w:val="19"/>
                <w:color w:val="auto"/>
              </w:rPr>
            </w:pPr>
          </w:p>
        </w:tc>
      </w:tr>
      <w:tr>
        <w:trPr>
          <w:trHeight w:val="229"/>
        </w:trPr>
        <w:tc>
          <w:tcPr>
            <w:tcW w:w="2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CECL</w:t>
            </w:r>
          </w:p>
        </w:tc>
        <w:tc>
          <w:tcPr>
            <w:tcW w:w="8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expected credit losses</w:t>
            </w:r>
          </w:p>
        </w:tc>
        <w:tc>
          <w:tcPr>
            <w:tcW w:w="40" w:type="dxa"/>
            <w:vAlign w:val="bottom"/>
          </w:tcPr>
          <w:p>
            <w:pPr>
              <w:spacing w:after="0"/>
              <w:rPr>
                <w:sz w:val="19"/>
                <w:szCs w:val="19"/>
                <w:color w:val="auto"/>
              </w:rPr>
            </w:pPr>
          </w:p>
        </w:tc>
      </w:tr>
      <w:tr>
        <w:trPr>
          <w:trHeight w:val="229"/>
        </w:trPr>
        <w:tc>
          <w:tcPr>
            <w:tcW w:w="2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CET1</w:t>
            </w:r>
          </w:p>
        </w:tc>
        <w:tc>
          <w:tcPr>
            <w:tcW w:w="8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Common equity tier 1</w:t>
            </w:r>
          </w:p>
        </w:tc>
        <w:tc>
          <w:tcPr>
            <w:tcW w:w="40" w:type="dxa"/>
            <w:vAlign w:val="bottom"/>
          </w:tcPr>
          <w:p>
            <w:pPr>
              <w:spacing w:after="0"/>
              <w:rPr>
                <w:sz w:val="19"/>
                <w:szCs w:val="19"/>
                <w:color w:val="auto"/>
              </w:rPr>
            </w:pPr>
          </w:p>
        </w:tc>
      </w:tr>
      <w:tr>
        <w:trPr>
          <w:trHeight w:val="230"/>
        </w:trPr>
        <w:tc>
          <w:tcPr>
            <w:tcW w:w="2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CME</w:t>
            </w:r>
          </w:p>
        </w:tc>
        <w:tc>
          <w:tcPr>
            <w:tcW w:w="8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Chicago Mercantile Exchange</w:t>
            </w:r>
          </w:p>
        </w:tc>
        <w:tc>
          <w:tcPr>
            <w:tcW w:w="40" w:type="dxa"/>
            <w:vAlign w:val="bottom"/>
          </w:tcPr>
          <w:p>
            <w:pPr>
              <w:spacing w:after="0"/>
              <w:rPr>
                <w:sz w:val="19"/>
                <w:szCs w:val="19"/>
                <w:color w:val="auto"/>
              </w:rPr>
            </w:pPr>
          </w:p>
        </w:tc>
      </w:tr>
      <w:tr>
        <w:trPr>
          <w:trHeight w:val="229"/>
        </w:trPr>
        <w:tc>
          <w:tcPr>
            <w:tcW w:w="2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CRE</w:t>
            </w:r>
          </w:p>
        </w:tc>
        <w:tc>
          <w:tcPr>
            <w:tcW w:w="8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Commercial real estate</w:t>
            </w:r>
          </w:p>
        </w:tc>
        <w:tc>
          <w:tcPr>
            <w:tcW w:w="40" w:type="dxa"/>
            <w:vAlign w:val="bottom"/>
          </w:tcPr>
          <w:p>
            <w:pPr>
              <w:spacing w:after="0"/>
              <w:rPr>
                <w:sz w:val="19"/>
                <w:szCs w:val="19"/>
                <w:color w:val="auto"/>
              </w:rPr>
            </w:pPr>
          </w:p>
        </w:tc>
      </w:tr>
      <w:tr>
        <w:trPr>
          <w:trHeight w:val="230"/>
        </w:trPr>
        <w:tc>
          <w:tcPr>
            <w:tcW w:w="2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Company</w:t>
            </w:r>
          </w:p>
        </w:tc>
        <w:tc>
          <w:tcPr>
            <w:tcW w:w="8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United Community Banks Inc. (interchangeable with "United" below)</w:t>
            </w:r>
          </w:p>
        </w:tc>
        <w:tc>
          <w:tcPr>
            <w:tcW w:w="40" w:type="dxa"/>
            <w:vAlign w:val="bottom"/>
          </w:tcPr>
          <w:p>
            <w:pPr>
              <w:spacing w:after="0"/>
              <w:rPr>
                <w:sz w:val="19"/>
                <w:szCs w:val="19"/>
                <w:color w:val="auto"/>
              </w:rPr>
            </w:pPr>
          </w:p>
        </w:tc>
      </w:tr>
      <w:tr>
        <w:trPr>
          <w:trHeight w:val="229"/>
        </w:trPr>
        <w:tc>
          <w:tcPr>
            <w:tcW w:w="2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DTA</w:t>
            </w:r>
          </w:p>
        </w:tc>
        <w:tc>
          <w:tcPr>
            <w:tcW w:w="8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tax asset</w:t>
            </w:r>
          </w:p>
        </w:tc>
        <w:tc>
          <w:tcPr>
            <w:tcW w:w="40" w:type="dxa"/>
            <w:vAlign w:val="bottom"/>
          </w:tcPr>
          <w:p>
            <w:pPr>
              <w:spacing w:after="0"/>
              <w:rPr>
                <w:sz w:val="19"/>
                <w:szCs w:val="19"/>
                <w:color w:val="auto"/>
              </w:rPr>
            </w:pPr>
          </w:p>
        </w:tc>
      </w:tr>
      <w:tr>
        <w:trPr>
          <w:trHeight w:val="229"/>
        </w:trPr>
        <w:tc>
          <w:tcPr>
            <w:tcW w:w="2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DTL</w:t>
            </w:r>
          </w:p>
        </w:tc>
        <w:tc>
          <w:tcPr>
            <w:tcW w:w="8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tax liability</w:t>
            </w:r>
          </w:p>
        </w:tc>
        <w:tc>
          <w:tcPr>
            <w:tcW w:w="40" w:type="dxa"/>
            <w:vAlign w:val="bottom"/>
          </w:tcPr>
          <w:p>
            <w:pPr>
              <w:spacing w:after="0"/>
              <w:rPr>
                <w:sz w:val="19"/>
                <w:szCs w:val="19"/>
                <w:color w:val="auto"/>
              </w:rPr>
            </w:pPr>
          </w:p>
        </w:tc>
      </w:tr>
      <w:tr>
        <w:trPr>
          <w:trHeight w:val="230"/>
        </w:trPr>
        <w:tc>
          <w:tcPr>
            <w:tcW w:w="2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FDIC</w:t>
            </w:r>
          </w:p>
        </w:tc>
        <w:tc>
          <w:tcPr>
            <w:tcW w:w="8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Federal Deposit Insurance Corporation</w:t>
            </w:r>
          </w:p>
        </w:tc>
        <w:tc>
          <w:tcPr>
            <w:tcW w:w="40" w:type="dxa"/>
            <w:vAlign w:val="bottom"/>
          </w:tcPr>
          <w:p>
            <w:pPr>
              <w:spacing w:after="0"/>
              <w:rPr>
                <w:sz w:val="19"/>
                <w:szCs w:val="19"/>
                <w:color w:val="auto"/>
              </w:rPr>
            </w:pPr>
          </w:p>
        </w:tc>
      </w:tr>
      <w:tr>
        <w:trPr>
          <w:trHeight w:val="229"/>
        </w:trPr>
        <w:tc>
          <w:tcPr>
            <w:tcW w:w="2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FDM</w:t>
            </w:r>
          </w:p>
        </w:tc>
        <w:tc>
          <w:tcPr>
            <w:tcW w:w="8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Modification made to borrowers experiencing financial difficulty</w:t>
            </w:r>
          </w:p>
        </w:tc>
        <w:tc>
          <w:tcPr>
            <w:tcW w:w="40" w:type="dxa"/>
            <w:vAlign w:val="bottom"/>
          </w:tcPr>
          <w:p>
            <w:pPr>
              <w:spacing w:after="0"/>
              <w:rPr>
                <w:sz w:val="19"/>
                <w:szCs w:val="19"/>
                <w:color w:val="auto"/>
              </w:rPr>
            </w:pPr>
          </w:p>
        </w:tc>
      </w:tr>
      <w:tr>
        <w:trPr>
          <w:trHeight w:val="229"/>
        </w:trPr>
        <w:tc>
          <w:tcPr>
            <w:tcW w:w="2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Federal Reserve</w:t>
            </w:r>
          </w:p>
        </w:tc>
        <w:tc>
          <w:tcPr>
            <w:tcW w:w="8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Federal Reserve Bank</w:t>
            </w:r>
          </w:p>
        </w:tc>
        <w:tc>
          <w:tcPr>
            <w:tcW w:w="40" w:type="dxa"/>
            <w:vAlign w:val="bottom"/>
          </w:tcPr>
          <w:p>
            <w:pPr>
              <w:spacing w:after="0"/>
              <w:rPr>
                <w:sz w:val="19"/>
                <w:szCs w:val="19"/>
                <w:color w:val="auto"/>
              </w:rPr>
            </w:pPr>
          </w:p>
        </w:tc>
      </w:tr>
      <w:tr>
        <w:trPr>
          <w:trHeight w:val="230"/>
        </w:trPr>
        <w:tc>
          <w:tcPr>
            <w:tcW w:w="2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FinTrust</w:t>
            </w:r>
          </w:p>
        </w:tc>
        <w:tc>
          <w:tcPr>
            <w:tcW w:w="8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Collectively, FinTrust Brokerage Services, LLC and FinTrust Capital Advisors, LLC</w:t>
            </w:r>
          </w:p>
        </w:tc>
        <w:tc>
          <w:tcPr>
            <w:tcW w:w="40" w:type="dxa"/>
            <w:vAlign w:val="bottom"/>
          </w:tcPr>
          <w:p>
            <w:pPr>
              <w:spacing w:after="0"/>
              <w:rPr>
                <w:sz w:val="19"/>
                <w:szCs w:val="19"/>
                <w:color w:val="auto"/>
              </w:rPr>
            </w:pPr>
          </w:p>
        </w:tc>
      </w:tr>
      <w:tr>
        <w:trPr>
          <w:trHeight w:val="229"/>
        </w:trPr>
        <w:tc>
          <w:tcPr>
            <w:tcW w:w="2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First Miami</w:t>
            </w:r>
          </w:p>
        </w:tc>
        <w:tc>
          <w:tcPr>
            <w:tcW w:w="8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First Miami Bancorp, Inc. and its wholly-owned subsidiary, First National Bank of South Miami</w:t>
            </w:r>
          </w:p>
        </w:tc>
        <w:tc>
          <w:tcPr>
            <w:tcW w:w="40" w:type="dxa"/>
            <w:vAlign w:val="bottom"/>
          </w:tcPr>
          <w:p>
            <w:pPr>
              <w:spacing w:after="0"/>
              <w:rPr>
                <w:sz w:val="19"/>
                <w:szCs w:val="19"/>
                <w:color w:val="auto"/>
              </w:rPr>
            </w:pPr>
          </w:p>
        </w:tc>
      </w:tr>
      <w:tr>
        <w:trPr>
          <w:trHeight w:val="230"/>
        </w:trPr>
        <w:tc>
          <w:tcPr>
            <w:tcW w:w="2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FHLB</w:t>
            </w:r>
          </w:p>
        </w:tc>
        <w:tc>
          <w:tcPr>
            <w:tcW w:w="8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Federal Home Loan Bank</w:t>
            </w:r>
          </w:p>
        </w:tc>
        <w:tc>
          <w:tcPr>
            <w:tcW w:w="40" w:type="dxa"/>
            <w:vAlign w:val="bottom"/>
          </w:tcPr>
          <w:p>
            <w:pPr>
              <w:spacing w:after="0"/>
              <w:rPr>
                <w:sz w:val="19"/>
                <w:szCs w:val="19"/>
                <w:color w:val="auto"/>
              </w:rPr>
            </w:pPr>
          </w:p>
        </w:tc>
      </w:tr>
      <w:tr>
        <w:trPr>
          <w:trHeight w:val="230"/>
        </w:trPr>
        <w:tc>
          <w:tcPr>
            <w:tcW w:w="2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FTE</w:t>
            </w:r>
          </w:p>
        </w:tc>
        <w:tc>
          <w:tcPr>
            <w:tcW w:w="8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Fully taxable equivalent</w:t>
            </w:r>
          </w:p>
        </w:tc>
        <w:tc>
          <w:tcPr>
            <w:tcW w:w="40" w:type="dxa"/>
            <w:vAlign w:val="bottom"/>
          </w:tcPr>
          <w:p>
            <w:pPr>
              <w:spacing w:after="0"/>
              <w:rPr>
                <w:sz w:val="19"/>
                <w:szCs w:val="19"/>
                <w:color w:val="auto"/>
              </w:rPr>
            </w:pPr>
          </w:p>
        </w:tc>
      </w:tr>
      <w:tr>
        <w:trPr>
          <w:trHeight w:val="230"/>
        </w:trPr>
        <w:tc>
          <w:tcPr>
            <w:tcW w:w="2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GAAP</w:t>
            </w:r>
          </w:p>
        </w:tc>
        <w:tc>
          <w:tcPr>
            <w:tcW w:w="8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Accounting principles generally accepted in the United States of America</w:t>
            </w:r>
          </w:p>
        </w:tc>
        <w:tc>
          <w:tcPr>
            <w:tcW w:w="40" w:type="dxa"/>
            <w:vAlign w:val="bottom"/>
          </w:tcPr>
          <w:p>
            <w:pPr>
              <w:spacing w:after="0"/>
              <w:rPr>
                <w:sz w:val="19"/>
                <w:szCs w:val="19"/>
                <w:color w:val="auto"/>
              </w:rPr>
            </w:pPr>
          </w:p>
        </w:tc>
      </w:tr>
      <w:tr>
        <w:trPr>
          <w:trHeight w:val="229"/>
        </w:trPr>
        <w:tc>
          <w:tcPr>
            <w:tcW w:w="2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GSE</w:t>
            </w:r>
          </w:p>
        </w:tc>
        <w:tc>
          <w:tcPr>
            <w:tcW w:w="8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U.S. government-sponsored enterprise</w:t>
            </w:r>
          </w:p>
        </w:tc>
        <w:tc>
          <w:tcPr>
            <w:tcW w:w="40" w:type="dxa"/>
            <w:vAlign w:val="bottom"/>
          </w:tcPr>
          <w:p>
            <w:pPr>
              <w:spacing w:after="0"/>
              <w:rPr>
                <w:sz w:val="19"/>
                <w:szCs w:val="19"/>
                <w:color w:val="auto"/>
              </w:rPr>
            </w:pPr>
          </w:p>
        </w:tc>
      </w:tr>
      <w:tr>
        <w:trPr>
          <w:trHeight w:val="230"/>
        </w:trPr>
        <w:tc>
          <w:tcPr>
            <w:tcW w:w="2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Holding Company</w:t>
            </w:r>
          </w:p>
        </w:tc>
        <w:tc>
          <w:tcPr>
            <w:tcW w:w="8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United Community Banks, Inc. on an unconsolidated basis</w:t>
            </w:r>
          </w:p>
        </w:tc>
        <w:tc>
          <w:tcPr>
            <w:tcW w:w="40" w:type="dxa"/>
            <w:vAlign w:val="bottom"/>
          </w:tcPr>
          <w:p>
            <w:pPr>
              <w:spacing w:after="0"/>
              <w:rPr>
                <w:sz w:val="19"/>
                <w:szCs w:val="19"/>
                <w:color w:val="auto"/>
              </w:rPr>
            </w:pPr>
          </w:p>
        </w:tc>
      </w:tr>
      <w:tr>
        <w:trPr>
          <w:trHeight w:val="230"/>
        </w:trPr>
        <w:tc>
          <w:tcPr>
            <w:tcW w:w="2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HTM</w:t>
            </w:r>
          </w:p>
        </w:tc>
        <w:tc>
          <w:tcPr>
            <w:tcW w:w="8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Held-to-maturity</w:t>
            </w:r>
          </w:p>
        </w:tc>
        <w:tc>
          <w:tcPr>
            <w:tcW w:w="40" w:type="dxa"/>
            <w:vAlign w:val="bottom"/>
          </w:tcPr>
          <w:p>
            <w:pPr>
              <w:spacing w:after="0"/>
              <w:rPr>
                <w:sz w:val="19"/>
                <w:szCs w:val="19"/>
                <w:color w:val="auto"/>
              </w:rPr>
            </w:pPr>
          </w:p>
        </w:tc>
      </w:tr>
      <w:tr>
        <w:trPr>
          <w:trHeight w:val="230"/>
        </w:trPr>
        <w:tc>
          <w:tcPr>
            <w:tcW w:w="2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MD&amp;A</w:t>
            </w:r>
          </w:p>
        </w:tc>
        <w:tc>
          <w:tcPr>
            <w:tcW w:w="8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Management's Discussion and Analysis of Financial Condition and Results of Operations</w:t>
            </w:r>
          </w:p>
        </w:tc>
        <w:tc>
          <w:tcPr>
            <w:tcW w:w="40" w:type="dxa"/>
            <w:vAlign w:val="bottom"/>
          </w:tcPr>
          <w:p>
            <w:pPr>
              <w:spacing w:after="0"/>
              <w:rPr>
                <w:sz w:val="19"/>
                <w:szCs w:val="19"/>
                <w:color w:val="auto"/>
              </w:rPr>
            </w:pPr>
          </w:p>
        </w:tc>
      </w:tr>
      <w:tr>
        <w:trPr>
          <w:trHeight w:val="229"/>
        </w:trPr>
        <w:tc>
          <w:tcPr>
            <w:tcW w:w="2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MBS</w:t>
            </w:r>
          </w:p>
        </w:tc>
        <w:tc>
          <w:tcPr>
            <w:tcW w:w="8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Mortgage-backed securities</w:t>
            </w:r>
          </w:p>
        </w:tc>
        <w:tc>
          <w:tcPr>
            <w:tcW w:w="40" w:type="dxa"/>
            <w:vAlign w:val="bottom"/>
          </w:tcPr>
          <w:p>
            <w:pPr>
              <w:spacing w:after="0"/>
              <w:rPr>
                <w:sz w:val="19"/>
                <w:szCs w:val="19"/>
                <w:color w:val="auto"/>
              </w:rPr>
            </w:pPr>
          </w:p>
        </w:tc>
      </w:tr>
      <w:tr>
        <w:trPr>
          <w:trHeight w:val="230"/>
        </w:trPr>
        <w:tc>
          <w:tcPr>
            <w:tcW w:w="2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NOW</w:t>
            </w:r>
          </w:p>
        </w:tc>
        <w:tc>
          <w:tcPr>
            <w:tcW w:w="8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Negotiable order of withdrawal</w:t>
            </w:r>
          </w:p>
        </w:tc>
        <w:tc>
          <w:tcPr>
            <w:tcW w:w="40" w:type="dxa"/>
            <w:vAlign w:val="bottom"/>
          </w:tcPr>
          <w:p>
            <w:pPr>
              <w:spacing w:after="0"/>
              <w:rPr>
                <w:sz w:val="19"/>
                <w:szCs w:val="19"/>
                <w:color w:val="auto"/>
              </w:rPr>
            </w:pPr>
          </w:p>
        </w:tc>
      </w:tr>
      <w:tr>
        <w:trPr>
          <w:trHeight w:val="230"/>
        </w:trPr>
        <w:tc>
          <w:tcPr>
            <w:tcW w:w="2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NPA</w:t>
            </w:r>
          </w:p>
        </w:tc>
        <w:tc>
          <w:tcPr>
            <w:tcW w:w="8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Nonperforming asset</w:t>
            </w:r>
          </w:p>
        </w:tc>
        <w:tc>
          <w:tcPr>
            <w:tcW w:w="40" w:type="dxa"/>
            <w:vAlign w:val="bottom"/>
          </w:tcPr>
          <w:p>
            <w:pPr>
              <w:spacing w:after="0"/>
              <w:rPr>
                <w:sz w:val="19"/>
                <w:szCs w:val="19"/>
                <w:color w:val="auto"/>
              </w:rPr>
            </w:pPr>
          </w:p>
        </w:tc>
      </w:tr>
      <w:tr>
        <w:trPr>
          <w:trHeight w:val="230"/>
        </w:trPr>
        <w:tc>
          <w:tcPr>
            <w:tcW w:w="2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OCI</w:t>
            </w:r>
          </w:p>
        </w:tc>
        <w:tc>
          <w:tcPr>
            <w:tcW w:w="8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40" w:type="dxa"/>
            <w:vAlign w:val="bottom"/>
          </w:tcPr>
          <w:p>
            <w:pPr>
              <w:spacing w:after="0"/>
              <w:rPr>
                <w:sz w:val="19"/>
                <w:szCs w:val="19"/>
                <w:color w:val="auto"/>
              </w:rPr>
            </w:pPr>
          </w:p>
        </w:tc>
      </w:tr>
      <w:tr>
        <w:trPr>
          <w:trHeight w:val="229"/>
        </w:trPr>
        <w:tc>
          <w:tcPr>
            <w:tcW w:w="2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OREO</w:t>
            </w:r>
          </w:p>
        </w:tc>
        <w:tc>
          <w:tcPr>
            <w:tcW w:w="8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real estate owned</w:t>
            </w:r>
          </w:p>
        </w:tc>
        <w:tc>
          <w:tcPr>
            <w:tcW w:w="40" w:type="dxa"/>
            <w:vAlign w:val="bottom"/>
          </w:tcPr>
          <w:p>
            <w:pPr>
              <w:spacing w:after="0"/>
              <w:rPr>
                <w:sz w:val="19"/>
                <w:szCs w:val="19"/>
                <w:color w:val="auto"/>
              </w:rPr>
            </w:pPr>
          </w:p>
        </w:tc>
      </w:tr>
      <w:tr>
        <w:trPr>
          <w:trHeight w:val="230"/>
        </w:trPr>
        <w:tc>
          <w:tcPr>
            <w:tcW w:w="2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PCD</w:t>
            </w:r>
          </w:p>
        </w:tc>
        <w:tc>
          <w:tcPr>
            <w:tcW w:w="8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Purchased credit deteriorated</w:t>
            </w:r>
          </w:p>
        </w:tc>
        <w:tc>
          <w:tcPr>
            <w:tcW w:w="40" w:type="dxa"/>
            <w:vAlign w:val="bottom"/>
          </w:tcPr>
          <w:p>
            <w:pPr>
              <w:spacing w:after="0"/>
              <w:rPr>
                <w:sz w:val="19"/>
                <w:szCs w:val="19"/>
                <w:color w:val="auto"/>
              </w:rPr>
            </w:pPr>
          </w:p>
        </w:tc>
      </w:tr>
      <w:tr>
        <w:trPr>
          <w:trHeight w:val="230"/>
        </w:trPr>
        <w:tc>
          <w:tcPr>
            <w:tcW w:w="2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Report</w:t>
            </w:r>
          </w:p>
        </w:tc>
        <w:tc>
          <w:tcPr>
            <w:tcW w:w="8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Quarterly Report on Form 10-Q for the quarterly period ending September 30, 2025</w:t>
            </w:r>
          </w:p>
        </w:tc>
        <w:tc>
          <w:tcPr>
            <w:tcW w:w="40" w:type="dxa"/>
            <w:vAlign w:val="bottom"/>
          </w:tcPr>
          <w:p>
            <w:pPr>
              <w:spacing w:after="0"/>
              <w:rPr>
                <w:sz w:val="19"/>
                <w:szCs w:val="19"/>
                <w:color w:val="auto"/>
              </w:rPr>
            </w:pPr>
          </w:p>
        </w:tc>
      </w:tr>
      <w:tr>
        <w:trPr>
          <w:trHeight w:val="230"/>
        </w:trPr>
        <w:tc>
          <w:tcPr>
            <w:tcW w:w="2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SBA</w:t>
            </w:r>
          </w:p>
        </w:tc>
        <w:tc>
          <w:tcPr>
            <w:tcW w:w="8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United States Small Business Administration</w:t>
            </w:r>
          </w:p>
        </w:tc>
        <w:tc>
          <w:tcPr>
            <w:tcW w:w="40" w:type="dxa"/>
            <w:vAlign w:val="bottom"/>
          </w:tcPr>
          <w:p>
            <w:pPr>
              <w:spacing w:after="0"/>
              <w:rPr>
                <w:sz w:val="19"/>
                <w:szCs w:val="19"/>
                <w:color w:val="auto"/>
              </w:rPr>
            </w:pPr>
          </w:p>
        </w:tc>
      </w:tr>
      <w:tr>
        <w:trPr>
          <w:trHeight w:val="230"/>
        </w:trPr>
        <w:tc>
          <w:tcPr>
            <w:tcW w:w="2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SEC</w:t>
            </w:r>
          </w:p>
        </w:tc>
        <w:tc>
          <w:tcPr>
            <w:tcW w:w="8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United States Securities and Exchange Commission</w:t>
            </w:r>
          </w:p>
        </w:tc>
        <w:tc>
          <w:tcPr>
            <w:tcW w:w="40" w:type="dxa"/>
            <w:vAlign w:val="bottom"/>
          </w:tcPr>
          <w:p>
            <w:pPr>
              <w:spacing w:after="0"/>
              <w:rPr>
                <w:sz w:val="19"/>
                <w:szCs w:val="19"/>
                <w:color w:val="auto"/>
              </w:rPr>
            </w:pPr>
          </w:p>
        </w:tc>
      </w:tr>
      <w:tr>
        <w:trPr>
          <w:trHeight w:val="229"/>
        </w:trPr>
        <w:tc>
          <w:tcPr>
            <w:tcW w:w="2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United</w:t>
            </w:r>
          </w:p>
        </w:tc>
        <w:tc>
          <w:tcPr>
            <w:tcW w:w="8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United Community Banks, Inc. and its direct and indirect subsidiaries</w:t>
            </w:r>
          </w:p>
        </w:tc>
        <w:tc>
          <w:tcPr>
            <w:tcW w:w="40" w:type="dxa"/>
            <w:vAlign w:val="bottom"/>
          </w:tcPr>
          <w:p>
            <w:pPr>
              <w:spacing w:after="0"/>
              <w:rPr>
                <w:sz w:val="19"/>
                <w:szCs w:val="19"/>
                <w:color w:val="auto"/>
              </w:rPr>
            </w:pPr>
          </w:p>
        </w:tc>
      </w:tr>
      <w:tr>
        <w:trPr>
          <w:trHeight w:val="234"/>
        </w:trPr>
        <w:tc>
          <w:tcPr>
            <w:tcW w:w="2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USDA</w:t>
            </w:r>
          </w:p>
        </w:tc>
        <w:tc>
          <w:tcPr>
            <w:tcW w:w="8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United States Department of Agriculture</w:t>
            </w:r>
          </w:p>
        </w:tc>
        <w:tc>
          <w:tcPr>
            <w:tcW w:w="40" w:type="dxa"/>
            <w:vAlign w:val="bottom"/>
          </w:tcPr>
          <w:p>
            <w:pPr>
              <w:spacing w:after="0"/>
              <w:rPr>
                <w:sz w:val="20"/>
                <w:szCs w:val="20"/>
                <w:color w:val="auto"/>
              </w:rPr>
            </w:pPr>
          </w:p>
        </w:tc>
      </w:tr>
      <w:tr>
        <w:trPr>
          <w:trHeight w:val="900"/>
        </w:trPr>
        <w:tc>
          <w:tcPr>
            <w:tcW w:w="2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580" w:type="dxa"/>
            <w:vAlign w:val="bottom"/>
          </w:tcPr>
          <w:p>
            <w:pPr>
              <w:ind w:left="2960"/>
              <w:spacing w:after="0"/>
              <w:rPr>
                <w:sz w:val="20"/>
                <w:szCs w:val="20"/>
                <w:color w:val="auto"/>
              </w:rPr>
            </w:pPr>
            <w:r>
              <w:rPr>
                <w:rFonts w:ascii="Times New Roman" w:cs="Times New Roman" w:eastAsia="Times New Roman" w:hAnsi="Times New Roman"/>
                <w:sz w:val="18"/>
                <w:szCs w:val="18"/>
                <w:color w:val="auto"/>
              </w:rPr>
              <w:t>3</w:t>
            </w:r>
          </w:p>
        </w:tc>
        <w:tc>
          <w:tcPr>
            <w:tcW w:w="40" w:type="dxa"/>
            <w:vAlign w:val="bottom"/>
          </w:tcPr>
          <w:p>
            <w:pPr>
              <w:spacing w:after="0"/>
              <w:rPr>
                <w:sz w:val="24"/>
                <w:szCs w:val="24"/>
                <w:color w:val="auto"/>
              </w:rPr>
            </w:pPr>
          </w:p>
        </w:tc>
      </w:tr>
      <w:tr>
        <w:trPr>
          <w:trHeight w:val="115"/>
        </w:trPr>
        <w:tc>
          <w:tcPr>
            <w:tcW w:w="25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858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216"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8"/>
          <w:szCs w:val="18"/>
          <w:color w:val="auto"/>
        </w:rPr>
        <w:t>This Report contains forward-looking statements within the meaning of the Private Securities Litigation Reform Act of 1995. Forward-looking statements are neither statements of historical or current fact nor are they assurances of future performance and generally can be identified by the use of forward-looking terminology such as “believes”, “expects”, “may”, “will”, “could”, “should”, “projects”, “plans”, “goal”, “targets”, “potential”, “estimates”, “pro forma”, “seeks”, “intends”, or “anticipates”, or similar expressions. Forward-looking statements include discussions of strategy, financial projections, guidance and estimates (including their underlying assumptions), statements regarding plans, objectives, expectations or consequences of various transactions or events, and statements about our future performance, operations, products and services, and should be viewed with caution.</w:t>
      </w:r>
    </w:p>
    <w:p>
      <w:pPr>
        <w:spacing w:after="0" w:line="22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Because forward-looking statements relate to the future, they are subject to known and unknown risks, uncertainties, assumptions, and changes in circumstances, many of which are beyond our control, and that are difficult to predict as to timing, extent, likelihood and degree of occurrence, and that could cause actual results to differ materially from the results implied or anticipated by the statements. Important factors that could cause our actual results and financial condition to differ materially from those indicated in the forward-looking statements include, but are not limited to the following:</w:t>
      </w:r>
    </w:p>
    <w:p>
      <w:pPr>
        <w:spacing w:after="0" w:line="207" w:lineRule="exact"/>
        <w:rPr>
          <w:sz w:val="20"/>
          <w:szCs w:val="20"/>
          <w:color w:val="auto"/>
        </w:rPr>
      </w:pPr>
    </w:p>
    <w:p>
      <w:pPr>
        <w:jc w:val="both"/>
        <w:ind w:left="340" w:hanging="332"/>
        <w:spacing w:after="0" w:line="257" w:lineRule="auto"/>
        <w:tabs>
          <w:tab w:leader="none" w:pos="33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negative economic and political conditions that adversely affect the general economy, the banking sector, housing prices, the real estate market, the job market, consumer confidence, the financial condition of our borrowers and consumer spending habits, which may affect, among other things, the levels of NPAs, charge-offs and provision expense;</w:t>
      </w:r>
    </w:p>
    <w:p>
      <w:pPr>
        <w:spacing w:after="0" w:line="1" w:lineRule="exact"/>
        <w:rPr>
          <w:rFonts w:ascii="Times New Roman" w:cs="Times New Roman" w:eastAsia="Times New Roman" w:hAnsi="Times New Roman"/>
          <w:sz w:val="18"/>
          <w:szCs w:val="18"/>
          <w:color w:val="auto"/>
        </w:rPr>
      </w:pPr>
    </w:p>
    <w:p>
      <w:pPr>
        <w:ind w:left="320" w:hanging="312"/>
        <w:spacing w:after="0" w:line="236" w:lineRule="auto"/>
        <w:tabs>
          <w:tab w:leader="none" w:pos="3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loan underwriting, credit review or loss policies associated with economic conditions, examination conclusions or regulatory developments;</w:t>
      </w:r>
    </w:p>
    <w:p>
      <w:pPr>
        <w:ind w:left="340" w:right="20" w:hanging="332"/>
        <w:spacing w:after="0" w:line="233" w:lineRule="auto"/>
        <w:tabs>
          <w:tab w:leader="none" w:pos="33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effects of pandemics or public health conditions on the economic and business environments in which we operate, including the impact of actions taken by governmental authorities to address these conditions;</w:t>
      </w:r>
    </w:p>
    <w:p>
      <w:pPr>
        <w:spacing w:after="0" w:line="1" w:lineRule="exact"/>
        <w:rPr>
          <w:rFonts w:ascii="Times New Roman" w:cs="Times New Roman" w:eastAsia="Times New Roman" w:hAnsi="Times New Roman"/>
          <w:sz w:val="18"/>
          <w:szCs w:val="18"/>
          <w:color w:val="auto"/>
        </w:rPr>
      </w:pPr>
    </w:p>
    <w:p>
      <w:pPr>
        <w:ind w:left="320" w:hanging="312"/>
        <w:spacing w:after="0" w:line="236" w:lineRule="auto"/>
        <w:tabs>
          <w:tab w:leader="none" w:pos="3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strategic, market, operational, liquidity and interest rate risks associated with our business;</w:t>
      </w:r>
    </w:p>
    <w:p>
      <w:pPr>
        <w:jc w:val="both"/>
        <w:ind w:left="340" w:hanging="332"/>
        <w:spacing w:after="0" w:line="239" w:lineRule="auto"/>
        <w:tabs>
          <w:tab w:leader="none" w:pos="33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fluctuations or unanticipated changes in the interest rate environment, including interest rate changes made by the Federal Reserve, replacement or reform of other interest rate benchmarks, as well as cash flow reassessments may reduce net interest margin and/or the volumes and values of loans made or held as well as the value of other financial assets;</w:t>
      </w:r>
    </w:p>
    <w:p>
      <w:pPr>
        <w:ind w:left="320" w:hanging="312"/>
        <w:spacing w:after="0"/>
        <w:tabs>
          <w:tab w:leader="none" w:pos="3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unanticipated or greater than anticipated adverse conditions in the national or local economies in which we operate;</w:t>
      </w:r>
    </w:p>
    <w:p>
      <w:pPr>
        <w:spacing w:after="0" w:line="9" w:lineRule="exact"/>
        <w:rPr>
          <w:rFonts w:ascii="Times New Roman" w:cs="Times New Roman" w:eastAsia="Times New Roman" w:hAnsi="Times New Roman"/>
          <w:sz w:val="18"/>
          <w:szCs w:val="18"/>
          <w:color w:val="auto"/>
        </w:rPr>
      </w:pPr>
    </w:p>
    <w:p>
      <w:pPr>
        <w:ind w:left="340" w:hanging="332"/>
        <w:spacing w:after="0" w:line="250" w:lineRule="auto"/>
        <w:tabs>
          <w:tab w:leader="none" w:pos="33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loan concentration in industries or sectors that may experience unanticipated or greater than anticipated adverse conditions than other industries or sectors in the national or local economies in which we operate;</w:t>
      </w:r>
    </w:p>
    <w:p>
      <w:pPr>
        <w:ind w:left="320" w:hanging="312"/>
        <w:spacing w:after="0"/>
        <w:tabs>
          <w:tab w:leader="none" w:pos="3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risks of expansion into new geographic or product markets;</w:t>
      </w:r>
    </w:p>
    <w:p>
      <w:pPr>
        <w:spacing w:after="0" w:line="9" w:lineRule="exact"/>
        <w:rPr>
          <w:rFonts w:ascii="Times New Roman" w:cs="Times New Roman" w:eastAsia="Times New Roman" w:hAnsi="Times New Roman"/>
          <w:sz w:val="18"/>
          <w:szCs w:val="18"/>
          <w:color w:val="auto"/>
        </w:rPr>
      </w:pPr>
    </w:p>
    <w:p>
      <w:pPr>
        <w:ind w:left="340" w:hanging="332"/>
        <w:spacing w:after="0" w:line="250" w:lineRule="auto"/>
        <w:tabs>
          <w:tab w:leader="none" w:pos="33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with respect to our ability to identify and complete future mergers or acquisitions as well as our ability to successfully expand and integrate those businesses and operations that we acquire;</w:t>
      </w:r>
    </w:p>
    <w:p>
      <w:pPr>
        <w:ind w:left="320" w:hanging="312"/>
        <w:spacing w:after="0"/>
        <w:tabs>
          <w:tab w:leader="none" w:pos="3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attract and retain key employees;</w:t>
      </w:r>
    </w:p>
    <w:p>
      <w:pPr>
        <w:spacing w:after="0" w:line="9" w:lineRule="exact"/>
        <w:rPr>
          <w:rFonts w:ascii="Times New Roman" w:cs="Times New Roman" w:eastAsia="Times New Roman" w:hAnsi="Times New Roman"/>
          <w:sz w:val="18"/>
          <w:szCs w:val="18"/>
          <w:color w:val="auto"/>
        </w:rPr>
      </w:pPr>
    </w:p>
    <w:p>
      <w:pPr>
        <w:ind w:left="340" w:hanging="332"/>
        <w:spacing w:after="0" w:line="250" w:lineRule="auto"/>
        <w:tabs>
          <w:tab w:leader="none" w:pos="33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competition from financial institutions and other financial service providers including non-bank financial technology providers and our ability to attract customers from other financial institutions;</w:t>
      </w:r>
    </w:p>
    <w:p>
      <w:pPr>
        <w:ind w:left="320" w:hanging="312"/>
        <w:spacing w:after="0"/>
        <w:tabs>
          <w:tab w:leader="none" w:pos="3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losses due to fraudulent and negligent conduct of our customers, third-party service providers or employees;</w:t>
      </w:r>
    </w:p>
    <w:p>
      <w:pPr>
        <w:spacing w:after="0" w:line="9" w:lineRule="exact"/>
        <w:rPr>
          <w:rFonts w:ascii="Times New Roman" w:cs="Times New Roman" w:eastAsia="Times New Roman" w:hAnsi="Times New Roman"/>
          <w:sz w:val="18"/>
          <w:szCs w:val="18"/>
          <w:color w:val="auto"/>
        </w:rPr>
      </w:pPr>
    </w:p>
    <w:p>
      <w:pPr>
        <w:jc w:val="both"/>
        <w:ind w:left="340" w:hanging="332"/>
        <w:spacing w:after="0" w:line="250" w:lineRule="auto"/>
        <w:tabs>
          <w:tab w:leader="none" w:pos="33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cybersecurity risks and the vulnerability of our network and online banking portals, and the systems or parties with whom we contract, to unauthorized access, computer viruses, phishing schemes, spam attacks, human error, natural disasters, power loss and other security breaches that could adversely affect our business and financial performance or reputation;</w:t>
      </w:r>
    </w:p>
    <w:p>
      <w:pPr>
        <w:spacing w:after="0" w:line="1"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reliance on third parties to provide key components of our business infrastructure and services required to operate our business;</w:t>
      </w:r>
    </w:p>
    <w:p>
      <w:pPr>
        <w:spacing w:after="0" w:line="9" w:lineRule="exact"/>
        <w:rPr>
          <w:rFonts w:ascii="Times New Roman" w:cs="Times New Roman" w:eastAsia="Times New Roman" w:hAnsi="Times New Roman"/>
          <w:sz w:val="18"/>
          <w:szCs w:val="18"/>
          <w:color w:val="auto"/>
        </w:rPr>
      </w:pPr>
    </w:p>
    <w:p>
      <w:pPr>
        <w:ind w:left="340" w:hanging="332"/>
        <w:spacing w:after="0" w:line="243" w:lineRule="auto"/>
        <w:tabs>
          <w:tab w:leader="none" w:pos="33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 that we may be required to make substantial expenditures to keep pace with regulatory initiatives and the rapid technological changes in the financial services market;</w:t>
      </w:r>
    </w:p>
    <w:p>
      <w:pPr>
        <w:spacing w:after="0" w:line="1"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and access to capital, particularly if there were to be increased capital requirements or enhanced regulatory supervision;</w:t>
      </w:r>
    </w:p>
    <w:p>
      <w:pPr>
        <w:spacing w:after="0" w:line="7"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legislative, regulatory or accounting changes that may adversely affect us;</w:t>
      </w:r>
    </w:p>
    <w:p>
      <w:pPr>
        <w:spacing w:after="0" w:line="9"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volatility in the ACL resulting from the CECL methodology, either alone or as that may be affected by conditions affecting our business;</w:t>
      </w:r>
    </w:p>
    <w:p>
      <w:pPr>
        <w:spacing w:after="0" w:line="9" w:lineRule="exact"/>
        <w:rPr>
          <w:rFonts w:ascii="Times New Roman" w:cs="Times New Roman" w:eastAsia="Times New Roman" w:hAnsi="Times New Roman"/>
          <w:sz w:val="18"/>
          <w:szCs w:val="18"/>
          <w:color w:val="auto"/>
        </w:rPr>
      </w:pPr>
    </w:p>
    <w:p>
      <w:pPr>
        <w:ind w:left="340" w:right="20" w:hanging="332"/>
        <w:spacing w:after="0" w:line="250" w:lineRule="auto"/>
        <w:tabs>
          <w:tab w:leader="none" w:pos="33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results (including judgments, costs, fines, reputational harm, inability to obtain necessary approvals and/or other negative effects) from current or future legislation, litigation, regulatory proceedings, examinations, investigations, or similar matters, or developments related thereto;</w:t>
      </w:r>
    </w:p>
    <w:p>
      <w:pPr>
        <w:ind w:left="340" w:right="20" w:hanging="332"/>
        <w:spacing w:after="0" w:line="250" w:lineRule="auto"/>
        <w:tabs>
          <w:tab w:leader="none" w:pos="33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government shutdowns, the effect of which could delay legislative activities or regulatory approval processes that could be harmful to our customers, business activities and strategic initiatives;</w:t>
      </w:r>
    </w:p>
    <w:p>
      <w:pPr>
        <w:ind w:left="320" w:hanging="312"/>
        <w:spacing w:after="0"/>
        <w:tabs>
          <w:tab w:leader="none" w:pos="3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matter that would cause us to conclude that there was impairment of any asset, including intangible assets, such as goodwill;</w:t>
      </w:r>
    </w:p>
    <w:p>
      <w:pPr>
        <w:spacing w:after="0" w:line="9" w:lineRule="exact"/>
        <w:rPr>
          <w:rFonts w:ascii="Times New Roman" w:cs="Times New Roman" w:eastAsia="Times New Roman" w:hAnsi="Times New Roman"/>
          <w:sz w:val="18"/>
          <w:szCs w:val="18"/>
          <w:color w:val="auto"/>
        </w:rPr>
      </w:pPr>
    </w:p>
    <w:p>
      <w:pPr>
        <w:ind w:left="340" w:hanging="332"/>
        <w:spacing w:after="0" w:line="243" w:lineRule="auto"/>
        <w:tabs>
          <w:tab w:leader="none" w:pos="33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limitations on our ability to declare and pay dividends and other distributions from the Bank to the Holding Company, which could affect Holding Company liquidity, including its ability to pay dividends to shareholders or take other capital actions;</w:t>
      </w:r>
    </w:p>
    <w:p>
      <w:pPr>
        <w:spacing w:after="0" w:line="1" w:lineRule="exact"/>
        <w:rPr>
          <w:rFonts w:ascii="Times New Roman" w:cs="Times New Roman" w:eastAsia="Times New Roman" w:hAnsi="Times New Roman"/>
          <w:sz w:val="18"/>
          <w:szCs w:val="18"/>
          <w:color w:val="auto"/>
        </w:rPr>
      </w:pPr>
    </w:p>
    <w:p>
      <w:pPr>
        <w:ind w:left="340" w:right="540" w:hanging="332"/>
        <w:spacing w:after="0" w:line="234" w:lineRule="auto"/>
        <w:tabs>
          <w:tab w:leader="none" w:pos="33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effects of events beyond our control that may have a destabilizing effect on financial markets and the economy, such as inflation or recession, terrorist activities, wars and other foreign conflicts, climate change and weather related events,</w:t>
      </w:r>
    </w:p>
    <w:p>
      <w:pPr>
        <w:spacing w:after="0" w:line="1" w:lineRule="exact"/>
        <w:rPr>
          <w:rFonts w:ascii="Times New Roman" w:cs="Times New Roman" w:eastAsia="Times New Roman" w:hAnsi="Times New Roman"/>
          <w:sz w:val="18"/>
          <w:szCs w:val="18"/>
          <w:color w:val="auto"/>
        </w:rPr>
      </w:pPr>
    </w:p>
    <w:p>
      <w:pPr>
        <w:ind w:left="340" w:right="20"/>
        <w:spacing w:after="0" w:line="24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disruptions in our customers’ supply chains, disruptions in transportation, essential utility outages or trade disputes and tariffs including threats thereof, either imposed by the U.S. or other trading partners in retaliation to U.S. tariffs; and</w:t>
      </w:r>
    </w:p>
    <w:p>
      <w:pPr>
        <w:spacing w:after="0" w:line="1" w:lineRule="exact"/>
        <w:rPr>
          <w:rFonts w:ascii="Times New Roman" w:cs="Times New Roman" w:eastAsia="Times New Roman" w:hAnsi="Times New Roman"/>
          <w:sz w:val="18"/>
          <w:szCs w:val="18"/>
          <w:color w:val="auto"/>
        </w:rPr>
      </w:pPr>
    </w:p>
    <w:p>
      <w:pPr>
        <w:ind w:left="340" w:hanging="332"/>
        <w:spacing w:after="0" w:line="260" w:lineRule="auto"/>
        <w:tabs>
          <w:tab w:leader="none" w:pos="33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risks and uncertainties disclosed in documents filed or furnished by us with or to the SEC, any of which could cause actual results to differ materially from future results expressed, implied or otherwise anticipated by such forward-looking statements.</w:t>
      </w:r>
    </w:p>
    <w:p>
      <w:pPr>
        <w:spacing w:after="0" w:line="20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caution readers that the foregoing list of factors is not exclusive, is not necessarily in order of importance and readers should not place undue reliance on forward-looking statements. Additional factors that may cause actual results to differ materially from those contemplated by any forward-looking statements also may be found in our 2024 10-K (including the “Risk Factor” section of that report), Quarterly Reports on Form 10-Q, and Current Reports on Form 8-K filed with the SEC and available at the SEC’s website at http://www.sec.gov. We do not intend to and, except as required by law, hereby disclaim any obligation to update or revise any forward-looking statement contained in this Report, which speaks only as of the date of its filing with the SEC, whether as a result of new information, future events, or otherwise.</w:t>
      </w:r>
    </w:p>
    <w:p>
      <w:pPr>
        <w:sectPr>
          <w:pgSz w:w="11900" w:h="16838" w:orient="portrait"/>
          <w:cols w:equalWidth="0" w:num="1">
            <w:col w:w="11240"/>
          </w:cols>
          <w:pgMar w:left="320" w:top="927" w:right="339" w:bottom="1105" w:gutter="0" w:footer="0" w:header="0"/>
        </w:sect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7" w:right="339" w:bottom="1105" w:gutter="0" w:footer="0" w:header="0"/>
          <w:type w:val="continuous"/>
        </w:sectPr>
      </w:pPr>
    </w:p>
    <w:bookmarkStart w:id="4" w:name="page5"/>
    <w:bookmarkEnd w:id="4"/>
    <w:p>
      <w:pPr>
        <w:jc w:val="center"/>
        <w:ind w:right="60"/>
        <w:spacing w:after="0"/>
        <w:rPr>
          <w:sz w:val="20"/>
          <w:szCs w:val="20"/>
          <w:color w:val="auto"/>
        </w:rPr>
      </w:pPr>
      <w:r>
        <w:rPr>
          <w:rFonts w:ascii="Times New Roman" w:cs="Times New Roman" w:eastAsia="Times New Roman" w:hAnsi="Times New Roman"/>
          <w:sz w:val="16"/>
          <w:szCs w:val="16"/>
          <w:b w:val="1"/>
          <w:bCs w:val="1"/>
          <w:color w:val="auto"/>
        </w:rPr>
        <w:t>Part I. FINANCIAL INFORMATION</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1. Financial Statements</w:t>
      </w:r>
    </w:p>
    <w:p>
      <w:pPr>
        <w:spacing w:after="0" w:line="276"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b w:val="1"/>
          <w:bCs w:val="1"/>
          <w:color w:val="auto"/>
        </w:rPr>
        <w:t>UNITED COMMUNITY BANKS, INC.</w:t>
      </w:r>
    </w:p>
    <w:p>
      <w:pPr>
        <w:spacing w:after="0" w:line="31"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b w:val="1"/>
          <w:bCs w:val="1"/>
          <w:color w:val="auto"/>
        </w:rPr>
        <w:t xml:space="preserve">Consolidated Balance Sheets </w:t>
      </w:r>
      <w:r>
        <w:rPr>
          <w:rFonts w:ascii="Times New Roman" w:cs="Times New Roman" w:eastAsia="Times New Roman" w:hAnsi="Times New Roman"/>
          <w:sz w:val="18"/>
          <w:szCs w:val="18"/>
          <w:i w:val="1"/>
          <w:iCs w:val="1"/>
          <w:color w:val="auto"/>
        </w:rPr>
        <w:t>(Unaudited)</w:t>
      </w:r>
    </w:p>
    <w:p>
      <w:pPr>
        <w:spacing w:after="0" w:line="109" w:lineRule="exact"/>
        <w:rPr>
          <w:sz w:val="20"/>
          <w:szCs w:val="20"/>
          <w:color w:val="auto"/>
        </w:rPr>
      </w:pPr>
    </w:p>
    <w:tbl>
      <w:tblPr>
        <w:tblLayout w:type="fixed"/>
        <w:tblInd w:w="80" w:type="dxa"/>
        <w:tblCellMar>
          <w:top w:w="0" w:type="dxa"/>
          <w:left w:w="0" w:type="dxa"/>
          <w:bottom w:w="0" w:type="dxa"/>
          <w:right w:w="0" w:type="dxa"/>
        </w:tblCellMar>
      </w:tblPr>
      <w:tr>
        <w:trPr>
          <w:trHeight w:val="184"/>
        </w:trPr>
        <w:tc>
          <w:tcPr>
            <w:tcW w:w="844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 except share data)</w:t>
            </w:r>
          </w:p>
        </w:tc>
        <w:tc>
          <w:tcPr>
            <w:tcW w:w="140" w:type="dxa"/>
            <w:vAlign w:val="bottom"/>
          </w:tcPr>
          <w:p>
            <w:pPr>
              <w:spacing w:after="0"/>
              <w:rPr>
                <w:sz w:val="16"/>
                <w:szCs w:val="16"/>
                <w:color w:val="auto"/>
              </w:rPr>
            </w:pPr>
          </w:p>
        </w:tc>
        <w:tc>
          <w:tcPr>
            <w:tcW w:w="130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140" w:type="dxa"/>
            <w:vAlign w:val="bottom"/>
          </w:tcPr>
          <w:p>
            <w:pPr>
              <w:spacing w:after="0"/>
              <w:rPr>
                <w:sz w:val="16"/>
                <w:szCs w:val="16"/>
                <w:color w:val="auto"/>
              </w:rPr>
            </w:pPr>
          </w:p>
        </w:tc>
        <w:tc>
          <w:tcPr>
            <w:tcW w:w="1200" w:type="dxa"/>
            <w:vAlign w:val="bottom"/>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0" w:type="dxa"/>
            <w:vAlign w:val="bottom"/>
          </w:tcPr>
          <w:p>
            <w:pPr>
              <w:spacing w:after="0"/>
              <w:rPr>
                <w:sz w:val="1"/>
                <w:szCs w:val="1"/>
                <w:color w:val="auto"/>
              </w:rPr>
            </w:pPr>
          </w:p>
        </w:tc>
      </w:tr>
      <w:tr>
        <w:trPr>
          <w:trHeight w:val="214"/>
        </w:trPr>
        <w:tc>
          <w:tcPr>
            <w:tcW w:w="844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jc w:val="right"/>
              <w:ind w:right="39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rPr>
              <w:t>2024</w:t>
            </w:r>
          </w:p>
        </w:tc>
        <w:tc>
          <w:tcPr>
            <w:tcW w:w="0" w:type="dxa"/>
            <w:vAlign w:val="bottom"/>
          </w:tcPr>
          <w:p>
            <w:pPr>
              <w:spacing w:after="0"/>
              <w:rPr>
                <w:sz w:val="1"/>
                <w:szCs w:val="1"/>
                <w:color w:val="auto"/>
              </w:rPr>
            </w:pPr>
          </w:p>
        </w:tc>
      </w:tr>
      <w:tr>
        <w:trPr>
          <w:trHeight w:val="209"/>
        </w:trPr>
        <w:tc>
          <w:tcPr>
            <w:tcW w:w="834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84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Cash and due from banks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205,007</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296,161</w:t>
            </w:r>
          </w:p>
        </w:tc>
        <w:tc>
          <w:tcPr>
            <w:tcW w:w="0" w:type="dxa"/>
            <w:vAlign w:val="bottom"/>
          </w:tcPr>
          <w:p>
            <w:pPr>
              <w:spacing w:after="0"/>
              <w:rPr>
                <w:sz w:val="1"/>
                <w:szCs w:val="1"/>
                <w:color w:val="auto"/>
              </w:rPr>
            </w:pPr>
          </w:p>
        </w:tc>
      </w:tr>
      <w:tr>
        <w:trPr>
          <w:trHeight w:val="213"/>
        </w:trPr>
        <w:tc>
          <w:tcPr>
            <w:tcW w:w="8440" w:type="dxa"/>
            <w:vAlign w:val="bottom"/>
            <w:tcBorders>
              <w:bottom w:val="single" w:sz="8" w:color="CCEEFF"/>
            </w:tcBorders>
            <w:gridSpan w:val="2"/>
          </w:tcPr>
          <w:p>
            <w:pPr>
              <w:ind w:left="140"/>
              <w:spacing w:after="0"/>
              <w:rPr>
                <w:sz w:val="20"/>
                <w:szCs w:val="20"/>
                <w:color w:val="auto"/>
              </w:rPr>
            </w:pPr>
            <w:r>
              <w:rPr>
                <w:rFonts w:ascii="Times New Roman" w:cs="Times New Roman" w:eastAsia="Times New Roman" w:hAnsi="Times New Roman"/>
                <w:sz w:val="16"/>
                <w:szCs w:val="16"/>
                <w:color w:val="auto"/>
              </w:rPr>
              <w:t>Interest-bearing deposits in banks</w:t>
            </w:r>
          </w:p>
        </w:tc>
        <w:tc>
          <w:tcPr>
            <w:tcW w:w="1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408,424</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223,712</w:t>
            </w:r>
          </w:p>
        </w:tc>
        <w:tc>
          <w:tcPr>
            <w:tcW w:w="0" w:type="dxa"/>
            <w:vAlign w:val="bottom"/>
          </w:tcPr>
          <w:p>
            <w:pPr>
              <w:spacing w:after="0"/>
              <w:rPr>
                <w:sz w:val="1"/>
                <w:szCs w:val="1"/>
                <w:color w:val="auto"/>
              </w:rPr>
            </w:pPr>
          </w:p>
        </w:tc>
      </w:tr>
      <w:tr>
        <w:trPr>
          <w:trHeight w:val="212"/>
        </w:trPr>
        <w:tc>
          <w:tcPr>
            <w:tcW w:w="84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1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613,431</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519,873</w:t>
            </w:r>
          </w:p>
        </w:tc>
        <w:tc>
          <w:tcPr>
            <w:tcW w:w="0" w:type="dxa"/>
            <w:vAlign w:val="bottom"/>
          </w:tcPr>
          <w:p>
            <w:pPr>
              <w:spacing w:after="0"/>
              <w:rPr>
                <w:sz w:val="1"/>
                <w:szCs w:val="1"/>
                <w:color w:val="auto"/>
              </w:rPr>
            </w:pPr>
          </w:p>
        </w:tc>
      </w:tr>
      <w:tr>
        <w:trPr>
          <w:trHeight w:val="213"/>
        </w:trPr>
        <w:tc>
          <w:tcPr>
            <w:tcW w:w="844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Debt securities available-for-sale</w:t>
            </w:r>
          </w:p>
        </w:tc>
        <w:tc>
          <w:tcPr>
            <w:tcW w:w="1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3,889,263</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4,436,291</w:t>
            </w:r>
          </w:p>
        </w:tc>
        <w:tc>
          <w:tcPr>
            <w:tcW w:w="0" w:type="dxa"/>
            <w:vAlign w:val="bottom"/>
          </w:tcPr>
          <w:p>
            <w:pPr>
              <w:spacing w:after="0"/>
              <w:rPr>
                <w:sz w:val="1"/>
                <w:szCs w:val="1"/>
                <w:color w:val="auto"/>
              </w:rPr>
            </w:pPr>
          </w:p>
        </w:tc>
      </w:tr>
      <w:tr>
        <w:trPr>
          <w:trHeight w:val="219"/>
        </w:trPr>
        <w:tc>
          <w:tcPr>
            <w:tcW w:w="84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Debt securities held-to-maturity (fair value $1,937,053 and $1,944,126, respectively)</w:t>
            </w: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2,274,099</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2,368,107</w:t>
            </w:r>
          </w:p>
        </w:tc>
        <w:tc>
          <w:tcPr>
            <w:tcW w:w="0" w:type="dxa"/>
            <w:vAlign w:val="bottom"/>
          </w:tcPr>
          <w:p>
            <w:pPr>
              <w:spacing w:after="0"/>
              <w:rPr>
                <w:sz w:val="1"/>
                <w:szCs w:val="1"/>
                <w:color w:val="auto"/>
              </w:rPr>
            </w:pPr>
          </w:p>
        </w:tc>
      </w:tr>
      <w:tr>
        <w:trPr>
          <w:trHeight w:val="213"/>
        </w:trPr>
        <w:tc>
          <w:tcPr>
            <w:tcW w:w="844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Loans held for sale</w:t>
            </w:r>
          </w:p>
        </w:tc>
        <w:tc>
          <w:tcPr>
            <w:tcW w:w="1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34,802</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57,534</w:t>
            </w:r>
          </w:p>
        </w:tc>
        <w:tc>
          <w:tcPr>
            <w:tcW w:w="0" w:type="dxa"/>
            <w:vAlign w:val="bottom"/>
          </w:tcPr>
          <w:p>
            <w:pPr>
              <w:spacing w:after="0"/>
              <w:rPr>
                <w:sz w:val="1"/>
                <w:szCs w:val="1"/>
                <w:color w:val="auto"/>
              </w:rPr>
            </w:pPr>
          </w:p>
        </w:tc>
      </w:tr>
      <w:tr>
        <w:trPr>
          <w:trHeight w:val="219"/>
        </w:trPr>
        <w:tc>
          <w:tcPr>
            <w:tcW w:w="84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Loans and leases held for investment</w:t>
            </w: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19,174,794</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18,175,980</w:t>
            </w:r>
          </w:p>
        </w:tc>
        <w:tc>
          <w:tcPr>
            <w:tcW w:w="0" w:type="dxa"/>
            <w:vAlign w:val="bottom"/>
          </w:tcPr>
          <w:p>
            <w:pPr>
              <w:spacing w:after="0"/>
              <w:rPr>
                <w:sz w:val="1"/>
                <w:szCs w:val="1"/>
                <w:color w:val="auto"/>
              </w:rPr>
            </w:pPr>
          </w:p>
        </w:tc>
      </w:tr>
      <w:tr>
        <w:trPr>
          <w:trHeight w:val="213"/>
        </w:trPr>
        <w:tc>
          <w:tcPr>
            <w:tcW w:w="8440" w:type="dxa"/>
            <w:vAlign w:val="bottom"/>
            <w:tcBorders>
              <w:bottom w:val="single" w:sz="8" w:color="CCEEFF"/>
            </w:tcBorders>
            <w:gridSpan w:val="2"/>
          </w:tcPr>
          <w:p>
            <w:pPr>
              <w:ind w:left="140"/>
              <w:spacing w:after="0"/>
              <w:rPr>
                <w:sz w:val="20"/>
                <w:szCs w:val="20"/>
                <w:color w:val="auto"/>
              </w:rPr>
            </w:pPr>
            <w:r>
              <w:rPr>
                <w:rFonts w:ascii="Times New Roman" w:cs="Times New Roman" w:eastAsia="Times New Roman" w:hAnsi="Times New Roman"/>
                <w:sz w:val="16"/>
                <w:szCs w:val="16"/>
                <w:color w:val="auto"/>
              </w:rPr>
              <w:t>Less allowance for credit losses - loans and leases</w:t>
            </w:r>
          </w:p>
        </w:tc>
        <w:tc>
          <w:tcPr>
            <w:tcW w:w="1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(215,791)</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(206,998)</w:t>
            </w:r>
          </w:p>
        </w:tc>
        <w:tc>
          <w:tcPr>
            <w:tcW w:w="0" w:type="dxa"/>
            <w:vAlign w:val="bottom"/>
          </w:tcPr>
          <w:p>
            <w:pPr>
              <w:spacing w:after="0"/>
              <w:rPr>
                <w:sz w:val="1"/>
                <w:szCs w:val="1"/>
                <w:color w:val="auto"/>
              </w:rPr>
            </w:pPr>
          </w:p>
        </w:tc>
      </w:tr>
      <w:tr>
        <w:trPr>
          <w:trHeight w:val="212"/>
        </w:trPr>
        <w:tc>
          <w:tcPr>
            <w:tcW w:w="844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Loans and leases, net</w:t>
            </w:r>
          </w:p>
        </w:tc>
        <w:tc>
          <w:tcPr>
            <w:tcW w:w="1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18,959,003</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17,968,982</w:t>
            </w:r>
          </w:p>
        </w:tc>
        <w:tc>
          <w:tcPr>
            <w:tcW w:w="0" w:type="dxa"/>
            <w:vAlign w:val="bottom"/>
          </w:tcPr>
          <w:p>
            <w:pPr>
              <w:spacing w:after="0"/>
              <w:rPr>
                <w:sz w:val="1"/>
                <w:szCs w:val="1"/>
                <w:color w:val="auto"/>
              </w:rPr>
            </w:pPr>
          </w:p>
        </w:tc>
      </w:tr>
      <w:tr>
        <w:trPr>
          <w:trHeight w:val="213"/>
        </w:trPr>
        <w:tc>
          <w:tcPr>
            <w:tcW w:w="844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Premises and equipment, net</w:t>
            </w:r>
          </w:p>
        </w:tc>
        <w:tc>
          <w:tcPr>
            <w:tcW w:w="1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394,536</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394,264</w:t>
            </w:r>
          </w:p>
        </w:tc>
        <w:tc>
          <w:tcPr>
            <w:tcW w:w="0" w:type="dxa"/>
            <w:vAlign w:val="bottom"/>
          </w:tcPr>
          <w:p>
            <w:pPr>
              <w:spacing w:after="0"/>
              <w:rPr>
                <w:sz w:val="1"/>
                <w:szCs w:val="1"/>
                <w:color w:val="auto"/>
              </w:rPr>
            </w:pPr>
          </w:p>
        </w:tc>
      </w:tr>
      <w:tr>
        <w:trPr>
          <w:trHeight w:val="219"/>
        </w:trPr>
        <w:tc>
          <w:tcPr>
            <w:tcW w:w="84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Bank owned life insurance</w:t>
            </w: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362,608</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346,234</w:t>
            </w:r>
          </w:p>
        </w:tc>
        <w:tc>
          <w:tcPr>
            <w:tcW w:w="0" w:type="dxa"/>
            <w:vAlign w:val="bottom"/>
          </w:tcPr>
          <w:p>
            <w:pPr>
              <w:spacing w:after="0"/>
              <w:rPr>
                <w:sz w:val="1"/>
                <w:szCs w:val="1"/>
                <w:color w:val="auto"/>
              </w:rPr>
            </w:pPr>
          </w:p>
        </w:tc>
      </w:tr>
      <w:tr>
        <w:trPr>
          <w:trHeight w:val="213"/>
        </w:trPr>
        <w:tc>
          <w:tcPr>
            <w:tcW w:w="844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Goodwill and other intangible assets, net</w:t>
            </w:r>
          </w:p>
        </w:tc>
        <w:tc>
          <w:tcPr>
            <w:tcW w:w="1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971,071</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956,643</w:t>
            </w:r>
          </w:p>
        </w:tc>
        <w:tc>
          <w:tcPr>
            <w:tcW w:w="0" w:type="dxa"/>
            <w:vAlign w:val="bottom"/>
          </w:tcPr>
          <w:p>
            <w:pPr>
              <w:spacing w:after="0"/>
              <w:rPr>
                <w:sz w:val="1"/>
                <w:szCs w:val="1"/>
                <w:color w:val="auto"/>
              </w:rPr>
            </w:pPr>
          </w:p>
        </w:tc>
      </w:tr>
      <w:tr>
        <w:trPr>
          <w:trHeight w:val="216"/>
        </w:trPr>
        <w:tc>
          <w:tcPr>
            <w:tcW w:w="84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Other assets (including $109,174 and $116,020 at fair value, respectively)</w:t>
            </w:r>
          </w:p>
        </w:tc>
        <w:tc>
          <w:tcPr>
            <w:tcW w:w="14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644,660</w:t>
            </w:r>
          </w:p>
        </w:tc>
        <w:tc>
          <w:tcPr>
            <w:tcW w:w="1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672,330</w:t>
            </w:r>
          </w:p>
        </w:tc>
        <w:tc>
          <w:tcPr>
            <w:tcW w:w="0" w:type="dxa"/>
            <w:vAlign w:val="bottom"/>
          </w:tcPr>
          <w:p>
            <w:pPr>
              <w:spacing w:after="0"/>
              <w:rPr>
                <w:sz w:val="1"/>
                <w:szCs w:val="1"/>
                <w:color w:val="auto"/>
              </w:rPr>
            </w:pPr>
          </w:p>
        </w:tc>
      </w:tr>
      <w:tr>
        <w:trPr>
          <w:trHeight w:val="212"/>
        </w:trPr>
        <w:tc>
          <w:tcPr>
            <w:tcW w:w="8440" w:type="dxa"/>
            <w:vAlign w:val="bottom"/>
            <w:gridSpan w:val="2"/>
          </w:tcPr>
          <w:p>
            <w:pPr>
              <w:ind w:left="220"/>
              <w:spacing w:after="0"/>
              <w:rPr>
                <w:sz w:val="20"/>
                <w:szCs w:val="20"/>
                <w:color w:val="auto"/>
              </w:rPr>
            </w:pPr>
            <w:r>
              <w:rPr>
                <w:rFonts w:ascii="Times New Roman" w:cs="Times New Roman" w:eastAsia="Times New Roman" w:hAnsi="Times New Roman"/>
                <w:sz w:val="16"/>
                <w:szCs w:val="16"/>
                <w:b w:val="1"/>
                <w:bCs w:val="1"/>
                <w:color w:val="auto"/>
              </w:rPr>
              <w:t>Total assets</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28,143,473</w:t>
            </w:r>
          </w:p>
        </w:tc>
        <w:tc>
          <w:tcPr>
            <w:tcW w:w="12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27,720,258</w:t>
            </w:r>
          </w:p>
        </w:tc>
        <w:tc>
          <w:tcPr>
            <w:tcW w:w="0" w:type="dxa"/>
            <w:vAlign w:val="bottom"/>
          </w:tcPr>
          <w:p>
            <w:pPr>
              <w:spacing w:after="0"/>
              <w:rPr>
                <w:sz w:val="1"/>
                <w:szCs w:val="1"/>
                <w:color w:val="auto"/>
              </w:rPr>
            </w:pPr>
          </w:p>
        </w:tc>
      </w:tr>
      <w:tr>
        <w:trPr>
          <w:trHeight w:val="20"/>
        </w:trPr>
        <w:tc>
          <w:tcPr>
            <w:tcW w:w="83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84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LIABILITIES AND SHAREHOLDERS’ EQUITY</w:t>
            </w:r>
          </w:p>
        </w:tc>
        <w:tc>
          <w:tcPr>
            <w:tcW w:w="14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3"/>
        </w:trPr>
        <w:tc>
          <w:tcPr>
            <w:tcW w:w="84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Liabilities:</w:t>
            </w:r>
          </w:p>
        </w:tc>
        <w:tc>
          <w:tcPr>
            <w:tcW w:w="1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84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Deposits:</w:t>
            </w: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844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Noninterest-bearing demand</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6,444,067</w:t>
            </w:r>
          </w:p>
        </w:tc>
        <w:tc>
          <w:tcPr>
            <w:tcW w:w="1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6,211,182</w:t>
            </w:r>
          </w:p>
        </w:tc>
        <w:tc>
          <w:tcPr>
            <w:tcW w:w="0" w:type="dxa"/>
            <w:vAlign w:val="bottom"/>
          </w:tcPr>
          <w:p>
            <w:pPr>
              <w:spacing w:after="0"/>
              <w:rPr>
                <w:sz w:val="1"/>
                <w:szCs w:val="1"/>
                <w:color w:val="auto"/>
              </w:rPr>
            </w:pPr>
          </w:p>
        </w:tc>
      </w:tr>
      <w:tr>
        <w:trPr>
          <w:trHeight w:val="219"/>
        </w:trPr>
        <w:tc>
          <w:tcPr>
            <w:tcW w:w="84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Interest-bearing deposits</w:t>
            </w:r>
          </w:p>
        </w:tc>
        <w:tc>
          <w:tcPr>
            <w:tcW w:w="1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17,576,551</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17,249,793</w:t>
            </w:r>
          </w:p>
        </w:tc>
        <w:tc>
          <w:tcPr>
            <w:tcW w:w="0" w:type="dxa"/>
            <w:vAlign w:val="bottom"/>
          </w:tcPr>
          <w:p>
            <w:pPr>
              <w:spacing w:after="0"/>
              <w:rPr>
                <w:sz w:val="1"/>
                <w:szCs w:val="1"/>
                <w:color w:val="auto"/>
              </w:rPr>
            </w:pPr>
          </w:p>
        </w:tc>
      </w:tr>
      <w:tr>
        <w:trPr>
          <w:trHeight w:val="207"/>
        </w:trPr>
        <w:tc>
          <w:tcPr>
            <w:tcW w:w="8440" w:type="dxa"/>
            <w:vAlign w:val="bottom"/>
            <w:gridSpan w:val="2"/>
          </w:tcPr>
          <w:p>
            <w:pPr>
              <w:ind w:left="360"/>
              <w:spacing w:after="0"/>
              <w:rPr>
                <w:sz w:val="20"/>
                <w:szCs w:val="20"/>
                <w:color w:val="auto"/>
              </w:rPr>
            </w:pPr>
            <w:r>
              <w:rPr>
                <w:rFonts w:ascii="Times New Roman" w:cs="Times New Roman" w:eastAsia="Times New Roman" w:hAnsi="Times New Roman"/>
                <w:sz w:val="16"/>
                <w:szCs w:val="16"/>
                <w:color w:val="auto"/>
              </w:rPr>
              <w:t>Total deposits</w:t>
            </w:r>
          </w:p>
        </w:tc>
        <w:tc>
          <w:tcPr>
            <w:tcW w:w="14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24,020,618</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23,460,975</w:t>
            </w:r>
          </w:p>
        </w:tc>
        <w:tc>
          <w:tcPr>
            <w:tcW w:w="0" w:type="dxa"/>
            <w:vAlign w:val="bottom"/>
          </w:tcPr>
          <w:p>
            <w:pPr>
              <w:spacing w:after="0"/>
              <w:rPr>
                <w:sz w:val="1"/>
                <w:szCs w:val="1"/>
                <w:color w:val="auto"/>
              </w:rPr>
            </w:pPr>
          </w:p>
        </w:tc>
      </w:tr>
      <w:tr>
        <w:trPr>
          <w:trHeight w:val="219"/>
        </w:trPr>
        <w:tc>
          <w:tcPr>
            <w:tcW w:w="84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Short-term borrowings</w:t>
            </w:r>
          </w:p>
        </w:tc>
        <w:tc>
          <w:tcPr>
            <w:tcW w:w="14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195,000</w:t>
            </w:r>
          </w:p>
        </w:tc>
        <w:tc>
          <w:tcPr>
            <w:tcW w:w="0" w:type="dxa"/>
            <w:vAlign w:val="bottom"/>
          </w:tcPr>
          <w:p>
            <w:pPr>
              <w:spacing w:after="0"/>
              <w:rPr>
                <w:sz w:val="1"/>
                <w:szCs w:val="1"/>
                <w:color w:val="auto"/>
              </w:rPr>
            </w:pPr>
          </w:p>
        </w:tc>
      </w:tr>
      <w:tr>
        <w:trPr>
          <w:trHeight w:val="213"/>
        </w:trPr>
        <w:tc>
          <w:tcPr>
            <w:tcW w:w="844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Long-term debt</w:t>
            </w:r>
          </w:p>
        </w:tc>
        <w:tc>
          <w:tcPr>
            <w:tcW w:w="1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155,251</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254,152</w:t>
            </w:r>
          </w:p>
        </w:tc>
        <w:tc>
          <w:tcPr>
            <w:tcW w:w="0" w:type="dxa"/>
            <w:vAlign w:val="bottom"/>
          </w:tcPr>
          <w:p>
            <w:pPr>
              <w:spacing w:after="0"/>
              <w:rPr>
                <w:sz w:val="1"/>
                <w:szCs w:val="1"/>
                <w:color w:val="auto"/>
              </w:rPr>
            </w:pPr>
          </w:p>
        </w:tc>
      </w:tr>
      <w:tr>
        <w:trPr>
          <w:trHeight w:val="219"/>
        </w:trPr>
        <w:tc>
          <w:tcPr>
            <w:tcW w:w="84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Accrued expense and other liabilities (including $72,128 and $93,165 at fair value, respectively)</w:t>
            </w:r>
          </w:p>
        </w:tc>
        <w:tc>
          <w:tcPr>
            <w:tcW w:w="1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370,753</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378,004</w:t>
            </w:r>
          </w:p>
        </w:tc>
        <w:tc>
          <w:tcPr>
            <w:tcW w:w="0" w:type="dxa"/>
            <w:vAlign w:val="bottom"/>
          </w:tcPr>
          <w:p>
            <w:pPr>
              <w:spacing w:after="0"/>
              <w:rPr>
                <w:sz w:val="1"/>
                <w:szCs w:val="1"/>
                <w:color w:val="auto"/>
              </w:rPr>
            </w:pPr>
          </w:p>
        </w:tc>
      </w:tr>
      <w:tr>
        <w:trPr>
          <w:trHeight w:val="207"/>
        </w:trPr>
        <w:tc>
          <w:tcPr>
            <w:tcW w:w="8440" w:type="dxa"/>
            <w:vAlign w:val="bottom"/>
            <w:tcBorders>
              <w:bottom w:val="single" w:sz="8" w:color="CCEEFF"/>
            </w:tcBorders>
            <w:gridSpan w:val="2"/>
          </w:tcPr>
          <w:p>
            <w:pPr>
              <w:ind w:left="360"/>
              <w:spacing w:after="0"/>
              <w:rPr>
                <w:sz w:val="20"/>
                <w:szCs w:val="20"/>
                <w:color w:val="auto"/>
              </w:rPr>
            </w:pPr>
            <w:r>
              <w:rPr>
                <w:rFonts w:ascii="Times New Roman" w:cs="Times New Roman" w:eastAsia="Times New Roman" w:hAnsi="Times New Roman"/>
                <w:sz w:val="16"/>
                <w:szCs w:val="16"/>
                <w:b w:val="1"/>
                <w:bCs w:val="1"/>
                <w:color w:val="auto"/>
              </w:rPr>
              <w:t>Total liabilities</w:t>
            </w:r>
          </w:p>
        </w:tc>
        <w:tc>
          <w:tcPr>
            <w:tcW w:w="14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24,546,622</w:t>
            </w:r>
          </w:p>
        </w:tc>
        <w:tc>
          <w:tcPr>
            <w:tcW w:w="1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24,288,131</w:t>
            </w:r>
          </w:p>
        </w:tc>
        <w:tc>
          <w:tcPr>
            <w:tcW w:w="0" w:type="dxa"/>
            <w:vAlign w:val="bottom"/>
          </w:tcPr>
          <w:p>
            <w:pPr>
              <w:spacing w:after="0"/>
              <w:rPr>
                <w:sz w:val="1"/>
                <w:szCs w:val="1"/>
                <w:color w:val="auto"/>
              </w:rPr>
            </w:pPr>
          </w:p>
        </w:tc>
      </w:tr>
      <w:tr>
        <w:trPr>
          <w:trHeight w:val="199"/>
        </w:trPr>
        <w:tc>
          <w:tcPr>
            <w:tcW w:w="84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Shareholders' equity:</w:t>
            </w:r>
          </w:p>
        </w:tc>
        <w:tc>
          <w:tcPr>
            <w:tcW w:w="14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8440" w:type="dxa"/>
            <w:vAlign w:val="bottom"/>
            <w:gridSpan w:val="2"/>
          </w:tcPr>
          <w:p>
            <w:pPr>
              <w:ind w:left="140"/>
              <w:spacing w:after="0" w:line="162" w:lineRule="exact"/>
              <w:rPr>
                <w:sz w:val="20"/>
                <w:szCs w:val="20"/>
                <w:color w:val="auto"/>
              </w:rPr>
            </w:pPr>
            <w:r>
              <w:rPr>
                <w:rFonts w:ascii="Times New Roman" w:cs="Times New Roman" w:eastAsia="Times New Roman" w:hAnsi="Times New Roman"/>
                <w:sz w:val="16"/>
                <w:szCs w:val="16"/>
                <w:color w:val="auto"/>
              </w:rPr>
              <w:t>Preferred stock, $1 par value: 10,000,000 shares authorized; 0 and 3,662 shares Series I issued and</w:t>
            </w:r>
          </w:p>
        </w:tc>
        <w:tc>
          <w:tcPr>
            <w:tcW w:w="140" w:type="dxa"/>
            <w:vAlign w:val="bottom"/>
          </w:tcPr>
          <w:p>
            <w:pPr>
              <w:spacing w:after="0"/>
              <w:rPr>
                <w:sz w:val="14"/>
                <w:szCs w:val="14"/>
                <w:color w:val="auto"/>
              </w:rPr>
            </w:pPr>
          </w:p>
        </w:tc>
        <w:tc>
          <w:tcPr>
            <w:tcW w:w="130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4"/>
                <w:szCs w:val="14"/>
                <w:color w:val="auto"/>
              </w:rPr>
            </w:pPr>
          </w:p>
        </w:tc>
        <w:tc>
          <w:tcPr>
            <w:tcW w:w="12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88,266</w:t>
            </w:r>
          </w:p>
        </w:tc>
        <w:tc>
          <w:tcPr>
            <w:tcW w:w="0" w:type="dxa"/>
            <w:vAlign w:val="bottom"/>
          </w:tcPr>
          <w:p>
            <w:pPr>
              <w:spacing w:after="0"/>
              <w:rPr>
                <w:sz w:val="1"/>
                <w:szCs w:val="1"/>
                <w:color w:val="auto"/>
              </w:rPr>
            </w:pPr>
          </w:p>
        </w:tc>
      </w:tr>
      <w:tr>
        <w:trPr>
          <w:trHeight w:val="213"/>
        </w:trPr>
        <w:tc>
          <w:tcPr>
            <w:tcW w:w="844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outstanding, respectively; $25,000 per share liquidation preference</w:t>
            </w:r>
          </w:p>
        </w:tc>
        <w:tc>
          <w:tcPr>
            <w:tcW w:w="140" w:type="dxa"/>
            <w:vAlign w:val="bottom"/>
          </w:tcPr>
          <w:p>
            <w:pPr>
              <w:spacing w:after="0"/>
              <w:rPr>
                <w:sz w:val="18"/>
                <w:szCs w:val="18"/>
                <w:color w:val="auto"/>
              </w:rPr>
            </w:pPr>
          </w:p>
        </w:tc>
        <w:tc>
          <w:tcPr>
            <w:tcW w:w="130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5"/>
        </w:trPr>
        <w:tc>
          <w:tcPr>
            <w:tcW w:w="8440" w:type="dxa"/>
            <w:vAlign w:val="bottom"/>
            <w:gridSpan w:val="2"/>
            <w:shd w:val="clear" w:color="auto" w:fill="CCEEFF"/>
          </w:tcPr>
          <w:p>
            <w:pPr>
              <w:ind w:left="140"/>
              <w:spacing w:after="0" w:line="165" w:lineRule="exact"/>
              <w:rPr>
                <w:sz w:val="20"/>
                <w:szCs w:val="20"/>
                <w:color w:val="auto"/>
              </w:rPr>
            </w:pPr>
            <w:r>
              <w:rPr>
                <w:rFonts w:ascii="Times New Roman" w:cs="Times New Roman" w:eastAsia="Times New Roman" w:hAnsi="Times New Roman"/>
                <w:sz w:val="16"/>
                <w:szCs w:val="16"/>
                <w:color w:val="auto"/>
              </w:rPr>
              <w:t>Common stock, $1 par value: 200,000,000 shares authorized,</w:t>
            </w:r>
          </w:p>
        </w:tc>
        <w:tc>
          <w:tcPr>
            <w:tcW w:w="140" w:type="dxa"/>
            <w:vAlign w:val="bottom"/>
            <w:shd w:val="clear" w:color="auto" w:fill="CCEEFF"/>
          </w:tcPr>
          <w:p>
            <w:pPr>
              <w:spacing w:after="0"/>
              <w:rPr>
                <w:sz w:val="14"/>
                <w:szCs w:val="14"/>
                <w:color w:val="auto"/>
              </w:rPr>
            </w:pPr>
          </w:p>
        </w:tc>
        <w:tc>
          <w:tcPr>
            <w:tcW w:w="11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121,553</w:t>
            </w: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119,364</w:t>
            </w:r>
          </w:p>
        </w:tc>
        <w:tc>
          <w:tcPr>
            <w:tcW w:w="0" w:type="dxa"/>
            <w:vAlign w:val="bottom"/>
          </w:tcPr>
          <w:p>
            <w:pPr>
              <w:spacing w:after="0"/>
              <w:rPr>
                <w:sz w:val="1"/>
                <w:szCs w:val="1"/>
                <w:color w:val="auto"/>
              </w:rPr>
            </w:pPr>
          </w:p>
        </w:tc>
      </w:tr>
      <w:tr>
        <w:trPr>
          <w:trHeight w:val="216"/>
        </w:trPr>
        <w:tc>
          <w:tcPr>
            <w:tcW w:w="84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121,553,462 and 119,364,110 shares issued and outstanding, respectively</w:t>
            </w:r>
          </w:p>
        </w:tc>
        <w:tc>
          <w:tcPr>
            <w:tcW w:w="140" w:type="dxa"/>
            <w:vAlign w:val="bottom"/>
            <w:shd w:val="clear" w:color="auto" w:fill="CCEEFF"/>
          </w:tcPr>
          <w:p>
            <w:pPr>
              <w:spacing w:after="0"/>
              <w:rPr>
                <w:sz w:val="18"/>
                <w:szCs w:val="18"/>
                <w:color w:val="auto"/>
              </w:rPr>
            </w:pPr>
          </w:p>
        </w:tc>
        <w:tc>
          <w:tcPr>
            <w:tcW w:w="118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844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Common stock issuable: 608,291 and 600,168 shares, respectively</w:t>
            </w:r>
          </w:p>
        </w:tc>
        <w:tc>
          <w:tcPr>
            <w:tcW w:w="1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13,683</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12,999</w:t>
            </w:r>
          </w:p>
        </w:tc>
        <w:tc>
          <w:tcPr>
            <w:tcW w:w="0" w:type="dxa"/>
            <w:vAlign w:val="bottom"/>
          </w:tcPr>
          <w:p>
            <w:pPr>
              <w:spacing w:after="0"/>
              <w:rPr>
                <w:sz w:val="1"/>
                <w:szCs w:val="1"/>
                <w:color w:val="auto"/>
              </w:rPr>
            </w:pPr>
          </w:p>
        </w:tc>
      </w:tr>
      <w:tr>
        <w:trPr>
          <w:trHeight w:val="219"/>
        </w:trPr>
        <w:tc>
          <w:tcPr>
            <w:tcW w:w="84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Capital surplus</w:t>
            </w: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2,767,143</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2,710,279</w:t>
            </w:r>
          </w:p>
        </w:tc>
        <w:tc>
          <w:tcPr>
            <w:tcW w:w="0" w:type="dxa"/>
            <w:vAlign w:val="bottom"/>
          </w:tcPr>
          <w:p>
            <w:pPr>
              <w:spacing w:after="0"/>
              <w:rPr>
                <w:sz w:val="1"/>
                <w:szCs w:val="1"/>
                <w:color w:val="auto"/>
              </w:rPr>
            </w:pPr>
          </w:p>
        </w:tc>
      </w:tr>
      <w:tr>
        <w:trPr>
          <w:trHeight w:val="213"/>
        </w:trPr>
        <w:tc>
          <w:tcPr>
            <w:tcW w:w="844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Retained earnings</w:t>
            </w:r>
          </w:p>
        </w:tc>
        <w:tc>
          <w:tcPr>
            <w:tcW w:w="1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858,395</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714,138</w:t>
            </w:r>
          </w:p>
        </w:tc>
        <w:tc>
          <w:tcPr>
            <w:tcW w:w="0" w:type="dxa"/>
            <w:vAlign w:val="bottom"/>
          </w:tcPr>
          <w:p>
            <w:pPr>
              <w:spacing w:after="0"/>
              <w:rPr>
                <w:sz w:val="1"/>
                <w:szCs w:val="1"/>
                <w:color w:val="auto"/>
              </w:rPr>
            </w:pPr>
          </w:p>
        </w:tc>
      </w:tr>
      <w:tr>
        <w:trPr>
          <w:trHeight w:val="219"/>
        </w:trPr>
        <w:tc>
          <w:tcPr>
            <w:tcW w:w="84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Accumulated other comprehensive loss</w:t>
            </w:r>
          </w:p>
        </w:tc>
        <w:tc>
          <w:tcPr>
            <w:tcW w:w="1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(163,923)</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(212,919)</w:t>
            </w:r>
          </w:p>
        </w:tc>
        <w:tc>
          <w:tcPr>
            <w:tcW w:w="0" w:type="dxa"/>
            <w:vAlign w:val="bottom"/>
          </w:tcPr>
          <w:p>
            <w:pPr>
              <w:spacing w:after="0"/>
              <w:rPr>
                <w:sz w:val="1"/>
                <w:szCs w:val="1"/>
                <w:color w:val="auto"/>
              </w:rPr>
            </w:pPr>
          </w:p>
        </w:tc>
      </w:tr>
      <w:tr>
        <w:trPr>
          <w:trHeight w:val="207"/>
        </w:trPr>
        <w:tc>
          <w:tcPr>
            <w:tcW w:w="8440" w:type="dxa"/>
            <w:vAlign w:val="bottom"/>
            <w:tcBorders>
              <w:bottom w:val="single" w:sz="8" w:color="CCEEFF"/>
            </w:tcBorders>
            <w:gridSpan w:val="2"/>
          </w:tcPr>
          <w:p>
            <w:pPr>
              <w:ind w:left="220"/>
              <w:spacing w:after="0"/>
              <w:rPr>
                <w:sz w:val="20"/>
                <w:szCs w:val="20"/>
                <w:color w:val="auto"/>
              </w:rPr>
            </w:pPr>
            <w:r>
              <w:rPr>
                <w:rFonts w:ascii="Times New Roman" w:cs="Times New Roman" w:eastAsia="Times New Roman" w:hAnsi="Times New Roman"/>
                <w:sz w:val="16"/>
                <w:szCs w:val="16"/>
                <w:b w:val="1"/>
                <w:bCs w:val="1"/>
                <w:color w:val="auto"/>
              </w:rPr>
              <w:t>Total shareholders' equity</w:t>
            </w:r>
          </w:p>
        </w:tc>
        <w:tc>
          <w:tcPr>
            <w:tcW w:w="14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3,596,851</w:t>
            </w:r>
          </w:p>
        </w:tc>
        <w:tc>
          <w:tcPr>
            <w:tcW w:w="1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3,432,127</w:t>
            </w:r>
          </w:p>
        </w:tc>
        <w:tc>
          <w:tcPr>
            <w:tcW w:w="0" w:type="dxa"/>
            <w:vAlign w:val="bottom"/>
          </w:tcPr>
          <w:p>
            <w:pPr>
              <w:spacing w:after="0"/>
              <w:rPr>
                <w:sz w:val="1"/>
                <w:szCs w:val="1"/>
                <w:color w:val="auto"/>
              </w:rPr>
            </w:pPr>
          </w:p>
        </w:tc>
      </w:tr>
      <w:tr>
        <w:trPr>
          <w:trHeight w:val="237"/>
        </w:trPr>
        <w:tc>
          <w:tcPr>
            <w:tcW w:w="8440" w:type="dxa"/>
            <w:vAlign w:val="bottom"/>
            <w:tcBorders>
              <w:bottom w:val="single" w:sz="8" w:color="CCEEFF"/>
            </w:tcBorders>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b w:val="1"/>
                <w:bCs w:val="1"/>
                <w:color w:val="auto"/>
              </w:rPr>
              <w:t>Total liabilities and shareholders' equity</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28,143,473</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27,720,258</w:t>
            </w:r>
          </w:p>
        </w:tc>
        <w:tc>
          <w:tcPr>
            <w:tcW w:w="0" w:type="dxa"/>
            <w:vAlign w:val="bottom"/>
          </w:tcPr>
          <w:p>
            <w:pPr>
              <w:spacing w:after="0"/>
              <w:rPr>
                <w:sz w:val="1"/>
                <w:szCs w:val="1"/>
                <w:color w:val="auto"/>
              </w:rPr>
            </w:pPr>
          </w:p>
        </w:tc>
      </w:tr>
      <w:tr>
        <w:trPr>
          <w:trHeight w:val="20"/>
        </w:trPr>
        <w:tc>
          <w:tcPr>
            <w:tcW w:w="83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4"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6"/>
          <w:szCs w:val="16"/>
          <w:color w:val="auto"/>
        </w:rPr>
        <w:t>See accompanying notes to consolidated financial statements (unaudited).</w:t>
      </w:r>
    </w:p>
    <w:p>
      <w:pPr>
        <w:spacing w:after="0" w:line="200" w:lineRule="exact"/>
        <w:rPr>
          <w:sz w:val="20"/>
          <w:szCs w:val="20"/>
          <w:color w:val="auto"/>
        </w:rPr>
      </w:pPr>
    </w:p>
    <w:p>
      <w:pPr>
        <w:spacing w:after="0" w:line="395"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00"/>
          </w:cols>
          <w:pgMar w:left="320" w:top="934" w:right="279" w:bottom="1440" w:gutter="0" w:footer="0" w:header="0"/>
        </w:sectPr>
      </w:pPr>
    </w:p>
    <w:bookmarkStart w:id="5" w:name="page6"/>
    <w:bookmarkEnd w:id="5"/>
    <w:p>
      <w:pPr>
        <w:ind w:left="20"/>
        <w:spacing w:after="0"/>
        <w:rPr>
          <w:sz w:val="20"/>
          <w:szCs w:val="20"/>
          <w:color w:val="auto"/>
        </w:rPr>
      </w:pPr>
      <w:r>
        <w:rPr>
          <w:rFonts w:ascii="Times New Roman" w:cs="Times New Roman" w:eastAsia="Times New Roman" w:hAnsi="Times New Roman"/>
          <w:sz w:val="18"/>
          <w:szCs w:val="18"/>
          <w:b w:val="1"/>
          <w:bCs w:val="1"/>
          <w:color w:val="auto"/>
        </w:rPr>
        <w:t>UNITED COMMUNITY BANKS, INC.</w:t>
      </w:r>
    </w:p>
    <w:p>
      <w:pPr>
        <w:spacing w:after="0" w:line="3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b w:val="1"/>
          <w:bCs w:val="1"/>
          <w:color w:val="auto"/>
        </w:rPr>
        <w:t xml:space="preserve">Consolidated Statements of Income </w:t>
      </w:r>
      <w:r>
        <w:rPr>
          <w:rFonts w:ascii="Times New Roman" w:cs="Times New Roman" w:eastAsia="Times New Roman" w:hAnsi="Times New Roman"/>
          <w:sz w:val="16"/>
          <w:szCs w:val="16"/>
          <w:i w:val="1"/>
          <w:iCs w:val="1"/>
          <w:color w:val="auto"/>
        </w:rPr>
        <w:t>(Unaudited)</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5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460" w:type="dxa"/>
            <w:vAlign w:val="bottom"/>
            <w:gridSpan w:val="5"/>
          </w:tcPr>
          <w:p>
            <w:pPr>
              <w:ind w:left="340"/>
              <w:spacing w:after="0"/>
              <w:rPr>
                <w:sz w:val="20"/>
                <w:szCs w:val="20"/>
                <w:color w:val="auto"/>
              </w:rPr>
            </w:pPr>
            <w:r>
              <w:rPr>
                <w:rFonts w:ascii="Times New Roman" w:cs="Times New Roman" w:eastAsia="Times New Roman" w:hAnsi="Times New Roman"/>
                <w:sz w:val="15"/>
                <w:szCs w:val="15"/>
                <w:b w:val="1"/>
                <w:bCs w:val="1"/>
                <w:color w:val="auto"/>
              </w:rPr>
              <w:t>Three Months Ended</w:t>
            </w:r>
          </w:p>
        </w:tc>
        <w:tc>
          <w:tcPr>
            <w:tcW w:w="280" w:type="dxa"/>
            <w:vAlign w:val="bottom"/>
          </w:tcPr>
          <w:p>
            <w:pPr>
              <w:spacing w:after="0"/>
              <w:rPr>
                <w:sz w:val="15"/>
                <w:szCs w:val="15"/>
                <w:color w:val="auto"/>
              </w:rPr>
            </w:pPr>
          </w:p>
        </w:tc>
        <w:tc>
          <w:tcPr>
            <w:tcW w:w="2360" w:type="dxa"/>
            <w:vAlign w:val="bottom"/>
            <w:gridSpan w:val="4"/>
          </w:tcPr>
          <w:p>
            <w:pPr>
              <w:jc w:val="right"/>
              <w:ind w:right="588"/>
              <w:spacing w:after="0"/>
              <w:rPr>
                <w:sz w:val="20"/>
                <w:szCs w:val="20"/>
                <w:color w:val="auto"/>
              </w:rPr>
            </w:pPr>
            <w:r>
              <w:rPr>
                <w:rFonts w:ascii="Times New Roman" w:cs="Times New Roman" w:eastAsia="Times New Roman" w:hAnsi="Times New Roman"/>
                <w:sz w:val="15"/>
                <w:szCs w:val="15"/>
                <w:b w:val="1"/>
                <w:bCs w:val="1"/>
                <w:color w:val="auto"/>
              </w:rPr>
              <w:t>Nine Months Ended</w:t>
            </w:r>
          </w:p>
        </w:tc>
      </w:tr>
      <w:tr>
        <w:trPr>
          <w:trHeight w:val="210"/>
        </w:trPr>
        <w:tc>
          <w:tcPr>
            <w:tcW w:w="5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5"/>
                <w:szCs w:val="15"/>
                <w:b w:val="1"/>
                <w:bCs w:val="1"/>
                <w:color w:val="auto"/>
              </w:rPr>
              <w:t>September 30,</w:t>
            </w:r>
          </w:p>
        </w:tc>
        <w:tc>
          <w:tcPr>
            <w:tcW w:w="80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5"/>
                <w:szCs w:val="15"/>
                <w:b w:val="1"/>
                <w:bCs w:val="1"/>
                <w:color w:val="auto"/>
              </w:rPr>
              <w:t>September 30,</w:t>
            </w:r>
          </w:p>
        </w:tc>
        <w:tc>
          <w:tcPr>
            <w:tcW w:w="820" w:type="dxa"/>
            <w:vAlign w:val="bottom"/>
            <w:tcBorders>
              <w:bottom w:val="single" w:sz="8" w:color="auto"/>
            </w:tcBorders>
          </w:tcPr>
          <w:p>
            <w:pPr>
              <w:spacing w:after="0"/>
              <w:rPr>
                <w:sz w:val="18"/>
                <w:szCs w:val="18"/>
                <w:color w:val="auto"/>
              </w:rPr>
            </w:pPr>
          </w:p>
        </w:tc>
      </w:tr>
      <w:tr>
        <w:trPr>
          <w:trHeight w:val="202"/>
        </w:trPr>
        <w:tc>
          <w:tcPr>
            <w:tcW w:w="5860" w:type="dxa"/>
            <w:vAlign w:val="bottom"/>
            <w:gridSpan w:val="2"/>
          </w:tcPr>
          <w:p>
            <w:pPr>
              <w:ind w:left="20"/>
              <w:spacing w:after="0"/>
              <w:rPr>
                <w:sz w:val="20"/>
                <w:szCs w:val="20"/>
                <w:color w:val="auto"/>
              </w:rPr>
            </w:pPr>
            <w:r>
              <w:rPr>
                <w:rFonts w:ascii="Times New Roman" w:cs="Times New Roman" w:eastAsia="Times New Roman" w:hAnsi="Times New Roman"/>
                <w:sz w:val="15"/>
                <w:szCs w:val="15"/>
                <w:i w:val="1"/>
                <w:iCs w:val="1"/>
                <w:color w:val="auto"/>
              </w:rPr>
              <w:t>(in thousands, except per share data)</w:t>
            </w:r>
          </w:p>
        </w:tc>
        <w:tc>
          <w:tcPr>
            <w:tcW w:w="280" w:type="dxa"/>
            <w:vAlign w:val="bottom"/>
          </w:tcPr>
          <w:p>
            <w:pPr>
              <w:spacing w:after="0"/>
              <w:rPr>
                <w:sz w:val="17"/>
                <w:szCs w:val="17"/>
                <w:color w:val="auto"/>
              </w:rPr>
            </w:pPr>
          </w:p>
        </w:tc>
        <w:tc>
          <w:tcPr>
            <w:tcW w:w="980" w:type="dxa"/>
            <w:vAlign w:val="bottom"/>
          </w:tcPr>
          <w:p>
            <w:pPr>
              <w:jc w:val="right"/>
              <w:ind w:right="408"/>
              <w:spacing w:after="0"/>
              <w:rPr>
                <w:sz w:val="20"/>
                <w:szCs w:val="20"/>
                <w:color w:val="auto"/>
              </w:rPr>
            </w:pPr>
            <w:r>
              <w:rPr>
                <w:rFonts w:ascii="Times New Roman" w:cs="Times New Roman" w:eastAsia="Times New Roman" w:hAnsi="Times New Roman"/>
                <w:sz w:val="15"/>
                <w:szCs w:val="15"/>
                <w:b w:val="1"/>
                <w:bCs w:val="1"/>
                <w:color w:val="auto"/>
              </w:rPr>
              <w:t>2025</w:t>
            </w: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00" w:type="dxa"/>
            <w:vAlign w:val="bottom"/>
          </w:tcPr>
          <w:p>
            <w:pPr>
              <w:jc w:val="right"/>
              <w:ind w:right="388"/>
              <w:spacing w:after="0"/>
              <w:rPr>
                <w:sz w:val="20"/>
                <w:szCs w:val="20"/>
                <w:color w:val="auto"/>
              </w:rPr>
            </w:pPr>
            <w:r>
              <w:rPr>
                <w:rFonts w:ascii="Times New Roman" w:cs="Times New Roman" w:eastAsia="Times New Roman" w:hAnsi="Times New Roman"/>
                <w:sz w:val="15"/>
                <w:szCs w:val="15"/>
                <w:b w:val="1"/>
                <w:bCs w:val="1"/>
                <w:color w:val="auto"/>
              </w:rPr>
              <w:t>2024</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jc w:val="right"/>
              <w:ind w:right="408"/>
              <w:spacing w:after="0"/>
              <w:rPr>
                <w:sz w:val="20"/>
                <w:szCs w:val="20"/>
                <w:color w:val="auto"/>
              </w:rPr>
            </w:pPr>
            <w:r>
              <w:rPr>
                <w:rFonts w:ascii="Times New Roman" w:cs="Times New Roman" w:eastAsia="Times New Roman" w:hAnsi="Times New Roman"/>
                <w:sz w:val="15"/>
                <w:szCs w:val="15"/>
                <w:b w:val="1"/>
                <w:bCs w:val="1"/>
                <w:color w:val="auto"/>
              </w:rPr>
              <w:t>2025</w:t>
            </w: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20" w:type="dxa"/>
            <w:vAlign w:val="bottom"/>
          </w:tcPr>
          <w:p>
            <w:pPr>
              <w:jc w:val="right"/>
              <w:ind w:right="408"/>
              <w:spacing w:after="0"/>
              <w:rPr>
                <w:sz w:val="20"/>
                <w:szCs w:val="20"/>
                <w:color w:val="auto"/>
              </w:rPr>
            </w:pPr>
            <w:r>
              <w:rPr>
                <w:rFonts w:ascii="Times New Roman" w:cs="Times New Roman" w:eastAsia="Times New Roman" w:hAnsi="Times New Roman"/>
                <w:sz w:val="15"/>
                <w:szCs w:val="15"/>
                <w:b w:val="1"/>
                <w:bCs w:val="1"/>
                <w:color w:val="auto"/>
              </w:rPr>
              <w:t>2024</w:t>
            </w:r>
          </w:p>
        </w:tc>
      </w:tr>
      <w:tr>
        <w:trPr>
          <w:trHeight w:val="196"/>
        </w:trPr>
        <w:tc>
          <w:tcPr>
            <w:tcW w:w="57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Net interest revenue:</w:t>
            </w:r>
          </w:p>
        </w:tc>
        <w:tc>
          <w:tcPr>
            <w:tcW w:w="10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r>
      <w:tr>
        <w:trPr>
          <w:trHeight w:val="195"/>
        </w:trPr>
        <w:tc>
          <w:tcPr>
            <w:tcW w:w="586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Interest revenue:</w:t>
            </w:r>
          </w:p>
        </w:tc>
        <w:tc>
          <w:tcPr>
            <w:tcW w:w="2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20" w:type="dxa"/>
            <w:vAlign w:val="bottom"/>
          </w:tcPr>
          <w:p>
            <w:pPr>
              <w:spacing w:after="0"/>
              <w:rPr>
                <w:sz w:val="16"/>
                <w:szCs w:val="16"/>
                <w:color w:val="auto"/>
              </w:rPr>
            </w:pPr>
          </w:p>
        </w:tc>
      </w:tr>
      <w:tr>
        <w:trPr>
          <w:trHeight w:val="210"/>
        </w:trPr>
        <w:tc>
          <w:tcPr>
            <w:tcW w:w="586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Loans, including fees</w:t>
            </w:r>
          </w:p>
        </w:tc>
        <w:tc>
          <w:tcPr>
            <w:tcW w:w="28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297,929</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jc w:val="right"/>
              <w:ind w:right="288"/>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291,574</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860,269</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jc w:val="right"/>
              <w:ind w:right="288"/>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867,152</w:t>
            </w:r>
          </w:p>
        </w:tc>
      </w:tr>
      <w:tr>
        <w:trPr>
          <w:trHeight w:val="195"/>
        </w:trPr>
        <w:tc>
          <w:tcPr>
            <w:tcW w:w="5860" w:type="dxa"/>
            <w:vAlign w:val="bottom"/>
            <w:gridSpan w:val="2"/>
          </w:tcPr>
          <w:p>
            <w:pPr>
              <w:ind w:left="240"/>
              <w:spacing w:after="0"/>
              <w:rPr>
                <w:sz w:val="20"/>
                <w:szCs w:val="20"/>
                <w:color w:val="auto"/>
              </w:rPr>
            </w:pPr>
            <w:r>
              <w:rPr>
                <w:rFonts w:ascii="Times New Roman" w:cs="Times New Roman" w:eastAsia="Times New Roman" w:hAnsi="Times New Roman"/>
                <w:sz w:val="14"/>
                <w:szCs w:val="14"/>
                <w:color w:val="auto"/>
              </w:rPr>
              <w:t>Investment securities, including tax exempt of $1,681, $1,713, $5,030 and $5,133, respectively</w:t>
            </w:r>
          </w:p>
        </w:tc>
        <w:tc>
          <w:tcPr>
            <w:tcW w:w="2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53,203</w:t>
            </w: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52,997</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167,915</w:t>
            </w: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149,496</w:t>
            </w:r>
          </w:p>
        </w:tc>
      </w:tr>
      <w:tr>
        <w:trPr>
          <w:trHeight w:val="210"/>
        </w:trPr>
        <w:tc>
          <w:tcPr>
            <w:tcW w:w="586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Deposits in banks and short-term investments</w:t>
            </w:r>
          </w:p>
        </w:tc>
        <w:tc>
          <w:tcPr>
            <w:tcW w:w="28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2,718</w:t>
            </w:r>
          </w:p>
        </w:tc>
        <w:tc>
          <w:tcPr>
            <w:tcW w:w="120" w:type="dxa"/>
            <w:vAlign w:val="bottom"/>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4,515</w:t>
            </w:r>
          </w:p>
        </w:tc>
        <w:tc>
          <w:tcPr>
            <w:tcW w:w="12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8,388</w:t>
            </w:r>
          </w:p>
        </w:tc>
        <w:tc>
          <w:tcPr>
            <w:tcW w:w="120" w:type="dxa"/>
            <w:vAlign w:val="bottom"/>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16,131</w:t>
            </w:r>
          </w:p>
        </w:tc>
      </w:tr>
      <w:tr>
        <w:trPr>
          <w:trHeight w:val="189"/>
        </w:trPr>
        <w:tc>
          <w:tcPr>
            <w:tcW w:w="5860" w:type="dxa"/>
            <w:vAlign w:val="bottom"/>
            <w:tcBorders>
              <w:bottom w:val="single" w:sz="8" w:color="CCEEFF"/>
            </w:tcBorders>
            <w:gridSpan w:val="2"/>
          </w:tcPr>
          <w:p>
            <w:pPr>
              <w:ind w:left="360"/>
              <w:spacing w:after="0"/>
              <w:rPr>
                <w:sz w:val="20"/>
                <w:szCs w:val="20"/>
                <w:color w:val="auto"/>
              </w:rPr>
            </w:pPr>
            <w:r>
              <w:rPr>
                <w:rFonts w:ascii="Times New Roman" w:cs="Times New Roman" w:eastAsia="Times New Roman" w:hAnsi="Times New Roman"/>
                <w:sz w:val="14"/>
                <w:szCs w:val="14"/>
                <w:color w:val="auto"/>
              </w:rPr>
              <w:t>Total interest revenue</w:t>
            </w:r>
          </w:p>
        </w:tc>
        <w:tc>
          <w:tcPr>
            <w:tcW w:w="2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353,850</w:t>
            </w:r>
          </w:p>
        </w:tc>
        <w:tc>
          <w:tcPr>
            <w:tcW w:w="120" w:type="dxa"/>
            <w:vAlign w:val="bottom"/>
            <w:tcBorders>
              <w:bottom w:val="single" w:sz="8" w:color="CCEEFF"/>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349,086</w:t>
            </w:r>
          </w:p>
        </w:tc>
        <w:tc>
          <w:tcPr>
            <w:tcW w:w="1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1,036,572</w:t>
            </w:r>
          </w:p>
        </w:tc>
        <w:tc>
          <w:tcPr>
            <w:tcW w:w="120" w:type="dxa"/>
            <w:vAlign w:val="bottom"/>
            <w:tcBorders>
              <w:bottom w:val="single" w:sz="8" w:color="CCEEFF"/>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1,032,779</w:t>
            </w:r>
          </w:p>
        </w:tc>
      </w:tr>
      <w:tr>
        <w:trPr>
          <w:trHeight w:val="189"/>
        </w:trPr>
        <w:tc>
          <w:tcPr>
            <w:tcW w:w="58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Interest expense:</w:t>
            </w:r>
          </w:p>
        </w:tc>
        <w:tc>
          <w:tcPr>
            <w:tcW w:w="28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r>
      <w:tr>
        <w:trPr>
          <w:trHeight w:val="195"/>
        </w:trPr>
        <w:tc>
          <w:tcPr>
            <w:tcW w:w="5860" w:type="dxa"/>
            <w:vAlign w:val="bottom"/>
            <w:gridSpan w:val="2"/>
          </w:tcPr>
          <w:p>
            <w:pPr>
              <w:ind w:left="260"/>
              <w:spacing w:after="0"/>
              <w:rPr>
                <w:sz w:val="20"/>
                <w:szCs w:val="20"/>
                <w:color w:val="auto"/>
              </w:rPr>
            </w:pPr>
            <w:r>
              <w:rPr>
                <w:rFonts w:ascii="Times New Roman" w:cs="Times New Roman" w:eastAsia="Times New Roman" w:hAnsi="Times New Roman"/>
                <w:sz w:val="14"/>
                <w:szCs w:val="14"/>
                <w:color w:val="auto"/>
              </w:rPr>
              <w:t>Deposits</w:t>
            </w:r>
          </w:p>
        </w:tc>
        <w:tc>
          <w:tcPr>
            <w:tcW w:w="2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118,475</w:t>
            </w: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136,149</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356,545</w:t>
            </w: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404,395</w:t>
            </w:r>
          </w:p>
        </w:tc>
      </w:tr>
      <w:tr>
        <w:trPr>
          <w:trHeight w:val="210"/>
        </w:trPr>
        <w:tc>
          <w:tcPr>
            <w:tcW w:w="586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Short-term borrowings</w:t>
            </w: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1,215</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87</w:t>
            </w:r>
          </w:p>
        </w:tc>
      </w:tr>
      <w:tr>
        <w:trPr>
          <w:trHeight w:val="195"/>
        </w:trPr>
        <w:tc>
          <w:tcPr>
            <w:tcW w:w="5860" w:type="dxa"/>
            <w:vAlign w:val="bottom"/>
            <w:gridSpan w:val="2"/>
          </w:tcPr>
          <w:p>
            <w:pPr>
              <w:ind w:left="260"/>
              <w:spacing w:after="0"/>
              <w:rPr>
                <w:sz w:val="20"/>
                <w:szCs w:val="20"/>
                <w:color w:val="auto"/>
              </w:rPr>
            </w:pPr>
            <w:r>
              <w:rPr>
                <w:rFonts w:ascii="Times New Roman" w:cs="Times New Roman" w:eastAsia="Times New Roman" w:hAnsi="Times New Roman"/>
                <w:sz w:val="14"/>
                <w:szCs w:val="14"/>
                <w:color w:val="auto"/>
              </w:rPr>
              <w:t>Federal Home Loan Bank advances</w:t>
            </w:r>
          </w:p>
        </w:tc>
        <w:tc>
          <w:tcPr>
            <w:tcW w:w="280" w:type="dxa"/>
            <w:vAlign w:val="bottom"/>
          </w:tcPr>
          <w:p>
            <w:pPr>
              <w:spacing w:after="0"/>
              <w:rPr>
                <w:sz w:val="16"/>
                <w:szCs w:val="16"/>
                <w:color w:val="auto"/>
              </w:rPr>
            </w:pP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tcPr>
          <w:p>
            <w:pPr>
              <w:spacing w:after="0"/>
              <w:rPr>
                <w:sz w:val="16"/>
                <w:szCs w:val="16"/>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433</w:t>
            </w: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10"/>
        </w:trPr>
        <w:tc>
          <w:tcPr>
            <w:tcW w:w="586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Long-term debt</w:t>
            </w:r>
          </w:p>
        </w:tc>
        <w:tc>
          <w:tcPr>
            <w:tcW w:w="28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1,721</w:t>
            </w:r>
          </w:p>
        </w:tc>
        <w:tc>
          <w:tcPr>
            <w:tcW w:w="120" w:type="dxa"/>
            <w:vAlign w:val="bottom"/>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3,724</w:t>
            </w:r>
          </w:p>
        </w:tc>
        <w:tc>
          <w:tcPr>
            <w:tcW w:w="12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7,198</w:t>
            </w:r>
          </w:p>
        </w:tc>
        <w:tc>
          <w:tcPr>
            <w:tcW w:w="120" w:type="dxa"/>
            <w:vAlign w:val="bottom"/>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11,262</w:t>
            </w:r>
          </w:p>
        </w:tc>
      </w:tr>
      <w:tr>
        <w:trPr>
          <w:trHeight w:val="189"/>
        </w:trPr>
        <w:tc>
          <w:tcPr>
            <w:tcW w:w="5860" w:type="dxa"/>
            <w:vAlign w:val="bottom"/>
            <w:tcBorders>
              <w:bottom w:val="single" w:sz="8" w:color="CCEEFF"/>
            </w:tcBorders>
            <w:gridSpan w:val="2"/>
          </w:tcPr>
          <w:p>
            <w:pPr>
              <w:ind w:left="340"/>
              <w:spacing w:after="0"/>
              <w:rPr>
                <w:sz w:val="20"/>
                <w:szCs w:val="20"/>
                <w:color w:val="auto"/>
              </w:rPr>
            </w:pPr>
            <w:r>
              <w:rPr>
                <w:rFonts w:ascii="Times New Roman" w:cs="Times New Roman" w:eastAsia="Times New Roman" w:hAnsi="Times New Roman"/>
                <w:sz w:val="14"/>
                <w:szCs w:val="14"/>
                <w:color w:val="auto"/>
              </w:rPr>
              <w:t>Total interest expense</w:t>
            </w:r>
          </w:p>
        </w:tc>
        <w:tc>
          <w:tcPr>
            <w:tcW w:w="2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120,221</w:t>
            </w:r>
          </w:p>
        </w:tc>
        <w:tc>
          <w:tcPr>
            <w:tcW w:w="120" w:type="dxa"/>
            <w:vAlign w:val="bottom"/>
            <w:tcBorders>
              <w:bottom w:val="single" w:sz="8" w:color="CCEEFF"/>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139,900</w:t>
            </w:r>
          </w:p>
        </w:tc>
        <w:tc>
          <w:tcPr>
            <w:tcW w:w="1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365,391</w:t>
            </w:r>
          </w:p>
        </w:tc>
        <w:tc>
          <w:tcPr>
            <w:tcW w:w="120" w:type="dxa"/>
            <w:vAlign w:val="bottom"/>
            <w:tcBorders>
              <w:bottom w:val="single" w:sz="8" w:color="CCEEFF"/>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415,744</w:t>
            </w:r>
          </w:p>
        </w:tc>
      </w:tr>
      <w:tr>
        <w:trPr>
          <w:trHeight w:val="203"/>
        </w:trPr>
        <w:tc>
          <w:tcPr>
            <w:tcW w:w="586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Net interest revenue</w:t>
            </w:r>
          </w:p>
        </w:tc>
        <w:tc>
          <w:tcPr>
            <w:tcW w:w="28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233,629</w:t>
            </w:r>
          </w:p>
        </w:tc>
        <w:tc>
          <w:tcPr>
            <w:tcW w:w="1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209,186</w:t>
            </w: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671,181</w:t>
            </w:r>
          </w:p>
        </w:tc>
        <w:tc>
          <w:tcPr>
            <w:tcW w:w="1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617,035</w:t>
            </w:r>
          </w:p>
        </w:tc>
      </w:tr>
      <w:tr>
        <w:trPr>
          <w:trHeight w:val="162"/>
        </w:trPr>
        <w:tc>
          <w:tcPr>
            <w:tcW w:w="5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203"/>
        </w:trPr>
        <w:tc>
          <w:tcPr>
            <w:tcW w:w="58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Noninterest income:</w:t>
            </w:r>
          </w:p>
        </w:tc>
        <w:tc>
          <w:tcPr>
            <w:tcW w:w="2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r>
      <w:tr>
        <w:trPr>
          <w:trHeight w:val="195"/>
        </w:trPr>
        <w:tc>
          <w:tcPr>
            <w:tcW w:w="586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Service charges and fees</w:t>
            </w:r>
          </w:p>
        </w:tc>
        <w:tc>
          <w:tcPr>
            <w:tcW w:w="2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11,400</w:t>
            </w: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10,488</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31,057</w:t>
            </w: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30,372</w:t>
            </w:r>
          </w:p>
        </w:tc>
      </w:tr>
      <w:tr>
        <w:trPr>
          <w:trHeight w:val="210"/>
        </w:trPr>
        <w:tc>
          <w:tcPr>
            <w:tcW w:w="58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Mortgage loan gains and other related fees</w:t>
            </w: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7,098</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3,520</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18,590</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17,830</w:t>
            </w:r>
          </w:p>
        </w:tc>
      </w:tr>
      <w:tr>
        <w:trPr>
          <w:trHeight w:val="195"/>
        </w:trPr>
        <w:tc>
          <w:tcPr>
            <w:tcW w:w="586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Wealth management fees</w:t>
            </w:r>
          </w:p>
        </w:tc>
        <w:tc>
          <w:tcPr>
            <w:tcW w:w="2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4,757</w:t>
            </w: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6,338</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13,622</w:t>
            </w: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19,037</w:t>
            </w:r>
          </w:p>
        </w:tc>
      </w:tr>
      <w:tr>
        <w:trPr>
          <w:trHeight w:val="210"/>
        </w:trPr>
        <w:tc>
          <w:tcPr>
            <w:tcW w:w="58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Net gains (losses) from sales of other loans</w:t>
            </w: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2,385</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(25,700)</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5,776</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(22,867)</w:t>
            </w:r>
          </w:p>
        </w:tc>
      </w:tr>
      <w:tr>
        <w:trPr>
          <w:trHeight w:val="195"/>
        </w:trPr>
        <w:tc>
          <w:tcPr>
            <w:tcW w:w="586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Lending and loan servicing fees</w:t>
            </w:r>
          </w:p>
        </w:tc>
        <w:tc>
          <w:tcPr>
            <w:tcW w:w="2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4,235</w:t>
            </w: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3,512</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12,090</w:t>
            </w: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11,050</w:t>
            </w:r>
          </w:p>
        </w:tc>
      </w:tr>
      <w:tr>
        <w:trPr>
          <w:trHeight w:val="210"/>
        </w:trPr>
        <w:tc>
          <w:tcPr>
            <w:tcW w:w="58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Securities gains, net</w:t>
            </w: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341</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6"/>
        </w:trPr>
        <w:tc>
          <w:tcPr>
            <w:tcW w:w="5860" w:type="dxa"/>
            <w:vAlign w:val="bottom"/>
            <w:tcBorders>
              <w:bottom w:val="single" w:sz="8" w:color="CCEEFF"/>
            </w:tcBorders>
            <w:gridSpan w:val="2"/>
          </w:tcPr>
          <w:p>
            <w:pPr>
              <w:ind w:left="140"/>
              <w:spacing w:after="0"/>
              <w:rPr>
                <w:sz w:val="20"/>
                <w:szCs w:val="20"/>
                <w:color w:val="auto"/>
              </w:rPr>
            </w:pPr>
            <w:r>
              <w:rPr>
                <w:rFonts w:ascii="Times New Roman" w:cs="Times New Roman" w:eastAsia="Times New Roman" w:hAnsi="Times New Roman"/>
                <w:sz w:val="14"/>
                <w:szCs w:val="14"/>
                <w:color w:val="auto"/>
              </w:rPr>
              <w:t>Other</w:t>
            </w:r>
          </w:p>
        </w:tc>
        <w:tc>
          <w:tcPr>
            <w:tcW w:w="2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13,295</w:t>
            </w:r>
          </w:p>
        </w:tc>
        <w:tc>
          <w:tcPr>
            <w:tcW w:w="120" w:type="dxa"/>
            <w:vAlign w:val="bottom"/>
            <w:tcBorders>
              <w:bottom w:val="single" w:sz="8" w:color="CCEEFF"/>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9,933</w:t>
            </w:r>
          </w:p>
        </w:tc>
        <w:tc>
          <w:tcPr>
            <w:tcW w:w="12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32,107</w:t>
            </w:r>
          </w:p>
        </w:tc>
        <w:tc>
          <w:tcPr>
            <w:tcW w:w="120" w:type="dxa"/>
            <w:vAlign w:val="bottom"/>
            <w:tcBorders>
              <w:bottom w:val="single" w:sz="8" w:color="CCEEFF"/>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28,812</w:t>
            </w:r>
          </w:p>
        </w:tc>
      </w:tr>
      <w:tr>
        <w:trPr>
          <w:trHeight w:val="203"/>
        </w:trPr>
        <w:tc>
          <w:tcPr>
            <w:tcW w:w="58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Total noninterest income</w:t>
            </w:r>
          </w:p>
        </w:tc>
        <w:tc>
          <w:tcPr>
            <w:tcW w:w="28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43,219</w:t>
            </w:r>
          </w:p>
        </w:tc>
        <w:tc>
          <w:tcPr>
            <w:tcW w:w="120" w:type="dxa"/>
            <w:vAlign w:val="bottom"/>
            <w:shd w:val="clear" w:color="auto" w:fill="CCEEFF"/>
          </w:tcPr>
          <w:p>
            <w:pPr>
              <w:spacing w:after="0"/>
              <w:rPr>
                <w:sz w:val="17"/>
                <w:szCs w:val="17"/>
                <w:color w:val="auto"/>
              </w:rPr>
            </w:pPr>
          </w:p>
        </w:tc>
        <w:tc>
          <w:tcPr>
            <w:tcW w:w="44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8,091</w:t>
            </w:r>
          </w:p>
        </w:tc>
        <w:tc>
          <w:tcPr>
            <w:tcW w:w="12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113,583</w:t>
            </w:r>
          </w:p>
        </w:tc>
        <w:tc>
          <w:tcPr>
            <w:tcW w:w="120" w:type="dxa"/>
            <w:vAlign w:val="bottom"/>
            <w:shd w:val="clear" w:color="auto" w:fill="CCEEFF"/>
          </w:tcPr>
          <w:p>
            <w:pPr>
              <w:spacing w:after="0"/>
              <w:rPr>
                <w:sz w:val="17"/>
                <w:szCs w:val="17"/>
                <w:color w:val="auto"/>
              </w:rPr>
            </w:pPr>
          </w:p>
        </w:tc>
        <w:tc>
          <w:tcPr>
            <w:tcW w:w="44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84,234</w:t>
            </w:r>
          </w:p>
        </w:tc>
      </w:tr>
      <w:tr>
        <w:trPr>
          <w:trHeight w:val="190"/>
        </w:trPr>
        <w:tc>
          <w:tcPr>
            <w:tcW w:w="5860" w:type="dxa"/>
            <w:vAlign w:val="bottom"/>
            <w:tcBorders>
              <w:bottom w:val="single" w:sz="8" w:color="CCEEFF"/>
            </w:tcBorders>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Total revenue</w:t>
            </w:r>
          </w:p>
        </w:tc>
        <w:tc>
          <w:tcPr>
            <w:tcW w:w="2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276,848</w:t>
            </w:r>
          </w:p>
        </w:tc>
        <w:tc>
          <w:tcPr>
            <w:tcW w:w="120" w:type="dxa"/>
            <w:vAlign w:val="bottom"/>
            <w:tcBorders>
              <w:bottom w:val="single" w:sz="8" w:color="CCEEFF"/>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217,277</w:t>
            </w:r>
          </w:p>
        </w:tc>
        <w:tc>
          <w:tcPr>
            <w:tcW w:w="1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784,764</w:t>
            </w:r>
          </w:p>
        </w:tc>
        <w:tc>
          <w:tcPr>
            <w:tcW w:w="120" w:type="dxa"/>
            <w:vAlign w:val="bottom"/>
            <w:tcBorders>
              <w:bottom w:val="single" w:sz="8" w:color="CCEEFF"/>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701,269</w:t>
            </w:r>
          </w:p>
        </w:tc>
      </w:tr>
      <w:tr>
        <w:trPr>
          <w:trHeight w:val="148"/>
        </w:trPr>
        <w:tc>
          <w:tcPr>
            <w:tcW w:w="5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r>
      <w:tr>
        <w:trPr>
          <w:trHeight w:val="196"/>
        </w:trPr>
        <w:tc>
          <w:tcPr>
            <w:tcW w:w="58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Provision for credit losses</w:t>
            </w:r>
          </w:p>
        </w:tc>
        <w:tc>
          <w:tcPr>
            <w:tcW w:w="2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7,907</w:t>
            </w: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14,428</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35,144</w:t>
            </w: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39,562</w:t>
            </w:r>
          </w:p>
        </w:tc>
      </w:tr>
      <w:tr>
        <w:trPr>
          <w:trHeight w:val="209"/>
        </w:trPr>
        <w:tc>
          <w:tcPr>
            <w:tcW w:w="5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r>
      <w:tr>
        <w:trPr>
          <w:trHeight w:val="196"/>
        </w:trPr>
        <w:tc>
          <w:tcPr>
            <w:tcW w:w="58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Noninterest expense:</w:t>
            </w: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20" w:type="dxa"/>
            <w:vAlign w:val="bottom"/>
          </w:tcPr>
          <w:p>
            <w:pPr>
              <w:spacing w:after="0"/>
              <w:rPr>
                <w:sz w:val="17"/>
                <w:szCs w:val="17"/>
                <w:color w:val="auto"/>
              </w:rPr>
            </w:pPr>
          </w:p>
        </w:tc>
      </w:tr>
      <w:tr>
        <w:trPr>
          <w:trHeight w:val="209"/>
        </w:trPr>
        <w:tc>
          <w:tcPr>
            <w:tcW w:w="58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Salaries and employee benefits</w:t>
            </w: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90,667</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83,533</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261,931</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254,336</w:t>
            </w:r>
          </w:p>
        </w:tc>
      </w:tr>
      <w:tr>
        <w:trPr>
          <w:trHeight w:val="195"/>
        </w:trPr>
        <w:tc>
          <w:tcPr>
            <w:tcW w:w="586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Communications and equipment</w:t>
            </w:r>
          </w:p>
        </w:tc>
        <w:tc>
          <w:tcPr>
            <w:tcW w:w="2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13,937</w:t>
            </w: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12,626</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40,968</w:t>
            </w: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36,534</w:t>
            </w:r>
          </w:p>
        </w:tc>
      </w:tr>
      <w:tr>
        <w:trPr>
          <w:trHeight w:val="210"/>
        </w:trPr>
        <w:tc>
          <w:tcPr>
            <w:tcW w:w="58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Occupancy</w:t>
            </w: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11,502</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11,311</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33,366</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33,466</w:t>
            </w:r>
          </w:p>
        </w:tc>
      </w:tr>
      <w:tr>
        <w:trPr>
          <w:trHeight w:val="195"/>
        </w:trPr>
        <w:tc>
          <w:tcPr>
            <w:tcW w:w="586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Advertising and public relations</w:t>
            </w:r>
          </w:p>
        </w:tc>
        <w:tc>
          <w:tcPr>
            <w:tcW w:w="2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2,053</w:t>
            </w: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2,041</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6,815</w:t>
            </w: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6,401</w:t>
            </w:r>
          </w:p>
        </w:tc>
      </w:tr>
      <w:tr>
        <w:trPr>
          <w:trHeight w:val="210"/>
        </w:trPr>
        <w:tc>
          <w:tcPr>
            <w:tcW w:w="58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Postage, printing and supplies</w:t>
            </w: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2,735</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2,477</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7,791</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7,376</w:t>
            </w:r>
          </w:p>
        </w:tc>
      </w:tr>
      <w:tr>
        <w:trPr>
          <w:trHeight w:val="195"/>
        </w:trPr>
        <w:tc>
          <w:tcPr>
            <w:tcW w:w="586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Professional fees</w:t>
            </w:r>
          </w:p>
        </w:tc>
        <w:tc>
          <w:tcPr>
            <w:tcW w:w="2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6,282</w:t>
            </w: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6,432</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17,822</w:t>
            </w: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18,464</w:t>
            </w:r>
          </w:p>
        </w:tc>
      </w:tr>
      <w:tr>
        <w:trPr>
          <w:trHeight w:val="210"/>
        </w:trPr>
        <w:tc>
          <w:tcPr>
            <w:tcW w:w="58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Lending and loan servicing expense</w:t>
            </w: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2,428</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2,227</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6,745</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6,068</w:t>
            </w:r>
          </w:p>
        </w:tc>
      </w:tr>
      <w:tr>
        <w:trPr>
          <w:trHeight w:val="195"/>
        </w:trPr>
        <w:tc>
          <w:tcPr>
            <w:tcW w:w="586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Outside services - electronic banking</w:t>
            </w:r>
          </w:p>
        </w:tc>
        <w:tc>
          <w:tcPr>
            <w:tcW w:w="2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3,543</w:t>
            </w: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4,433</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9,876</w:t>
            </w: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10,163</w:t>
            </w:r>
          </w:p>
        </w:tc>
      </w:tr>
      <w:tr>
        <w:trPr>
          <w:trHeight w:val="210"/>
        </w:trPr>
        <w:tc>
          <w:tcPr>
            <w:tcW w:w="58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FDIC assessments and other regulatory charges</w:t>
            </w: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4,846</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5,003</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14,233</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17,036</w:t>
            </w:r>
          </w:p>
        </w:tc>
      </w:tr>
      <w:tr>
        <w:trPr>
          <w:trHeight w:val="195"/>
        </w:trPr>
        <w:tc>
          <w:tcPr>
            <w:tcW w:w="586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Amortization of intangibles</w:t>
            </w:r>
          </w:p>
        </w:tc>
        <w:tc>
          <w:tcPr>
            <w:tcW w:w="2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3,313</w:t>
            </w: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3,528</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9,891</w:t>
            </w: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11,209</w:t>
            </w:r>
          </w:p>
        </w:tc>
      </w:tr>
      <w:tr>
        <w:trPr>
          <w:trHeight w:val="210"/>
        </w:trPr>
        <w:tc>
          <w:tcPr>
            <w:tcW w:w="58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Merger-related and other charges</w:t>
            </w: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3,468</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2,176</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9,598</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6,420</w:t>
            </w:r>
          </w:p>
        </w:tc>
      </w:tr>
      <w:tr>
        <w:trPr>
          <w:trHeight w:val="196"/>
        </w:trPr>
        <w:tc>
          <w:tcPr>
            <w:tcW w:w="5860" w:type="dxa"/>
            <w:vAlign w:val="bottom"/>
            <w:tcBorders>
              <w:bottom w:val="single" w:sz="8" w:color="CCEEFF"/>
            </w:tcBorders>
            <w:gridSpan w:val="2"/>
          </w:tcPr>
          <w:p>
            <w:pPr>
              <w:ind w:left="140"/>
              <w:spacing w:after="0"/>
              <w:rPr>
                <w:sz w:val="20"/>
                <w:szCs w:val="20"/>
                <w:color w:val="auto"/>
              </w:rPr>
            </w:pPr>
            <w:r>
              <w:rPr>
                <w:rFonts w:ascii="Times New Roman" w:cs="Times New Roman" w:eastAsia="Times New Roman" w:hAnsi="Times New Roman"/>
                <w:sz w:val="14"/>
                <w:szCs w:val="14"/>
                <w:color w:val="auto"/>
              </w:rPr>
              <w:t>Other</w:t>
            </w:r>
          </w:p>
        </w:tc>
        <w:tc>
          <w:tcPr>
            <w:tcW w:w="2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6,094</w:t>
            </w:r>
          </w:p>
        </w:tc>
        <w:tc>
          <w:tcPr>
            <w:tcW w:w="120" w:type="dxa"/>
            <w:vAlign w:val="bottom"/>
            <w:tcBorders>
              <w:bottom w:val="single" w:sz="8" w:color="CCEEFF"/>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7,278</w:t>
            </w:r>
          </w:p>
        </w:tc>
        <w:tc>
          <w:tcPr>
            <w:tcW w:w="12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20,850</w:t>
            </w:r>
          </w:p>
        </w:tc>
        <w:tc>
          <w:tcPr>
            <w:tcW w:w="120" w:type="dxa"/>
            <w:vAlign w:val="bottom"/>
            <w:tcBorders>
              <w:bottom w:val="single" w:sz="8" w:color="CCEEFF"/>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27,638</w:t>
            </w:r>
          </w:p>
        </w:tc>
      </w:tr>
      <w:tr>
        <w:trPr>
          <w:trHeight w:val="203"/>
        </w:trPr>
        <w:tc>
          <w:tcPr>
            <w:tcW w:w="58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Total noninterest expense</w:t>
            </w:r>
          </w:p>
        </w:tc>
        <w:tc>
          <w:tcPr>
            <w:tcW w:w="28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150,868</w:t>
            </w:r>
          </w:p>
        </w:tc>
        <w:tc>
          <w:tcPr>
            <w:tcW w:w="120" w:type="dxa"/>
            <w:vAlign w:val="bottom"/>
            <w:shd w:val="clear" w:color="auto" w:fill="CCEEFF"/>
          </w:tcPr>
          <w:p>
            <w:pPr>
              <w:spacing w:after="0"/>
              <w:rPr>
                <w:sz w:val="17"/>
                <w:szCs w:val="17"/>
                <w:color w:val="auto"/>
              </w:rPr>
            </w:pPr>
          </w:p>
        </w:tc>
        <w:tc>
          <w:tcPr>
            <w:tcW w:w="44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143,065</w:t>
            </w:r>
          </w:p>
        </w:tc>
        <w:tc>
          <w:tcPr>
            <w:tcW w:w="12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439,886</w:t>
            </w:r>
          </w:p>
        </w:tc>
        <w:tc>
          <w:tcPr>
            <w:tcW w:w="120" w:type="dxa"/>
            <w:vAlign w:val="bottom"/>
            <w:shd w:val="clear" w:color="auto" w:fill="CCEEFF"/>
          </w:tcPr>
          <w:p>
            <w:pPr>
              <w:spacing w:after="0"/>
              <w:rPr>
                <w:sz w:val="17"/>
                <w:szCs w:val="17"/>
                <w:color w:val="auto"/>
              </w:rPr>
            </w:pPr>
          </w:p>
        </w:tc>
        <w:tc>
          <w:tcPr>
            <w:tcW w:w="44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435,111</w:t>
            </w:r>
          </w:p>
        </w:tc>
      </w:tr>
      <w:tr>
        <w:trPr>
          <w:trHeight w:val="189"/>
        </w:trPr>
        <w:tc>
          <w:tcPr>
            <w:tcW w:w="5860" w:type="dxa"/>
            <w:vAlign w:val="bottom"/>
            <w:gridSpan w:val="2"/>
          </w:tcPr>
          <w:p>
            <w:pPr>
              <w:ind w:left="220"/>
              <w:spacing w:after="0"/>
              <w:rPr>
                <w:sz w:val="20"/>
                <w:szCs w:val="20"/>
                <w:color w:val="auto"/>
              </w:rPr>
            </w:pPr>
            <w:r>
              <w:rPr>
                <w:rFonts w:ascii="Times New Roman" w:cs="Times New Roman" w:eastAsia="Times New Roman" w:hAnsi="Times New Roman"/>
                <w:sz w:val="14"/>
                <w:szCs w:val="14"/>
                <w:color w:val="auto"/>
              </w:rPr>
              <w:t>Income before income taxes</w:t>
            </w:r>
          </w:p>
        </w:tc>
        <w:tc>
          <w:tcPr>
            <w:tcW w:w="2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118,073</w:t>
            </w: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59,784</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309,734</w:t>
            </w: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226,596</w:t>
            </w:r>
          </w:p>
        </w:tc>
      </w:tr>
      <w:tr>
        <w:trPr>
          <w:trHeight w:val="203"/>
        </w:trPr>
        <w:tc>
          <w:tcPr>
            <w:tcW w:w="58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Income tax expense</w:t>
            </w:r>
          </w:p>
        </w:tc>
        <w:tc>
          <w:tcPr>
            <w:tcW w:w="28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26,579</w:t>
            </w:r>
          </w:p>
        </w:tc>
        <w:tc>
          <w:tcPr>
            <w:tcW w:w="120" w:type="dxa"/>
            <w:vAlign w:val="bottom"/>
            <w:shd w:val="clear" w:color="auto" w:fill="CCEEFF"/>
          </w:tcPr>
          <w:p>
            <w:pPr>
              <w:spacing w:after="0"/>
              <w:rPr>
                <w:sz w:val="17"/>
                <w:szCs w:val="17"/>
                <w:color w:val="auto"/>
              </w:rPr>
            </w:pPr>
          </w:p>
        </w:tc>
        <w:tc>
          <w:tcPr>
            <w:tcW w:w="44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12,437</w:t>
            </w:r>
          </w:p>
        </w:tc>
        <w:tc>
          <w:tcPr>
            <w:tcW w:w="12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68,094</w:t>
            </w:r>
          </w:p>
        </w:tc>
        <w:tc>
          <w:tcPr>
            <w:tcW w:w="120" w:type="dxa"/>
            <w:vAlign w:val="bottom"/>
            <w:shd w:val="clear" w:color="auto" w:fill="CCEEFF"/>
          </w:tcPr>
          <w:p>
            <w:pPr>
              <w:spacing w:after="0"/>
              <w:rPr>
                <w:sz w:val="17"/>
                <w:szCs w:val="17"/>
                <w:color w:val="auto"/>
              </w:rPr>
            </w:pPr>
          </w:p>
        </w:tc>
        <w:tc>
          <w:tcPr>
            <w:tcW w:w="44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50,003</w:t>
            </w:r>
          </w:p>
        </w:tc>
      </w:tr>
      <w:tr>
        <w:trPr>
          <w:trHeight w:val="203"/>
        </w:trPr>
        <w:tc>
          <w:tcPr>
            <w:tcW w:w="5860" w:type="dxa"/>
            <w:vAlign w:val="bottom"/>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Net income</w:t>
            </w:r>
          </w:p>
        </w:tc>
        <w:tc>
          <w:tcPr>
            <w:tcW w:w="28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91,494</w:t>
            </w:r>
          </w:p>
        </w:tc>
        <w:tc>
          <w:tcPr>
            <w:tcW w:w="120" w:type="dxa"/>
            <w:vAlign w:val="bottom"/>
          </w:tcPr>
          <w:p>
            <w:pPr>
              <w:spacing w:after="0"/>
              <w:rPr>
                <w:sz w:val="17"/>
                <w:szCs w:val="17"/>
                <w:color w:val="auto"/>
              </w:rPr>
            </w:pPr>
          </w:p>
        </w:tc>
        <w:tc>
          <w:tcPr>
            <w:tcW w:w="440" w:type="dxa"/>
            <w:vAlign w:val="bottom"/>
            <w:tcBorders>
              <w:bottom w:val="single" w:sz="8" w:color="auto"/>
            </w:tcBorders>
          </w:tcPr>
          <w:p>
            <w:pPr>
              <w:jc w:val="right"/>
              <w:ind w:right="288"/>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47,347</w:t>
            </w:r>
          </w:p>
        </w:tc>
        <w:tc>
          <w:tcPr>
            <w:tcW w:w="120" w:type="dxa"/>
            <w:vAlign w:val="bottom"/>
          </w:tcPr>
          <w:p>
            <w:pPr>
              <w:spacing w:after="0"/>
              <w:rPr>
                <w:sz w:val="17"/>
                <w:szCs w:val="17"/>
                <w:color w:val="auto"/>
              </w:rPr>
            </w:pPr>
          </w:p>
        </w:tc>
        <w:tc>
          <w:tcPr>
            <w:tcW w:w="280" w:type="dxa"/>
            <w:vAlign w:val="bottom"/>
            <w:tcBorders>
              <w:bottom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241,640</w:t>
            </w:r>
          </w:p>
        </w:tc>
        <w:tc>
          <w:tcPr>
            <w:tcW w:w="120" w:type="dxa"/>
            <w:vAlign w:val="bottom"/>
          </w:tcPr>
          <w:p>
            <w:pPr>
              <w:spacing w:after="0"/>
              <w:rPr>
                <w:sz w:val="17"/>
                <w:szCs w:val="17"/>
                <w:color w:val="auto"/>
              </w:rPr>
            </w:pPr>
          </w:p>
        </w:tc>
        <w:tc>
          <w:tcPr>
            <w:tcW w:w="440" w:type="dxa"/>
            <w:vAlign w:val="bottom"/>
            <w:tcBorders>
              <w:bottom w:val="single" w:sz="8" w:color="auto"/>
            </w:tcBorders>
          </w:tcPr>
          <w:p>
            <w:pPr>
              <w:jc w:val="right"/>
              <w:ind w:right="288"/>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176,593</w:t>
            </w:r>
          </w:p>
        </w:tc>
      </w:tr>
      <w:tr>
        <w:trPr>
          <w:trHeight w:val="20"/>
        </w:trPr>
        <w:tc>
          <w:tcPr>
            <w:tcW w:w="57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r>
        <w:trPr>
          <w:trHeight w:val="129"/>
        </w:trPr>
        <w:tc>
          <w:tcPr>
            <w:tcW w:w="57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r>
      <w:tr>
        <w:trPr>
          <w:trHeight w:val="203"/>
        </w:trPr>
        <w:tc>
          <w:tcPr>
            <w:tcW w:w="5860" w:type="dxa"/>
            <w:vAlign w:val="bottom"/>
            <w:gridSpan w:val="2"/>
          </w:tcPr>
          <w:p>
            <w:pPr>
              <w:ind w:left="240"/>
              <w:spacing w:after="0"/>
              <w:rPr>
                <w:sz w:val="20"/>
                <w:szCs w:val="20"/>
                <w:color w:val="auto"/>
              </w:rPr>
            </w:pPr>
            <w:r>
              <w:rPr>
                <w:rFonts w:ascii="Times New Roman" w:cs="Times New Roman" w:eastAsia="Times New Roman" w:hAnsi="Times New Roman"/>
                <w:sz w:val="14"/>
                <w:szCs w:val="14"/>
                <w:b w:val="1"/>
                <w:bCs w:val="1"/>
                <w:color w:val="auto"/>
              </w:rPr>
              <w:t>Net income available to common shareholders</w:t>
            </w:r>
          </w:p>
        </w:tc>
        <w:tc>
          <w:tcPr>
            <w:tcW w:w="28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86,139</w:t>
            </w:r>
          </w:p>
        </w:tc>
        <w:tc>
          <w:tcPr>
            <w:tcW w:w="120" w:type="dxa"/>
            <w:vAlign w:val="bottom"/>
          </w:tcPr>
          <w:p>
            <w:pPr>
              <w:spacing w:after="0"/>
              <w:rPr>
                <w:sz w:val="17"/>
                <w:szCs w:val="17"/>
                <w:color w:val="auto"/>
              </w:rPr>
            </w:pPr>
          </w:p>
        </w:tc>
        <w:tc>
          <w:tcPr>
            <w:tcW w:w="440" w:type="dxa"/>
            <w:vAlign w:val="bottom"/>
            <w:tcBorders>
              <w:bottom w:val="single" w:sz="8" w:color="auto"/>
            </w:tcBorders>
          </w:tcPr>
          <w:p>
            <w:pPr>
              <w:jc w:val="right"/>
              <w:ind w:right="288"/>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45,502</w:t>
            </w:r>
          </w:p>
        </w:tc>
        <w:tc>
          <w:tcPr>
            <w:tcW w:w="120" w:type="dxa"/>
            <w:vAlign w:val="bottom"/>
          </w:tcPr>
          <w:p>
            <w:pPr>
              <w:spacing w:after="0"/>
              <w:rPr>
                <w:sz w:val="17"/>
                <w:szCs w:val="17"/>
                <w:color w:val="auto"/>
              </w:rPr>
            </w:pPr>
          </w:p>
        </w:tc>
        <w:tc>
          <w:tcPr>
            <w:tcW w:w="280" w:type="dxa"/>
            <w:vAlign w:val="bottom"/>
            <w:tcBorders>
              <w:bottom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232,290</w:t>
            </w:r>
          </w:p>
        </w:tc>
        <w:tc>
          <w:tcPr>
            <w:tcW w:w="120" w:type="dxa"/>
            <w:vAlign w:val="bottom"/>
          </w:tcPr>
          <w:p>
            <w:pPr>
              <w:spacing w:after="0"/>
              <w:rPr>
                <w:sz w:val="17"/>
                <w:szCs w:val="17"/>
                <w:color w:val="auto"/>
              </w:rPr>
            </w:pPr>
          </w:p>
        </w:tc>
        <w:tc>
          <w:tcPr>
            <w:tcW w:w="440" w:type="dxa"/>
            <w:vAlign w:val="bottom"/>
            <w:tcBorders>
              <w:bottom w:val="single" w:sz="8" w:color="auto"/>
            </w:tcBorders>
          </w:tcPr>
          <w:p>
            <w:pPr>
              <w:jc w:val="right"/>
              <w:ind w:right="288"/>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170,886</w:t>
            </w:r>
          </w:p>
        </w:tc>
      </w:tr>
      <w:tr>
        <w:trPr>
          <w:trHeight w:val="20"/>
        </w:trPr>
        <w:tc>
          <w:tcPr>
            <w:tcW w:w="57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r>
        <w:trPr>
          <w:trHeight w:val="129"/>
        </w:trPr>
        <w:tc>
          <w:tcPr>
            <w:tcW w:w="57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r>
      <w:tr>
        <w:trPr>
          <w:trHeight w:val="195"/>
        </w:trPr>
        <w:tc>
          <w:tcPr>
            <w:tcW w:w="58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Net income per common share:</w:t>
            </w:r>
          </w:p>
        </w:tc>
        <w:tc>
          <w:tcPr>
            <w:tcW w:w="2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20" w:type="dxa"/>
            <w:vAlign w:val="bottom"/>
          </w:tcPr>
          <w:p>
            <w:pPr>
              <w:spacing w:after="0"/>
              <w:rPr>
                <w:sz w:val="16"/>
                <w:szCs w:val="16"/>
                <w:color w:val="auto"/>
              </w:rPr>
            </w:pPr>
          </w:p>
        </w:tc>
      </w:tr>
      <w:tr>
        <w:trPr>
          <w:trHeight w:val="210"/>
        </w:trPr>
        <w:tc>
          <w:tcPr>
            <w:tcW w:w="58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Basic</w:t>
            </w:r>
          </w:p>
        </w:tc>
        <w:tc>
          <w:tcPr>
            <w:tcW w:w="28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0.71</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jc w:val="right"/>
              <w:ind w:right="288"/>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0.38</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1.92</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jc w:val="right"/>
              <w:ind w:right="288"/>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1.43</w:t>
            </w:r>
          </w:p>
        </w:tc>
      </w:tr>
      <w:tr>
        <w:trPr>
          <w:trHeight w:val="195"/>
        </w:trPr>
        <w:tc>
          <w:tcPr>
            <w:tcW w:w="586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Diluted</w:t>
            </w:r>
          </w:p>
        </w:tc>
        <w:tc>
          <w:tcPr>
            <w:tcW w:w="2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0.70</w:t>
            </w: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0.38</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1.91</w:t>
            </w: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1.43</w:t>
            </w:r>
          </w:p>
        </w:tc>
      </w:tr>
      <w:tr>
        <w:trPr>
          <w:trHeight w:val="210"/>
        </w:trPr>
        <w:tc>
          <w:tcPr>
            <w:tcW w:w="58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Weighted average common shares outstanding:</w:t>
            </w: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r>
      <w:tr>
        <w:trPr>
          <w:trHeight w:val="195"/>
        </w:trPr>
        <w:tc>
          <w:tcPr>
            <w:tcW w:w="586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Basic</w:t>
            </w:r>
          </w:p>
        </w:tc>
        <w:tc>
          <w:tcPr>
            <w:tcW w:w="2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122,116</w:t>
            </w: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119,818</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121,186</w:t>
            </w: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119,736</w:t>
            </w:r>
          </w:p>
        </w:tc>
      </w:tr>
      <w:tr>
        <w:trPr>
          <w:trHeight w:val="210"/>
        </w:trPr>
        <w:tc>
          <w:tcPr>
            <w:tcW w:w="58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Diluted</w:t>
            </w: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122,252</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119,952</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121,303</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119,827</w:t>
            </w:r>
          </w:p>
        </w:tc>
      </w:tr>
    </w:tbl>
    <w:p>
      <w:pPr>
        <w:spacing w:after="0" w:line="3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See accompanying notes to consolidated financial statements (unaudited).</w:t>
      </w:r>
    </w:p>
    <w:p>
      <w:pPr>
        <w:sectPr>
          <w:pgSz w:w="11900" w:h="16838" w:orient="portrait"/>
          <w:cols w:equalWidth="0" w:num="1">
            <w:col w:w="11240"/>
          </w:cols>
          <w:pgMar w:left="320" w:top="96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68" w:right="339" w:bottom="1440" w:gutter="0" w:footer="0" w:header="0"/>
          <w:type w:val="continuous"/>
        </w:sectPr>
      </w:pPr>
    </w:p>
    <w:bookmarkStart w:id="6" w:name="page7"/>
    <w:bookmarkEnd w:id="6"/>
    <w:p>
      <w:pPr>
        <w:ind w:left="20"/>
        <w:spacing w:after="0"/>
        <w:rPr>
          <w:sz w:val="20"/>
          <w:szCs w:val="20"/>
          <w:color w:val="auto"/>
        </w:rPr>
      </w:pPr>
      <w:r>
        <w:rPr>
          <w:rFonts w:ascii="Times New Roman" w:cs="Times New Roman" w:eastAsia="Times New Roman" w:hAnsi="Times New Roman"/>
          <w:sz w:val="18"/>
          <w:szCs w:val="18"/>
          <w:b w:val="1"/>
          <w:bCs w:val="1"/>
          <w:color w:val="auto"/>
        </w:rPr>
        <w:t>UNITED COMMUNITY BANKS, INC.</w:t>
      </w:r>
    </w:p>
    <w:p>
      <w:pPr>
        <w:spacing w:after="0" w:line="3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b w:val="1"/>
          <w:bCs w:val="1"/>
          <w:color w:val="auto"/>
        </w:rPr>
        <w:t xml:space="preserve">Consolidated Statements of Comprehensive Income </w:t>
      </w:r>
      <w:r>
        <w:rPr>
          <w:rFonts w:ascii="Times New Roman" w:cs="Times New Roman" w:eastAsia="Times New Roman" w:hAnsi="Times New Roman"/>
          <w:sz w:val="16"/>
          <w:szCs w:val="16"/>
          <w:i w:val="1"/>
          <w:iCs w:val="1"/>
          <w:color w:val="auto"/>
        </w:rPr>
        <w:t>(Unaudited)</w:t>
      </w:r>
    </w:p>
    <w:p>
      <w:pPr>
        <w:spacing w:after="0" w:line="200" w:lineRule="exact"/>
        <w:rPr>
          <w:sz w:val="20"/>
          <w:szCs w:val="20"/>
          <w:color w:val="auto"/>
        </w:rPr>
      </w:pP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60" w:type="dxa"/>
            <w:vAlign w:val="bottom"/>
            <w:tcBorders>
              <w:bottom w:val="single" w:sz="8" w:color="auto"/>
            </w:tcBorders>
            <w:gridSpan w:val="8"/>
          </w:tcPr>
          <w:p>
            <w:pPr>
              <w:jc w:val="center"/>
              <w:spacing w:after="0"/>
              <w:rPr>
                <w:sz w:val="20"/>
                <w:szCs w:val="20"/>
                <w:color w:val="auto"/>
              </w:rPr>
            </w:pPr>
            <w:r>
              <w:rPr>
                <w:rFonts w:ascii="Times New Roman" w:cs="Times New Roman" w:eastAsia="Times New Roman" w:hAnsi="Times New Roman"/>
                <w:sz w:val="16"/>
                <w:szCs w:val="16"/>
                <w:b w:val="1"/>
                <w:bCs w:val="1"/>
                <w:color w:val="auto"/>
              </w:rPr>
              <w:t>Three Months Ended September 30,</w:t>
            </w:r>
          </w:p>
        </w:tc>
        <w:tc>
          <w:tcPr>
            <w:tcW w:w="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560" w:type="dxa"/>
            <w:vAlign w:val="bottom"/>
            <w:tcBorders>
              <w:bottom w:val="single" w:sz="8" w:color="auto"/>
            </w:tcBorders>
            <w:gridSpan w:val="7"/>
          </w:tcPr>
          <w:p>
            <w:pPr>
              <w:jc w:val="center"/>
              <w:ind w:right="23"/>
              <w:spacing w:after="0"/>
              <w:rPr>
                <w:sz w:val="20"/>
                <w:szCs w:val="20"/>
                <w:color w:val="auto"/>
              </w:rPr>
            </w:pPr>
            <w:r>
              <w:rPr>
                <w:rFonts w:ascii="Times New Roman" w:cs="Times New Roman" w:eastAsia="Times New Roman" w:hAnsi="Times New Roman"/>
                <w:sz w:val="16"/>
                <w:szCs w:val="16"/>
                <w:b w:val="1"/>
                <w:bCs w:val="1"/>
                <w:color w:val="auto"/>
              </w:rPr>
              <w:t>Nine Months Ended September 30,</w:t>
            </w:r>
          </w:p>
        </w:tc>
        <w:tc>
          <w:tcPr>
            <w:tcW w:w="0" w:type="dxa"/>
            <w:vAlign w:val="bottom"/>
          </w:tcPr>
          <w:p>
            <w:pPr>
              <w:spacing w:after="0"/>
              <w:rPr>
                <w:sz w:val="1"/>
                <w:szCs w:val="1"/>
                <w:color w:val="auto"/>
              </w:rPr>
            </w:pPr>
          </w:p>
        </w:tc>
      </w:tr>
      <w:tr>
        <w:trPr>
          <w:trHeight w:val="158"/>
        </w:trPr>
        <w:tc>
          <w:tcPr>
            <w:tcW w:w="5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20" w:type="dxa"/>
            <w:vAlign w:val="bottom"/>
            <w:gridSpan w:val="3"/>
            <w:vMerge w:val="restart"/>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Before-tax</w:t>
            </w:r>
          </w:p>
        </w:tc>
        <w:tc>
          <w:tcPr>
            <w:tcW w:w="120" w:type="dxa"/>
            <w:vAlign w:val="bottom"/>
          </w:tcPr>
          <w:p>
            <w:pPr>
              <w:spacing w:after="0"/>
              <w:rPr>
                <w:sz w:val="13"/>
                <w:szCs w:val="13"/>
                <w:color w:val="auto"/>
              </w:rPr>
            </w:pPr>
          </w:p>
        </w:tc>
        <w:tc>
          <w:tcPr>
            <w:tcW w:w="780" w:type="dxa"/>
            <w:vAlign w:val="bottom"/>
            <w:gridSpan w:val="2"/>
          </w:tcPr>
          <w:p>
            <w:pPr>
              <w:jc w:val="center"/>
              <w:ind w:right="200"/>
              <w:spacing w:after="0" w:line="158" w:lineRule="exact"/>
              <w:rPr>
                <w:sz w:val="20"/>
                <w:szCs w:val="20"/>
                <w:color w:val="auto"/>
              </w:rPr>
            </w:pPr>
            <w:r>
              <w:rPr>
                <w:rFonts w:ascii="Times New Roman" w:cs="Times New Roman" w:eastAsia="Times New Roman" w:hAnsi="Times New Roman"/>
                <w:sz w:val="16"/>
                <w:szCs w:val="16"/>
                <w:b w:val="1"/>
                <w:bCs w:val="1"/>
                <w:color w:val="auto"/>
                <w:w w:val="97"/>
              </w:rPr>
              <w:t>Tax</w:t>
            </w:r>
          </w:p>
        </w:tc>
        <w:tc>
          <w:tcPr>
            <w:tcW w:w="920" w:type="dxa"/>
            <w:vAlign w:val="bottom"/>
            <w:gridSpan w:val="3"/>
            <w:vMerge w:val="restart"/>
          </w:tcPr>
          <w:p>
            <w:pPr>
              <w:jc w:val="center"/>
              <w:ind w:right="60"/>
              <w:spacing w:after="0"/>
              <w:rPr>
                <w:sz w:val="20"/>
                <w:szCs w:val="20"/>
                <w:color w:val="auto"/>
              </w:rPr>
            </w:pPr>
            <w:r>
              <w:rPr>
                <w:rFonts w:ascii="Times New Roman" w:cs="Times New Roman" w:eastAsia="Times New Roman" w:hAnsi="Times New Roman"/>
                <w:sz w:val="16"/>
                <w:szCs w:val="16"/>
                <w:b w:val="1"/>
                <w:bCs w:val="1"/>
                <w:color w:val="auto"/>
                <w:w w:val="97"/>
              </w:rPr>
              <w:t>Net of Tax</w:t>
            </w:r>
          </w:p>
        </w:tc>
        <w:tc>
          <w:tcPr>
            <w:tcW w:w="920" w:type="dxa"/>
            <w:vAlign w:val="bottom"/>
            <w:gridSpan w:val="3"/>
            <w:vMerge w:val="restart"/>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9"/>
              </w:rPr>
              <w:t>Before-tax</w:t>
            </w:r>
          </w:p>
        </w:tc>
        <w:tc>
          <w:tcPr>
            <w:tcW w:w="140" w:type="dxa"/>
            <w:vAlign w:val="bottom"/>
          </w:tcPr>
          <w:p>
            <w:pPr>
              <w:spacing w:after="0"/>
              <w:rPr>
                <w:sz w:val="13"/>
                <w:szCs w:val="13"/>
                <w:color w:val="auto"/>
              </w:rPr>
            </w:pPr>
          </w:p>
        </w:tc>
        <w:tc>
          <w:tcPr>
            <w:tcW w:w="780" w:type="dxa"/>
            <w:vAlign w:val="bottom"/>
            <w:gridSpan w:val="2"/>
          </w:tcPr>
          <w:p>
            <w:pPr>
              <w:jc w:val="center"/>
              <w:ind w:right="200"/>
              <w:spacing w:after="0" w:line="158" w:lineRule="exact"/>
              <w:rPr>
                <w:sz w:val="20"/>
                <w:szCs w:val="20"/>
                <w:color w:val="auto"/>
              </w:rPr>
            </w:pPr>
            <w:r>
              <w:rPr>
                <w:rFonts w:ascii="Times New Roman" w:cs="Times New Roman" w:eastAsia="Times New Roman" w:hAnsi="Times New Roman"/>
                <w:sz w:val="16"/>
                <w:szCs w:val="16"/>
                <w:b w:val="1"/>
                <w:bCs w:val="1"/>
                <w:color w:val="auto"/>
                <w:w w:val="97"/>
              </w:rPr>
              <w:t>Tax</w:t>
            </w:r>
          </w:p>
        </w:tc>
        <w:tc>
          <w:tcPr>
            <w:tcW w:w="8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Net of Tax</w:t>
            </w:r>
          </w:p>
        </w:tc>
        <w:tc>
          <w:tcPr>
            <w:tcW w:w="0" w:type="dxa"/>
            <w:vAlign w:val="bottom"/>
          </w:tcPr>
          <w:p>
            <w:pPr>
              <w:spacing w:after="0"/>
              <w:rPr>
                <w:sz w:val="1"/>
                <w:szCs w:val="1"/>
                <w:color w:val="auto"/>
              </w:rPr>
            </w:pPr>
          </w:p>
        </w:tc>
      </w:tr>
      <w:tr>
        <w:trPr>
          <w:trHeight w:val="162"/>
        </w:trPr>
        <w:tc>
          <w:tcPr>
            <w:tcW w:w="582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920" w:type="dxa"/>
            <w:vAlign w:val="bottom"/>
            <w:gridSpan w:val="3"/>
            <w:vMerge w:val="continue"/>
          </w:tcPr>
          <w:p>
            <w:pPr>
              <w:spacing w:after="0"/>
              <w:rPr>
                <w:sz w:val="14"/>
                <w:szCs w:val="14"/>
                <w:color w:val="auto"/>
              </w:rPr>
            </w:pPr>
          </w:p>
        </w:tc>
        <w:tc>
          <w:tcPr>
            <w:tcW w:w="900" w:type="dxa"/>
            <w:vAlign w:val="bottom"/>
            <w:gridSpan w:val="3"/>
          </w:tcPr>
          <w:p>
            <w:pPr>
              <w:jc w:val="center"/>
              <w:ind w:right="80"/>
              <w:spacing w:after="0" w:line="162" w:lineRule="exact"/>
              <w:rPr>
                <w:sz w:val="20"/>
                <w:szCs w:val="20"/>
                <w:color w:val="auto"/>
              </w:rPr>
            </w:pPr>
            <w:r>
              <w:rPr>
                <w:rFonts w:ascii="Times New Roman" w:cs="Times New Roman" w:eastAsia="Times New Roman" w:hAnsi="Times New Roman"/>
                <w:sz w:val="16"/>
                <w:szCs w:val="16"/>
                <w:b w:val="1"/>
                <w:bCs w:val="1"/>
                <w:color w:val="auto"/>
              </w:rPr>
              <w:t>(Expense)</w:t>
            </w:r>
          </w:p>
        </w:tc>
        <w:tc>
          <w:tcPr>
            <w:tcW w:w="920" w:type="dxa"/>
            <w:vAlign w:val="bottom"/>
            <w:gridSpan w:val="3"/>
            <w:vMerge w:val="continue"/>
          </w:tcPr>
          <w:p>
            <w:pPr>
              <w:spacing w:after="0"/>
              <w:rPr>
                <w:sz w:val="14"/>
                <w:szCs w:val="14"/>
                <w:color w:val="auto"/>
              </w:rPr>
            </w:pPr>
          </w:p>
        </w:tc>
        <w:tc>
          <w:tcPr>
            <w:tcW w:w="920" w:type="dxa"/>
            <w:vAlign w:val="bottom"/>
            <w:gridSpan w:val="3"/>
            <w:vMerge w:val="continue"/>
          </w:tcPr>
          <w:p>
            <w:pPr>
              <w:spacing w:after="0"/>
              <w:rPr>
                <w:sz w:val="14"/>
                <w:szCs w:val="14"/>
                <w:color w:val="auto"/>
              </w:rPr>
            </w:pPr>
          </w:p>
        </w:tc>
        <w:tc>
          <w:tcPr>
            <w:tcW w:w="920" w:type="dxa"/>
            <w:vAlign w:val="bottom"/>
            <w:gridSpan w:val="3"/>
          </w:tcPr>
          <w:p>
            <w:pPr>
              <w:jc w:val="center"/>
              <w:ind w:right="80"/>
              <w:spacing w:after="0" w:line="162" w:lineRule="exact"/>
              <w:rPr>
                <w:sz w:val="20"/>
                <w:szCs w:val="20"/>
                <w:color w:val="auto"/>
              </w:rPr>
            </w:pPr>
            <w:r>
              <w:rPr>
                <w:rFonts w:ascii="Times New Roman" w:cs="Times New Roman" w:eastAsia="Times New Roman" w:hAnsi="Times New Roman"/>
                <w:sz w:val="16"/>
                <w:szCs w:val="16"/>
                <w:b w:val="1"/>
                <w:bCs w:val="1"/>
                <w:color w:val="auto"/>
              </w:rPr>
              <w:t>(Expense)</w:t>
            </w:r>
          </w:p>
        </w:tc>
        <w:tc>
          <w:tcPr>
            <w:tcW w:w="8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4"/>
        </w:trPr>
        <w:tc>
          <w:tcPr>
            <w:tcW w:w="582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120" w:type="dxa"/>
            <w:vAlign w:val="bottom"/>
          </w:tcPr>
          <w:p>
            <w:pPr>
              <w:spacing w:after="0"/>
              <w:rPr>
                <w:sz w:val="18"/>
                <w:szCs w:val="18"/>
                <w:color w:val="auto"/>
              </w:rPr>
            </w:pPr>
          </w:p>
        </w:tc>
        <w:tc>
          <w:tcPr>
            <w:tcW w:w="78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Benefit</w:t>
            </w:r>
          </w:p>
        </w:tc>
        <w:tc>
          <w:tcPr>
            <w:tcW w:w="120" w:type="dxa"/>
            <w:vAlign w:val="bottom"/>
          </w:tcPr>
          <w:p>
            <w:pPr>
              <w:spacing w:after="0"/>
              <w:rPr>
                <w:sz w:val="18"/>
                <w:szCs w:val="18"/>
                <w:color w:val="auto"/>
              </w:rPr>
            </w:pPr>
          </w:p>
        </w:tc>
        <w:tc>
          <w:tcPr>
            <w:tcW w:w="800" w:type="dxa"/>
            <w:vAlign w:val="bottom"/>
            <w:gridSpan w:val="2"/>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120" w:type="dxa"/>
            <w:vAlign w:val="bottom"/>
          </w:tcPr>
          <w:p>
            <w:pPr>
              <w:spacing w:after="0"/>
              <w:rPr>
                <w:sz w:val="18"/>
                <w:szCs w:val="18"/>
                <w:color w:val="auto"/>
              </w:rPr>
            </w:pPr>
          </w:p>
        </w:tc>
        <w:tc>
          <w:tcPr>
            <w:tcW w:w="80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w w:val="99"/>
              </w:rPr>
              <w:t>Amount</w:t>
            </w:r>
          </w:p>
        </w:tc>
        <w:tc>
          <w:tcPr>
            <w:tcW w:w="140" w:type="dxa"/>
            <w:vAlign w:val="bottom"/>
          </w:tcPr>
          <w:p>
            <w:pPr>
              <w:spacing w:after="0"/>
              <w:rPr>
                <w:sz w:val="18"/>
                <w:szCs w:val="18"/>
                <w:color w:val="auto"/>
              </w:rPr>
            </w:pPr>
          </w:p>
        </w:tc>
        <w:tc>
          <w:tcPr>
            <w:tcW w:w="78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Benefit</w:t>
            </w:r>
          </w:p>
        </w:tc>
        <w:tc>
          <w:tcPr>
            <w:tcW w:w="120" w:type="dxa"/>
            <w:vAlign w:val="bottom"/>
          </w:tcPr>
          <w:p>
            <w:pPr>
              <w:spacing w:after="0"/>
              <w:rPr>
                <w:sz w:val="18"/>
                <w:szCs w:val="18"/>
                <w:color w:val="auto"/>
              </w:rPr>
            </w:pPr>
          </w:p>
        </w:tc>
        <w:tc>
          <w:tcPr>
            <w:tcW w:w="720" w:type="dxa"/>
            <w:vAlign w:val="bottom"/>
          </w:tcPr>
          <w:p>
            <w:pPr>
              <w:jc w:val="right"/>
              <w:ind w:right="63"/>
              <w:spacing w:after="0"/>
              <w:rPr>
                <w:sz w:val="20"/>
                <w:szCs w:val="20"/>
                <w:color w:val="auto"/>
              </w:rPr>
            </w:pPr>
            <w:r>
              <w:rPr>
                <w:rFonts w:ascii="Times New Roman" w:cs="Times New Roman" w:eastAsia="Times New Roman" w:hAnsi="Times New Roman"/>
                <w:sz w:val="16"/>
                <w:szCs w:val="16"/>
                <w:b w:val="1"/>
                <w:bCs w:val="1"/>
                <w:color w:val="auto"/>
                <w:w w:val="99"/>
              </w:rPr>
              <w:t>Amount</w:t>
            </w:r>
          </w:p>
        </w:tc>
        <w:tc>
          <w:tcPr>
            <w:tcW w:w="0" w:type="dxa"/>
            <w:vAlign w:val="bottom"/>
          </w:tcPr>
          <w:p>
            <w:pPr>
              <w:spacing w:after="0"/>
              <w:rPr>
                <w:sz w:val="1"/>
                <w:szCs w:val="1"/>
                <w:color w:val="auto"/>
              </w:rPr>
            </w:pPr>
          </w:p>
        </w:tc>
      </w:tr>
      <w:tr>
        <w:trPr>
          <w:trHeight w:val="198"/>
        </w:trPr>
        <w:tc>
          <w:tcPr>
            <w:tcW w:w="574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5"/>
                <w:szCs w:val="15"/>
                <w:b w:val="1"/>
                <w:bCs w:val="1"/>
                <w:color w:val="auto"/>
              </w:rPr>
              <w:t>2025</w:t>
            </w:r>
          </w:p>
        </w:tc>
        <w:tc>
          <w:tcPr>
            <w:tcW w:w="80" w:type="dxa"/>
            <w:vAlign w:val="bottom"/>
            <w:tcBorders>
              <w:bottom w:val="single" w:sz="8" w:color="CCEEFF"/>
            </w:tcBorders>
          </w:tcPr>
          <w:p>
            <w:pPr>
              <w:spacing w:after="0"/>
              <w:rPr>
                <w:sz w:val="17"/>
                <w:szCs w:val="17"/>
                <w:color w:val="auto"/>
              </w:rPr>
            </w:pPr>
          </w:p>
        </w:tc>
        <w:tc>
          <w:tcPr>
            <w:tcW w:w="100" w:type="dxa"/>
            <w:vAlign w:val="bottom"/>
            <w:tcBorders>
              <w:top w:val="single" w:sz="8" w:color="auto"/>
              <w:bottom w:val="single" w:sz="8" w:color="CCEEFF"/>
            </w:tcBorders>
          </w:tcPr>
          <w:p>
            <w:pPr>
              <w:spacing w:after="0"/>
              <w:rPr>
                <w:sz w:val="17"/>
                <w:szCs w:val="17"/>
                <w:color w:val="auto"/>
              </w:rPr>
            </w:pPr>
          </w:p>
        </w:tc>
        <w:tc>
          <w:tcPr>
            <w:tcW w:w="720" w:type="dxa"/>
            <w:vAlign w:val="bottom"/>
            <w:tcBorders>
              <w:top w:val="single" w:sz="8" w:color="auto"/>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20" w:type="dxa"/>
            <w:vAlign w:val="bottom"/>
            <w:tcBorders>
              <w:top w:val="single" w:sz="8" w:color="auto"/>
              <w:bottom w:val="single" w:sz="8" w:color="CCEEFF"/>
            </w:tcBorders>
          </w:tcPr>
          <w:p>
            <w:pPr>
              <w:spacing w:after="0"/>
              <w:rPr>
                <w:sz w:val="17"/>
                <w:szCs w:val="17"/>
                <w:color w:val="auto"/>
              </w:rPr>
            </w:pPr>
          </w:p>
        </w:tc>
        <w:tc>
          <w:tcPr>
            <w:tcW w:w="700" w:type="dxa"/>
            <w:vAlign w:val="bottom"/>
            <w:tcBorders>
              <w:top w:val="single" w:sz="8" w:color="auto"/>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20" w:type="dxa"/>
            <w:vAlign w:val="bottom"/>
            <w:tcBorders>
              <w:top w:val="single" w:sz="8" w:color="auto"/>
              <w:bottom w:val="single" w:sz="8" w:color="CCEEFF"/>
            </w:tcBorders>
          </w:tcPr>
          <w:p>
            <w:pPr>
              <w:spacing w:after="0"/>
              <w:rPr>
                <w:sz w:val="17"/>
                <w:szCs w:val="17"/>
                <w:color w:val="auto"/>
              </w:rPr>
            </w:pPr>
          </w:p>
        </w:tc>
        <w:tc>
          <w:tcPr>
            <w:tcW w:w="720" w:type="dxa"/>
            <w:vAlign w:val="bottom"/>
            <w:tcBorders>
              <w:top w:val="single" w:sz="8" w:color="auto"/>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20" w:type="dxa"/>
            <w:vAlign w:val="bottom"/>
            <w:tcBorders>
              <w:top w:val="single" w:sz="8" w:color="auto"/>
              <w:bottom w:val="single" w:sz="8" w:color="CCEEFF"/>
            </w:tcBorders>
          </w:tcPr>
          <w:p>
            <w:pPr>
              <w:spacing w:after="0"/>
              <w:rPr>
                <w:sz w:val="17"/>
                <w:szCs w:val="17"/>
                <w:color w:val="auto"/>
              </w:rPr>
            </w:pPr>
          </w:p>
        </w:tc>
        <w:tc>
          <w:tcPr>
            <w:tcW w:w="720" w:type="dxa"/>
            <w:vAlign w:val="bottom"/>
            <w:tcBorders>
              <w:top w:val="single" w:sz="8" w:color="auto"/>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40" w:type="dxa"/>
            <w:vAlign w:val="bottom"/>
            <w:tcBorders>
              <w:top w:val="single" w:sz="8" w:color="auto"/>
              <w:bottom w:val="single" w:sz="8" w:color="CCEEFF"/>
            </w:tcBorders>
          </w:tcPr>
          <w:p>
            <w:pPr>
              <w:spacing w:after="0"/>
              <w:rPr>
                <w:sz w:val="17"/>
                <w:szCs w:val="17"/>
                <w:color w:val="auto"/>
              </w:rPr>
            </w:pPr>
          </w:p>
        </w:tc>
        <w:tc>
          <w:tcPr>
            <w:tcW w:w="700" w:type="dxa"/>
            <w:vAlign w:val="bottom"/>
            <w:tcBorders>
              <w:top w:val="single" w:sz="8" w:color="auto"/>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20" w:type="dxa"/>
            <w:vAlign w:val="bottom"/>
            <w:tcBorders>
              <w:top w:val="single" w:sz="8" w:color="auto"/>
              <w:bottom w:val="single" w:sz="8" w:color="CCEEFF"/>
            </w:tcBorders>
          </w:tcPr>
          <w:p>
            <w:pPr>
              <w:spacing w:after="0"/>
              <w:rPr>
                <w:sz w:val="17"/>
                <w:szCs w:val="17"/>
                <w:color w:val="auto"/>
              </w:rPr>
            </w:pPr>
          </w:p>
        </w:tc>
        <w:tc>
          <w:tcPr>
            <w:tcW w:w="720" w:type="dxa"/>
            <w:vAlign w:val="bottom"/>
            <w:tcBorders>
              <w:top w:val="single" w:sz="8" w:color="auto"/>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Net income</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118,073</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(26,579)</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91,494</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309,734</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(68,094)</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241,640</w:t>
            </w:r>
          </w:p>
        </w:tc>
        <w:tc>
          <w:tcPr>
            <w:tcW w:w="0" w:type="dxa"/>
            <w:vAlign w:val="bottom"/>
          </w:tcPr>
          <w:p>
            <w:pPr>
              <w:spacing w:after="0"/>
              <w:rPr>
                <w:sz w:val="1"/>
                <w:szCs w:val="1"/>
                <w:color w:val="auto"/>
              </w:rPr>
            </w:pPr>
          </w:p>
        </w:tc>
      </w:tr>
      <w:tr>
        <w:trPr>
          <w:trHeight w:val="200"/>
        </w:trPr>
        <w:tc>
          <w:tcPr>
            <w:tcW w:w="582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Other comprehensive income:</w:t>
            </w: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58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Unrealized gains on available-for-sale securities:</w:t>
            </w: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5820" w:type="dxa"/>
            <w:vAlign w:val="bottom"/>
            <w:gridSpan w:val="2"/>
          </w:tcPr>
          <w:p>
            <w:pPr>
              <w:ind w:left="240"/>
              <w:spacing w:after="0"/>
              <w:rPr>
                <w:sz w:val="20"/>
                <w:szCs w:val="20"/>
                <w:color w:val="auto"/>
              </w:rPr>
            </w:pPr>
            <w:r>
              <w:rPr>
                <w:rFonts w:ascii="Times New Roman" w:cs="Times New Roman" w:eastAsia="Times New Roman" w:hAnsi="Times New Roman"/>
                <w:sz w:val="15"/>
                <w:szCs w:val="15"/>
                <w:color w:val="auto"/>
              </w:rPr>
              <w:t>Unrealized holding gains</w:t>
            </w:r>
          </w:p>
        </w:tc>
        <w:tc>
          <w:tcPr>
            <w:tcW w:w="1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16,228</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(3,742)</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12,486</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62,875</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(14,671)</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48,204</w:t>
            </w:r>
          </w:p>
        </w:tc>
        <w:tc>
          <w:tcPr>
            <w:tcW w:w="0" w:type="dxa"/>
            <w:vAlign w:val="bottom"/>
          </w:tcPr>
          <w:p>
            <w:pPr>
              <w:spacing w:after="0"/>
              <w:rPr>
                <w:sz w:val="1"/>
                <w:szCs w:val="1"/>
                <w:color w:val="auto"/>
              </w:rPr>
            </w:pPr>
          </w:p>
        </w:tc>
      </w:tr>
      <w:tr>
        <w:trPr>
          <w:trHeight w:val="205"/>
        </w:trPr>
        <w:tc>
          <w:tcPr>
            <w:tcW w:w="582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5"/>
                <w:szCs w:val="15"/>
                <w:color w:val="auto"/>
              </w:rPr>
              <w:t>Reclassification adjustment for gains included in net income</w:t>
            </w:r>
          </w:p>
        </w:tc>
        <w:tc>
          <w:tcPr>
            <w:tcW w:w="10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(49)</w:t>
            </w:r>
          </w:p>
        </w:tc>
        <w:tc>
          <w:tcPr>
            <w:tcW w:w="1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13</w:t>
            </w:r>
          </w:p>
        </w:tc>
        <w:tc>
          <w:tcPr>
            <w:tcW w:w="8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(36)</w:t>
            </w:r>
          </w:p>
        </w:tc>
        <w:tc>
          <w:tcPr>
            <w:tcW w:w="8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(341)</w:t>
            </w:r>
          </w:p>
        </w:tc>
        <w:tc>
          <w:tcPr>
            <w:tcW w:w="8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83</w:t>
            </w:r>
          </w:p>
        </w:tc>
        <w:tc>
          <w:tcPr>
            <w:tcW w:w="8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(258)</w:t>
            </w:r>
          </w:p>
        </w:tc>
        <w:tc>
          <w:tcPr>
            <w:tcW w:w="0" w:type="dxa"/>
            <w:vAlign w:val="bottom"/>
          </w:tcPr>
          <w:p>
            <w:pPr>
              <w:spacing w:after="0"/>
              <w:rPr>
                <w:sz w:val="1"/>
                <w:szCs w:val="1"/>
                <w:color w:val="auto"/>
              </w:rPr>
            </w:pPr>
          </w:p>
        </w:tc>
      </w:tr>
      <w:tr>
        <w:trPr>
          <w:trHeight w:val="194"/>
        </w:trPr>
        <w:tc>
          <w:tcPr>
            <w:tcW w:w="5820" w:type="dxa"/>
            <w:vAlign w:val="bottom"/>
            <w:gridSpan w:val="2"/>
          </w:tcPr>
          <w:p>
            <w:pPr>
              <w:ind w:left="360"/>
              <w:spacing w:after="0"/>
              <w:rPr>
                <w:sz w:val="20"/>
                <w:szCs w:val="20"/>
                <w:color w:val="auto"/>
              </w:rPr>
            </w:pPr>
            <w:r>
              <w:rPr>
                <w:rFonts w:ascii="Times New Roman" w:cs="Times New Roman" w:eastAsia="Times New Roman" w:hAnsi="Times New Roman"/>
                <w:sz w:val="15"/>
                <w:szCs w:val="15"/>
                <w:color w:val="auto"/>
              </w:rPr>
              <w:t>Net unrealized gains on available-for-sale securities</w:t>
            </w:r>
          </w:p>
        </w:tc>
        <w:tc>
          <w:tcPr>
            <w:tcW w:w="1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16,179</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(3,729)</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12,450</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62,534</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(14,588)</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47,946</w:t>
            </w:r>
          </w:p>
        </w:tc>
        <w:tc>
          <w:tcPr>
            <w:tcW w:w="0" w:type="dxa"/>
            <w:vAlign w:val="bottom"/>
          </w:tcPr>
          <w:p>
            <w:pPr>
              <w:spacing w:after="0"/>
              <w:rPr>
                <w:sz w:val="1"/>
                <w:szCs w:val="1"/>
                <w:color w:val="auto"/>
              </w:rPr>
            </w:pPr>
          </w:p>
        </w:tc>
      </w:tr>
      <w:tr>
        <w:trPr>
          <w:trHeight w:val="151"/>
        </w:trPr>
        <w:tc>
          <w:tcPr>
            <w:tcW w:w="5820" w:type="dxa"/>
            <w:vAlign w:val="bottom"/>
            <w:gridSpan w:val="2"/>
            <w:shd w:val="clear" w:color="auto" w:fill="CCEEFF"/>
          </w:tcPr>
          <w:p>
            <w:pPr>
              <w:ind w:left="140"/>
              <w:spacing w:after="0" w:line="151" w:lineRule="exact"/>
              <w:rPr>
                <w:sz w:val="20"/>
                <w:szCs w:val="20"/>
                <w:color w:val="auto"/>
              </w:rPr>
            </w:pPr>
            <w:r>
              <w:rPr>
                <w:rFonts w:ascii="Times New Roman" w:cs="Times New Roman" w:eastAsia="Times New Roman" w:hAnsi="Times New Roman"/>
                <w:sz w:val="15"/>
                <w:szCs w:val="15"/>
                <w:color w:val="auto"/>
              </w:rPr>
              <w:t>Amortization of unrealized losses on held-to-maturity securities transferred from</w:t>
            </w:r>
          </w:p>
        </w:tc>
        <w:tc>
          <w:tcPr>
            <w:tcW w:w="10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58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available-for-sale</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1,993</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(471)</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1,522</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5,918</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(1,400)</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4,518</w:t>
            </w:r>
          </w:p>
        </w:tc>
        <w:tc>
          <w:tcPr>
            <w:tcW w:w="0" w:type="dxa"/>
            <w:vAlign w:val="bottom"/>
          </w:tcPr>
          <w:p>
            <w:pPr>
              <w:spacing w:after="0"/>
              <w:rPr>
                <w:sz w:val="1"/>
                <w:szCs w:val="1"/>
                <w:color w:val="auto"/>
              </w:rPr>
            </w:pPr>
          </w:p>
        </w:tc>
      </w:tr>
      <w:tr>
        <w:trPr>
          <w:trHeight w:val="200"/>
        </w:trPr>
        <w:tc>
          <w:tcPr>
            <w:tcW w:w="5820" w:type="dxa"/>
            <w:vAlign w:val="bottom"/>
            <w:gridSpan w:val="2"/>
          </w:tcPr>
          <w:p>
            <w:pPr>
              <w:ind w:left="140"/>
              <w:spacing w:after="0"/>
              <w:rPr>
                <w:sz w:val="20"/>
                <w:szCs w:val="20"/>
                <w:color w:val="auto"/>
              </w:rPr>
            </w:pPr>
            <w:r>
              <w:rPr>
                <w:rFonts w:ascii="Times New Roman" w:cs="Times New Roman" w:eastAsia="Times New Roman" w:hAnsi="Times New Roman"/>
                <w:sz w:val="15"/>
                <w:szCs w:val="15"/>
                <w:color w:val="auto"/>
              </w:rPr>
              <w:t>Derivative instruments designated as cash flow hedges:</w:t>
            </w: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582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5"/>
                <w:szCs w:val="15"/>
                <w:color w:val="auto"/>
              </w:rPr>
              <w:t>Unrealized holding gains (losses) on derivatives</w:t>
            </w: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191</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(49)</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142</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(1,195)</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301</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(894)</w:t>
            </w:r>
          </w:p>
        </w:tc>
        <w:tc>
          <w:tcPr>
            <w:tcW w:w="0" w:type="dxa"/>
            <w:vAlign w:val="bottom"/>
          </w:tcPr>
          <w:p>
            <w:pPr>
              <w:spacing w:after="0"/>
              <w:rPr>
                <w:sz w:val="1"/>
                <w:szCs w:val="1"/>
                <w:color w:val="auto"/>
              </w:rPr>
            </w:pPr>
          </w:p>
        </w:tc>
      </w:tr>
      <w:tr>
        <w:trPr>
          <w:trHeight w:val="200"/>
        </w:trPr>
        <w:tc>
          <w:tcPr>
            <w:tcW w:w="5820" w:type="dxa"/>
            <w:vAlign w:val="bottom"/>
            <w:tcBorders>
              <w:bottom w:val="single" w:sz="8" w:color="CCEEFF"/>
            </w:tcBorders>
            <w:gridSpan w:val="2"/>
          </w:tcPr>
          <w:p>
            <w:pPr>
              <w:ind w:left="260"/>
              <w:spacing w:after="0"/>
              <w:rPr>
                <w:sz w:val="20"/>
                <w:szCs w:val="20"/>
                <w:color w:val="auto"/>
              </w:rPr>
            </w:pPr>
            <w:r>
              <w:rPr>
                <w:rFonts w:ascii="Times New Roman" w:cs="Times New Roman" w:eastAsia="Times New Roman" w:hAnsi="Times New Roman"/>
                <w:sz w:val="15"/>
                <w:szCs w:val="15"/>
                <w:color w:val="auto"/>
              </w:rPr>
              <w:t>Gains on derivative instruments realized in net income</w:t>
            </w:r>
          </w:p>
        </w:tc>
        <w:tc>
          <w:tcPr>
            <w:tcW w:w="10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(1,143)</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289</w:t>
            </w:r>
          </w:p>
        </w:tc>
        <w:tc>
          <w:tcPr>
            <w:tcW w:w="8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(854)</w:t>
            </w:r>
          </w:p>
        </w:tc>
        <w:tc>
          <w:tcPr>
            <w:tcW w:w="8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(3,393)</w:t>
            </w:r>
          </w:p>
        </w:tc>
        <w:tc>
          <w:tcPr>
            <w:tcW w:w="8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857</w:t>
            </w:r>
          </w:p>
        </w:tc>
        <w:tc>
          <w:tcPr>
            <w:tcW w:w="8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(2,536)</w:t>
            </w:r>
          </w:p>
        </w:tc>
        <w:tc>
          <w:tcPr>
            <w:tcW w:w="0" w:type="dxa"/>
            <w:vAlign w:val="bottom"/>
          </w:tcPr>
          <w:p>
            <w:pPr>
              <w:spacing w:after="0"/>
              <w:rPr>
                <w:sz w:val="1"/>
                <w:szCs w:val="1"/>
                <w:color w:val="auto"/>
              </w:rPr>
            </w:pPr>
          </w:p>
        </w:tc>
      </w:tr>
      <w:tr>
        <w:trPr>
          <w:trHeight w:val="198"/>
        </w:trPr>
        <w:tc>
          <w:tcPr>
            <w:tcW w:w="582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5"/>
                <w:szCs w:val="15"/>
                <w:color w:val="auto"/>
              </w:rPr>
              <w:t>Net cash flow hedge activity</w:t>
            </w: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(952)</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240</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(712)</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(4,588)</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1,158</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(3,430)</w:t>
            </w:r>
          </w:p>
        </w:tc>
        <w:tc>
          <w:tcPr>
            <w:tcW w:w="0" w:type="dxa"/>
            <w:vAlign w:val="bottom"/>
          </w:tcPr>
          <w:p>
            <w:pPr>
              <w:spacing w:after="0"/>
              <w:rPr>
                <w:sz w:val="1"/>
                <w:szCs w:val="1"/>
                <w:color w:val="auto"/>
              </w:rPr>
            </w:pPr>
          </w:p>
        </w:tc>
      </w:tr>
      <w:tr>
        <w:trPr>
          <w:trHeight w:val="200"/>
        </w:trPr>
        <w:tc>
          <w:tcPr>
            <w:tcW w:w="5820" w:type="dxa"/>
            <w:vAlign w:val="bottom"/>
            <w:tcBorders>
              <w:bottom w:val="single" w:sz="8" w:color="CCEEFF"/>
            </w:tcBorders>
            <w:gridSpan w:val="2"/>
          </w:tcPr>
          <w:p>
            <w:pPr>
              <w:ind w:left="140"/>
              <w:spacing w:after="0"/>
              <w:rPr>
                <w:sz w:val="20"/>
                <w:szCs w:val="20"/>
                <w:color w:val="auto"/>
              </w:rPr>
            </w:pPr>
            <w:r>
              <w:rPr>
                <w:rFonts w:ascii="Times New Roman" w:cs="Times New Roman" w:eastAsia="Times New Roman" w:hAnsi="Times New Roman"/>
                <w:sz w:val="15"/>
                <w:szCs w:val="15"/>
                <w:color w:val="auto"/>
              </w:rPr>
              <w:t>Amortization of defined benefit pension plan net periodic pension cost components</w:t>
            </w:r>
          </w:p>
        </w:tc>
        <w:tc>
          <w:tcPr>
            <w:tcW w:w="10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(17)</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4</w:t>
            </w:r>
          </w:p>
        </w:tc>
        <w:tc>
          <w:tcPr>
            <w:tcW w:w="8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(13)</w:t>
            </w:r>
          </w:p>
        </w:tc>
        <w:tc>
          <w:tcPr>
            <w:tcW w:w="8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(51)</w:t>
            </w:r>
          </w:p>
        </w:tc>
        <w:tc>
          <w:tcPr>
            <w:tcW w:w="8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13</w:t>
            </w:r>
          </w:p>
        </w:tc>
        <w:tc>
          <w:tcPr>
            <w:tcW w:w="8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(38)</w:t>
            </w:r>
          </w:p>
        </w:tc>
        <w:tc>
          <w:tcPr>
            <w:tcW w:w="0" w:type="dxa"/>
            <w:vAlign w:val="bottom"/>
          </w:tcPr>
          <w:p>
            <w:pPr>
              <w:spacing w:after="0"/>
              <w:rPr>
                <w:sz w:val="1"/>
                <w:szCs w:val="1"/>
                <w:color w:val="auto"/>
              </w:rPr>
            </w:pPr>
          </w:p>
        </w:tc>
      </w:tr>
      <w:tr>
        <w:trPr>
          <w:trHeight w:val="196"/>
        </w:trPr>
        <w:tc>
          <w:tcPr>
            <w:tcW w:w="582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5"/>
                <w:szCs w:val="15"/>
                <w:color w:val="auto"/>
              </w:rPr>
              <w:t>Total other comprehensive income</w:t>
            </w:r>
          </w:p>
        </w:tc>
        <w:tc>
          <w:tcPr>
            <w:tcW w:w="10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17,203</w:t>
            </w:r>
          </w:p>
        </w:tc>
        <w:tc>
          <w:tcPr>
            <w:tcW w:w="1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(3,956)</w:t>
            </w:r>
          </w:p>
        </w:tc>
        <w:tc>
          <w:tcPr>
            <w:tcW w:w="8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13,247</w:t>
            </w:r>
          </w:p>
        </w:tc>
        <w:tc>
          <w:tcPr>
            <w:tcW w:w="8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63,813</w:t>
            </w:r>
          </w:p>
        </w:tc>
        <w:tc>
          <w:tcPr>
            <w:tcW w:w="8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(14,817)</w:t>
            </w:r>
          </w:p>
        </w:tc>
        <w:tc>
          <w:tcPr>
            <w:tcW w:w="8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48,996</w:t>
            </w:r>
          </w:p>
        </w:tc>
        <w:tc>
          <w:tcPr>
            <w:tcW w:w="0" w:type="dxa"/>
            <w:vAlign w:val="bottom"/>
          </w:tcPr>
          <w:p>
            <w:pPr>
              <w:spacing w:after="0"/>
              <w:rPr>
                <w:sz w:val="1"/>
                <w:szCs w:val="1"/>
                <w:color w:val="auto"/>
              </w:rPr>
            </w:pPr>
          </w:p>
        </w:tc>
      </w:tr>
      <w:tr>
        <w:trPr>
          <w:trHeight w:val="198"/>
        </w:trPr>
        <w:tc>
          <w:tcPr>
            <w:tcW w:w="5820" w:type="dxa"/>
            <w:vAlign w:val="bottom"/>
            <w:gridSpan w:val="2"/>
          </w:tcPr>
          <w:p>
            <w:pPr>
              <w:ind w:left="360"/>
              <w:spacing w:after="0"/>
              <w:rPr>
                <w:sz w:val="20"/>
                <w:szCs w:val="20"/>
                <w:color w:val="auto"/>
              </w:rPr>
            </w:pPr>
            <w:r>
              <w:rPr>
                <w:rFonts w:ascii="Times New Roman" w:cs="Times New Roman" w:eastAsia="Times New Roman" w:hAnsi="Times New Roman"/>
                <w:sz w:val="15"/>
                <w:szCs w:val="15"/>
                <w:color w:val="auto"/>
              </w:rPr>
              <w:t>Comprehensive income</w:t>
            </w: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135,276</w:t>
            </w:r>
          </w:p>
        </w:tc>
        <w:tc>
          <w:tcPr>
            <w:tcW w:w="10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(30,535)</w:t>
            </w:r>
          </w:p>
        </w:tc>
        <w:tc>
          <w:tcPr>
            <w:tcW w:w="8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104,741</w:t>
            </w:r>
          </w:p>
        </w:tc>
        <w:tc>
          <w:tcPr>
            <w:tcW w:w="8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373,547</w:t>
            </w:r>
          </w:p>
        </w:tc>
        <w:tc>
          <w:tcPr>
            <w:tcW w:w="80" w:type="dxa"/>
            <w:vAlign w:val="bottom"/>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(82,911)</w:t>
            </w:r>
          </w:p>
        </w:tc>
        <w:tc>
          <w:tcPr>
            <w:tcW w:w="8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290,636</w:t>
            </w:r>
          </w:p>
        </w:tc>
        <w:tc>
          <w:tcPr>
            <w:tcW w:w="0" w:type="dxa"/>
            <w:vAlign w:val="bottom"/>
          </w:tcPr>
          <w:p>
            <w:pPr>
              <w:spacing w:after="0"/>
              <w:rPr>
                <w:sz w:val="1"/>
                <w:szCs w:val="1"/>
                <w:color w:val="auto"/>
              </w:rPr>
            </w:pPr>
          </w:p>
        </w:tc>
      </w:tr>
      <w:tr>
        <w:trPr>
          <w:trHeight w:val="20"/>
        </w:trPr>
        <w:tc>
          <w:tcPr>
            <w:tcW w:w="57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57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2"/>
        </w:trPr>
        <w:tc>
          <w:tcPr>
            <w:tcW w:w="57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5"/>
                <w:szCs w:val="15"/>
                <w:b w:val="1"/>
                <w:bCs w:val="1"/>
                <w:color w:val="auto"/>
              </w:rPr>
              <w:t>2024</w:t>
            </w:r>
          </w:p>
        </w:tc>
        <w:tc>
          <w:tcPr>
            <w:tcW w:w="8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72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70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72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72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40" w:type="dxa"/>
            <w:vAlign w:val="bottom"/>
            <w:tcBorders>
              <w:bottom w:val="single" w:sz="8" w:color="CCEEFF"/>
            </w:tcBorders>
          </w:tcPr>
          <w:p>
            <w:pPr>
              <w:spacing w:after="0"/>
              <w:rPr>
                <w:sz w:val="17"/>
                <w:szCs w:val="17"/>
                <w:color w:val="auto"/>
              </w:rPr>
            </w:pPr>
          </w:p>
        </w:tc>
        <w:tc>
          <w:tcPr>
            <w:tcW w:w="70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72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Net income</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59,784</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(12,437)</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47,347</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226,596</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(50,003)</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176,593</w:t>
            </w:r>
          </w:p>
        </w:tc>
        <w:tc>
          <w:tcPr>
            <w:tcW w:w="0" w:type="dxa"/>
            <w:vAlign w:val="bottom"/>
          </w:tcPr>
          <w:p>
            <w:pPr>
              <w:spacing w:after="0"/>
              <w:rPr>
                <w:sz w:val="1"/>
                <w:szCs w:val="1"/>
                <w:color w:val="auto"/>
              </w:rPr>
            </w:pPr>
          </w:p>
        </w:tc>
      </w:tr>
      <w:tr>
        <w:trPr>
          <w:trHeight w:val="200"/>
        </w:trPr>
        <w:tc>
          <w:tcPr>
            <w:tcW w:w="582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Other comprehensive income:</w:t>
            </w: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58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Unrealized gains on available-for-sale securities</w:t>
            </w: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59,830</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(13,750)</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46,080</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61,534</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(14,732)</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46,802</w:t>
            </w:r>
          </w:p>
        </w:tc>
        <w:tc>
          <w:tcPr>
            <w:tcW w:w="0" w:type="dxa"/>
            <w:vAlign w:val="bottom"/>
          </w:tcPr>
          <w:p>
            <w:pPr>
              <w:spacing w:after="0"/>
              <w:rPr>
                <w:sz w:val="1"/>
                <w:szCs w:val="1"/>
                <w:color w:val="auto"/>
              </w:rPr>
            </w:pPr>
          </w:p>
        </w:tc>
      </w:tr>
      <w:tr>
        <w:trPr>
          <w:trHeight w:val="148"/>
        </w:trPr>
        <w:tc>
          <w:tcPr>
            <w:tcW w:w="5820" w:type="dxa"/>
            <w:vAlign w:val="bottom"/>
            <w:gridSpan w:val="2"/>
          </w:tcPr>
          <w:p>
            <w:pPr>
              <w:ind w:left="140"/>
              <w:spacing w:after="0" w:line="149" w:lineRule="exact"/>
              <w:rPr>
                <w:sz w:val="20"/>
                <w:szCs w:val="20"/>
                <w:color w:val="auto"/>
              </w:rPr>
            </w:pPr>
            <w:r>
              <w:rPr>
                <w:rFonts w:ascii="Times New Roman" w:cs="Times New Roman" w:eastAsia="Times New Roman" w:hAnsi="Times New Roman"/>
                <w:sz w:val="15"/>
                <w:szCs w:val="15"/>
                <w:color w:val="auto"/>
              </w:rPr>
              <w:t>Amortization of unrealized losses on held-to-maturity securities transferred from</w:t>
            </w: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2"/>
        </w:trPr>
        <w:tc>
          <w:tcPr>
            <w:tcW w:w="5820" w:type="dxa"/>
            <w:vAlign w:val="bottom"/>
            <w:gridSpan w:val="2"/>
          </w:tcPr>
          <w:p>
            <w:pPr>
              <w:ind w:left="140"/>
              <w:spacing w:after="0"/>
              <w:rPr>
                <w:sz w:val="20"/>
                <w:szCs w:val="20"/>
                <w:color w:val="auto"/>
              </w:rPr>
            </w:pPr>
            <w:r>
              <w:rPr>
                <w:rFonts w:ascii="Times New Roman" w:cs="Times New Roman" w:eastAsia="Times New Roman" w:hAnsi="Times New Roman"/>
                <w:sz w:val="15"/>
                <w:szCs w:val="15"/>
                <w:color w:val="auto"/>
              </w:rPr>
              <w:t>available-for-sale</w:t>
            </w: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2,235</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(528)</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1,707</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6,772</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(1,723)</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5,049</w:t>
            </w:r>
          </w:p>
        </w:tc>
        <w:tc>
          <w:tcPr>
            <w:tcW w:w="0" w:type="dxa"/>
            <w:vAlign w:val="bottom"/>
          </w:tcPr>
          <w:p>
            <w:pPr>
              <w:spacing w:after="0"/>
              <w:rPr>
                <w:sz w:val="1"/>
                <w:szCs w:val="1"/>
                <w:color w:val="auto"/>
              </w:rPr>
            </w:pPr>
          </w:p>
        </w:tc>
      </w:tr>
      <w:tr>
        <w:trPr>
          <w:trHeight w:val="206"/>
        </w:trPr>
        <w:tc>
          <w:tcPr>
            <w:tcW w:w="58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Derivative instruments designated as cash flow hedges:</w:t>
            </w: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5820" w:type="dxa"/>
            <w:vAlign w:val="bottom"/>
            <w:gridSpan w:val="2"/>
          </w:tcPr>
          <w:p>
            <w:pPr>
              <w:ind w:left="260"/>
              <w:spacing w:after="0"/>
              <w:rPr>
                <w:sz w:val="20"/>
                <w:szCs w:val="20"/>
                <w:color w:val="auto"/>
              </w:rPr>
            </w:pPr>
            <w:r>
              <w:rPr>
                <w:rFonts w:ascii="Times New Roman" w:cs="Times New Roman" w:eastAsia="Times New Roman" w:hAnsi="Times New Roman"/>
                <w:sz w:val="15"/>
                <w:szCs w:val="15"/>
                <w:color w:val="auto"/>
              </w:rPr>
              <w:t>Unrealized holding (losses) gains on derivatives</w:t>
            </w:r>
          </w:p>
        </w:tc>
        <w:tc>
          <w:tcPr>
            <w:tcW w:w="1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(2,632)</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665</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(1,967)</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892</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(188)</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704</w:t>
            </w:r>
          </w:p>
        </w:tc>
        <w:tc>
          <w:tcPr>
            <w:tcW w:w="0" w:type="dxa"/>
            <w:vAlign w:val="bottom"/>
          </w:tcPr>
          <w:p>
            <w:pPr>
              <w:spacing w:after="0"/>
              <w:rPr>
                <w:sz w:val="1"/>
                <w:szCs w:val="1"/>
                <w:color w:val="auto"/>
              </w:rPr>
            </w:pPr>
          </w:p>
        </w:tc>
      </w:tr>
      <w:tr>
        <w:trPr>
          <w:trHeight w:val="205"/>
        </w:trPr>
        <w:tc>
          <w:tcPr>
            <w:tcW w:w="582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5"/>
                <w:szCs w:val="15"/>
                <w:color w:val="auto"/>
              </w:rPr>
              <w:t>Gains on derivative instruments realized in net income</w:t>
            </w:r>
          </w:p>
        </w:tc>
        <w:tc>
          <w:tcPr>
            <w:tcW w:w="10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(1,441)</w:t>
            </w:r>
          </w:p>
        </w:tc>
        <w:tc>
          <w:tcPr>
            <w:tcW w:w="1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364</w:t>
            </w:r>
          </w:p>
        </w:tc>
        <w:tc>
          <w:tcPr>
            <w:tcW w:w="8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(1,077)</w:t>
            </w:r>
          </w:p>
        </w:tc>
        <w:tc>
          <w:tcPr>
            <w:tcW w:w="8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(4,319)</w:t>
            </w:r>
          </w:p>
        </w:tc>
        <w:tc>
          <w:tcPr>
            <w:tcW w:w="8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1,095</w:t>
            </w:r>
          </w:p>
        </w:tc>
        <w:tc>
          <w:tcPr>
            <w:tcW w:w="8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(3,224)</w:t>
            </w:r>
          </w:p>
        </w:tc>
        <w:tc>
          <w:tcPr>
            <w:tcW w:w="0" w:type="dxa"/>
            <w:vAlign w:val="bottom"/>
          </w:tcPr>
          <w:p>
            <w:pPr>
              <w:spacing w:after="0"/>
              <w:rPr>
                <w:sz w:val="1"/>
                <w:szCs w:val="1"/>
                <w:color w:val="auto"/>
              </w:rPr>
            </w:pPr>
          </w:p>
        </w:tc>
      </w:tr>
      <w:tr>
        <w:trPr>
          <w:trHeight w:val="194"/>
        </w:trPr>
        <w:tc>
          <w:tcPr>
            <w:tcW w:w="5820" w:type="dxa"/>
            <w:vAlign w:val="bottom"/>
            <w:gridSpan w:val="2"/>
          </w:tcPr>
          <w:p>
            <w:pPr>
              <w:ind w:left="360"/>
              <w:spacing w:after="0"/>
              <w:rPr>
                <w:sz w:val="20"/>
                <w:szCs w:val="20"/>
                <w:color w:val="auto"/>
              </w:rPr>
            </w:pPr>
            <w:r>
              <w:rPr>
                <w:rFonts w:ascii="Times New Roman" w:cs="Times New Roman" w:eastAsia="Times New Roman" w:hAnsi="Times New Roman"/>
                <w:sz w:val="15"/>
                <w:szCs w:val="15"/>
                <w:color w:val="auto"/>
              </w:rPr>
              <w:t>Net cash flow hedge activity</w:t>
            </w:r>
          </w:p>
        </w:tc>
        <w:tc>
          <w:tcPr>
            <w:tcW w:w="1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(4,073)</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1,029</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(3,044)</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(3,427)</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907</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(2,520)</w:t>
            </w:r>
          </w:p>
        </w:tc>
        <w:tc>
          <w:tcPr>
            <w:tcW w:w="0" w:type="dxa"/>
            <w:vAlign w:val="bottom"/>
          </w:tcPr>
          <w:p>
            <w:pPr>
              <w:spacing w:after="0"/>
              <w:rPr>
                <w:sz w:val="1"/>
                <w:szCs w:val="1"/>
                <w:color w:val="auto"/>
              </w:rPr>
            </w:pPr>
          </w:p>
        </w:tc>
      </w:tr>
      <w:tr>
        <w:trPr>
          <w:trHeight w:val="205"/>
        </w:trPr>
        <w:tc>
          <w:tcPr>
            <w:tcW w:w="58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Amortization of defined benefit pension plan net periodic pension cost components</w:t>
            </w:r>
          </w:p>
        </w:tc>
        <w:tc>
          <w:tcPr>
            <w:tcW w:w="10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44</w:t>
            </w:r>
          </w:p>
        </w:tc>
        <w:tc>
          <w:tcPr>
            <w:tcW w:w="1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w:t>
            </w:r>
          </w:p>
        </w:tc>
        <w:tc>
          <w:tcPr>
            <w:tcW w:w="8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33</w:t>
            </w:r>
          </w:p>
        </w:tc>
        <w:tc>
          <w:tcPr>
            <w:tcW w:w="8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134</w:t>
            </w:r>
          </w:p>
        </w:tc>
        <w:tc>
          <w:tcPr>
            <w:tcW w:w="8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(34)</w:t>
            </w:r>
          </w:p>
        </w:tc>
        <w:tc>
          <w:tcPr>
            <w:tcW w:w="8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100</w:t>
            </w:r>
          </w:p>
        </w:tc>
        <w:tc>
          <w:tcPr>
            <w:tcW w:w="0" w:type="dxa"/>
            <w:vAlign w:val="bottom"/>
          </w:tcPr>
          <w:p>
            <w:pPr>
              <w:spacing w:after="0"/>
              <w:rPr>
                <w:sz w:val="1"/>
                <w:szCs w:val="1"/>
                <w:color w:val="auto"/>
              </w:rPr>
            </w:pPr>
          </w:p>
        </w:tc>
      </w:tr>
      <w:tr>
        <w:trPr>
          <w:trHeight w:val="194"/>
        </w:trPr>
        <w:tc>
          <w:tcPr>
            <w:tcW w:w="5820" w:type="dxa"/>
            <w:vAlign w:val="bottom"/>
            <w:tcBorders>
              <w:bottom w:val="single" w:sz="8" w:color="CCEEFF"/>
            </w:tcBorders>
            <w:gridSpan w:val="2"/>
          </w:tcPr>
          <w:p>
            <w:pPr>
              <w:ind w:left="360"/>
              <w:spacing w:after="0"/>
              <w:rPr>
                <w:sz w:val="20"/>
                <w:szCs w:val="20"/>
                <w:color w:val="auto"/>
              </w:rPr>
            </w:pPr>
            <w:r>
              <w:rPr>
                <w:rFonts w:ascii="Times New Roman" w:cs="Times New Roman" w:eastAsia="Times New Roman" w:hAnsi="Times New Roman"/>
                <w:sz w:val="15"/>
                <w:szCs w:val="15"/>
                <w:color w:val="auto"/>
              </w:rPr>
              <w:t>Total other comprehensive income</w:t>
            </w:r>
          </w:p>
        </w:tc>
        <w:tc>
          <w:tcPr>
            <w:tcW w:w="1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58,036</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(13,260)</w:t>
            </w:r>
          </w:p>
        </w:tc>
        <w:tc>
          <w:tcPr>
            <w:tcW w:w="8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44,776</w:t>
            </w:r>
          </w:p>
        </w:tc>
        <w:tc>
          <w:tcPr>
            <w:tcW w:w="8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65,013</w:t>
            </w:r>
          </w:p>
        </w:tc>
        <w:tc>
          <w:tcPr>
            <w:tcW w:w="8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(15,582)</w:t>
            </w:r>
          </w:p>
        </w:tc>
        <w:tc>
          <w:tcPr>
            <w:tcW w:w="8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49,431</w:t>
            </w:r>
          </w:p>
        </w:tc>
        <w:tc>
          <w:tcPr>
            <w:tcW w:w="0" w:type="dxa"/>
            <w:vAlign w:val="bottom"/>
          </w:tcPr>
          <w:p>
            <w:pPr>
              <w:spacing w:after="0"/>
              <w:rPr>
                <w:sz w:val="1"/>
                <w:szCs w:val="1"/>
                <w:color w:val="auto"/>
              </w:rPr>
            </w:pPr>
          </w:p>
        </w:tc>
      </w:tr>
      <w:tr>
        <w:trPr>
          <w:trHeight w:val="223"/>
        </w:trPr>
        <w:tc>
          <w:tcPr>
            <w:tcW w:w="5820" w:type="dxa"/>
            <w:vAlign w:val="bottom"/>
            <w:tcBorders>
              <w:bottom w:val="single" w:sz="8" w:color="CCEEFF"/>
            </w:tcBorders>
            <w:gridSpan w:val="2"/>
            <w:shd w:val="clear" w:color="auto" w:fill="CCEEFF"/>
          </w:tcPr>
          <w:p>
            <w:pPr>
              <w:ind w:left="360"/>
              <w:spacing w:after="0"/>
              <w:rPr>
                <w:sz w:val="20"/>
                <w:szCs w:val="20"/>
                <w:color w:val="auto"/>
              </w:rPr>
            </w:pPr>
            <w:r>
              <w:rPr>
                <w:rFonts w:ascii="Times New Roman" w:cs="Times New Roman" w:eastAsia="Times New Roman" w:hAnsi="Times New Roman"/>
                <w:sz w:val="15"/>
                <w:szCs w:val="15"/>
                <w:color w:val="auto"/>
              </w:rPr>
              <w:t>Comprehensive income</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117,820</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(25,697)</w:t>
            </w: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92,123</w:t>
            </w: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291,609</w:t>
            </w:r>
          </w:p>
        </w:tc>
        <w:tc>
          <w:tcPr>
            <w:tcW w:w="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(65,585)</w:t>
            </w: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226,024</w:t>
            </w:r>
          </w:p>
        </w:tc>
        <w:tc>
          <w:tcPr>
            <w:tcW w:w="0" w:type="dxa"/>
            <w:vAlign w:val="bottom"/>
          </w:tcPr>
          <w:p>
            <w:pPr>
              <w:spacing w:after="0"/>
              <w:rPr>
                <w:sz w:val="1"/>
                <w:szCs w:val="1"/>
                <w:color w:val="auto"/>
              </w:rPr>
            </w:pPr>
          </w:p>
        </w:tc>
      </w:tr>
      <w:tr>
        <w:trPr>
          <w:trHeight w:val="20"/>
        </w:trPr>
        <w:tc>
          <w:tcPr>
            <w:tcW w:w="57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See accompanying notes to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68"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6"/>
          <w:szCs w:val="16"/>
          <w:b w:val="1"/>
          <w:bCs w:val="1"/>
          <w:color w:val="auto"/>
        </w:rPr>
        <w:t>UNITED COMMUNITY BANKS, INC.</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 xml:space="preserve">Consolidated Statement of Changes in Shareholders’ Equity </w:t>
      </w:r>
      <w:r>
        <w:rPr>
          <w:rFonts w:ascii="Times New Roman" w:cs="Times New Roman" w:eastAsia="Times New Roman" w:hAnsi="Times New Roman"/>
          <w:sz w:val="16"/>
          <w:szCs w:val="16"/>
          <w:i w:val="1"/>
          <w:iCs w:val="1"/>
          <w:color w:val="auto"/>
        </w:rPr>
        <w:t>(Unaudited)</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(in thousands except share and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21590</wp:posOffset>
            </wp:positionV>
            <wp:extent cx="71323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23"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3100" w:type="dxa"/>
            <w:vAlign w:val="bottom"/>
          </w:tcPr>
          <w:p>
            <w:pPr>
              <w:spacing w:after="0"/>
              <w:rPr>
                <w:sz w:val="13"/>
                <w:szCs w:val="13"/>
                <w:color w:val="auto"/>
              </w:rPr>
            </w:pPr>
          </w:p>
        </w:tc>
        <w:tc>
          <w:tcPr>
            <w:tcW w:w="106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Shares of</w:t>
            </w: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Common</w:t>
            </w: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310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Preferred</w:t>
            </w:r>
          </w:p>
        </w:tc>
        <w:tc>
          <w:tcPr>
            <w:tcW w:w="100" w:type="dxa"/>
            <w:vAlign w:val="bottom"/>
          </w:tcPr>
          <w:p>
            <w:pPr>
              <w:spacing w:after="0"/>
              <w:rPr>
                <w:sz w:val="12"/>
                <w:szCs w:val="12"/>
                <w:color w:val="auto"/>
              </w:rPr>
            </w:pPr>
          </w:p>
        </w:tc>
        <w:tc>
          <w:tcPr>
            <w:tcW w:w="86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Common</w:t>
            </w:r>
          </w:p>
        </w:tc>
        <w:tc>
          <w:tcPr>
            <w:tcW w:w="80" w:type="dxa"/>
            <w:vAlign w:val="bottom"/>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20" w:type="dxa"/>
            <w:vAlign w:val="bottom"/>
          </w:tcPr>
          <w:p>
            <w:pPr>
              <w:spacing w:after="0"/>
              <w:rPr>
                <w:sz w:val="12"/>
                <w:szCs w:val="12"/>
                <w:color w:val="auto"/>
              </w:rPr>
            </w:pPr>
          </w:p>
        </w:tc>
        <w:tc>
          <w:tcPr>
            <w:tcW w:w="8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100" w:type="dxa"/>
            <w:vAlign w:val="bottom"/>
          </w:tcPr>
          <w:p>
            <w:pPr>
              <w:spacing w:after="0"/>
              <w:rPr>
                <w:sz w:val="12"/>
                <w:szCs w:val="12"/>
                <w:color w:val="auto"/>
              </w:rPr>
            </w:pPr>
          </w:p>
        </w:tc>
        <w:tc>
          <w:tcPr>
            <w:tcW w:w="126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100" w:type="dxa"/>
            <w:vAlign w:val="bottom"/>
          </w:tcPr>
          <w:p>
            <w:pPr>
              <w:spacing w:after="0"/>
              <w:rPr>
                <w:sz w:val="12"/>
                <w:szCs w:val="12"/>
                <w:color w:val="auto"/>
              </w:rPr>
            </w:pPr>
          </w:p>
        </w:tc>
        <w:tc>
          <w:tcPr>
            <w:tcW w:w="106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Common</w:t>
            </w:r>
          </w:p>
        </w:tc>
        <w:tc>
          <w:tcPr>
            <w:tcW w:w="100" w:type="dxa"/>
            <w:vAlign w:val="bottom"/>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Stock</w:t>
            </w:r>
          </w:p>
        </w:tc>
        <w:tc>
          <w:tcPr>
            <w:tcW w:w="120" w:type="dxa"/>
            <w:vAlign w:val="bottom"/>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160" w:type="dxa"/>
            <w:vAlign w:val="bottom"/>
          </w:tcPr>
          <w:p>
            <w:pPr>
              <w:spacing w:after="0"/>
              <w:rPr>
                <w:sz w:val="12"/>
                <w:szCs w:val="12"/>
                <w:color w:val="auto"/>
              </w:rPr>
            </w:pPr>
          </w:p>
        </w:tc>
        <w:tc>
          <w:tcPr>
            <w:tcW w:w="700" w:type="dxa"/>
            <w:vAlign w:val="bottom"/>
            <w:vMerge w:val="restart"/>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6"/>
        </w:trPr>
        <w:tc>
          <w:tcPr>
            <w:tcW w:w="3100" w:type="dxa"/>
            <w:vAlign w:val="bottom"/>
          </w:tcPr>
          <w:p>
            <w:pPr>
              <w:spacing w:after="0"/>
              <w:rPr>
                <w:sz w:val="17"/>
                <w:szCs w:val="17"/>
                <w:color w:val="auto"/>
              </w:rPr>
            </w:pPr>
          </w:p>
        </w:tc>
        <w:tc>
          <w:tcPr>
            <w:tcW w:w="106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100" w:type="dxa"/>
            <w:vAlign w:val="bottom"/>
          </w:tcPr>
          <w:p>
            <w:pPr>
              <w:spacing w:after="0"/>
              <w:rPr>
                <w:sz w:val="17"/>
                <w:szCs w:val="17"/>
                <w:color w:val="auto"/>
              </w:rPr>
            </w:pPr>
          </w:p>
        </w:tc>
        <w:tc>
          <w:tcPr>
            <w:tcW w:w="8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100" w:type="dxa"/>
            <w:vAlign w:val="bottom"/>
          </w:tcPr>
          <w:p>
            <w:pPr>
              <w:spacing w:after="0"/>
              <w:rPr>
                <w:sz w:val="17"/>
                <w:szCs w:val="17"/>
                <w:color w:val="auto"/>
              </w:rPr>
            </w:pPr>
          </w:p>
        </w:tc>
        <w:tc>
          <w:tcPr>
            <w:tcW w:w="8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80" w:type="dxa"/>
            <w:vAlign w:val="bottom"/>
          </w:tcPr>
          <w:p>
            <w:pPr>
              <w:spacing w:after="0"/>
              <w:rPr>
                <w:sz w:val="17"/>
                <w:szCs w:val="17"/>
                <w:color w:val="auto"/>
              </w:rPr>
            </w:pPr>
          </w:p>
        </w:tc>
        <w:tc>
          <w:tcPr>
            <w:tcW w:w="82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Issuable</w:t>
            </w:r>
          </w:p>
        </w:tc>
        <w:tc>
          <w:tcPr>
            <w:tcW w:w="120" w:type="dxa"/>
            <w:vAlign w:val="bottom"/>
          </w:tcPr>
          <w:p>
            <w:pPr>
              <w:spacing w:after="0"/>
              <w:rPr>
                <w:sz w:val="17"/>
                <w:szCs w:val="17"/>
                <w:color w:val="auto"/>
              </w:rPr>
            </w:pPr>
          </w:p>
        </w:tc>
        <w:tc>
          <w:tcPr>
            <w:tcW w:w="84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Surplus</w:t>
            </w:r>
          </w:p>
        </w:tc>
        <w:tc>
          <w:tcPr>
            <w:tcW w:w="120" w:type="dxa"/>
            <w:vAlign w:val="bottom"/>
          </w:tcPr>
          <w:p>
            <w:pPr>
              <w:spacing w:after="0"/>
              <w:rPr>
                <w:sz w:val="17"/>
                <w:szCs w:val="17"/>
                <w:color w:val="auto"/>
              </w:rPr>
            </w:pPr>
          </w:p>
        </w:tc>
        <w:tc>
          <w:tcPr>
            <w:tcW w:w="8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100" w:type="dxa"/>
            <w:vAlign w:val="bottom"/>
          </w:tcPr>
          <w:p>
            <w:pPr>
              <w:spacing w:after="0"/>
              <w:rPr>
                <w:sz w:val="17"/>
                <w:szCs w:val="17"/>
                <w:color w:val="auto"/>
              </w:rPr>
            </w:pPr>
          </w:p>
        </w:tc>
        <w:tc>
          <w:tcPr>
            <w:tcW w:w="12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Loss</w:t>
            </w:r>
          </w:p>
        </w:tc>
        <w:tc>
          <w:tcPr>
            <w:tcW w:w="160" w:type="dxa"/>
            <w:vAlign w:val="bottom"/>
          </w:tcPr>
          <w:p>
            <w:pPr>
              <w:spacing w:after="0"/>
              <w:rPr>
                <w:sz w:val="17"/>
                <w:szCs w:val="17"/>
                <w:color w:val="auto"/>
              </w:rPr>
            </w:pPr>
          </w:p>
        </w:tc>
        <w:tc>
          <w:tcPr>
            <w:tcW w:w="7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3100" w:type="dxa"/>
            <w:vAlign w:val="bottom"/>
            <w:tcBorders>
              <w:top w:val="single" w:sz="8" w:color="CCEEFF"/>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96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74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74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70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74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74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1120" w:type="dxa"/>
            <w:vAlign w:val="bottom"/>
            <w:tcBorders>
              <w:top w:val="single" w:sz="8" w:color="auto"/>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70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31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Balance at June 30, 2024</w:t>
            </w:r>
          </w:p>
        </w:tc>
        <w:tc>
          <w:tcPr>
            <w:tcW w:w="9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119,174,803</w:t>
            </w:r>
          </w:p>
        </w:tc>
        <w:tc>
          <w:tcPr>
            <w:tcW w:w="10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88,266</w:t>
            </w:r>
          </w:p>
        </w:tc>
        <w:tc>
          <w:tcPr>
            <w:tcW w:w="12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119,175</w:t>
            </w:r>
          </w:p>
        </w:tc>
        <w:tc>
          <w:tcPr>
            <w:tcW w:w="120" w:type="dxa"/>
            <w:vAlign w:val="bottom"/>
          </w:tcPr>
          <w:p>
            <w:pPr>
              <w:spacing w:after="0"/>
              <w:rPr>
                <w:sz w:val="16"/>
                <w:szCs w:val="16"/>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12,145</w:t>
            </w:r>
          </w:p>
        </w:tc>
        <w:tc>
          <w:tcPr>
            <w:tcW w:w="12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2,705,345</w:t>
            </w:r>
          </w:p>
        </w:tc>
        <w:tc>
          <w:tcPr>
            <w:tcW w:w="10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652,239</w:t>
            </w:r>
          </w:p>
        </w:tc>
        <w:tc>
          <w:tcPr>
            <w:tcW w:w="8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(234,537)</w:t>
            </w:r>
          </w:p>
        </w:tc>
        <w:tc>
          <w:tcPr>
            <w:tcW w:w="140" w:type="dxa"/>
            <w:vAlign w:val="bottom"/>
          </w:tcPr>
          <w:p>
            <w:pPr>
              <w:spacing w:after="0"/>
              <w:rPr>
                <w:sz w:val="16"/>
                <w:szCs w:val="16"/>
                <w:color w:val="auto"/>
              </w:rPr>
            </w:pPr>
          </w:p>
        </w:tc>
        <w:tc>
          <w:tcPr>
            <w:tcW w:w="1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3,342,633</w:t>
            </w:r>
          </w:p>
        </w:tc>
        <w:tc>
          <w:tcPr>
            <w:tcW w:w="0" w:type="dxa"/>
            <w:vAlign w:val="bottom"/>
          </w:tcPr>
          <w:p>
            <w:pPr>
              <w:spacing w:after="0"/>
              <w:rPr>
                <w:sz w:val="1"/>
                <w:szCs w:val="1"/>
                <w:color w:val="auto"/>
              </w:rPr>
            </w:pPr>
          </w:p>
        </w:tc>
      </w:tr>
      <w:tr>
        <w:trPr>
          <w:trHeight w:val="209"/>
        </w:trPr>
        <w:tc>
          <w:tcPr>
            <w:tcW w:w="31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Net income</w:t>
            </w: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47,347</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47,347</w:t>
            </w:r>
          </w:p>
        </w:tc>
        <w:tc>
          <w:tcPr>
            <w:tcW w:w="0" w:type="dxa"/>
            <w:vAlign w:val="bottom"/>
          </w:tcPr>
          <w:p>
            <w:pPr>
              <w:spacing w:after="0"/>
              <w:rPr>
                <w:sz w:val="1"/>
                <w:szCs w:val="1"/>
                <w:color w:val="auto"/>
              </w:rPr>
            </w:pPr>
          </w:p>
        </w:tc>
      </w:tr>
      <w:tr>
        <w:trPr>
          <w:trHeight w:val="195"/>
        </w:trPr>
        <w:tc>
          <w:tcPr>
            <w:tcW w:w="3100" w:type="dxa"/>
            <w:vAlign w:val="bottom"/>
          </w:tcPr>
          <w:p>
            <w:pPr>
              <w:spacing w:after="0"/>
              <w:rPr>
                <w:sz w:val="20"/>
                <w:szCs w:val="20"/>
                <w:color w:val="auto"/>
              </w:rPr>
            </w:pPr>
            <w:r>
              <w:rPr>
                <w:rFonts w:ascii="Times New Roman" w:cs="Times New Roman" w:eastAsia="Times New Roman" w:hAnsi="Times New Roman"/>
                <w:sz w:val="14"/>
                <w:szCs w:val="14"/>
                <w:color w:val="auto"/>
              </w:rPr>
              <w:t>Other comprehensive income</w:t>
            </w: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44,776</w:t>
            </w: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44,776</w:t>
            </w:r>
          </w:p>
        </w:tc>
        <w:tc>
          <w:tcPr>
            <w:tcW w:w="0" w:type="dxa"/>
            <w:vAlign w:val="bottom"/>
          </w:tcPr>
          <w:p>
            <w:pPr>
              <w:spacing w:after="0"/>
              <w:rPr>
                <w:sz w:val="1"/>
                <w:szCs w:val="1"/>
                <w:color w:val="auto"/>
              </w:rPr>
            </w:pPr>
          </w:p>
        </w:tc>
      </w:tr>
      <w:tr>
        <w:trPr>
          <w:trHeight w:val="210"/>
        </w:trPr>
        <w:tc>
          <w:tcPr>
            <w:tcW w:w="31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Preferred stock dividends</w:t>
            </w: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(1,573)</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(1,573)</w:t>
            </w:r>
          </w:p>
        </w:tc>
        <w:tc>
          <w:tcPr>
            <w:tcW w:w="0" w:type="dxa"/>
            <w:vAlign w:val="bottom"/>
          </w:tcPr>
          <w:p>
            <w:pPr>
              <w:spacing w:after="0"/>
              <w:rPr>
                <w:sz w:val="1"/>
                <w:szCs w:val="1"/>
                <w:color w:val="auto"/>
              </w:rPr>
            </w:pPr>
          </w:p>
        </w:tc>
      </w:tr>
      <w:tr>
        <w:trPr>
          <w:trHeight w:val="195"/>
        </w:trPr>
        <w:tc>
          <w:tcPr>
            <w:tcW w:w="3100" w:type="dxa"/>
            <w:vAlign w:val="bottom"/>
          </w:tcPr>
          <w:p>
            <w:pPr>
              <w:spacing w:after="0"/>
              <w:rPr>
                <w:sz w:val="20"/>
                <w:szCs w:val="20"/>
                <w:color w:val="auto"/>
              </w:rPr>
            </w:pPr>
            <w:r>
              <w:rPr>
                <w:rFonts w:ascii="Times New Roman" w:cs="Times New Roman" w:eastAsia="Times New Roman" w:hAnsi="Times New Roman"/>
                <w:sz w:val="14"/>
                <w:szCs w:val="14"/>
                <w:color w:val="auto"/>
              </w:rPr>
              <w:t>Common stock dividends ($0.24 per share)</w:t>
            </w: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(29,048)</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(29,048)</w:t>
            </w:r>
          </w:p>
        </w:tc>
        <w:tc>
          <w:tcPr>
            <w:tcW w:w="0" w:type="dxa"/>
            <w:vAlign w:val="bottom"/>
          </w:tcPr>
          <w:p>
            <w:pPr>
              <w:spacing w:after="0"/>
              <w:rPr>
                <w:sz w:val="1"/>
                <w:szCs w:val="1"/>
                <w:color w:val="auto"/>
              </w:rPr>
            </w:pPr>
          </w:p>
        </w:tc>
      </w:tr>
      <w:tr>
        <w:trPr>
          <w:trHeight w:val="210"/>
        </w:trPr>
        <w:tc>
          <w:tcPr>
            <w:tcW w:w="31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Impact of equity-based compensation awards</w:t>
            </w:r>
          </w:p>
        </w:tc>
        <w:tc>
          <w:tcPr>
            <w:tcW w:w="9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104,709</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105</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375</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1,844</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2,324</w:t>
            </w:r>
          </w:p>
        </w:tc>
        <w:tc>
          <w:tcPr>
            <w:tcW w:w="0" w:type="dxa"/>
            <w:vAlign w:val="bottom"/>
          </w:tcPr>
          <w:p>
            <w:pPr>
              <w:spacing w:after="0"/>
              <w:rPr>
                <w:sz w:val="1"/>
                <w:szCs w:val="1"/>
                <w:color w:val="auto"/>
              </w:rPr>
            </w:pPr>
          </w:p>
        </w:tc>
      </w:tr>
      <w:tr>
        <w:trPr>
          <w:trHeight w:val="196"/>
        </w:trPr>
        <w:tc>
          <w:tcPr>
            <w:tcW w:w="31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4"/>
                <w:szCs w:val="14"/>
                <w:color w:val="auto"/>
              </w:rPr>
              <w:t>Impact of other United sponsored equity plans</w:t>
            </w:r>
          </w:p>
        </w:tc>
        <w:tc>
          <w:tcPr>
            <w:tcW w:w="96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3,250</w:t>
            </w:r>
          </w:p>
        </w:tc>
        <w:tc>
          <w:tcPr>
            <w:tcW w:w="10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20" w:type="dxa"/>
            <w:vAlign w:val="bottom"/>
            <w:tcBorders>
              <w:bottom w:val="single" w:sz="8" w:color="CCEEFF"/>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141</w:t>
            </w:r>
          </w:p>
        </w:tc>
        <w:tc>
          <w:tcPr>
            <w:tcW w:w="1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77</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spacing w:after="0"/>
              <w:rPr>
                <w:sz w:val="17"/>
                <w:szCs w:val="17"/>
                <w:color w:val="auto"/>
              </w:rPr>
            </w:pPr>
          </w:p>
        </w:tc>
        <w:tc>
          <w:tcPr>
            <w:tcW w:w="14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221</w:t>
            </w:r>
          </w:p>
        </w:tc>
        <w:tc>
          <w:tcPr>
            <w:tcW w:w="0" w:type="dxa"/>
            <w:vAlign w:val="bottom"/>
          </w:tcPr>
          <w:p>
            <w:pPr>
              <w:spacing w:after="0"/>
              <w:rPr>
                <w:sz w:val="1"/>
                <w:szCs w:val="1"/>
                <w:color w:val="auto"/>
              </w:rPr>
            </w:pPr>
          </w:p>
        </w:tc>
      </w:tr>
      <w:tr>
        <w:trPr>
          <w:trHeight w:val="221"/>
        </w:trPr>
        <w:tc>
          <w:tcPr>
            <w:tcW w:w="31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Balance at September 30, 2024</w:t>
            </w:r>
          </w:p>
        </w:tc>
        <w:tc>
          <w:tcPr>
            <w:tcW w:w="96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119,282,762</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88,266</w:t>
            </w:r>
          </w:p>
        </w:tc>
        <w:tc>
          <w:tcPr>
            <w:tcW w:w="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119,283</w:t>
            </w: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12,661</w:t>
            </w:r>
          </w:p>
        </w:tc>
        <w:tc>
          <w:tcPr>
            <w:tcW w:w="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2,707,266</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668,965</w:t>
            </w:r>
          </w:p>
        </w:tc>
        <w:tc>
          <w:tcPr>
            <w:tcW w:w="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(189,761)</w:t>
            </w:r>
          </w:p>
        </w:tc>
        <w:tc>
          <w:tcPr>
            <w:tcW w:w="14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3,406,680</w:t>
            </w:r>
          </w:p>
        </w:tc>
        <w:tc>
          <w:tcPr>
            <w:tcW w:w="0" w:type="dxa"/>
            <w:vAlign w:val="bottom"/>
          </w:tcPr>
          <w:p>
            <w:pPr>
              <w:spacing w:after="0"/>
              <w:rPr>
                <w:sz w:val="1"/>
                <w:szCs w:val="1"/>
                <w:color w:val="auto"/>
              </w:rPr>
            </w:pPr>
          </w:p>
        </w:tc>
      </w:tr>
      <w:tr>
        <w:trPr>
          <w:trHeight w:val="20"/>
        </w:trPr>
        <w:tc>
          <w:tcPr>
            <w:tcW w:w="31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31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Balance at June 30, 2025</w:t>
            </w:r>
          </w:p>
        </w:tc>
        <w:tc>
          <w:tcPr>
            <w:tcW w:w="9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121,431,262</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88,266</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121,431</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13,190</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2,764,617</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802,590</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(177,170)</w:t>
            </w: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3,612,924</w:t>
            </w:r>
          </w:p>
        </w:tc>
        <w:tc>
          <w:tcPr>
            <w:tcW w:w="0" w:type="dxa"/>
            <w:vAlign w:val="bottom"/>
          </w:tcPr>
          <w:p>
            <w:pPr>
              <w:spacing w:after="0"/>
              <w:rPr>
                <w:sz w:val="1"/>
                <w:szCs w:val="1"/>
                <w:color w:val="auto"/>
              </w:rPr>
            </w:pPr>
          </w:p>
        </w:tc>
      </w:tr>
      <w:tr>
        <w:trPr>
          <w:trHeight w:val="195"/>
        </w:trPr>
        <w:tc>
          <w:tcPr>
            <w:tcW w:w="3100" w:type="dxa"/>
            <w:vAlign w:val="bottom"/>
          </w:tcPr>
          <w:p>
            <w:pPr>
              <w:spacing w:after="0"/>
              <w:rPr>
                <w:sz w:val="20"/>
                <w:szCs w:val="20"/>
                <w:color w:val="auto"/>
              </w:rPr>
            </w:pPr>
            <w:r>
              <w:rPr>
                <w:rFonts w:ascii="Times New Roman" w:cs="Times New Roman" w:eastAsia="Times New Roman" w:hAnsi="Times New Roman"/>
                <w:sz w:val="14"/>
                <w:szCs w:val="14"/>
                <w:color w:val="auto"/>
              </w:rPr>
              <w:t>Net income</w:t>
            </w: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91,494</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91,494</w:t>
            </w:r>
          </w:p>
        </w:tc>
        <w:tc>
          <w:tcPr>
            <w:tcW w:w="0" w:type="dxa"/>
            <w:vAlign w:val="bottom"/>
          </w:tcPr>
          <w:p>
            <w:pPr>
              <w:spacing w:after="0"/>
              <w:rPr>
                <w:sz w:val="1"/>
                <w:szCs w:val="1"/>
                <w:color w:val="auto"/>
              </w:rPr>
            </w:pPr>
          </w:p>
        </w:tc>
      </w:tr>
      <w:tr>
        <w:trPr>
          <w:trHeight w:val="210"/>
        </w:trPr>
        <w:tc>
          <w:tcPr>
            <w:tcW w:w="31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Other comprehensive income</w:t>
            </w: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13,247</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13,247</w:t>
            </w:r>
          </w:p>
        </w:tc>
        <w:tc>
          <w:tcPr>
            <w:tcW w:w="0" w:type="dxa"/>
            <w:vAlign w:val="bottom"/>
          </w:tcPr>
          <w:p>
            <w:pPr>
              <w:spacing w:after="0"/>
              <w:rPr>
                <w:sz w:val="1"/>
                <w:szCs w:val="1"/>
                <w:color w:val="auto"/>
              </w:rPr>
            </w:pPr>
          </w:p>
        </w:tc>
      </w:tr>
      <w:tr>
        <w:trPr>
          <w:trHeight w:val="195"/>
        </w:trPr>
        <w:tc>
          <w:tcPr>
            <w:tcW w:w="3100" w:type="dxa"/>
            <w:vAlign w:val="bottom"/>
          </w:tcPr>
          <w:p>
            <w:pPr>
              <w:spacing w:after="0"/>
              <w:rPr>
                <w:sz w:val="20"/>
                <w:szCs w:val="20"/>
                <w:color w:val="auto"/>
              </w:rPr>
            </w:pPr>
            <w:r>
              <w:rPr>
                <w:rFonts w:ascii="Times New Roman" w:cs="Times New Roman" w:eastAsia="Times New Roman" w:hAnsi="Times New Roman"/>
                <w:sz w:val="14"/>
                <w:szCs w:val="14"/>
                <w:color w:val="auto"/>
              </w:rPr>
              <w:t>Preferred stock dividends</w:t>
            </w: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(1,573)</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(1,573)</w:t>
            </w:r>
          </w:p>
        </w:tc>
        <w:tc>
          <w:tcPr>
            <w:tcW w:w="0" w:type="dxa"/>
            <w:vAlign w:val="bottom"/>
          </w:tcPr>
          <w:p>
            <w:pPr>
              <w:spacing w:after="0"/>
              <w:rPr>
                <w:sz w:val="1"/>
                <w:szCs w:val="1"/>
                <w:color w:val="auto"/>
              </w:rPr>
            </w:pPr>
          </w:p>
        </w:tc>
      </w:tr>
      <w:tr>
        <w:trPr>
          <w:trHeight w:val="210"/>
        </w:trPr>
        <w:tc>
          <w:tcPr>
            <w:tcW w:w="31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Common stock dividends ($0.25 per share)</w:t>
            </w: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(30,841)</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(30,841)</w:t>
            </w:r>
          </w:p>
        </w:tc>
        <w:tc>
          <w:tcPr>
            <w:tcW w:w="0" w:type="dxa"/>
            <w:vAlign w:val="bottom"/>
          </w:tcPr>
          <w:p>
            <w:pPr>
              <w:spacing w:after="0"/>
              <w:rPr>
                <w:sz w:val="1"/>
                <w:szCs w:val="1"/>
                <w:color w:val="auto"/>
              </w:rPr>
            </w:pPr>
          </w:p>
        </w:tc>
      </w:tr>
      <w:tr>
        <w:trPr>
          <w:trHeight w:val="195"/>
        </w:trPr>
        <w:tc>
          <w:tcPr>
            <w:tcW w:w="3100" w:type="dxa"/>
            <w:vAlign w:val="bottom"/>
          </w:tcPr>
          <w:p>
            <w:pPr>
              <w:spacing w:after="0"/>
              <w:rPr>
                <w:sz w:val="20"/>
                <w:szCs w:val="20"/>
                <w:color w:val="auto"/>
              </w:rPr>
            </w:pPr>
            <w:r>
              <w:rPr>
                <w:rFonts w:ascii="Times New Roman" w:cs="Times New Roman" w:eastAsia="Times New Roman" w:hAnsi="Times New Roman"/>
                <w:sz w:val="14"/>
                <w:szCs w:val="14"/>
                <w:color w:val="auto"/>
              </w:rPr>
              <w:t>Redemption of preferred stock</w:t>
            </w: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(88,266)</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(3,275)</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(91,541)</w:t>
            </w:r>
          </w:p>
        </w:tc>
        <w:tc>
          <w:tcPr>
            <w:tcW w:w="0" w:type="dxa"/>
            <w:vAlign w:val="bottom"/>
          </w:tcPr>
          <w:p>
            <w:pPr>
              <w:spacing w:after="0"/>
              <w:rPr>
                <w:sz w:val="1"/>
                <w:szCs w:val="1"/>
                <w:color w:val="auto"/>
              </w:rPr>
            </w:pPr>
          </w:p>
        </w:tc>
      </w:tr>
      <w:tr>
        <w:trPr>
          <w:trHeight w:val="210"/>
        </w:trPr>
        <w:tc>
          <w:tcPr>
            <w:tcW w:w="31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Impact of equity-based compensation awards</w:t>
            </w:r>
          </w:p>
        </w:tc>
        <w:tc>
          <w:tcPr>
            <w:tcW w:w="9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119,264</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119</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350</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2,440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2,909</w:t>
            </w:r>
          </w:p>
        </w:tc>
        <w:tc>
          <w:tcPr>
            <w:tcW w:w="0" w:type="dxa"/>
            <w:vAlign w:val="bottom"/>
          </w:tcPr>
          <w:p>
            <w:pPr>
              <w:spacing w:after="0"/>
              <w:rPr>
                <w:sz w:val="1"/>
                <w:szCs w:val="1"/>
                <w:color w:val="auto"/>
              </w:rPr>
            </w:pPr>
          </w:p>
        </w:tc>
      </w:tr>
      <w:tr>
        <w:trPr>
          <w:trHeight w:val="196"/>
        </w:trPr>
        <w:tc>
          <w:tcPr>
            <w:tcW w:w="31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4"/>
                <w:szCs w:val="14"/>
                <w:color w:val="auto"/>
              </w:rPr>
              <w:t>Impact of other United sponsored equity plans</w:t>
            </w:r>
          </w:p>
        </w:tc>
        <w:tc>
          <w:tcPr>
            <w:tcW w:w="96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2,936</w:t>
            </w:r>
          </w:p>
        </w:tc>
        <w:tc>
          <w:tcPr>
            <w:tcW w:w="10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20" w:type="dxa"/>
            <w:vAlign w:val="bottom"/>
            <w:tcBorders>
              <w:bottom w:val="single" w:sz="8" w:color="CCEEFF"/>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143</w:t>
            </w:r>
          </w:p>
        </w:tc>
        <w:tc>
          <w:tcPr>
            <w:tcW w:w="1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86</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spacing w:after="0"/>
              <w:rPr>
                <w:sz w:val="17"/>
                <w:szCs w:val="17"/>
                <w:color w:val="auto"/>
              </w:rPr>
            </w:pPr>
          </w:p>
        </w:tc>
        <w:tc>
          <w:tcPr>
            <w:tcW w:w="14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232</w:t>
            </w:r>
          </w:p>
        </w:tc>
        <w:tc>
          <w:tcPr>
            <w:tcW w:w="0" w:type="dxa"/>
            <w:vAlign w:val="bottom"/>
          </w:tcPr>
          <w:p>
            <w:pPr>
              <w:spacing w:after="0"/>
              <w:rPr>
                <w:sz w:val="1"/>
                <w:szCs w:val="1"/>
                <w:color w:val="auto"/>
              </w:rPr>
            </w:pPr>
          </w:p>
        </w:tc>
      </w:tr>
      <w:tr>
        <w:trPr>
          <w:trHeight w:val="221"/>
        </w:trPr>
        <w:tc>
          <w:tcPr>
            <w:tcW w:w="31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Balance at September 30, 2025</w:t>
            </w:r>
          </w:p>
        </w:tc>
        <w:tc>
          <w:tcPr>
            <w:tcW w:w="96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121,553,462</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121,553</w:t>
            </w: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13,683</w:t>
            </w:r>
          </w:p>
        </w:tc>
        <w:tc>
          <w:tcPr>
            <w:tcW w:w="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2,767,143</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858,395</w:t>
            </w:r>
          </w:p>
        </w:tc>
        <w:tc>
          <w:tcPr>
            <w:tcW w:w="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(163,923)</w:t>
            </w:r>
          </w:p>
        </w:tc>
        <w:tc>
          <w:tcPr>
            <w:tcW w:w="14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3,596,851</w:t>
            </w:r>
          </w:p>
        </w:tc>
        <w:tc>
          <w:tcPr>
            <w:tcW w:w="0" w:type="dxa"/>
            <w:vAlign w:val="bottom"/>
          </w:tcPr>
          <w:p>
            <w:pPr>
              <w:spacing w:after="0"/>
              <w:rPr>
                <w:sz w:val="1"/>
                <w:szCs w:val="1"/>
                <w:color w:val="auto"/>
              </w:rPr>
            </w:pPr>
          </w:p>
        </w:tc>
      </w:tr>
      <w:tr>
        <w:trPr>
          <w:trHeight w:val="20"/>
        </w:trPr>
        <w:tc>
          <w:tcPr>
            <w:tcW w:w="31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31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31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Balance at December 31, 2023</w:t>
            </w:r>
          </w:p>
        </w:tc>
        <w:tc>
          <w:tcPr>
            <w:tcW w:w="9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119,010,319</w:t>
            </w:r>
          </w:p>
        </w:tc>
        <w:tc>
          <w:tcPr>
            <w:tcW w:w="10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88,266</w:t>
            </w:r>
          </w:p>
        </w:tc>
        <w:tc>
          <w:tcPr>
            <w:tcW w:w="12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119,010</w:t>
            </w:r>
          </w:p>
        </w:tc>
        <w:tc>
          <w:tcPr>
            <w:tcW w:w="120" w:type="dxa"/>
            <w:vAlign w:val="bottom"/>
          </w:tcPr>
          <w:p>
            <w:pPr>
              <w:spacing w:after="0"/>
              <w:rPr>
                <w:sz w:val="16"/>
                <w:szCs w:val="16"/>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13,110</w:t>
            </w:r>
          </w:p>
        </w:tc>
        <w:tc>
          <w:tcPr>
            <w:tcW w:w="12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2,699,112</w:t>
            </w:r>
          </w:p>
        </w:tc>
        <w:tc>
          <w:tcPr>
            <w:tcW w:w="10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581,219</w:t>
            </w:r>
          </w:p>
        </w:tc>
        <w:tc>
          <w:tcPr>
            <w:tcW w:w="8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(239,192)</w:t>
            </w:r>
          </w:p>
        </w:tc>
        <w:tc>
          <w:tcPr>
            <w:tcW w:w="140" w:type="dxa"/>
            <w:vAlign w:val="bottom"/>
          </w:tcPr>
          <w:p>
            <w:pPr>
              <w:spacing w:after="0"/>
              <w:rPr>
                <w:sz w:val="16"/>
                <w:szCs w:val="16"/>
                <w:color w:val="auto"/>
              </w:rPr>
            </w:pPr>
          </w:p>
        </w:tc>
        <w:tc>
          <w:tcPr>
            <w:tcW w:w="1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3,261,525</w:t>
            </w:r>
          </w:p>
        </w:tc>
        <w:tc>
          <w:tcPr>
            <w:tcW w:w="0" w:type="dxa"/>
            <w:vAlign w:val="bottom"/>
          </w:tcPr>
          <w:p>
            <w:pPr>
              <w:spacing w:after="0"/>
              <w:rPr>
                <w:sz w:val="1"/>
                <w:szCs w:val="1"/>
                <w:color w:val="auto"/>
              </w:rPr>
            </w:pPr>
          </w:p>
        </w:tc>
      </w:tr>
      <w:tr>
        <w:trPr>
          <w:trHeight w:val="209"/>
        </w:trPr>
        <w:tc>
          <w:tcPr>
            <w:tcW w:w="31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Net income</w:t>
            </w: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176,593</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176,593</w:t>
            </w:r>
          </w:p>
        </w:tc>
        <w:tc>
          <w:tcPr>
            <w:tcW w:w="0" w:type="dxa"/>
            <w:vAlign w:val="bottom"/>
          </w:tcPr>
          <w:p>
            <w:pPr>
              <w:spacing w:after="0"/>
              <w:rPr>
                <w:sz w:val="1"/>
                <w:szCs w:val="1"/>
                <w:color w:val="auto"/>
              </w:rPr>
            </w:pPr>
          </w:p>
        </w:tc>
      </w:tr>
      <w:tr>
        <w:trPr>
          <w:trHeight w:val="195"/>
        </w:trPr>
        <w:tc>
          <w:tcPr>
            <w:tcW w:w="3100" w:type="dxa"/>
            <w:vAlign w:val="bottom"/>
          </w:tcPr>
          <w:p>
            <w:pPr>
              <w:spacing w:after="0"/>
              <w:rPr>
                <w:sz w:val="20"/>
                <w:szCs w:val="20"/>
                <w:color w:val="auto"/>
              </w:rPr>
            </w:pPr>
            <w:r>
              <w:rPr>
                <w:rFonts w:ascii="Times New Roman" w:cs="Times New Roman" w:eastAsia="Times New Roman" w:hAnsi="Times New Roman"/>
                <w:sz w:val="14"/>
                <w:szCs w:val="14"/>
                <w:color w:val="auto"/>
              </w:rPr>
              <w:t>Other comprehensive income</w:t>
            </w: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49,431</w:t>
            </w: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49,431</w:t>
            </w:r>
          </w:p>
        </w:tc>
        <w:tc>
          <w:tcPr>
            <w:tcW w:w="0" w:type="dxa"/>
            <w:vAlign w:val="bottom"/>
          </w:tcPr>
          <w:p>
            <w:pPr>
              <w:spacing w:after="0"/>
              <w:rPr>
                <w:sz w:val="1"/>
                <w:szCs w:val="1"/>
                <w:color w:val="auto"/>
              </w:rPr>
            </w:pPr>
          </w:p>
        </w:tc>
      </w:tr>
      <w:tr>
        <w:trPr>
          <w:trHeight w:val="210"/>
        </w:trPr>
        <w:tc>
          <w:tcPr>
            <w:tcW w:w="31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Preferred stock dividends</w:t>
            </w: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(4,719)</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(4,719)</w:t>
            </w:r>
          </w:p>
        </w:tc>
        <w:tc>
          <w:tcPr>
            <w:tcW w:w="0" w:type="dxa"/>
            <w:vAlign w:val="bottom"/>
          </w:tcPr>
          <w:p>
            <w:pPr>
              <w:spacing w:after="0"/>
              <w:rPr>
                <w:sz w:val="1"/>
                <w:szCs w:val="1"/>
                <w:color w:val="auto"/>
              </w:rPr>
            </w:pPr>
          </w:p>
        </w:tc>
      </w:tr>
      <w:tr>
        <w:trPr>
          <w:trHeight w:val="195"/>
        </w:trPr>
        <w:tc>
          <w:tcPr>
            <w:tcW w:w="3100" w:type="dxa"/>
            <w:vAlign w:val="bottom"/>
          </w:tcPr>
          <w:p>
            <w:pPr>
              <w:spacing w:after="0"/>
              <w:rPr>
                <w:sz w:val="20"/>
                <w:szCs w:val="20"/>
                <w:color w:val="auto"/>
              </w:rPr>
            </w:pPr>
            <w:r>
              <w:rPr>
                <w:rFonts w:ascii="Times New Roman" w:cs="Times New Roman" w:eastAsia="Times New Roman" w:hAnsi="Times New Roman"/>
                <w:sz w:val="14"/>
                <w:szCs w:val="14"/>
                <w:color w:val="auto"/>
              </w:rPr>
              <w:t>Common stock dividends ($0.70 per share)</w:t>
            </w: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(84,128)</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(84,128)</w:t>
            </w:r>
          </w:p>
        </w:tc>
        <w:tc>
          <w:tcPr>
            <w:tcW w:w="0" w:type="dxa"/>
            <w:vAlign w:val="bottom"/>
          </w:tcPr>
          <w:p>
            <w:pPr>
              <w:spacing w:after="0"/>
              <w:rPr>
                <w:sz w:val="1"/>
                <w:szCs w:val="1"/>
                <w:color w:val="auto"/>
              </w:rPr>
            </w:pPr>
          </w:p>
        </w:tc>
      </w:tr>
      <w:tr>
        <w:trPr>
          <w:trHeight w:val="210"/>
        </w:trPr>
        <w:tc>
          <w:tcPr>
            <w:tcW w:w="31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Impact of equity-based compensation awards</w:t>
            </w:r>
          </w:p>
        </w:tc>
        <w:tc>
          <w:tcPr>
            <w:tcW w:w="9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219,400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219</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543</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7,250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8,012</w:t>
            </w:r>
          </w:p>
        </w:tc>
        <w:tc>
          <w:tcPr>
            <w:tcW w:w="0" w:type="dxa"/>
            <w:vAlign w:val="bottom"/>
          </w:tcPr>
          <w:p>
            <w:pPr>
              <w:spacing w:after="0"/>
              <w:rPr>
                <w:sz w:val="1"/>
                <w:szCs w:val="1"/>
                <w:color w:val="auto"/>
              </w:rPr>
            </w:pPr>
          </w:p>
        </w:tc>
      </w:tr>
      <w:tr>
        <w:trPr>
          <w:trHeight w:val="196"/>
        </w:trPr>
        <w:tc>
          <w:tcPr>
            <w:tcW w:w="31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4"/>
                <w:szCs w:val="14"/>
                <w:color w:val="auto"/>
              </w:rPr>
              <w:t>Impact of other United sponsored equity plans</w:t>
            </w:r>
          </w:p>
        </w:tc>
        <w:tc>
          <w:tcPr>
            <w:tcW w:w="96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53,043</w:t>
            </w:r>
          </w:p>
        </w:tc>
        <w:tc>
          <w:tcPr>
            <w:tcW w:w="10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54</w:t>
            </w:r>
          </w:p>
        </w:tc>
        <w:tc>
          <w:tcPr>
            <w:tcW w:w="120" w:type="dxa"/>
            <w:vAlign w:val="bottom"/>
            <w:tcBorders>
              <w:bottom w:val="single" w:sz="8" w:color="CCEEFF"/>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(992)</w:t>
            </w:r>
          </w:p>
        </w:tc>
        <w:tc>
          <w:tcPr>
            <w:tcW w:w="1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904</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spacing w:after="0"/>
              <w:rPr>
                <w:sz w:val="17"/>
                <w:szCs w:val="17"/>
                <w:color w:val="auto"/>
              </w:rPr>
            </w:pPr>
          </w:p>
        </w:tc>
        <w:tc>
          <w:tcPr>
            <w:tcW w:w="14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(34)</w:t>
            </w:r>
          </w:p>
        </w:tc>
        <w:tc>
          <w:tcPr>
            <w:tcW w:w="0" w:type="dxa"/>
            <w:vAlign w:val="bottom"/>
          </w:tcPr>
          <w:p>
            <w:pPr>
              <w:spacing w:after="0"/>
              <w:rPr>
                <w:sz w:val="1"/>
                <w:szCs w:val="1"/>
                <w:color w:val="auto"/>
              </w:rPr>
            </w:pPr>
          </w:p>
        </w:tc>
      </w:tr>
      <w:tr>
        <w:trPr>
          <w:trHeight w:val="221"/>
        </w:trPr>
        <w:tc>
          <w:tcPr>
            <w:tcW w:w="31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Balance at September 30, 2024</w:t>
            </w:r>
          </w:p>
        </w:tc>
        <w:tc>
          <w:tcPr>
            <w:tcW w:w="96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119,282,762</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88,266</w:t>
            </w:r>
          </w:p>
        </w:tc>
        <w:tc>
          <w:tcPr>
            <w:tcW w:w="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119,283</w:t>
            </w: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12,661</w:t>
            </w:r>
          </w:p>
        </w:tc>
        <w:tc>
          <w:tcPr>
            <w:tcW w:w="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2,707,266</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668,965</w:t>
            </w:r>
          </w:p>
        </w:tc>
        <w:tc>
          <w:tcPr>
            <w:tcW w:w="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(189,761)</w:t>
            </w:r>
          </w:p>
        </w:tc>
        <w:tc>
          <w:tcPr>
            <w:tcW w:w="14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3,406,680</w:t>
            </w:r>
          </w:p>
        </w:tc>
        <w:tc>
          <w:tcPr>
            <w:tcW w:w="0" w:type="dxa"/>
            <w:vAlign w:val="bottom"/>
          </w:tcPr>
          <w:p>
            <w:pPr>
              <w:spacing w:after="0"/>
              <w:rPr>
                <w:sz w:val="1"/>
                <w:szCs w:val="1"/>
                <w:color w:val="auto"/>
              </w:rPr>
            </w:pPr>
          </w:p>
        </w:tc>
      </w:tr>
      <w:tr>
        <w:trPr>
          <w:trHeight w:val="20"/>
        </w:trPr>
        <w:tc>
          <w:tcPr>
            <w:tcW w:w="31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31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Balance at December 31, 2024</w:t>
            </w:r>
          </w:p>
        </w:tc>
        <w:tc>
          <w:tcPr>
            <w:tcW w:w="9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119,364,110</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88,266</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119,364</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12,999</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2,710,279</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714,138</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(212,919)</w:t>
            </w: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3,432,127</w:t>
            </w:r>
          </w:p>
        </w:tc>
        <w:tc>
          <w:tcPr>
            <w:tcW w:w="0" w:type="dxa"/>
            <w:vAlign w:val="bottom"/>
          </w:tcPr>
          <w:p>
            <w:pPr>
              <w:spacing w:after="0"/>
              <w:rPr>
                <w:sz w:val="1"/>
                <w:szCs w:val="1"/>
                <w:color w:val="auto"/>
              </w:rPr>
            </w:pPr>
          </w:p>
        </w:tc>
      </w:tr>
      <w:tr>
        <w:trPr>
          <w:trHeight w:val="195"/>
        </w:trPr>
        <w:tc>
          <w:tcPr>
            <w:tcW w:w="3100" w:type="dxa"/>
            <w:vAlign w:val="bottom"/>
          </w:tcPr>
          <w:p>
            <w:pPr>
              <w:spacing w:after="0"/>
              <w:rPr>
                <w:sz w:val="20"/>
                <w:szCs w:val="20"/>
                <w:color w:val="auto"/>
              </w:rPr>
            </w:pPr>
            <w:r>
              <w:rPr>
                <w:rFonts w:ascii="Times New Roman" w:cs="Times New Roman" w:eastAsia="Times New Roman" w:hAnsi="Times New Roman"/>
                <w:sz w:val="14"/>
                <w:szCs w:val="14"/>
                <w:color w:val="auto"/>
              </w:rPr>
              <w:t>Net income</w:t>
            </w: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241,640</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241,640</w:t>
            </w:r>
          </w:p>
        </w:tc>
        <w:tc>
          <w:tcPr>
            <w:tcW w:w="0" w:type="dxa"/>
            <w:vAlign w:val="bottom"/>
          </w:tcPr>
          <w:p>
            <w:pPr>
              <w:spacing w:after="0"/>
              <w:rPr>
                <w:sz w:val="1"/>
                <w:szCs w:val="1"/>
                <w:color w:val="auto"/>
              </w:rPr>
            </w:pPr>
          </w:p>
        </w:tc>
      </w:tr>
      <w:tr>
        <w:trPr>
          <w:trHeight w:val="210"/>
        </w:trPr>
        <w:tc>
          <w:tcPr>
            <w:tcW w:w="31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Other comprehensive income</w:t>
            </w: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48,996</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48,996</w:t>
            </w:r>
          </w:p>
        </w:tc>
        <w:tc>
          <w:tcPr>
            <w:tcW w:w="0" w:type="dxa"/>
            <w:vAlign w:val="bottom"/>
          </w:tcPr>
          <w:p>
            <w:pPr>
              <w:spacing w:after="0"/>
              <w:rPr>
                <w:sz w:val="1"/>
                <w:szCs w:val="1"/>
                <w:color w:val="auto"/>
              </w:rPr>
            </w:pPr>
          </w:p>
        </w:tc>
      </w:tr>
      <w:tr>
        <w:trPr>
          <w:trHeight w:val="195"/>
        </w:trPr>
        <w:tc>
          <w:tcPr>
            <w:tcW w:w="3100" w:type="dxa"/>
            <w:vAlign w:val="bottom"/>
          </w:tcPr>
          <w:p>
            <w:pPr>
              <w:spacing w:after="0"/>
              <w:rPr>
                <w:sz w:val="20"/>
                <w:szCs w:val="20"/>
                <w:color w:val="auto"/>
              </w:rPr>
            </w:pPr>
            <w:r>
              <w:rPr>
                <w:rFonts w:ascii="Times New Roman" w:cs="Times New Roman" w:eastAsia="Times New Roman" w:hAnsi="Times New Roman"/>
                <w:sz w:val="14"/>
                <w:szCs w:val="14"/>
                <w:color w:val="auto"/>
              </w:rPr>
              <w:t>Impact of acquisitions</w:t>
            </w:r>
          </w:p>
        </w:tc>
        <w:tc>
          <w:tcPr>
            <w:tcW w:w="9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2,380,952</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2,381</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63,357</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65,738</w:t>
            </w:r>
          </w:p>
        </w:tc>
        <w:tc>
          <w:tcPr>
            <w:tcW w:w="0" w:type="dxa"/>
            <w:vAlign w:val="bottom"/>
          </w:tcPr>
          <w:p>
            <w:pPr>
              <w:spacing w:after="0"/>
              <w:rPr>
                <w:sz w:val="1"/>
                <w:szCs w:val="1"/>
                <w:color w:val="auto"/>
              </w:rPr>
            </w:pPr>
          </w:p>
        </w:tc>
      </w:tr>
      <w:tr>
        <w:trPr>
          <w:trHeight w:val="210"/>
        </w:trPr>
        <w:tc>
          <w:tcPr>
            <w:tcW w:w="31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Redemption of preferred stock</w:t>
            </w: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(88,266)</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(3,275)</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(91,541)</w:t>
            </w:r>
          </w:p>
        </w:tc>
        <w:tc>
          <w:tcPr>
            <w:tcW w:w="0" w:type="dxa"/>
            <w:vAlign w:val="bottom"/>
          </w:tcPr>
          <w:p>
            <w:pPr>
              <w:spacing w:after="0"/>
              <w:rPr>
                <w:sz w:val="1"/>
                <w:szCs w:val="1"/>
                <w:color w:val="auto"/>
              </w:rPr>
            </w:pPr>
          </w:p>
        </w:tc>
      </w:tr>
      <w:tr>
        <w:trPr>
          <w:trHeight w:val="195"/>
        </w:trPr>
        <w:tc>
          <w:tcPr>
            <w:tcW w:w="3100" w:type="dxa"/>
            <w:vAlign w:val="bottom"/>
          </w:tcPr>
          <w:p>
            <w:pPr>
              <w:spacing w:after="0"/>
              <w:rPr>
                <w:sz w:val="20"/>
                <w:szCs w:val="20"/>
                <w:color w:val="auto"/>
              </w:rPr>
            </w:pPr>
            <w:r>
              <w:rPr>
                <w:rFonts w:ascii="Times New Roman" w:cs="Times New Roman" w:eastAsia="Times New Roman" w:hAnsi="Times New Roman"/>
                <w:sz w:val="14"/>
                <w:szCs w:val="14"/>
                <w:color w:val="auto"/>
              </w:rPr>
              <w:t>Purchases of common stock</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(506,600)</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(507)</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(13,435)</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(13,942)</w:t>
            </w:r>
          </w:p>
        </w:tc>
        <w:tc>
          <w:tcPr>
            <w:tcW w:w="0" w:type="dxa"/>
            <w:vAlign w:val="bottom"/>
          </w:tcPr>
          <w:p>
            <w:pPr>
              <w:spacing w:after="0"/>
              <w:rPr>
                <w:sz w:val="1"/>
                <w:szCs w:val="1"/>
                <w:color w:val="auto"/>
              </w:rPr>
            </w:pPr>
          </w:p>
        </w:tc>
      </w:tr>
      <w:tr>
        <w:trPr>
          <w:trHeight w:val="210"/>
        </w:trPr>
        <w:tc>
          <w:tcPr>
            <w:tcW w:w="31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Preferred stock dividends</w:t>
            </w: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(4,719)</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(4,719)</w:t>
            </w:r>
          </w:p>
        </w:tc>
        <w:tc>
          <w:tcPr>
            <w:tcW w:w="0" w:type="dxa"/>
            <w:vAlign w:val="bottom"/>
          </w:tcPr>
          <w:p>
            <w:pPr>
              <w:spacing w:after="0"/>
              <w:rPr>
                <w:sz w:val="1"/>
                <w:szCs w:val="1"/>
                <w:color w:val="auto"/>
              </w:rPr>
            </w:pPr>
          </w:p>
        </w:tc>
      </w:tr>
      <w:tr>
        <w:trPr>
          <w:trHeight w:val="195"/>
        </w:trPr>
        <w:tc>
          <w:tcPr>
            <w:tcW w:w="3100" w:type="dxa"/>
            <w:vAlign w:val="bottom"/>
          </w:tcPr>
          <w:p>
            <w:pPr>
              <w:spacing w:after="0"/>
              <w:rPr>
                <w:sz w:val="20"/>
                <w:szCs w:val="20"/>
                <w:color w:val="auto"/>
              </w:rPr>
            </w:pPr>
            <w:r>
              <w:rPr>
                <w:rFonts w:ascii="Times New Roman" w:cs="Times New Roman" w:eastAsia="Times New Roman" w:hAnsi="Times New Roman"/>
                <w:sz w:val="14"/>
                <w:szCs w:val="14"/>
                <w:color w:val="auto"/>
              </w:rPr>
              <w:t>Common stock dividends ($0.73 per share)</w:t>
            </w: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(89,389)</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(89,389)</w:t>
            </w:r>
          </w:p>
        </w:tc>
        <w:tc>
          <w:tcPr>
            <w:tcW w:w="0" w:type="dxa"/>
            <w:vAlign w:val="bottom"/>
          </w:tcPr>
          <w:p>
            <w:pPr>
              <w:spacing w:after="0"/>
              <w:rPr>
                <w:sz w:val="1"/>
                <w:szCs w:val="1"/>
                <w:color w:val="auto"/>
              </w:rPr>
            </w:pPr>
          </w:p>
        </w:tc>
      </w:tr>
      <w:tr>
        <w:trPr>
          <w:trHeight w:val="210"/>
        </w:trPr>
        <w:tc>
          <w:tcPr>
            <w:tcW w:w="31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Impact of equity-based compensation awards</w:t>
            </w:r>
          </w:p>
        </w:tc>
        <w:tc>
          <w:tcPr>
            <w:tcW w:w="9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261,486</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262</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1,413</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5,904</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7,579</w:t>
            </w:r>
          </w:p>
        </w:tc>
        <w:tc>
          <w:tcPr>
            <w:tcW w:w="0" w:type="dxa"/>
            <w:vAlign w:val="bottom"/>
          </w:tcPr>
          <w:p>
            <w:pPr>
              <w:spacing w:after="0"/>
              <w:rPr>
                <w:sz w:val="1"/>
                <w:szCs w:val="1"/>
                <w:color w:val="auto"/>
              </w:rPr>
            </w:pPr>
          </w:p>
        </w:tc>
      </w:tr>
      <w:tr>
        <w:trPr>
          <w:trHeight w:val="196"/>
        </w:trPr>
        <w:tc>
          <w:tcPr>
            <w:tcW w:w="31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4"/>
                <w:szCs w:val="14"/>
                <w:color w:val="auto"/>
              </w:rPr>
              <w:t>Impact of other United sponsored equity plans</w:t>
            </w:r>
          </w:p>
        </w:tc>
        <w:tc>
          <w:tcPr>
            <w:tcW w:w="96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53,514</w:t>
            </w:r>
          </w:p>
        </w:tc>
        <w:tc>
          <w:tcPr>
            <w:tcW w:w="10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53</w:t>
            </w:r>
          </w:p>
        </w:tc>
        <w:tc>
          <w:tcPr>
            <w:tcW w:w="120" w:type="dxa"/>
            <w:vAlign w:val="bottom"/>
            <w:tcBorders>
              <w:bottom w:val="single" w:sz="8" w:color="CCEEFF"/>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(729)</w:t>
            </w:r>
          </w:p>
        </w:tc>
        <w:tc>
          <w:tcPr>
            <w:tcW w:w="1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1,038</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spacing w:after="0"/>
              <w:rPr>
                <w:sz w:val="17"/>
                <w:szCs w:val="17"/>
                <w:color w:val="auto"/>
              </w:rPr>
            </w:pPr>
          </w:p>
        </w:tc>
        <w:tc>
          <w:tcPr>
            <w:tcW w:w="14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362</w:t>
            </w:r>
          </w:p>
        </w:tc>
        <w:tc>
          <w:tcPr>
            <w:tcW w:w="0" w:type="dxa"/>
            <w:vAlign w:val="bottom"/>
          </w:tcPr>
          <w:p>
            <w:pPr>
              <w:spacing w:after="0"/>
              <w:rPr>
                <w:sz w:val="1"/>
                <w:szCs w:val="1"/>
                <w:color w:val="auto"/>
              </w:rPr>
            </w:pPr>
          </w:p>
        </w:tc>
      </w:tr>
      <w:tr>
        <w:trPr>
          <w:trHeight w:val="221"/>
        </w:trPr>
        <w:tc>
          <w:tcPr>
            <w:tcW w:w="31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Balance at September 30, 2025</w:t>
            </w:r>
          </w:p>
        </w:tc>
        <w:tc>
          <w:tcPr>
            <w:tcW w:w="96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121,553,462</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121,553</w:t>
            </w: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13,683</w:t>
            </w:r>
          </w:p>
        </w:tc>
        <w:tc>
          <w:tcPr>
            <w:tcW w:w="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2,767,143</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858,395</w:t>
            </w:r>
          </w:p>
        </w:tc>
        <w:tc>
          <w:tcPr>
            <w:tcW w:w="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(163,923)</w:t>
            </w:r>
          </w:p>
        </w:tc>
        <w:tc>
          <w:tcPr>
            <w:tcW w:w="14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3,596,851</w:t>
            </w:r>
          </w:p>
        </w:tc>
        <w:tc>
          <w:tcPr>
            <w:tcW w:w="0" w:type="dxa"/>
            <w:vAlign w:val="bottom"/>
          </w:tcPr>
          <w:p>
            <w:pPr>
              <w:spacing w:after="0"/>
              <w:rPr>
                <w:sz w:val="1"/>
                <w:szCs w:val="1"/>
                <w:color w:val="auto"/>
              </w:rPr>
            </w:pPr>
          </w:p>
        </w:tc>
      </w:tr>
      <w:tr>
        <w:trPr>
          <w:trHeight w:val="20"/>
        </w:trPr>
        <w:tc>
          <w:tcPr>
            <w:tcW w:w="31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See accompanying notes to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73025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40" w:top="974" w:right="399" w:bottom="1440" w:gutter="0" w:footer="0" w:header="0"/>
        </w:sectPr>
      </w:pPr>
    </w:p>
    <w:bookmarkStart w:id="8" w:name="page9"/>
    <w:bookmarkEnd w:id="8"/>
    <w:p>
      <w:pPr>
        <w:ind w:left="20"/>
        <w:spacing w:after="0"/>
        <w:rPr>
          <w:sz w:val="20"/>
          <w:szCs w:val="20"/>
          <w:color w:val="auto"/>
        </w:rPr>
      </w:pPr>
      <w:r>
        <w:rPr>
          <w:rFonts w:ascii="Times New Roman" w:cs="Times New Roman" w:eastAsia="Times New Roman" w:hAnsi="Times New Roman"/>
          <w:sz w:val="18"/>
          <w:szCs w:val="18"/>
          <w:b w:val="1"/>
          <w:bCs w:val="1"/>
          <w:color w:val="auto"/>
        </w:rPr>
        <w:t>UNITED COMMUNITY BANKS, INC.</w:t>
      </w:r>
    </w:p>
    <w:p>
      <w:pPr>
        <w:spacing w:after="0" w:line="3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b w:val="1"/>
          <w:bCs w:val="1"/>
          <w:color w:val="auto"/>
        </w:rPr>
        <w:t xml:space="preserve">Consolidated Statements of Cash Flows </w:t>
      </w:r>
      <w:r>
        <w:rPr>
          <w:rFonts w:ascii="Times New Roman" w:cs="Times New Roman" w:eastAsia="Times New Roman" w:hAnsi="Times New Roman"/>
          <w:sz w:val="16"/>
          <w:szCs w:val="16"/>
          <w:i w:val="1"/>
          <w:iCs w:val="1"/>
          <w:color w:val="auto"/>
        </w:rPr>
        <w:t>(Unaudited)</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8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840" w:type="dxa"/>
            <w:vAlign w:val="bottom"/>
            <w:tcBorders>
              <w:bottom w:val="single" w:sz="8" w:color="auto"/>
            </w:tcBorders>
            <w:gridSpan w:val="4"/>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rPr>
              <w:t>Nine Months Ended September 30,</w:t>
            </w:r>
          </w:p>
        </w:tc>
        <w:tc>
          <w:tcPr>
            <w:tcW w:w="0" w:type="dxa"/>
            <w:vAlign w:val="bottom"/>
          </w:tcPr>
          <w:p>
            <w:pPr>
              <w:spacing w:after="0"/>
              <w:rPr>
                <w:sz w:val="1"/>
                <w:szCs w:val="1"/>
                <w:color w:val="auto"/>
              </w:rPr>
            </w:pPr>
          </w:p>
        </w:tc>
      </w:tr>
      <w:tr>
        <w:trPr>
          <w:trHeight w:val="214"/>
        </w:trPr>
        <w:tc>
          <w:tcPr>
            <w:tcW w:w="8160" w:type="dxa"/>
            <w:vAlign w:val="bottom"/>
            <w:gridSpan w:val="2"/>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220" w:type="dxa"/>
            <w:vAlign w:val="bottom"/>
          </w:tcPr>
          <w:p>
            <w:pPr>
              <w:spacing w:after="0"/>
              <w:rPr>
                <w:sz w:val="18"/>
                <w:szCs w:val="18"/>
                <w:color w:val="auto"/>
              </w:rPr>
            </w:pPr>
          </w:p>
        </w:tc>
        <w:tc>
          <w:tcPr>
            <w:tcW w:w="1260" w:type="dxa"/>
            <w:vAlign w:val="bottom"/>
          </w:tcPr>
          <w:p>
            <w:pPr>
              <w:jc w:val="right"/>
              <w:ind w:right="49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ind w:right="499"/>
              <w:spacing w:after="0"/>
              <w:rPr>
                <w:sz w:val="20"/>
                <w:szCs w:val="20"/>
                <w:color w:val="auto"/>
              </w:rPr>
            </w:pPr>
            <w:r>
              <w:rPr>
                <w:rFonts w:ascii="Times New Roman" w:cs="Times New Roman" w:eastAsia="Times New Roman" w:hAnsi="Times New Roman"/>
                <w:sz w:val="16"/>
                <w:szCs w:val="16"/>
                <w:b w:val="1"/>
                <w:bCs w:val="1"/>
                <w:color w:val="auto"/>
              </w:rPr>
              <w:t>2024</w:t>
            </w:r>
          </w:p>
        </w:tc>
        <w:tc>
          <w:tcPr>
            <w:tcW w:w="0" w:type="dxa"/>
            <w:vAlign w:val="bottom"/>
          </w:tcPr>
          <w:p>
            <w:pPr>
              <w:spacing w:after="0"/>
              <w:rPr>
                <w:sz w:val="1"/>
                <w:szCs w:val="1"/>
                <w:color w:val="auto"/>
              </w:rPr>
            </w:pPr>
          </w:p>
        </w:tc>
      </w:tr>
      <w:tr>
        <w:trPr>
          <w:trHeight w:val="211"/>
        </w:trPr>
        <w:tc>
          <w:tcPr>
            <w:tcW w:w="80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Operating activities:</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816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Net income</w:t>
            </w: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241,640</w:t>
            </w:r>
          </w:p>
        </w:tc>
        <w:tc>
          <w:tcPr>
            <w:tcW w:w="100" w:type="dxa"/>
            <w:vAlign w:val="bottom"/>
          </w:tcPr>
          <w:p>
            <w:pPr>
              <w:spacing w:after="0"/>
              <w:rPr>
                <w:sz w:val="18"/>
                <w:szCs w:val="18"/>
                <w:color w:val="auto"/>
              </w:rPr>
            </w:pP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176,593</w:t>
            </w:r>
          </w:p>
        </w:tc>
        <w:tc>
          <w:tcPr>
            <w:tcW w:w="0" w:type="dxa"/>
            <w:vAlign w:val="bottom"/>
          </w:tcPr>
          <w:p>
            <w:pPr>
              <w:spacing w:after="0"/>
              <w:rPr>
                <w:sz w:val="1"/>
                <w:szCs w:val="1"/>
                <w:color w:val="auto"/>
              </w:rPr>
            </w:pPr>
          </w:p>
        </w:tc>
      </w:tr>
      <w:tr>
        <w:trPr>
          <w:trHeight w:val="219"/>
        </w:trPr>
        <w:tc>
          <w:tcPr>
            <w:tcW w:w="81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Adjustments to reconcile net income to net cash provided by operating activities:</w:t>
            </w: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816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Depreciation, amortization and accretion, net</w:t>
            </w:r>
          </w:p>
        </w:tc>
        <w:tc>
          <w:tcPr>
            <w:tcW w:w="2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34,110</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31,547</w:t>
            </w:r>
          </w:p>
        </w:tc>
        <w:tc>
          <w:tcPr>
            <w:tcW w:w="0" w:type="dxa"/>
            <w:vAlign w:val="bottom"/>
          </w:tcPr>
          <w:p>
            <w:pPr>
              <w:spacing w:after="0"/>
              <w:rPr>
                <w:sz w:val="1"/>
                <w:szCs w:val="1"/>
                <w:color w:val="auto"/>
              </w:rPr>
            </w:pPr>
          </w:p>
        </w:tc>
      </w:tr>
      <w:tr>
        <w:trPr>
          <w:trHeight w:val="219"/>
        </w:trPr>
        <w:tc>
          <w:tcPr>
            <w:tcW w:w="81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Provision for credit losses</w:t>
            </w: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35,144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39,562</w:t>
            </w:r>
          </w:p>
        </w:tc>
        <w:tc>
          <w:tcPr>
            <w:tcW w:w="0" w:type="dxa"/>
            <w:vAlign w:val="bottom"/>
          </w:tcPr>
          <w:p>
            <w:pPr>
              <w:spacing w:after="0"/>
              <w:rPr>
                <w:sz w:val="1"/>
                <w:szCs w:val="1"/>
                <w:color w:val="auto"/>
              </w:rPr>
            </w:pPr>
          </w:p>
        </w:tc>
      </w:tr>
      <w:tr>
        <w:trPr>
          <w:trHeight w:val="213"/>
        </w:trPr>
        <w:tc>
          <w:tcPr>
            <w:tcW w:w="816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Stock-based compensation</w:t>
            </w:r>
          </w:p>
        </w:tc>
        <w:tc>
          <w:tcPr>
            <w:tcW w:w="2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8,177</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7,730</w:t>
            </w:r>
          </w:p>
        </w:tc>
        <w:tc>
          <w:tcPr>
            <w:tcW w:w="0" w:type="dxa"/>
            <w:vAlign w:val="bottom"/>
          </w:tcPr>
          <w:p>
            <w:pPr>
              <w:spacing w:after="0"/>
              <w:rPr>
                <w:sz w:val="1"/>
                <w:szCs w:val="1"/>
                <w:color w:val="auto"/>
              </w:rPr>
            </w:pPr>
          </w:p>
        </w:tc>
      </w:tr>
      <w:tr>
        <w:trPr>
          <w:trHeight w:val="219"/>
        </w:trPr>
        <w:tc>
          <w:tcPr>
            <w:tcW w:w="81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Deferred income tax expense</w:t>
            </w: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2,120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3,133</w:t>
            </w:r>
          </w:p>
        </w:tc>
        <w:tc>
          <w:tcPr>
            <w:tcW w:w="0" w:type="dxa"/>
            <w:vAlign w:val="bottom"/>
          </w:tcPr>
          <w:p>
            <w:pPr>
              <w:spacing w:after="0"/>
              <w:rPr>
                <w:sz w:val="1"/>
                <w:szCs w:val="1"/>
                <w:color w:val="auto"/>
              </w:rPr>
            </w:pPr>
          </w:p>
        </w:tc>
      </w:tr>
      <w:tr>
        <w:trPr>
          <w:trHeight w:val="213"/>
        </w:trPr>
        <w:tc>
          <w:tcPr>
            <w:tcW w:w="816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Securities gains, net</w:t>
            </w:r>
          </w:p>
        </w:tc>
        <w:tc>
          <w:tcPr>
            <w:tcW w:w="2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(341)</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9"/>
        </w:trPr>
        <w:tc>
          <w:tcPr>
            <w:tcW w:w="81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Net (gains) losses from sales of other loans</w:t>
            </w: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(5,776)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22,867</w:t>
            </w:r>
          </w:p>
        </w:tc>
        <w:tc>
          <w:tcPr>
            <w:tcW w:w="0" w:type="dxa"/>
            <w:vAlign w:val="bottom"/>
          </w:tcPr>
          <w:p>
            <w:pPr>
              <w:spacing w:after="0"/>
              <w:rPr>
                <w:sz w:val="1"/>
                <w:szCs w:val="1"/>
                <w:color w:val="auto"/>
              </w:rPr>
            </w:pPr>
          </w:p>
        </w:tc>
      </w:tr>
      <w:tr>
        <w:trPr>
          <w:trHeight w:val="213"/>
        </w:trPr>
        <w:tc>
          <w:tcPr>
            <w:tcW w:w="816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FinTrust goodwill write-down</w:t>
            </w:r>
          </w:p>
        </w:tc>
        <w:tc>
          <w:tcPr>
            <w:tcW w:w="220" w:type="dxa"/>
            <w:vAlign w:val="bottom"/>
          </w:tcPr>
          <w:p>
            <w:pPr>
              <w:spacing w:after="0"/>
              <w:rPr>
                <w:sz w:val="18"/>
                <w:szCs w:val="18"/>
                <w:color w:val="auto"/>
              </w:rPr>
            </w:pP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5,100</w:t>
            </w:r>
          </w:p>
        </w:tc>
        <w:tc>
          <w:tcPr>
            <w:tcW w:w="0" w:type="dxa"/>
            <w:vAlign w:val="bottom"/>
          </w:tcPr>
          <w:p>
            <w:pPr>
              <w:spacing w:after="0"/>
              <w:rPr>
                <w:sz w:val="1"/>
                <w:szCs w:val="1"/>
                <w:color w:val="auto"/>
              </w:rPr>
            </w:pPr>
          </w:p>
        </w:tc>
      </w:tr>
      <w:tr>
        <w:trPr>
          <w:trHeight w:val="219"/>
        </w:trPr>
        <w:tc>
          <w:tcPr>
            <w:tcW w:w="81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Changes in assets and liabilities:</w:t>
            </w: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8160" w:type="dxa"/>
            <w:vAlign w:val="bottom"/>
            <w:gridSpan w:val="2"/>
          </w:tcPr>
          <w:p>
            <w:pPr>
              <w:ind w:left="360"/>
              <w:spacing w:after="0"/>
              <w:rPr>
                <w:sz w:val="20"/>
                <w:szCs w:val="20"/>
                <w:color w:val="auto"/>
              </w:rPr>
            </w:pPr>
            <w:r>
              <w:rPr>
                <w:rFonts w:ascii="Times New Roman" w:cs="Times New Roman" w:eastAsia="Times New Roman" w:hAnsi="Times New Roman"/>
                <w:sz w:val="16"/>
                <w:szCs w:val="16"/>
                <w:color w:val="auto"/>
              </w:rPr>
              <w:t>Other assets</w:t>
            </w:r>
          </w:p>
        </w:tc>
        <w:tc>
          <w:tcPr>
            <w:tcW w:w="2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16,874</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(21,152)</w:t>
            </w:r>
          </w:p>
        </w:tc>
        <w:tc>
          <w:tcPr>
            <w:tcW w:w="0" w:type="dxa"/>
            <w:vAlign w:val="bottom"/>
          </w:tcPr>
          <w:p>
            <w:pPr>
              <w:spacing w:after="0"/>
              <w:rPr>
                <w:sz w:val="1"/>
                <w:szCs w:val="1"/>
                <w:color w:val="auto"/>
              </w:rPr>
            </w:pPr>
          </w:p>
        </w:tc>
      </w:tr>
      <w:tr>
        <w:trPr>
          <w:trHeight w:val="219"/>
        </w:trPr>
        <w:tc>
          <w:tcPr>
            <w:tcW w:w="816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Accrued expense and other liabilities</w:t>
            </w: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(36,117)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(46,946)</w:t>
            </w:r>
          </w:p>
        </w:tc>
        <w:tc>
          <w:tcPr>
            <w:tcW w:w="0" w:type="dxa"/>
            <w:vAlign w:val="bottom"/>
          </w:tcPr>
          <w:p>
            <w:pPr>
              <w:spacing w:after="0"/>
              <w:rPr>
                <w:sz w:val="1"/>
                <w:szCs w:val="1"/>
                <w:color w:val="auto"/>
              </w:rPr>
            </w:pPr>
          </w:p>
        </w:tc>
      </w:tr>
      <w:tr>
        <w:trPr>
          <w:trHeight w:val="213"/>
        </w:trPr>
        <w:tc>
          <w:tcPr>
            <w:tcW w:w="8160" w:type="dxa"/>
            <w:vAlign w:val="bottom"/>
            <w:tcBorders>
              <w:bottom w:val="single" w:sz="8" w:color="CCEEFF"/>
            </w:tcBorders>
            <w:gridSpan w:val="2"/>
          </w:tcPr>
          <w:p>
            <w:pPr>
              <w:ind w:left="360"/>
              <w:spacing w:after="0"/>
              <w:rPr>
                <w:sz w:val="20"/>
                <w:szCs w:val="20"/>
                <w:color w:val="auto"/>
              </w:rPr>
            </w:pPr>
            <w:r>
              <w:rPr>
                <w:rFonts w:ascii="Times New Roman" w:cs="Times New Roman" w:eastAsia="Times New Roman" w:hAnsi="Times New Roman"/>
                <w:sz w:val="16"/>
                <w:szCs w:val="16"/>
                <w:color w:val="auto"/>
              </w:rPr>
              <w:t>Loans held for sale</w:t>
            </w:r>
          </w:p>
        </w:tc>
        <w:tc>
          <w:tcPr>
            <w:tcW w:w="2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22,732</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(16,792)</w:t>
            </w:r>
          </w:p>
        </w:tc>
        <w:tc>
          <w:tcPr>
            <w:tcW w:w="0" w:type="dxa"/>
            <w:vAlign w:val="bottom"/>
          </w:tcPr>
          <w:p>
            <w:pPr>
              <w:spacing w:after="0"/>
              <w:rPr>
                <w:sz w:val="1"/>
                <w:szCs w:val="1"/>
                <w:color w:val="auto"/>
              </w:rPr>
            </w:pPr>
          </w:p>
        </w:tc>
      </w:tr>
      <w:tr>
        <w:trPr>
          <w:trHeight w:val="209"/>
        </w:trPr>
        <w:tc>
          <w:tcPr>
            <w:tcW w:w="8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Net cash provided by operating activities</w:t>
            </w:r>
          </w:p>
        </w:tc>
        <w:tc>
          <w:tcPr>
            <w:tcW w:w="22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318,563</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201,642</w:t>
            </w:r>
          </w:p>
        </w:tc>
        <w:tc>
          <w:tcPr>
            <w:tcW w:w="0" w:type="dxa"/>
            <w:vAlign w:val="bottom"/>
          </w:tcPr>
          <w:p>
            <w:pPr>
              <w:spacing w:after="0"/>
              <w:rPr>
                <w:sz w:val="1"/>
                <w:szCs w:val="1"/>
                <w:color w:val="auto"/>
              </w:rPr>
            </w:pPr>
          </w:p>
        </w:tc>
      </w:tr>
      <w:tr>
        <w:trPr>
          <w:trHeight w:val="199"/>
        </w:trPr>
        <w:tc>
          <w:tcPr>
            <w:tcW w:w="8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Investing activities:</w:t>
            </w: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816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Debt securities held-to-maturity:</w:t>
            </w: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81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Proceeds from maturities and calls</w:t>
            </w: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97,734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93,491</w:t>
            </w:r>
          </w:p>
        </w:tc>
        <w:tc>
          <w:tcPr>
            <w:tcW w:w="0" w:type="dxa"/>
            <w:vAlign w:val="bottom"/>
          </w:tcPr>
          <w:p>
            <w:pPr>
              <w:spacing w:after="0"/>
              <w:rPr>
                <w:sz w:val="1"/>
                <w:szCs w:val="1"/>
                <w:color w:val="auto"/>
              </w:rPr>
            </w:pPr>
          </w:p>
        </w:tc>
      </w:tr>
      <w:tr>
        <w:trPr>
          <w:trHeight w:val="213"/>
        </w:trPr>
        <w:tc>
          <w:tcPr>
            <w:tcW w:w="816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Debt securities available-for-sale:</w:t>
            </w: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81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Proceeds from sales</w:t>
            </w: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417,898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647</w:t>
            </w:r>
          </w:p>
        </w:tc>
        <w:tc>
          <w:tcPr>
            <w:tcW w:w="0" w:type="dxa"/>
            <w:vAlign w:val="bottom"/>
          </w:tcPr>
          <w:p>
            <w:pPr>
              <w:spacing w:after="0"/>
              <w:rPr>
                <w:sz w:val="1"/>
                <w:szCs w:val="1"/>
                <w:color w:val="auto"/>
              </w:rPr>
            </w:pPr>
          </w:p>
        </w:tc>
      </w:tr>
      <w:tr>
        <w:trPr>
          <w:trHeight w:val="213"/>
        </w:trPr>
        <w:tc>
          <w:tcPr>
            <w:tcW w:w="816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Proceeds from maturities and calls</w:t>
            </w:r>
          </w:p>
        </w:tc>
        <w:tc>
          <w:tcPr>
            <w:tcW w:w="2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555,143</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475,742</w:t>
            </w:r>
          </w:p>
        </w:tc>
        <w:tc>
          <w:tcPr>
            <w:tcW w:w="0" w:type="dxa"/>
            <w:vAlign w:val="bottom"/>
          </w:tcPr>
          <w:p>
            <w:pPr>
              <w:spacing w:after="0"/>
              <w:rPr>
                <w:sz w:val="1"/>
                <w:szCs w:val="1"/>
                <w:color w:val="auto"/>
              </w:rPr>
            </w:pPr>
          </w:p>
        </w:tc>
      </w:tr>
      <w:tr>
        <w:trPr>
          <w:trHeight w:val="219"/>
        </w:trPr>
        <w:tc>
          <w:tcPr>
            <w:tcW w:w="81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Purchases</w:t>
            </w: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(292,351)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(1,069,559)</w:t>
            </w:r>
          </w:p>
        </w:tc>
        <w:tc>
          <w:tcPr>
            <w:tcW w:w="0" w:type="dxa"/>
            <w:vAlign w:val="bottom"/>
          </w:tcPr>
          <w:p>
            <w:pPr>
              <w:spacing w:after="0"/>
              <w:rPr>
                <w:sz w:val="1"/>
                <w:szCs w:val="1"/>
                <w:color w:val="auto"/>
              </w:rPr>
            </w:pPr>
          </w:p>
        </w:tc>
      </w:tr>
      <w:tr>
        <w:trPr>
          <w:trHeight w:val="213"/>
        </w:trPr>
        <w:tc>
          <w:tcPr>
            <w:tcW w:w="816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Net (increase) decrease in loans</w:t>
            </w:r>
          </w:p>
        </w:tc>
        <w:tc>
          <w:tcPr>
            <w:tcW w:w="2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(709,641)</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316,837</w:t>
            </w:r>
          </w:p>
        </w:tc>
        <w:tc>
          <w:tcPr>
            <w:tcW w:w="0" w:type="dxa"/>
            <w:vAlign w:val="bottom"/>
          </w:tcPr>
          <w:p>
            <w:pPr>
              <w:spacing w:after="0"/>
              <w:rPr>
                <w:sz w:val="1"/>
                <w:szCs w:val="1"/>
                <w:color w:val="auto"/>
              </w:rPr>
            </w:pPr>
          </w:p>
        </w:tc>
      </w:tr>
      <w:tr>
        <w:trPr>
          <w:trHeight w:val="219"/>
        </w:trPr>
        <w:tc>
          <w:tcPr>
            <w:tcW w:w="81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Payments for other investments</w:t>
            </w: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(29,047)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(102,032)</w:t>
            </w:r>
          </w:p>
        </w:tc>
        <w:tc>
          <w:tcPr>
            <w:tcW w:w="0" w:type="dxa"/>
            <w:vAlign w:val="bottom"/>
          </w:tcPr>
          <w:p>
            <w:pPr>
              <w:spacing w:after="0"/>
              <w:rPr>
                <w:sz w:val="1"/>
                <w:szCs w:val="1"/>
                <w:color w:val="auto"/>
              </w:rPr>
            </w:pPr>
          </w:p>
        </w:tc>
      </w:tr>
      <w:tr>
        <w:trPr>
          <w:trHeight w:val="213"/>
        </w:trPr>
        <w:tc>
          <w:tcPr>
            <w:tcW w:w="816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Proceeds from other investments</w:t>
            </w:r>
          </w:p>
        </w:tc>
        <w:tc>
          <w:tcPr>
            <w:tcW w:w="2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7,684</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2,417</w:t>
            </w:r>
          </w:p>
        </w:tc>
        <w:tc>
          <w:tcPr>
            <w:tcW w:w="0" w:type="dxa"/>
            <w:vAlign w:val="bottom"/>
          </w:tcPr>
          <w:p>
            <w:pPr>
              <w:spacing w:after="0"/>
              <w:rPr>
                <w:sz w:val="1"/>
                <w:szCs w:val="1"/>
                <w:color w:val="auto"/>
              </w:rPr>
            </w:pPr>
          </w:p>
        </w:tc>
      </w:tr>
      <w:tr>
        <w:trPr>
          <w:trHeight w:val="219"/>
        </w:trPr>
        <w:tc>
          <w:tcPr>
            <w:tcW w:w="81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Purchases of premises and equipment</w:t>
            </w: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(21,820)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(41,505)</w:t>
            </w:r>
          </w:p>
        </w:tc>
        <w:tc>
          <w:tcPr>
            <w:tcW w:w="0" w:type="dxa"/>
            <w:vAlign w:val="bottom"/>
          </w:tcPr>
          <w:p>
            <w:pPr>
              <w:spacing w:after="0"/>
              <w:rPr>
                <w:sz w:val="1"/>
                <w:szCs w:val="1"/>
                <w:color w:val="auto"/>
              </w:rPr>
            </w:pPr>
          </w:p>
        </w:tc>
      </w:tr>
      <w:tr>
        <w:trPr>
          <w:trHeight w:val="213"/>
        </w:trPr>
        <w:tc>
          <w:tcPr>
            <w:tcW w:w="816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Net cash received in acquisition</w:t>
            </w:r>
          </w:p>
        </w:tc>
        <w:tc>
          <w:tcPr>
            <w:tcW w:w="2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41,246</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9"/>
        </w:trPr>
        <w:tc>
          <w:tcPr>
            <w:tcW w:w="81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Other investing inflows</w:t>
            </w:r>
          </w:p>
        </w:tc>
        <w:tc>
          <w:tcPr>
            <w:tcW w:w="22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16,734</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13,542</w:t>
            </w:r>
          </w:p>
        </w:tc>
        <w:tc>
          <w:tcPr>
            <w:tcW w:w="0" w:type="dxa"/>
            <w:vAlign w:val="bottom"/>
          </w:tcPr>
          <w:p>
            <w:pPr>
              <w:spacing w:after="0"/>
              <w:rPr>
                <w:sz w:val="1"/>
                <w:szCs w:val="1"/>
                <w:color w:val="auto"/>
              </w:rPr>
            </w:pPr>
          </w:p>
        </w:tc>
      </w:tr>
      <w:tr>
        <w:trPr>
          <w:trHeight w:val="207"/>
        </w:trPr>
        <w:tc>
          <w:tcPr>
            <w:tcW w:w="816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Net cash provided by (used in) investing activities</w:t>
            </w:r>
          </w:p>
        </w:tc>
        <w:tc>
          <w:tcPr>
            <w:tcW w:w="22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83,580</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(310,420)</w:t>
            </w:r>
          </w:p>
        </w:tc>
        <w:tc>
          <w:tcPr>
            <w:tcW w:w="0" w:type="dxa"/>
            <w:vAlign w:val="bottom"/>
          </w:tcPr>
          <w:p>
            <w:pPr>
              <w:spacing w:after="0"/>
              <w:rPr>
                <w:sz w:val="1"/>
                <w:szCs w:val="1"/>
                <w:color w:val="auto"/>
              </w:rPr>
            </w:pPr>
          </w:p>
        </w:tc>
      </w:tr>
      <w:tr>
        <w:trPr>
          <w:trHeight w:val="199"/>
        </w:trPr>
        <w:tc>
          <w:tcPr>
            <w:tcW w:w="8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816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Financing activities:</w:t>
            </w: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81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Net increase (decrease) in deposits</w:t>
            </w: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185,069</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(58,291)</w:t>
            </w:r>
          </w:p>
        </w:tc>
        <w:tc>
          <w:tcPr>
            <w:tcW w:w="0" w:type="dxa"/>
            <w:vAlign w:val="bottom"/>
          </w:tcPr>
          <w:p>
            <w:pPr>
              <w:spacing w:after="0"/>
              <w:rPr>
                <w:sz w:val="1"/>
                <w:szCs w:val="1"/>
                <w:color w:val="auto"/>
              </w:rPr>
            </w:pPr>
          </w:p>
        </w:tc>
      </w:tr>
      <w:tr>
        <w:trPr>
          <w:trHeight w:val="213"/>
        </w:trPr>
        <w:tc>
          <w:tcPr>
            <w:tcW w:w="816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Net decrease in short-term borrowings</w:t>
            </w:r>
          </w:p>
        </w:tc>
        <w:tc>
          <w:tcPr>
            <w:tcW w:w="2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(195,000)</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9"/>
        </w:trPr>
        <w:tc>
          <w:tcPr>
            <w:tcW w:w="81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Repayment of long-term debt</w:t>
            </w: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(100,000)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(8,557)</w:t>
            </w:r>
          </w:p>
        </w:tc>
        <w:tc>
          <w:tcPr>
            <w:tcW w:w="0" w:type="dxa"/>
            <w:vAlign w:val="bottom"/>
          </w:tcPr>
          <w:p>
            <w:pPr>
              <w:spacing w:after="0"/>
              <w:rPr>
                <w:sz w:val="1"/>
                <w:szCs w:val="1"/>
                <w:color w:val="auto"/>
              </w:rPr>
            </w:pPr>
          </w:p>
        </w:tc>
      </w:tr>
      <w:tr>
        <w:trPr>
          <w:trHeight w:val="213"/>
        </w:trPr>
        <w:tc>
          <w:tcPr>
            <w:tcW w:w="816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Proceeds from FHLB advances</w:t>
            </w:r>
          </w:p>
        </w:tc>
        <w:tc>
          <w:tcPr>
            <w:tcW w:w="2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126,000</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1,100</w:t>
            </w:r>
          </w:p>
        </w:tc>
        <w:tc>
          <w:tcPr>
            <w:tcW w:w="0" w:type="dxa"/>
            <w:vAlign w:val="bottom"/>
          </w:tcPr>
          <w:p>
            <w:pPr>
              <w:spacing w:after="0"/>
              <w:rPr>
                <w:sz w:val="1"/>
                <w:szCs w:val="1"/>
                <w:color w:val="auto"/>
              </w:rPr>
            </w:pPr>
          </w:p>
        </w:tc>
      </w:tr>
      <w:tr>
        <w:trPr>
          <w:trHeight w:val="219"/>
        </w:trPr>
        <w:tc>
          <w:tcPr>
            <w:tcW w:w="81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Repayment of FHLB advances</w:t>
            </w: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(126,000)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(1,100)</w:t>
            </w:r>
          </w:p>
        </w:tc>
        <w:tc>
          <w:tcPr>
            <w:tcW w:w="0" w:type="dxa"/>
            <w:vAlign w:val="bottom"/>
          </w:tcPr>
          <w:p>
            <w:pPr>
              <w:spacing w:after="0"/>
              <w:rPr>
                <w:sz w:val="1"/>
                <w:szCs w:val="1"/>
                <w:color w:val="auto"/>
              </w:rPr>
            </w:pPr>
          </w:p>
        </w:tc>
      </w:tr>
      <w:tr>
        <w:trPr>
          <w:trHeight w:val="213"/>
        </w:trPr>
        <w:tc>
          <w:tcPr>
            <w:tcW w:w="816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Redemption of preferred stock</w:t>
            </w:r>
          </w:p>
        </w:tc>
        <w:tc>
          <w:tcPr>
            <w:tcW w:w="2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(91,541)</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9"/>
        </w:trPr>
        <w:tc>
          <w:tcPr>
            <w:tcW w:w="81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Repurchase of common stock</w:t>
            </w: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(13,942)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816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Cash dividends on common stock</w:t>
            </w:r>
          </w:p>
        </w:tc>
        <w:tc>
          <w:tcPr>
            <w:tcW w:w="2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(87,677)</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(83,269)</w:t>
            </w:r>
          </w:p>
        </w:tc>
        <w:tc>
          <w:tcPr>
            <w:tcW w:w="0" w:type="dxa"/>
            <w:vAlign w:val="bottom"/>
          </w:tcPr>
          <w:p>
            <w:pPr>
              <w:spacing w:after="0"/>
              <w:rPr>
                <w:sz w:val="1"/>
                <w:szCs w:val="1"/>
                <w:color w:val="auto"/>
              </w:rPr>
            </w:pPr>
          </w:p>
        </w:tc>
      </w:tr>
      <w:tr>
        <w:trPr>
          <w:trHeight w:val="219"/>
        </w:trPr>
        <w:tc>
          <w:tcPr>
            <w:tcW w:w="81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Cash dividends on preferred stock</w:t>
            </w: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(4,719)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(4,719)</w:t>
            </w:r>
          </w:p>
        </w:tc>
        <w:tc>
          <w:tcPr>
            <w:tcW w:w="0" w:type="dxa"/>
            <w:vAlign w:val="bottom"/>
          </w:tcPr>
          <w:p>
            <w:pPr>
              <w:spacing w:after="0"/>
              <w:rPr>
                <w:sz w:val="1"/>
                <w:szCs w:val="1"/>
                <w:color w:val="auto"/>
              </w:rPr>
            </w:pPr>
          </w:p>
        </w:tc>
      </w:tr>
      <w:tr>
        <w:trPr>
          <w:trHeight w:val="213"/>
        </w:trPr>
        <w:tc>
          <w:tcPr>
            <w:tcW w:w="816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Other financing inflows</w:t>
            </w:r>
          </w:p>
        </w:tc>
        <w:tc>
          <w:tcPr>
            <w:tcW w:w="2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2,039</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1,993</w:t>
            </w:r>
          </w:p>
        </w:tc>
        <w:tc>
          <w:tcPr>
            <w:tcW w:w="0" w:type="dxa"/>
            <w:vAlign w:val="bottom"/>
          </w:tcPr>
          <w:p>
            <w:pPr>
              <w:spacing w:after="0"/>
              <w:rPr>
                <w:sz w:val="1"/>
                <w:szCs w:val="1"/>
                <w:color w:val="auto"/>
              </w:rPr>
            </w:pPr>
          </w:p>
        </w:tc>
      </w:tr>
      <w:tr>
        <w:trPr>
          <w:trHeight w:val="219"/>
        </w:trPr>
        <w:tc>
          <w:tcPr>
            <w:tcW w:w="81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Other financing outflows</w:t>
            </w:r>
          </w:p>
        </w:tc>
        <w:tc>
          <w:tcPr>
            <w:tcW w:w="22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(2,814)</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(2,215)</w:t>
            </w:r>
          </w:p>
        </w:tc>
        <w:tc>
          <w:tcPr>
            <w:tcW w:w="0" w:type="dxa"/>
            <w:vAlign w:val="bottom"/>
          </w:tcPr>
          <w:p>
            <w:pPr>
              <w:spacing w:after="0"/>
              <w:rPr>
                <w:sz w:val="1"/>
                <w:szCs w:val="1"/>
                <w:color w:val="auto"/>
              </w:rPr>
            </w:pPr>
          </w:p>
        </w:tc>
      </w:tr>
      <w:tr>
        <w:trPr>
          <w:trHeight w:val="207"/>
        </w:trPr>
        <w:tc>
          <w:tcPr>
            <w:tcW w:w="816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Net cash used in financing activities</w:t>
            </w:r>
          </w:p>
        </w:tc>
        <w:tc>
          <w:tcPr>
            <w:tcW w:w="22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(308,585)</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(155,058)</w:t>
            </w:r>
          </w:p>
        </w:tc>
        <w:tc>
          <w:tcPr>
            <w:tcW w:w="0" w:type="dxa"/>
            <w:vAlign w:val="bottom"/>
          </w:tcPr>
          <w:p>
            <w:pPr>
              <w:spacing w:after="0"/>
              <w:rPr>
                <w:sz w:val="1"/>
                <w:szCs w:val="1"/>
                <w:color w:val="auto"/>
              </w:rPr>
            </w:pPr>
          </w:p>
        </w:tc>
      </w:tr>
      <w:tr>
        <w:trPr>
          <w:trHeight w:val="199"/>
        </w:trPr>
        <w:tc>
          <w:tcPr>
            <w:tcW w:w="8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816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Net change in cash and cash equivalents</w:t>
            </w:r>
          </w:p>
        </w:tc>
        <w:tc>
          <w:tcPr>
            <w:tcW w:w="2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93,558</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(263,836)</w:t>
            </w:r>
          </w:p>
        </w:tc>
        <w:tc>
          <w:tcPr>
            <w:tcW w:w="0" w:type="dxa"/>
            <w:vAlign w:val="bottom"/>
          </w:tcPr>
          <w:p>
            <w:pPr>
              <w:spacing w:after="0"/>
              <w:rPr>
                <w:sz w:val="1"/>
                <w:szCs w:val="1"/>
                <w:color w:val="auto"/>
              </w:rPr>
            </w:pPr>
          </w:p>
        </w:tc>
      </w:tr>
      <w:tr>
        <w:trPr>
          <w:trHeight w:val="218"/>
        </w:trPr>
        <w:tc>
          <w:tcPr>
            <w:tcW w:w="8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8160" w:type="dxa"/>
            <w:vAlign w:val="bottom"/>
            <w:tcBorders>
              <w:bottom w:val="single" w:sz="8" w:color="CCEEFF"/>
            </w:tcBorders>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Cash and cash equivalents, beginning of period</w:t>
            </w:r>
          </w:p>
        </w:tc>
        <w:tc>
          <w:tcPr>
            <w:tcW w:w="2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519,873</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1,003,875</w:t>
            </w:r>
          </w:p>
        </w:tc>
        <w:tc>
          <w:tcPr>
            <w:tcW w:w="0" w:type="dxa"/>
            <w:vAlign w:val="bottom"/>
          </w:tcPr>
          <w:p>
            <w:pPr>
              <w:spacing w:after="0"/>
              <w:rPr>
                <w:sz w:val="1"/>
                <w:szCs w:val="1"/>
                <w:color w:val="auto"/>
              </w:rPr>
            </w:pPr>
          </w:p>
        </w:tc>
      </w:tr>
      <w:tr>
        <w:trPr>
          <w:trHeight w:val="198"/>
        </w:trPr>
        <w:tc>
          <w:tcPr>
            <w:tcW w:w="8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16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Cash and cash equivalents, end of period</w:t>
            </w:r>
          </w:p>
        </w:tc>
        <w:tc>
          <w:tcPr>
            <w:tcW w:w="2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613,431</w:t>
            </w:r>
          </w:p>
        </w:tc>
        <w:tc>
          <w:tcPr>
            <w:tcW w:w="100" w:type="dxa"/>
            <w:vAlign w:val="bottom"/>
          </w:tcPr>
          <w:p>
            <w:pPr>
              <w:spacing w:after="0"/>
              <w:rPr>
                <w:sz w:val="18"/>
                <w:szCs w:val="18"/>
                <w:color w:val="auto"/>
              </w:rPr>
            </w:pPr>
          </w:p>
        </w:tc>
        <w:tc>
          <w:tcPr>
            <w:tcW w:w="34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740,039</w:t>
            </w:r>
          </w:p>
        </w:tc>
        <w:tc>
          <w:tcPr>
            <w:tcW w:w="0" w:type="dxa"/>
            <w:vAlign w:val="bottom"/>
          </w:tcPr>
          <w:p>
            <w:pPr>
              <w:spacing w:after="0"/>
              <w:rPr>
                <w:sz w:val="1"/>
                <w:szCs w:val="1"/>
                <w:color w:val="auto"/>
              </w:rPr>
            </w:pPr>
          </w:p>
        </w:tc>
      </w:tr>
      <w:tr>
        <w:trPr>
          <w:trHeight w:val="21"/>
        </w:trPr>
        <w:tc>
          <w:tcPr>
            <w:tcW w:w="8160" w:type="dxa"/>
            <w:vAlign w:val="bottom"/>
            <w:gridSpan w:val="2"/>
            <w:vMerge w:val="restart"/>
          </w:tcPr>
          <w:p>
            <w:pPr>
              <w:ind w:left="3240"/>
              <w:spacing w:after="0"/>
              <w:rPr>
                <w:sz w:val="20"/>
                <w:szCs w:val="20"/>
                <w:color w:val="auto"/>
              </w:rPr>
            </w:pPr>
            <w:r>
              <w:rPr>
                <w:rFonts w:ascii="Times New Roman" w:cs="Times New Roman" w:eastAsia="Times New Roman" w:hAnsi="Times New Roman"/>
                <w:sz w:val="16"/>
                <w:szCs w:val="16"/>
                <w:color w:val="auto"/>
              </w:rPr>
              <w:t>See accompanying notes to consolidated financial statements (unaudited).</w:t>
            </w: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87"/>
        </w:trPr>
        <w:tc>
          <w:tcPr>
            <w:tcW w:w="8160" w:type="dxa"/>
            <w:vAlign w:val="bottom"/>
            <w:gridSpan w:val="2"/>
            <w:vMerge w:val="continue"/>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20"/>
          </w:cols>
          <w:pgMar w:left="320" w:top="968" w:right="359" w:bottom="1440" w:gutter="0" w:footer="0" w:header="0"/>
        </w:sectPr>
      </w:pPr>
    </w:p>
    <w:p>
      <w:pPr>
        <w:spacing w:after="0" w:line="3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68" w:right="359" w:bottom="1440" w:gutter="0" w:footer="0" w:header="0"/>
          <w:type w:val="continuous"/>
        </w:sectPr>
      </w:pPr>
    </w:p>
    <w:bookmarkStart w:id="9" w:name="page10"/>
    <w:bookmarkEnd w:id="9"/>
    <w:p>
      <w:pPr>
        <w:jc w:val="center"/>
        <w:spacing w:after="0"/>
        <w:rPr>
          <w:sz w:val="20"/>
          <w:szCs w:val="20"/>
          <w:color w:val="auto"/>
        </w:rPr>
      </w:pPr>
      <w:r>
        <w:rPr>
          <w:rFonts w:ascii="Times New Roman" w:cs="Times New Roman" w:eastAsia="Times New Roman" w:hAnsi="Times New Roman"/>
          <w:sz w:val="18"/>
          <w:szCs w:val="18"/>
          <w:b w:val="1"/>
          <w:bCs w:val="1"/>
          <w:color w:val="auto"/>
        </w:rPr>
        <w:t>UNITED COMMUNITY BANKS,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 Basis of Presentation</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Basis of Presentation</w:t>
      </w:r>
    </w:p>
    <w:p>
      <w:pPr>
        <w:spacing w:after="0" w:line="3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United’s accounting and financial reporting policies conform to GAAP and reporting guidelines of banking regulatory authorities. The accompanying interim consolidated financial statements have not been audited. All material intercompany balances and transactions have been eliminated. A more detailed description of United’s accounting policies is included in its 2024 10-K.</w:t>
      </w:r>
    </w:p>
    <w:p>
      <w:pPr>
        <w:spacing w:after="0" w:line="18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management’s opinion, all necessary accounting adjustments have been made to fairly present the financial position and results of operations in the accompanying financial statements. These adjustments are normal and recurring accruals considered necessary for a fair and accurate presentation. The results for interim periods are not necessarily indicative of results for the full year or any other interim periods. The accompanying unaudited consolidated financial statements should be read in conjunction with the consolidated financial statements and related notes appearing in United’s 2024 10-K.</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 Supplemental Cash Flow Information</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supplemental schedule of significant non-cash investing and financing activities for the nine months ended September 30, 2025 and 2024 is as follows.</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82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2820" w:type="dxa"/>
            <w:vAlign w:val="bottom"/>
            <w:tcBorders>
              <w:bottom w:val="single" w:sz="8" w:color="auto"/>
            </w:tcBorders>
            <w:gridSpan w:val="4"/>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Nine Months Ended September 30,</w:t>
            </w:r>
          </w:p>
        </w:tc>
      </w:tr>
      <w:tr>
        <w:trPr>
          <w:trHeight w:val="214"/>
        </w:trPr>
        <w:tc>
          <w:tcPr>
            <w:tcW w:w="82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2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49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198"/>
        </w:trPr>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Significant non-cash investing and financing transactions:</w:t>
            </w:r>
          </w:p>
        </w:tc>
        <w:tc>
          <w:tcPr>
            <w:tcW w:w="20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r>
      <w:tr>
        <w:trPr>
          <w:trHeight w:val="213"/>
        </w:trPr>
        <w:tc>
          <w:tcPr>
            <w:tcW w:w="82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Commitments to fund other investments</w:t>
            </w: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14,597</w:t>
            </w:r>
          </w:p>
        </w:tc>
        <w:tc>
          <w:tcPr>
            <w:tcW w:w="100" w:type="dxa"/>
            <w:vAlign w:val="bottom"/>
          </w:tcPr>
          <w:p>
            <w:pPr>
              <w:spacing w:after="0"/>
              <w:rPr>
                <w:sz w:val="18"/>
                <w:szCs w:val="18"/>
                <w:color w:val="auto"/>
              </w:rPr>
            </w:pP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9,214</w:t>
            </w:r>
          </w:p>
        </w:tc>
      </w:tr>
      <w:tr>
        <w:trPr>
          <w:trHeight w:val="219"/>
        </w:trPr>
        <w:tc>
          <w:tcPr>
            <w:tcW w:w="82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Unsettled securities purchases</w:t>
            </w:r>
          </w:p>
        </w:tc>
        <w:tc>
          <w:tcPr>
            <w:tcW w:w="20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22,400</w:t>
            </w:r>
          </w:p>
        </w:tc>
      </w:tr>
      <w:tr>
        <w:trPr>
          <w:trHeight w:val="213"/>
        </w:trPr>
        <w:tc>
          <w:tcPr>
            <w:tcW w:w="82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Right-of-use assets obtained in exchange for lease liabilities</w:t>
            </w:r>
          </w:p>
        </w:tc>
        <w:tc>
          <w:tcPr>
            <w:tcW w:w="2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3,367</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14,351</w:t>
            </w:r>
          </w:p>
        </w:tc>
      </w:tr>
      <w:tr>
        <w:trPr>
          <w:trHeight w:val="219"/>
        </w:trPr>
        <w:tc>
          <w:tcPr>
            <w:tcW w:w="82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Acquisitions:</w:t>
            </w:r>
          </w:p>
        </w:tc>
        <w:tc>
          <w:tcPr>
            <w:tcW w:w="2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r>
      <w:tr>
        <w:trPr>
          <w:trHeight w:val="213"/>
        </w:trPr>
        <w:tc>
          <w:tcPr>
            <w:tcW w:w="82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Assets acquired</w:t>
            </w:r>
          </w:p>
        </w:tc>
        <w:tc>
          <w:tcPr>
            <w:tcW w:w="2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446,504</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9"/>
        </w:trPr>
        <w:tc>
          <w:tcPr>
            <w:tcW w:w="82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Liabilities assumed</w:t>
            </w:r>
          </w:p>
        </w:tc>
        <w:tc>
          <w:tcPr>
            <w:tcW w:w="2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380,766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0"/>
        </w:trPr>
        <w:tc>
          <w:tcPr>
            <w:tcW w:w="822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Common stock issued for net assets acquired</w:t>
            </w:r>
          </w:p>
        </w:tc>
        <w:tc>
          <w:tcPr>
            <w:tcW w:w="2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65,738</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0" w:name="page11"/>
    <w:bookmarkEnd w:id="10"/>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UNITED COMMUNITY BANKS, INC. AND SUBSIDIARIES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(Unaudited)</w:t>
      </w: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 Acquisitions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Acquisition of ANB</w:t>
      </w:r>
    </w:p>
    <w:p>
      <w:pPr>
        <w:spacing w:after="0" w:line="3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May 1, 2025, United acquired all of the outstanding common stock of ANB in a stock transaction. ANB operated one banking location in Oakland Park, Florida, which facilitated United’s expansion within that market. United’s operating results for the three and nine months ended September 30, 2025 include the operating results of the acquired business for the period subsequent to the acquisition date of May 1, 2025.</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1940" w:type="dxa"/>
            <w:vAlign w:val="bottom"/>
            <w:tcBorders>
              <w:bottom w:val="single" w:sz="8" w:color="auto"/>
            </w:tcBorders>
          </w:tcPr>
          <w:p>
            <w:pPr>
              <w:spacing w:after="0"/>
              <w:rPr>
                <w:sz w:val="18"/>
                <w:szCs w:val="18"/>
                <w:color w:val="auto"/>
              </w:rPr>
            </w:pPr>
          </w:p>
        </w:tc>
        <w:tc>
          <w:tcPr>
            <w:tcW w:w="5740" w:type="dxa"/>
            <w:vAlign w:val="bottom"/>
            <w:tcBorders>
              <w:bottom w:val="single" w:sz="8" w:color="auto"/>
            </w:tcBorders>
          </w:tcPr>
          <w:p>
            <w:pPr>
              <w:ind w:left="3500"/>
              <w:spacing w:after="0"/>
              <w:rPr>
                <w:sz w:val="20"/>
                <w:szCs w:val="20"/>
                <w:color w:val="auto"/>
              </w:rPr>
            </w:pPr>
            <w:r>
              <w:rPr>
                <w:rFonts w:ascii="Times New Roman" w:cs="Times New Roman" w:eastAsia="Times New Roman" w:hAnsi="Times New Roman"/>
                <w:sz w:val="16"/>
                <w:szCs w:val="16"/>
                <w:b w:val="1"/>
                <w:bCs w:val="1"/>
                <w:color w:val="auto"/>
              </w:rPr>
              <w:t>ANB</w:t>
            </w:r>
          </w:p>
        </w:tc>
        <w:tc>
          <w:tcPr>
            <w:tcW w:w="2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spacing w:after="0"/>
              <w:rPr>
                <w:sz w:val="18"/>
                <w:szCs w:val="18"/>
                <w:color w:val="auto"/>
              </w:rPr>
            </w:pPr>
          </w:p>
        </w:tc>
        <w:tc>
          <w:tcPr>
            <w:tcW w:w="1960" w:type="dxa"/>
            <w:vAlign w:val="bottom"/>
            <w:tcBorders>
              <w:bottom w:val="single" w:sz="8" w:color="auto"/>
            </w:tcBorders>
          </w:tcPr>
          <w:p>
            <w:pPr>
              <w:spacing w:after="0"/>
              <w:rPr>
                <w:sz w:val="18"/>
                <w:szCs w:val="18"/>
                <w:color w:val="auto"/>
              </w:rPr>
            </w:pPr>
          </w:p>
        </w:tc>
      </w:tr>
      <w:tr>
        <w:trPr>
          <w:trHeight w:val="212"/>
        </w:trPr>
        <w:tc>
          <w:tcPr>
            <w:tcW w:w="1940" w:type="dxa"/>
            <w:vAlign w:val="bottom"/>
          </w:tcPr>
          <w:p>
            <w:pPr>
              <w:spacing w:after="0"/>
              <w:rPr>
                <w:sz w:val="18"/>
                <w:szCs w:val="18"/>
                <w:color w:val="auto"/>
              </w:rPr>
            </w:pPr>
          </w:p>
        </w:tc>
        <w:tc>
          <w:tcPr>
            <w:tcW w:w="5740" w:type="dxa"/>
            <w:vAlign w:val="bottom"/>
            <w:tcBorders>
              <w:bottom w:val="single" w:sz="8" w:color="auto"/>
            </w:tcBorders>
          </w:tcPr>
          <w:p>
            <w:pPr>
              <w:ind w:left="2500"/>
              <w:spacing w:after="0" w:line="213" w:lineRule="exact"/>
              <w:rPr>
                <w:sz w:val="20"/>
                <w:szCs w:val="20"/>
                <w:color w:val="auto"/>
              </w:rPr>
            </w:pPr>
            <w:r>
              <w:rPr>
                <w:rFonts w:ascii="Times New Roman" w:cs="Times New Roman" w:eastAsia="Times New Roman" w:hAnsi="Times New Roman"/>
                <w:sz w:val="16"/>
                <w:szCs w:val="16"/>
                <w:b w:val="1"/>
                <w:bCs w:val="1"/>
                <w:color w:val="auto"/>
              </w:rPr>
              <w:t xml:space="preserve">Fair Value Recorded by United </w:t>
            </w:r>
            <w:r>
              <w:rPr>
                <w:rFonts w:ascii="Times New Roman" w:cs="Times New Roman" w:eastAsia="Times New Roman" w:hAnsi="Times New Roman"/>
                <w:sz w:val="21"/>
                <w:szCs w:val="21"/>
                <w:b w:val="1"/>
                <w:bCs w:val="1"/>
                <w:color w:val="auto"/>
                <w:vertAlign w:val="superscript"/>
              </w:rPr>
              <w:t>(1)</w:t>
            </w:r>
          </w:p>
        </w:tc>
        <w:tc>
          <w:tcPr>
            <w:tcW w:w="2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spacing w:after="0"/>
              <w:rPr>
                <w:sz w:val="18"/>
                <w:szCs w:val="18"/>
                <w:color w:val="auto"/>
              </w:rPr>
            </w:pPr>
          </w:p>
        </w:tc>
        <w:tc>
          <w:tcPr>
            <w:tcW w:w="1960" w:type="dxa"/>
            <w:vAlign w:val="bottom"/>
          </w:tcPr>
          <w:p>
            <w:pPr>
              <w:spacing w:after="0"/>
              <w:rPr>
                <w:sz w:val="18"/>
                <w:szCs w:val="18"/>
                <w:color w:val="auto"/>
              </w:rPr>
            </w:pPr>
          </w:p>
        </w:tc>
      </w:tr>
      <w:tr>
        <w:trPr>
          <w:trHeight w:val="208"/>
        </w:trPr>
        <w:tc>
          <w:tcPr>
            <w:tcW w:w="1940" w:type="dxa"/>
            <w:vAlign w:val="bottom"/>
            <w:tcBorders>
              <w:bottom w:val="single" w:sz="8" w:color="CCEEFF"/>
            </w:tcBorders>
          </w:tcPr>
          <w:p>
            <w:pPr>
              <w:spacing w:after="0"/>
              <w:rPr>
                <w:sz w:val="18"/>
                <w:szCs w:val="18"/>
                <w:color w:val="auto"/>
              </w:rPr>
            </w:pPr>
          </w:p>
        </w:tc>
        <w:tc>
          <w:tcPr>
            <w:tcW w:w="57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2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279"/>
              <w:spacing w:after="0"/>
              <w:rPr>
                <w:sz w:val="20"/>
                <w:szCs w:val="20"/>
                <w:color w:val="auto"/>
              </w:rPr>
            </w:pPr>
            <w:r>
              <w:rPr>
                <w:rFonts w:ascii="Times New Roman" w:cs="Times New Roman" w:eastAsia="Times New Roman" w:hAnsi="Times New Roman"/>
                <w:sz w:val="16"/>
                <w:szCs w:val="16"/>
                <w:b w:val="1"/>
                <w:bCs w:val="1"/>
                <w:color w:val="auto"/>
              </w:rPr>
              <w:t>May 1, 2025</w:t>
            </w:r>
          </w:p>
        </w:tc>
        <w:tc>
          <w:tcPr>
            <w:tcW w:w="1960" w:type="dxa"/>
            <w:vAlign w:val="bottom"/>
            <w:tcBorders>
              <w:bottom w:val="single" w:sz="8" w:color="CCEEFF"/>
            </w:tcBorders>
          </w:tcPr>
          <w:p>
            <w:pPr>
              <w:spacing w:after="0"/>
              <w:rPr>
                <w:sz w:val="18"/>
                <w:szCs w:val="18"/>
                <w:color w:val="auto"/>
              </w:rPr>
            </w:pPr>
          </w:p>
        </w:tc>
      </w:tr>
      <w:tr>
        <w:trPr>
          <w:trHeight w:val="198"/>
        </w:trPr>
        <w:tc>
          <w:tcPr>
            <w:tcW w:w="1940" w:type="dxa"/>
            <w:vAlign w:val="bottom"/>
            <w:shd w:val="clear" w:color="auto" w:fill="CCEEFF"/>
          </w:tcPr>
          <w:p>
            <w:pPr>
              <w:spacing w:after="0"/>
              <w:rPr>
                <w:sz w:val="17"/>
                <w:szCs w:val="17"/>
                <w:color w:val="auto"/>
              </w:rPr>
            </w:pPr>
          </w:p>
        </w:tc>
        <w:tc>
          <w:tcPr>
            <w:tcW w:w="5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24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960" w:type="dxa"/>
            <w:vAlign w:val="bottom"/>
            <w:shd w:val="clear" w:color="auto" w:fill="CCEEFF"/>
          </w:tcPr>
          <w:p>
            <w:pPr>
              <w:spacing w:after="0"/>
              <w:rPr>
                <w:sz w:val="17"/>
                <w:szCs w:val="17"/>
                <w:color w:val="auto"/>
              </w:rPr>
            </w:pPr>
          </w:p>
        </w:tc>
      </w:tr>
      <w:tr>
        <w:trPr>
          <w:trHeight w:val="213"/>
        </w:trPr>
        <w:tc>
          <w:tcPr>
            <w:tcW w:w="1940" w:type="dxa"/>
            <w:vAlign w:val="bottom"/>
          </w:tcPr>
          <w:p>
            <w:pPr>
              <w:spacing w:after="0"/>
              <w:rPr>
                <w:sz w:val="18"/>
                <w:szCs w:val="18"/>
                <w:color w:val="auto"/>
              </w:rPr>
            </w:pPr>
          </w:p>
        </w:tc>
        <w:tc>
          <w:tcPr>
            <w:tcW w:w="5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41,246</w:t>
            </w:r>
          </w:p>
        </w:tc>
        <w:tc>
          <w:tcPr>
            <w:tcW w:w="1960" w:type="dxa"/>
            <w:vAlign w:val="bottom"/>
          </w:tcPr>
          <w:p>
            <w:pPr>
              <w:spacing w:after="0"/>
              <w:rPr>
                <w:sz w:val="18"/>
                <w:szCs w:val="18"/>
                <w:color w:val="auto"/>
              </w:rPr>
            </w:pPr>
          </w:p>
        </w:tc>
      </w:tr>
      <w:tr>
        <w:trPr>
          <w:trHeight w:val="219"/>
        </w:trPr>
        <w:tc>
          <w:tcPr>
            <w:tcW w:w="1940" w:type="dxa"/>
            <w:vAlign w:val="bottom"/>
            <w:shd w:val="clear" w:color="auto" w:fill="CCEEFF"/>
          </w:tcPr>
          <w:p>
            <w:pPr>
              <w:spacing w:after="0"/>
              <w:rPr>
                <w:sz w:val="19"/>
                <w:szCs w:val="19"/>
                <w:color w:val="auto"/>
              </w:rPr>
            </w:pPr>
          </w:p>
        </w:tc>
        <w:tc>
          <w:tcPr>
            <w:tcW w:w="5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Debt securities</w:t>
            </w:r>
          </w:p>
        </w:tc>
        <w:tc>
          <w:tcPr>
            <w:tcW w:w="2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56,503</w:t>
            </w:r>
          </w:p>
        </w:tc>
        <w:tc>
          <w:tcPr>
            <w:tcW w:w="1960" w:type="dxa"/>
            <w:vAlign w:val="bottom"/>
            <w:shd w:val="clear" w:color="auto" w:fill="CCEEFF"/>
          </w:tcPr>
          <w:p>
            <w:pPr>
              <w:spacing w:after="0"/>
              <w:rPr>
                <w:sz w:val="19"/>
                <w:szCs w:val="19"/>
                <w:color w:val="auto"/>
              </w:rPr>
            </w:pPr>
          </w:p>
        </w:tc>
      </w:tr>
      <w:tr>
        <w:trPr>
          <w:trHeight w:val="213"/>
        </w:trPr>
        <w:tc>
          <w:tcPr>
            <w:tcW w:w="1940" w:type="dxa"/>
            <w:vAlign w:val="bottom"/>
          </w:tcPr>
          <w:p>
            <w:pPr>
              <w:spacing w:after="0"/>
              <w:rPr>
                <w:sz w:val="18"/>
                <w:szCs w:val="18"/>
                <w:color w:val="auto"/>
              </w:rPr>
            </w:pPr>
          </w:p>
        </w:tc>
        <w:tc>
          <w:tcPr>
            <w:tcW w:w="5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Loans held for investment</w:t>
            </w:r>
          </w:p>
        </w:tc>
        <w:tc>
          <w:tcPr>
            <w:tcW w:w="2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301,303</w:t>
            </w:r>
          </w:p>
        </w:tc>
        <w:tc>
          <w:tcPr>
            <w:tcW w:w="1960" w:type="dxa"/>
            <w:vAlign w:val="bottom"/>
          </w:tcPr>
          <w:p>
            <w:pPr>
              <w:spacing w:after="0"/>
              <w:rPr>
                <w:sz w:val="18"/>
                <w:szCs w:val="18"/>
                <w:color w:val="auto"/>
              </w:rPr>
            </w:pPr>
          </w:p>
        </w:tc>
      </w:tr>
      <w:tr>
        <w:trPr>
          <w:trHeight w:val="219"/>
        </w:trPr>
        <w:tc>
          <w:tcPr>
            <w:tcW w:w="1940" w:type="dxa"/>
            <w:vAlign w:val="bottom"/>
            <w:shd w:val="clear" w:color="auto" w:fill="CCEEFF"/>
          </w:tcPr>
          <w:p>
            <w:pPr>
              <w:spacing w:after="0"/>
              <w:rPr>
                <w:sz w:val="19"/>
                <w:szCs w:val="19"/>
                <w:color w:val="auto"/>
              </w:rPr>
            </w:pPr>
          </w:p>
        </w:tc>
        <w:tc>
          <w:tcPr>
            <w:tcW w:w="5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Bank-owned life insurance</w:t>
            </w:r>
          </w:p>
        </w:tc>
        <w:tc>
          <w:tcPr>
            <w:tcW w:w="2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13,822</w:t>
            </w:r>
          </w:p>
        </w:tc>
        <w:tc>
          <w:tcPr>
            <w:tcW w:w="1960" w:type="dxa"/>
            <w:vAlign w:val="bottom"/>
            <w:shd w:val="clear" w:color="auto" w:fill="CCEEFF"/>
          </w:tcPr>
          <w:p>
            <w:pPr>
              <w:spacing w:after="0"/>
              <w:rPr>
                <w:sz w:val="19"/>
                <w:szCs w:val="19"/>
                <w:color w:val="auto"/>
              </w:rPr>
            </w:pPr>
          </w:p>
        </w:tc>
      </w:tr>
      <w:tr>
        <w:trPr>
          <w:trHeight w:val="213"/>
        </w:trPr>
        <w:tc>
          <w:tcPr>
            <w:tcW w:w="1940" w:type="dxa"/>
            <w:vAlign w:val="bottom"/>
          </w:tcPr>
          <w:p>
            <w:pPr>
              <w:spacing w:after="0"/>
              <w:rPr>
                <w:sz w:val="18"/>
                <w:szCs w:val="18"/>
                <w:color w:val="auto"/>
              </w:rPr>
            </w:pPr>
          </w:p>
        </w:tc>
        <w:tc>
          <w:tcPr>
            <w:tcW w:w="5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deferred tax asset</w:t>
            </w:r>
          </w:p>
        </w:tc>
        <w:tc>
          <w:tcPr>
            <w:tcW w:w="2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6,565</w:t>
            </w:r>
          </w:p>
        </w:tc>
        <w:tc>
          <w:tcPr>
            <w:tcW w:w="1960" w:type="dxa"/>
            <w:vAlign w:val="bottom"/>
          </w:tcPr>
          <w:p>
            <w:pPr>
              <w:spacing w:after="0"/>
              <w:rPr>
                <w:sz w:val="18"/>
                <w:szCs w:val="18"/>
                <w:color w:val="auto"/>
              </w:rPr>
            </w:pPr>
          </w:p>
        </w:tc>
      </w:tr>
      <w:tr>
        <w:trPr>
          <w:trHeight w:val="219"/>
        </w:trPr>
        <w:tc>
          <w:tcPr>
            <w:tcW w:w="1940" w:type="dxa"/>
            <w:vAlign w:val="bottom"/>
            <w:shd w:val="clear" w:color="auto" w:fill="CCEEFF"/>
          </w:tcPr>
          <w:p>
            <w:pPr>
              <w:spacing w:after="0"/>
              <w:rPr>
                <w:sz w:val="19"/>
                <w:szCs w:val="19"/>
                <w:color w:val="auto"/>
              </w:rPr>
            </w:pPr>
          </w:p>
        </w:tc>
        <w:tc>
          <w:tcPr>
            <w:tcW w:w="5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Core deposit intangible</w:t>
            </w:r>
          </w:p>
        </w:tc>
        <w:tc>
          <w:tcPr>
            <w:tcW w:w="2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6,290</w:t>
            </w:r>
          </w:p>
        </w:tc>
        <w:tc>
          <w:tcPr>
            <w:tcW w:w="1960" w:type="dxa"/>
            <w:vAlign w:val="bottom"/>
            <w:shd w:val="clear" w:color="auto" w:fill="CCEEFF"/>
          </w:tcPr>
          <w:p>
            <w:pPr>
              <w:spacing w:after="0"/>
              <w:rPr>
                <w:sz w:val="19"/>
                <w:szCs w:val="19"/>
                <w:color w:val="auto"/>
              </w:rPr>
            </w:pPr>
          </w:p>
        </w:tc>
      </w:tr>
      <w:tr>
        <w:trPr>
          <w:trHeight w:val="213"/>
        </w:trPr>
        <w:tc>
          <w:tcPr>
            <w:tcW w:w="1940" w:type="dxa"/>
            <w:vAlign w:val="bottom"/>
            <w:tcBorders>
              <w:bottom w:val="single" w:sz="8" w:color="CCEEFF"/>
            </w:tcBorders>
          </w:tcPr>
          <w:p>
            <w:pPr>
              <w:spacing w:after="0"/>
              <w:rPr>
                <w:sz w:val="18"/>
                <w:szCs w:val="18"/>
                <w:color w:val="auto"/>
              </w:rPr>
            </w:pPr>
          </w:p>
        </w:tc>
        <w:tc>
          <w:tcPr>
            <w:tcW w:w="57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Other assets</w:t>
            </w:r>
          </w:p>
        </w:tc>
        <w:tc>
          <w:tcPr>
            <w:tcW w:w="2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2,746</w:t>
            </w:r>
          </w:p>
        </w:tc>
        <w:tc>
          <w:tcPr>
            <w:tcW w:w="1960" w:type="dxa"/>
            <w:vAlign w:val="bottom"/>
            <w:tcBorders>
              <w:bottom w:val="single" w:sz="8" w:color="CCEEFF"/>
            </w:tcBorders>
          </w:tcPr>
          <w:p>
            <w:pPr>
              <w:spacing w:after="0"/>
              <w:rPr>
                <w:sz w:val="18"/>
                <w:szCs w:val="18"/>
                <w:color w:val="auto"/>
              </w:rPr>
            </w:pPr>
          </w:p>
        </w:tc>
      </w:tr>
      <w:tr>
        <w:trPr>
          <w:trHeight w:val="212"/>
        </w:trPr>
        <w:tc>
          <w:tcPr>
            <w:tcW w:w="1940" w:type="dxa"/>
            <w:vAlign w:val="bottom"/>
            <w:shd w:val="clear" w:color="auto" w:fill="CCEEFF"/>
          </w:tcPr>
          <w:p>
            <w:pPr>
              <w:spacing w:after="0"/>
              <w:rPr>
                <w:sz w:val="18"/>
                <w:szCs w:val="18"/>
                <w:color w:val="auto"/>
              </w:rPr>
            </w:pPr>
          </w:p>
        </w:tc>
        <w:tc>
          <w:tcPr>
            <w:tcW w:w="57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b w:val="1"/>
                <w:bCs w:val="1"/>
                <w:color w:val="auto"/>
              </w:rPr>
              <w:t>Total assets acquired</w:t>
            </w:r>
          </w:p>
        </w:tc>
        <w:tc>
          <w:tcPr>
            <w:tcW w:w="24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428,475</w:t>
            </w:r>
          </w:p>
        </w:tc>
        <w:tc>
          <w:tcPr>
            <w:tcW w:w="1960" w:type="dxa"/>
            <w:vAlign w:val="bottom"/>
            <w:shd w:val="clear" w:color="auto" w:fill="CCEEFF"/>
          </w:tcPr>
          <w:p>
            <w:pPr>
              <w:spacing w:after="0"/>
              <w:rPr>
                <w:sz w:val="18"/>
                <w:szCs w:val="18"/>
                <w:color w:val="auto"/>
              </w:rPr>
            </w:pPr>
          </w:p>
        </w:tc>
      </w:tr>
      <w:tr>
        <w:trPr>
          <w:trHeight w:val="194"/>
        </w:trPr>
        <w:tc>
          <w:tcPr>
            <w:tcW w:w="1940" w:type="dxa"/>
            <w:vAlign w:val="bottom"/>
          </w:tcPr>
          <w:p>
            <w:pPr>
              <w:spacing w:after="0"/>
              <w:rPr>
                <w:sz w:val="16"/>
                <w:szCs w:val="16"/>
                <w:color w:val="auto"/>
              </w:rPr>
            </w:pPr>
          </w:p>
        </w:tc>
        <w:tc>
          <w:tcPr>
            <w:tcW w:w="57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Liabilities</w:t>
            </w:r>
          </w:p>
        </w:tc>
        <w:tc>
          <w:tcPr>
            <w:tcW w:w="24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960" w:type="dxa"/>
            <w:vAlign w:val="bottom"/>
          </w:tcPr>
          <w:p>
            <w:pPr>
              <w:spacing w:after="0"/>
              <w:rPr>
                <w:sz w:val="16"/>
                <w:szCs w:val="16"/>
                <w:color w:val="auto"/>
              </w:rPr>
            </w:pPr>
          </w:p>
        </w:tc>
      </w:tr>
      <w:tr>
        <w:trPr>
          <w:trHeight w:val="218"/>
        </w:trPr>
        <w:tc>
          <w:tcPr>
            <w:tcW w:w="1940" w:type="dxa"/>
            <w:vAlign w:val="bottom"/>
            <w:shd w:val="clear" w:color="auto" w:fill="CCEEFF"/>
          </w:tcPr>
          <w:p>
            <w:pPr>
              <w:spacing w:after="0"/>
              <w:rPr>
                <w:sz w:val="18"/>
                <w:szCs w:val="18"/>
                <w:color w:val="auto"/>
              </w:rPr>
            </w:pPr>
          </w:p>
        </w:tc>
        <w:tc>
          <w:tcPr>
            <w:tcW w:w="5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Deposits</w:t>
            </w:r>
          </w:p>
        </w:tc>
        <w:tc>
          <w:tcPr>
            <w:tcW w:w="24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374,468</w:t>
            </w:r>
          </w:p>
        </w:tc>
        <w:tc>
          <w:tcPr>
            <w:tcW w:w="1960" w:type="dxa"/>
            <w:vAlign w:val="bottom"/>
            <w:shd w:val="clear" w:color="auto" w:fill="CCEEFF"/>
          </w:tcPr>
          <w:p>
            <w:pPr>
              <w:spacing w:after="0"/>
              <w:rPr>
                <w:sz w:val="18"/>
                <w:szCs w:val="18"/>
                <w:color w:val="auto"/>
              </w:rPr>
            </w:pPr>
          </w:p>
        </w:tc>
      </w:tr>
      <w:tr>
        <w:trPr>
          <w:trHeight w:val="213"/>
        </w:trPr>
        <w:tc>
          <w:tcPr>
            <w:tcW w:w="1940" w:type="dxa"/>
            <w:vAlign w:val="bottom"/>
            <w:tcBorders>
              <w:bottom w:val="single" w:sz="8" w:color="CCEEFF"/>
            </w:tcBorders>
          </w:tcPr>
          <w:p>
            <w:pPr>
              <w:spacing w:after="0"/>
              <w:rPr>
                <w:sz w:val="18"/>
                <w:szCs w:val="18"/>
                <w:color w:val="auto"/>
              </w:rPr>
            </w:pPr>
          </w:p>
        </w:tc>
        <w:tc>
          <w:tcPr>
            <w:tcW w:w="57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Other liabilities</w:t>
            </w:r>
          </w:p>
        </w:tc>
        <w:tc>
          <w:tcPr>
            <w:tcW w:w="2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6,298</w:t>
            </w:r>
          </w:p>
        </w:tc>
        <w:tc>
          <w:tcPr>
            <w:tcW w:w="1960" w:type="dxa"/>
            <w:vAlign w:val="bottom"/>
            <w:tcBorders>
              <w:bottom w:val="single" w:sz="8" w:color="CCEEFF"/>
            </w:tcBorders>
          </w:tcPr>
          <w:p>
            <w:pPr>
              <w:spacing w:after="0"/>
              <w:rPr>
                <w:sz w:val="18"/>
                <w:szCs w:val="18"/>
                <w:color w:val="auto"/>
              </w:rPr>
            </w:pPr>
          </w:p>
        </w:tc>
      </w:tr>
      <w:tr>
        <w:trPr>
          <w:trHeight w:val="212"/>
        </w:trPr>
        <w:tc>
          <w:tcPr>
            <w:tcW w:w="1940" w:type="dxa"/>
            <w:vAlign w:val="bottom"/>
            <w:shd w:val="clear" w:color="auto" w:fill="CCEEFF"/>
          </w:tcPr>
          <w:p>
            <w:pPr>
              <w:spacing w:after="0"/>
              <w:rPr>
                <w:sz w:val="18"/>
                <w:szCs w:val="18"/>
                <w:color w:val="auto"/>
              </w:rPr>
            </w:pPr>
          </w:p>
        </w:tc>
        <w:tc>
          <w:tcPr>
            <w:tcW w:w="57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b w:val="1"/>
                <w:bCs w:val="1"/>
                <w:color w:val="auto"/>
              </w:rPr>
              <w:t>Total liabilities assumed</w:t>
            </w:r>
          </w:p>
        </w:tc>
        <w:tc>
          <w:tcPr>
            <w:tcW w:w="24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380,766</w:t>
            </w:r>
          </w:p>
        </w:tc>
        <w:tc>
          <w:tcPr>
            <w:tcW w:w="1960" w:type="dxa"/>
            <w:vAlign w:val="bottom"/>
            <w:shd w:val="clear" w:color="auto" w:fill="CCEEFF"/>
          </w:tcPr>
          <w:p>
            <w:pPr>
              <w:spacing w:after="0"/>
              <w:rPr>
                <w:sz w:val="18"/>
                <w:szCs w:val="18"/>
                <w:color w:val="auto"/>
              </w:rPr>
            </w:pPr>
          </w:p>
        </w:tc>
      </w:tr>
      <w:tr>
        <w:trPr>
          <w:trHeight w:val="207"/>
        </w:trPr>
        <w:tc>
          <w:tcPr>
            <w:tcW w:w="1940" w:type="dxa"/>
            <w:vAlign w:val="bottom"/>
            <w:tcBorders>
              <w:bottom w:val="single" w:sz="8" w:color="CCEEFF"/>
            </w:tcBorders>
          </w:tcPr>
          <w:p>
            <w:pPr>
              <w:spacing w:after="0"/>
              <w:rPr>
                <w:sz w:val="17"/>
                <w:szCs w:val="17"/>
                <w:color w:val="auto"/>
              </w:rPr>
            </w:pPr>
          </w:p>
        </w:tc>
        <w:tc>
          <w:tcPr>
            <w:tcW w:w="57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Total identifiable net assets</w:t>
            </w:r>
          </w:p>
        </w:tc>
        <w:tc>
          <w:tcPr>
            <w:tcW w:w="24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47,709</w:t>
            </w:r>
          </w:p>
        </w:tc>
        <w:tc>
          <w:tcPr>
            <w:tcW w:w="1960" w:type="dxa"/>
            <w:vAlign w:val="bottom"/>
            <w:tcBorders>
              <w:bottom w:val="single" w:sz="8" w:color="CCEEFF"/>
            </w:tcBorders>
          </w:tcPr>
          <w:p>
            <w:pPr>
              <w:spacing w:after="0"/>
              <w:rPr>
                <w:sz w:val="17"/>
                <w:szCs w:val="17"/>
                <w:color w:val="auto"/>
              </w:rPr>
            </w:pPr>
          </w:p>
        </w:tc>
      </w:tr>
      <w:tr>
        <w:trPr>
          <w:trHeight w:val="199"/>
        </w:trPr>
        <w:tc>
          <w:tcPr>
            <w:tcW w:w="1940" w:type="dxa"/>
            <w:vAlign w:val="bottom"/>
            <w:shd w:val="clear" w:color="auto" w:fill="CCEEFF"/>
          </w:tcPr>
          <w:p>
            <w:pPr>
              <w:spacing w:after="0"/>
              <w:rPr>
                <w:sz w:val="17"/>
                <w:szCs w:val="17"/>
                <w:color w:val="auto"/>
              </w:rPr>
            </w:pPr>
          </w:p>
        </w:tc>
        <w:tc>
          <w:tcPr>
            <w:tcW w:w="5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Consideration transferred</w:t>
            </w:r>
          </w:p>
        </w:tc>
        <w:tc>
          <w:tcPr>
            <w:tcW w:w="24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960" w:type="dxa"/>
            <w:vAlign w:val="bottom"/>
            <w:shd w:val="clear" w:color="auto" w:fill="CCEEFF"/>
          </w:tcPr>
          <w:p>
            <w:pPr>
              <w:spacing w:after="0"/>
              <w:rPr>
                <w:sz w:val="17"/>
                <w:szCs w:val="17"/>
                <w:color w:val="auto"/>
              </w:rPr>
            </w:pPr>
          </w:p>
        </w:tc>
      </w:tr>
      <w:tr>
        <w:trPr>
          <w:trHeight w:val="213"/>
        </w:trPr>
        <w:tc>
          <w:tcPr>
            <w:tcW w:w="1940" w:type="dxa"/>
            <w:vAlign w:val="bottom"/>
            <w:tcBorders>
              <w:bottom w:val="single" w:sz="8" w:color="CCEEFF"/>
            </w:tcBorders>
          </w:tcPr>
          <w:p>
            <w:pPr>
              <w:spacing w:after="0"/>
              <w:rPr>
                <w:sz w:val="18"/>
                <w:szCs w:val="18"/>
                <w:color w:val="auto"/>
              </w:rPr>
            </w:pPr>
          </w:p>
        </w:tc>
        <w:tc>
          <w:tcPr>
            <w:tcW w:w="574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6"/>
                <w:szCs w:val="16"/>
                <w:color w:val="auto"/>
              </w:rPr>
              <w:t>Common stock issued (2,380,952 shares)</w:t>
            </w:r>
          </w:p>
        </w:tc>
        <w:tc>
          <w:tcPr>
            <w:tcW w:w="2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65,738</w:t>
            </w:r>
          </w:p>
        </w:tc>
        <w:tc>
          <w:tcPr>
            <w:tcW w:w="1960" w:type="dxa"/>
            <w:vAlign w:val="bottom"/>
            <w:tcBorders>
              <w:bottom w:val="single" w:sz="8" w:color="CCEEFF"/>
            </w:tcBorders>
          </w:tcPr>
          <w:p>
            <w:pPr>
              <w:spacing w:after="0"/>
              <w:rPr>
                <w:sz w:val="18"/>
                <w:szCs w:val="18"/>
                <w:color w:val="auto"/>
              </w:rPr>
            </w:pPr>
          </w:p>
        </w:tc>
      </w:tr>
      <w:tr>
        <w:trPr>
          <w:trHeight w:val="237"/>
        </w:trPr>
        <w:tc>
          <w:tcPr>
            <w:tcW w:w="1940" w:type="dxa"/>
            <w:vAlign w:val="bottom"/>
            <w:tcBorders>
              <w:bottom w:val="single" w:sz="8" w:color="CCEEFF"/>
            </w:tcBorders>
            <w:shd w:val="clear" w:color="auto" w:fill="CCEEFF"/>
          </w:tcPr>
          <w:p>
            <w:pPr>
              <w:spacing w:after="0"/>
              <w:rPr>
                <w:sz w:val="20"/>
                <w:szCs w:val="20"/>
                <w:color w:val="auto"/>
              </w:rPr>
            </w:pPr>
          </w:p>
        </w:tc>
        <w:tc>
          <w:tcPr>
            <w:tcW w:w="5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Goodwill</w:t>
            </w: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18,029</w:t>
            </w:r>
          </w:p>
        </w:tc>
        <w:tc>
          <w:tcPr>
            <w:tcW w:w="1960" w:type="dxa"/>
            <w:vAlign w:val="bottom"/>
            <w:tcBorders>
              <w:bottom w:val="single" w:sz="8" w:color="CCEEFF"/>
            </w:tcBorders>
            <w:shd w:val="clear" w:color="auto" w:fill="CCEEFF"/>
          </w:tcPr>
          <w:p>
            <w:pPr>
              <w:spacing w:after="0"/>
              <w:rPr>
                <w:sz w:val="20"/>
                <w:szCs w:val="20"/>
                <w:color w:val="auto"/>
              </w:rPr>
            </w:pPr>
          </w:p>
        </w:tc>
      </w:tr>
      <w:tr>
        <w:trPr>
          <w:trHeight w:val="20"/>
        </w:trPr>
        <w:tc>
          <w:tcPr>
            <w:tcW w:w="1940" w:type="dxa"/>
            <w:vAlign w:val="bottom"/>
            <w:tcBorders>
              <w:top w:val="single" w:sz="8" w:color="CCEEFF"/>
            </w:tcBorders>
          </w:tcPr>
          <w:p>
            <w:pPr>
              <w:spacing w:after="0" w:line="20" w:lineRule="exact"/>
              <w:rPr>
                <w:sz w:val="1"/>
                <w:szCs w:val="1"/>
                <w:color w:val="auto"/>
              </w:rPr>
            </w:pPr>
          </w:p>
        </w:tc>
        <w:tc>
          <w:tcPr>
            <w:tcW w:w="57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960" w:type="dxa"/>
            <w:vAlign w:val="bottom"/>
            <w:tcBorders>
              <w:top w:val="single" w:sz="8" w:color="CCEEFF"/>
            </w:tcBorders>
          </w:tcPr>
          <w:p>
            <w:pPr>
              <w:spacing w:after="0" w:line="20" w:lineRule="exact"/>
              <w:rPr>
                <w:sz w:val="1"/>
                <w:szCs w:val="1"/>
                <w:color w:val="auto"/>
              </w:rPr>
            </w:pPr>
          </w:p>
        </w:tc>
      </w:tr>
    </w:tbl>
    <w:p>
      <w:pPr>
        <w:spacing w:after="0" w:line="81" w:lineRule="exact"/>
        <w:rPr>
          <w:sz w:val="20"/>
          <w:szCs w:val="20"/>
          <w:color w:val="auto"/>
        </w:rPr>
      </w:pPr>
    </w:p>
    <w:p>
      <w:pPr>
        <w:ind w:firstLine="8"/>
        <w:spacing w:after="0" w:line="238" w:lineRule="auto"/>
        <w:tabs>
          <w:tab w:leader="none" w:pos="166" w:val="left"/>
        </w:tabs>
        <w:numPr>
          <w:ilvl w:val="0"/>
          <w:numId w:val="4"/>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5"/>
          <w:szCs w:val="15"/>
          <w:color w:val="auto"/>
        </w:rPr>
        <w:t>Fair values are preliminary and are subject to refinement for a period not to exceed one year after the closing date of an acquisition as information relative to closing date fair values becomes available.</w:t>
      </w:r>
    </w:p>
    <w:p>
      <w:pPr>
        <w:spacing w:after="0" w:line="217"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Goodwill represents the intangible value of ANB’s business and reputation within the markets it served and is not expected to be deductible for income tax purposes. The ANB core deposit intangible will be amortized over 10 years using the sum-of-the-years-digits method.</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additional information related to the acquired ANB loan portfolio at the acquisition date.</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140" w:type="dxa"/>
            <w:vAlign w:val="bottom"/>
          </w:tcPr>
          <w:p>
            <w:pPr>
              <w:ind w:left="230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280" w:type="dxa"/>
            <w:vAlign w:val="bottom"/>
          </w:tcPr>
          <w:p>
            <w:pPr>
              <w:spacing w:after="0"/>
              <w:rPr>
                <w:sz w:val="18"/>
                <w:szCs w:val="18"/>
                <w:color w:val="auto"/>
              </w:rPr>
            </w:pPr>
          </w:p>
        </w:tc>
        <w:tc>
          <w:tcPr>
            <w:tcW w:w="3800" w:type="dxa"/>
            <w:vAlign w:val="bottom"/>
            <w:gridSpan w:val="2"/>
          </w:tcPr>
          <w:p>
            <w:pPr>
              <w:ind w:left="180"/>
              <w:spacing w:after="0"/>
              <w:rPr>
                <w:sz w:val="20"/>
                <w:szCs w:val="20"/>
                <w:color w:val="auto"/>
              </w:rPr>
            </w:pPr>
            <w:r>
              <w:rPr>
                <w:rFonts w:ascii="Times New Roman" w:cs="Times New Roman" w:eastAsia="Times New Roman" w:hAnsi="Times New Roman"/>
                <w:sz w:val="16"/>
                <w:szCs w:val="16"/>
                <w:b w:val="1"/>
                <w:bCs w:val="1"/>
                <w:color w:val="auto"/>
              </w:rPr>
              <w:t>May 1, 2025</w:t>
            </w:r>
          </w:p>
        </w:tc>
      </w:tr>
      <w:tr>
        <w:trPr>
          <w:trHeight w:val="199"/>
        </w:trPr>
        <w:tc>
          <w:tcPr>
            <w:tcW w:w="7140" w:type="dxa"/>
            <w:vAlign w:val="bottom"/>
            <w:tcBorders>
              <w:top w:val="single" w:sz="8" w:color="CCEEFF"/>
            </w:tcBorders>
            <w:shd w:val="clear" w:color="auto" w:fill="CCEEFF"/>
          </w:tcPr>
          <w:p>
            <w:pPr>
              <w:ind w:left="2300"/>
              <w:spacing w:after="0"/>
              <w:rPr>
                <w:sz w:val="20"/>
                <w:szCs w:val="20"/>
                <w:color w:val="auto"/>
              </w:rPr>
            </w:pPr>
            <w:r>
              <w:rPr>
                <w:rFonts w:ascii="Times New Roman" w:cs="Times New Roman" w:eastAsia="Times New Roman" w:hAnsi="Times New Roman"/>
                <w:sz w:val="16"/>
                <w:szCs w:val="16"/>
                <w:b w:val="1"/>
                <w:bCs w:val="1"/>
                <w:color w:val="auto"/>
              </w:rPr>
              <w:t>PCD Loans</w:t>
            </w:r>
          </w:p>
        </w:tc>
        <w:tc>
          <w:tcPr>
            <w:tcW w:w="280" w:type="dxa"/>
            <w:vAlign w:val="bottom"/>
            <w:tcBorders>
              <w:top w:val="single" w:sz="8" w:color="auto"/>
            </w:tcBorders>
            <w:shd w:val="clear" w:color="auto" w:fill="CCEEFF"/>
          </w:tcPr>
          <w:p>
            <w:pPr>
              <w:spacing w:after="0"/>
              <w:rPr>
                <w:sz w:val="17"/>
                <w:szCs w:val="17"/>
                <w:color w:val="auto"/>
              </w:rPr>
            </w:pPr>
          </w:p>
        </w:tc>
        <w:tc>
          <w:tcPr>
            <w:tcW w:w="1500" w:type="dxa"/>
            <w:vAlign w:val="bottom"/>
            <w:tcBorders>
              <w:top w:val="single" w:sz="8" w:color="auto"/>
            </w:tcBorders>
            <w:shd w:val="clear" w:color="auto" w:fill="CCEEFF"/>
          </w:tcPr>
          <w:p>
            <w:pPr>
              <w:spacing w:after="0"/>
              <w:rPr>
                <w:sz w:val="17"/>
                <w:szCs w:val="17"/>
                <w:color w:val="auto"/>
              </w:rPr>
            </w:pPr>
          </w:p>
        </w:tc>
        <w:tc>
          <w:tcPr>
            <w:tcW w:w="2300" w:type="dxa"/>
            <w:vAlign w:val="bottom"/>
            <w:tcBorders>
              <w:top w:val="single" w:sz="8" w:color="CCEEFF"/>
            </w:tcBorders>
            <w:shd w:val="clear" w:color="auto" w:fill="CCEEFF"/>
          </w:tcPr>
          <w:p>
            <w:pPr>
              <w:spacing w:after="0"/>
              <w:rPr>
                <w:sz w:val="17"/>
                <w:szCs w:val="17"/>
                <w:color w:val="auto"/>
              </w:rPr>
            </w:pPr>
          </w:p>
        </w:tc>
      </w:tr>
      <w:tr>
        <w:trPr>
          <w:trHeight w:val="213"/>
        </w:trPr>
        <w:tc>
          <w:tcPr>
            <w:tcW w:w="7140" w:type="dxa"/>
            <w:vAlign w:val="bottom"/>
          </w:tcPr>
          <w:p>
            <w:pPr>
              <w:ind w:left="2300"/>
              <w:spacing w:after="0"/>
              <w:rPr>
                <w:sz w:val="20"/>
                <w:szCs w:val="20"/>
                <w:color w:val="auto"/>
              </w:rPr>
            </w:pPr>
            <w:r>
              <w:rPr>
                <w:rFonts w:ascii="Times New Roman" w:cs="Times New Roman" w:eastAsia="Times New Roman" w:hAnsi="Times New Roman"/>
                <w:sz w:val="16"/>
                <w:szCs w:val="16"/>
                <w:color w:val="auto"/>
              </w:rPr>
              <w:t>Par value</w:t>
            </w: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42,649</w:t>
            </w:r>
          </w:p>
        </w:tc>
        <w:tc>
          <w:tcPr>
            <w:tcW w:w="2300" w:type="dxa"/>
            <w:vAlign w:val="bottom"/>
          </w:tcPr>
          <w:p>
            <w:pPr>
              <w:spacing w:after="0"/>
              <w:rPr>
                <w:sz w:val="18"/>
                <w:szCs w:val="18"/>
                <w:color w:val="auto"/>
              </w:rPr>
            </w:pPr>
          </w:p>
        </w:tc>
      </w:tr>
      <w:tr>
        <w:trPr>
          <w:trHeight w:val="219"/>
        </w:trPr>
        <w:tc>
          <w:tcPr>
            <w:tcW w:w="7140" w:type="dxa"/>
            <w:vAlign w:val="bottom"/>
            <w:shd w:val="clear" w:color="auto" w:fill="CCEEFF"/>
          </w:tcPr>
          <w:p>
            <w:pPr>
              <w:ind w:left="2300"/>
              <w:spacing w:after="0"/>
              <w:rPr>
                <w:sz w:val="20"/>
                <w:szCs w:val="20"/>
                <w:color w:val="auto"/>
              </w:rPr>
            </w:pPr>
            <w:r>
              <w:rPr>
                <w:rFonts w:ascii="Times New Roman" w:cs="Times New Roman" w:eastAsia="Times New Roman" w:hAnsi="Times New Roman"/>
                <w:sz w:val="16"/>
                <w:szCs w:val="16"/>
                <w:color w:val="auto"/>
              </w:rPr>
              <w:t>ACL at acquisition</w:t>
            </w:r>
          </w:p>
        </w:tc>
        <w:tc>
          <w:tcPr>
            <w:tcW w:w="28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(1,251)</w:t>
            </w:r>
          </w:p>
        </w:tc>
        <w:tc>
          <w:tcPr>
            <w:tcW w:w="2300" w:type="dxa"/>
            <w:vAlign w:val="bottom"/>
            <w:shd w:val="clear" w:color="auto" w:fill="CCEEFF"/>
          </w:tcPr>
          <w:p>
            <w:pPr>
              <w:spacing w:after="0"/>
              <w:rPr>
                <w:sz w:val="19"/>
                <w:szCs w:val="19"/>
                <w:color w:val="auto"/>
              </w:rPr>
            </w:pPr>
          </w:p>
        </w:tc>
      </w:tr>
      <w:tr>
        <w:trPr>
          <w:trHeight w:val="213"/>
        </w:trPr>
        <w:tc>
          <w:tcPr>
            <w:tcW w:w="7140" w:type="dxa"/>
            <w:vAlign w:val="bottom"/>
            <w:tcBorders>
              <w:bottom w:val="single" w:sz="8" w:color="CCEEFF"/>
            </w:tcBorders>
          </w:tcPr>
          <w:p>
            <w:pPr>
              <w:ind w:left="2300"/>
              <w:spacing w:after="0"/>
              <w:rPr>
                <w:sz w:val="20"/>
                <w:szCs w:val="20"/>
                <w:color w:val="auto"/>
              </w:rPr>
            </w:pPr>
            <w:r>
              <w:rPr>
                <w:rFonts w:ascii="Times New Roman" w:cs="Times New Roman" w:eastAsia="Times New Roman" w:hAnsi="Times New Roman"/>
                <w:sz w:val="16"/>
                <w:szCs w:val="16"/>
                <w:color w:val="auto"/>
              </w:rPr>
              <w:t>Non-credit discount</w:t>
            </w:r>
          </w:p>
        </w:tc>
        <w:tc>
          <w:tcPr>
            <w:tcW w:w="28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(2,998)</w:t>
            </w:r>
          </w:p>
        </w:tc>
        <w:tc>
          <w:tcPr>
            <w:tcW w:w="2300" w:type="dxa"/>
            <w:vAlign w:val="bottom"/>
            <w:tcBorders>
              <w:bottom w:val="single" w:sz="8" w:color="CCEEFF"/>
            </w:tcBorders>
          </w:tcPr>
          <w:p>
            <w:pPr>
              <w:spacing w:after="0"/>
              <w:rPr>
                <w:sz w:val="18"/>
                <w:szCs w:val="18"/>
                <w:color w:val="auto"/>
              </w:rPr>
            </w:pPr>
          </w:p>
        </w:tc>
      </w:tr>
      <w:tr>
        <w:trPr>
          <w:trHeight w:val="237"/>
        </w:trPr>
        <w:tc>
          <w:tcPr>
            <w:tcW w:w="7140" w:type="dxa"/>
            <w:vAlign w:val="bottom"/>
            <w:tcBorders>
              <w:bottom w:val="single" w:sz="8" w:color="CCEEFF"/>
            </w:tcBorders>
            <w:shd w:val="clear" w:color="auto" w:fill="CCEEFF"/>
          </w:tcPr>
          <w:p>
            <w:pPr>
              <w:ind w:left="2300"/>
              <w:spacing w:after="0"/>
              <w:rPr>
                <w:sz w:val="20"/>
                <w:szCs w:val="20"/>
                <w:color w:val="auto"/>
              </w:rPr>
            </w:pPr>
            <w:r>
              <w:rPr>
                <w:rFonts w:ascii="Times New Roman" w:cs="Times New Roman" w:eastAsia="Times New Roman" w:hAnsi="Times New Roman"/>
                <w:sz w:val="16"/>
                <w:szCs w:val="16"/>
                <w:color w:val="auto"/>
              </w:rPr>
              <w:t>Purchase price</w:t>
            </w: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38,400</w:t>
            </w:r>
          </w:p>
        </w:tc>
        <w:tc>
          <w:tcPr>
            <w:tcW w:w="2300" w:type="dxa"/>
            <w:vAlign w:val="bottom"/>
            <w:tcBorders>
              <w:bottom w:val="single" w:sz="8" w:color="CCEEFF"/>
            </w:tcBorders>
            <w:shd w:val="clear" w:color="auto" w:fill="CCEEFF"/>
          </w:tcPr>
          <w:p>
            <w:pPr>
              <w:spacing w:after="0"/>
              <w:rPr>
                <w:sz w:val="20"/>
                <w:szCs w:val="20"/>
                <w:color w:val="auto"/>
              </w:rPr>
            </w:pPr>
          </w:p>
        </w:tc>
      </w:tr>
      <w:tr>
        <w:trPr>
          <w:trHeight w:val="20"/>
        </w:trPr>
        <w:tc>
          <w:tcPr>
            <w:tcW w:w="71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2300" w:type="dxa"/>
            <w:vAlign w:val="bottom"/>
            <w:tcBorders>
              <w:top w:val="single" w:sz="8" w:color="CCEEFF"/>
            </w:tcBorders>
          </w:tcPr>
          <w:p>
            <w:pPr>
              <w:spacing w:after="0" w:line="20" w:lineRule="exact"/>
              <w:rPr>
                <w:sz w:val="1"/>
                <w:szCs w:val="1"/>
                <w:color w:val="auto"/>
              </w:rPr>
            </w:pPr>
          </w:p>
        </w:tc>
      </w:tr>
      <w:tr>
        <w:trPr>
          <w:trHeight w:val="163"/>
        </w:trPr>
        <w:tc>
          <w:tcPr>
            <w:tcW w:w="7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2300" w:type="dxa"/>
            <w:vAlign w:val="bottom"/>
          </w:tcPr>
          <w:p>
            <w:pPr>
              <w:spacing w:after="0"/>
              <w:rPr>
                <w:sz w:val="14"/>
                <w:szCs w:val="14"/>
                <w:color w:val="auto"/>
              </w:rPr>
            </w:pPr>
          </w:p>
        </w:tc>
      </w:tr>
      <w:tr>
        <w:trPr>
          <w:trHeight w:val="216"/>
        </w:trPr>
        <w:tc>
          <w:tcPr>
            <w:tcW w:w="7140" w:type="dxa"/>
            <w:vAlign w:val="bottom"/>
            <w:shd w:val="clear" w:color="auto" w:fill="CCEEFF"/>
          </w:tcPr>
          <w:p>
            <w:pPr>
              <w:ind w:left="2300"/>
              <w:spacing w:after="0"/>
              <w:rPr>
                <w:sz w:val="20"/>
                <w:szCs w:val="20"/>
                <w:color w:val="auto"/>
              </w:rPr>
            </w:pPr>
            <w:r>
              <w:rPr>
                <w:rFonts w:ascii="Times New Roman" w:cs="Times New Roman" w:eastAsia="Times New Roman" w:hAnsi="Times New Roman"/>
                <w:sz w:val="16"/>
                <w:szCs w:val="16"/>
                <w:b w:val="1"/>
                <w:bCs w:val="1"/>
                <w:color w:val="auto"/>
              </w:rPr>
              <w:t>Non- PCD:</w:t>
            </w:r>
          </w:p>
        </w:tc>
        <w:tc>
          <w:tcPr>
            <w:tcW w:w="28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2300" w:type="dxa"/>
            <w:vAlign w:val="bottom"/>
            <w:shd w:val="clear" w:color="auto" w:fill="CCEEFF"/>
          </w:tcPr>
          <w:p>
            <w:pPr>
              <w:spacing w:after="0"/>
              <w:rPr>
                <w:sz w:val="18"/>
                <w:szCs w:val="18"/>
                <w:color w:val="auto"/>
              </w:rPr>
            </w:pPr>
          </w:p>
        </w:tc>
      </w:tr>
      <w:tr>
        <w:trPr>
          <w:trHeight w:val="213"/>
        </w:trPr>
        <w:tc>
          <w:tcPr>
            <w:tcW w:w="7140" w:type="dxa"/>
            <w:vAlign w:val="bottom"/>
          </w:tcPr>
          <w:p>
            <w:pPr>
              <w:ind w:left="2300"/>
              <w:spacing w:after="0"/>
              <w:rPr>
                <w:sz w:val="20"/>
                <w:szCs w:val="20"/>
                <w:color w:val="auto"/>
              </w:rPr>
            </w:pPr>
            <w:r>
              <w:rPr>
                <w:rFonts w:ascii="Times New Roman" w:cs="Times New Roman" w:eastAsia="Times New Roman" w:hAnsi="Times New Roman"/>
                <w:sz w:val="16"/>
                <w:szCs w:val="16"/>
                <w:color w:val="auto"/>
              </w:rPr>
              <w:t>Fair value</w:t>
            </w: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262,903</w:t>
            </w:r>
          </w:p>
        </w:tc>
        <w:tc>
          <w:tcPr>
            <w:tcW w:w="2300" w:type="dxa"/>
            <w:vAlign w:val="bottom"/>
          </w:tcPr>
          <w:p>
            <w:pPr>
              <w:spacing w:after="0"/>
              <w:rPr>
                <w:sz w:val="18"/>
                <w:szCs w:val="18"/>
                <w:color w:val="auto"/>
              </w:rPr>
            </w:pPr>
          </w:p>
        </w:tc>
      </w:tr>
      <w:tr>
        <w:trPr>
          <w:trHeight w:val="219"/>
        </w:trPr>
        <w:tc>
          <w:tcPr>
            <w:tcW w:w="7140" w:type="dxa"/>
            <w:vAlign w:val="bottom"/>
            <w:shd w:val="clear" w:color="auto" w:fill="CCEEFF"/>
          </w:tcPr>
          <w:p>
            <w:pPr>
              <w:ind w:left="2300"/>
              <w:spacing w:after="0"/>
              <w:rPr>
                <w:sz w:val="20"/>
                <w:szCs w:val="20"/>
                <w:color w:val="auto"/>
              </w:rPr>
            </w:pPr>
            <w:r>
              <w:rPr>
                <w:rFonts w:ascii="Times New Roman" w:cs="Times New Roman" w:eastAsia="Times New Roman" w:hAnsi="Times New Roman"/>
                <w:sz w:val="16"/>
                <w:szCs w:val="16"/>
                <w:color w:val="auto"/>
              </w:rPr>
              <w:t>Gross contractual amounts receivable</w:t>
            </w:r>
          </w:p>
        </w:tc>
        <w:tc>
          <w:tcPr>
            <w:tcW w:w="28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325,973</w:t>
            </w:r>
          </w:p>
        </w:tc>
        <w:tc>
          <w:tcPr>
            <w:tcW w:w="2300" w:type="dxa"/>
            <w:vAlign w:val="bottom"/>
            <w:shd w:val="clear" w:color="auto" w:fill="CCEEFF"/>
          </w:tcPr>
          <w:p>
            <w:pPr>
              <w:spacing w:after="0"/>
              <w:rPr>
                <w:sz w:val="19"/>
                <w:szCs w:val="19"/>
                <w:color w:val="auto"/>
              </w:rPr>
            </w:pPr>
          </w:p>
        </w:tc>
      </w:tr>
      <w:tr>
        <w:trPr>
          <w:trHeight w:val="210"/>
        </w:trPr>
        <w:tc>
          <w:tcPr>
            <w:tcW w:w="7140" w:type="dxa"/>
            <w:vAlign w:val="bottom"/>
          </w:tcPr>
          <w:p>
            <w:pPr>
              <w:ind w:left="2300"/>
              <w:spacing w:after="0"/>
              <w:rPr>
                <w:sz w:val="20"/>
                <w:szCs w:val="20"/>
                <w:color w:val="auto"/>
              </w:rPr>
            </w:pPr>
            <w:r>
              <w:rPr>
                <w:rFonts w:ascii="Times New Roman" w:cs="Times New Roman" w:eastAsia="Times New Roman" w:hAnsi="Times New Roman"/>
                <w:sz w:val="16"/>
                <w:szCs w:val="16"/>
                <w:color w:val="auto"/>
              </w:rPr>
              <w:t>Estimate of contractual cash flows not expected to be collected</w:t>
            </w:r>
          </w:p>
        </w:tc>
        <w:tc>
          <w:tcPr>
            <w:tcW w:w="28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3,158</w:t>
            </w:r>
          </w:p>
        </w:tc>
        <w:tc>
          <w:tcPr>
            <w:tcW w:w="2300" w:type="dxa"/>
            <w:vAlign w:val="bottom"/>
          </w:tcPr>
          <w:p>
            <w:pPr>
              <w:spacing w:after="0"/>
              <w:rPr>
                <w:sz w:val="18"/>
                <w:szCs w:val="18"/>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1" w:name="page12"/>
    <w:bookmarkEnd w:id="11"/>
    <w:p>
      <w:pPr>
        <w:jc w:val="center"/>
        <w:spacing w:after="0"/>
        <w:rPr>
          <w:sz w:val="20"/>
          <w:szCs w:val="20"/>
          <w:color w:val="auto"/>
        </w:rPr>
      </w:pPr>
      <w:r>
        <w:rPr>
          <w:rFonts w:ascii="Times New Roman" w:cs="Times New Roman" w:eastAsia="Times New Roman" w:hAnsi="Times New Roman"/>
          <w:sz w:val="18"/>
          <w:szCs w:val="18"/>
          <w:b w:val="1"/>
          <w:bCs w:val="1"/>
          <w:color w:val="auto"/>
        </w:rPr>
        <w:t>UNITED COMMUNITY BANKS,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(Unaudited)</w:t>
      </w: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 forma information</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following table discloses the impact of the ANB acquisition since the acquisition date. The table also presents certain pro forma information as if ANB had been acquired on January 1, 2024. These results combine the historical results of the acquired entity with United’s consolidated statement of income. Adjustments were made for the estimated impact of certain fair value adjustments and other acquisition-related activity; however pro forma financial results presented are not necessarily indicative of what would have occurred had the acquisition taken place in an earlier year.</w:t>
      </w:r>
    </w:p>
    <w:p>
      <w:pPr>
        <w:spacing w:after="0" w:line="20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For purposes of pro forma net income presented below, merger costs related to the ANB acquisition are included in the three and nine months ended September 30, 2024 and excluded from the respective periods of 2025 to align with the pro forma year of acquisition. Such costs incurred by United and ANB during the three and nine months ended September 30, 2025 totaled $3.02 million and $12.1 million, respectively. The actual results and pro forma information were as follows:</w:t>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420" w:type="dxa"/>
            <w:vAlign w:val="bottom"/>
            <w:gridSpan w:val="5"/>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200" w:type="dxa"/>
            <w:vAlign w:val="bottom"/>
          </w:tcPr>
          <w:p>
            <w:pPr>
              <w:spacing w:after="0"/>
              <w:rPr>
                <w:sz w:val="16"/>
                <w:szCs w:val="16"/>
                <w:color w:val="auto"/>
              </w:rPr>
            </w:pPr>
          </w:p>
        </w:tc>
        <w:tc>
          <w:tcPr>
            <w:tcW w:w="2280" w:type="dxa"/>
            <w:vAlign w:val="bottom"/>
            <w:gridSpan w:val="4"/>
          </w:tcPr>
          <w:p>
            <w:pPr>
              <w:jc w:val="right"/>
              <w:ind w:right="459"/>
              <w:spacing w:after="0"/>
              <w:rPr>
                <w:sz w:val="20"/>
                <w:szCs w:val="20"/>
                <w:color w:val="auto"/>
              </w:rPr>
            </w:pPr>
            <w:r>
              <w:rPr>
                <w:rFonts w:ascii="Times New Roman" w:cs="Times New Roman" w:eastAsia="Times New Roman" w:hAnsi="Times New Roman"/>
                <w:sz w:val="16"/>
                <w:szCs w:val="16"/>
                <w:b w:val="1"/>
                <w:bCs w:val="1"/>
                <w:color w:val="auto"/>
              </w:rPr>
              <w:t>Nine Months Ended</w:t>
            </w:r>
          </w:p>
        </w:tc>
      </w:tr>
      <w:tr>
        <w:trPr>
          <w:trHeight w:val="212"/>
        </w:trPr>
        <w:tc>
          <w:tcPr>
            <w:tcW w:w="6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20" w:type="dxa"/>
            <w:vAlign w:val="bottom"/>
            <w:gridSpan w:val="5"/>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200" w:type="dxa"/>
            <w:vAlign w:val="bottom"/>
          </w:tcPr>
          <w:p>
            <w:pPr>
              <w:spacing w:after="0"/>
              <w:rPr>
                <w:sz w:val="18"/>
                <w:szCs w:val="18"/>
                <w:color w:val="auto"/>
              </w:rPr>
            </w:pPr>
          </w:p>
        </w:tc>
        <w:tc>
          <w:tcPr>
            <w:tcW w:w="2280" w:type="dxa"/>
            <w:vAlign w:val="bottom"/>
            <w:gridSpan w:val="4"/>
          </w:tcPr>
          <w:p>
            <w:pPr>
              <w:jc w:val="right"/>
              <w:ind w:right="659"/>
              <w:spacing w:after="0"/>
              <w:rPr>
                <w:sz w:val="20"/>
                <w:szCs w:val="20"/>
                <w:color w:val="auto"/>
              </w:rPr>
            </w:pPr>
            <w:r>
              <w:rPr>
                <w:rFonts w:ascii="Times New Roman" w:cs="Times New Roman" w:eastAsia="Times New Roman" w:hAnsi="Times New Roman"/>
                <w:sz w:val="16"/>
                <w:szCs w:val="16"/>
                <w:b w:val="1"/>
                <w:bCs w:val="1"/>
                <w:color w:val="auto"/>
              </w:rPr>
              <w:t>September 30,</w:t>
            </w:r>
          </w:p>
        </w:tc>
      </w:tr>
      <w:tr>
        <w:trPr>
          <w:trHeight w:val="210"/>
        </w:trPr>
        <w:tc>
          <w:tcPr>
            <w:tcW w:w="6020" w:type="dxa"/>
            <w:vAlign w:val="bottom"/>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Revenue</w:t>
            </w:r>
          </w:p>
        </w:tc>
        <w:tc>
          <w:tcPr>
            <w:tcW w:w="16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Net Income</w:t>
            </w:r>
          </w:p>
        </w:tc>
        <w:tc>
          <w:tcPr>
            <w:tcW w:w="14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Revenue</w:t>
            </w:r>
          </w:p>
        </w:tc>
        <w:tc>
          <w:tcPr>
            <w:tcW w:w="14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Net Income</w:t>
            </w:r>
          </w:p>
        </w:tc>
      </w:tr>
      <w:tr>
        <w:trPr>
          <w:trHeight w:val="210"/>
        </w:trPr>
        <w:tc>
          <w:tcPr>
            <w:tcW w:w="60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2025</w:t>
            </w:r>
          </w:p>
        </w:tc>
        <w:tc>
          <w:tcPr>
            <w:tcW w:w="12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CCEEFF"/>
            </w:tcBorders>
          </w:tcPr>
          <w:p>
            <w:pPr>
              <w:spacing w:after="0"/>
              <w:rPr>
                <w:sz w:val="18"/>
                <w:szCs w:val="18"/>
                <w:color w:val="auto"/>
              </w:rPr>
            </w:pPr>
          </w:p>
        </w:tc>
        <w:tc>
          <w:tcPr>
            <w:tcW w:w="980" w:type="dxa"/>
            <w:vAlign w:val="bottom"/>
            <w:tcBorders>
              <w:top w:val="single" w:sz="8" w:color="auto"/>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CCEEFF"/>
            </w:tcBorders>
          </w:tcPr>
          <w:p>
            <w:pPr>
              <w:spacing w:after="0"/>
              <w:rPr>
                <w:sz w:val="18"/>
                <w:szCs w:val="18"/>
                <w:color w:val="auto"/>
              </w:rPr>
            </w:pPr>
          </w:p>
        </w:tc>
        <w:tc>
          <w:tcPr>
            <w:tcW w:w="1020" w:type="dxa"/>
            <w:vAlign w:val="bottom"/>
            <w:tcBorders>
              <w:top w:val="single" w:sz="8" w:color="auto"/>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CCEEFF"/>
            </w:tcBorders>
          </w:tcPr>
          <w:p>
            <w:pPr>
              <w:spacing w:after="0"/>
              <w:rPr>
                <w:sz w:val="18"/>
                <w:szCs w:val="18"/>
                <w:color w:val="auto"/>
              </w:rPr>
            </w:pPr>
          </w:p>
        </w:tc>
        <w:tc>
          <w:tcPr>
            <w:tcW w:w="980" w:type="dxa"/>
            <w:vAlign w:val="bottom"/>
            <w:tcBorders>
              <w:top w:val="single" w:sz="8" w:color="auto"/>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CCEEFF"/>
            </w:tcBorders>
          </w:tcPr>
          <w:p>
            <w:pPr>
              <w:spacing w:after="0"/>
              <w:rPr>
                <w:sz w:val="18"/>
                <w:szCs w:val="18"/>
                <w:color w:val="auto"/>
              </w:rPr>
            </w:pPr>
          </w:p>
        </w:tc>
        <w:tc>
          <w:tcPr>
            <w:tcW w:w="1040" w:type="dxa"/>
            <w:vAlign w:val="bottom"/>
            <w:tcBorders>
              <w:top w:val="single" w:sz="8" w:color="auto"/>
              <w:bottom w:val="single" w:sz="8" w:color="CCEEFF"/>
            </w:tcBorders>
          </w:tcPr>
          <w:p>
            <w:pPr>
              <w:spacing w:after="0"/>
              <w:rPr>
                <w:sz w:val="18"/>
                <w:szCs w:val="18"/>
                <w:color w:val="auto"/>
              </w:rPr>
            </w:pPr>
          </w:p>
        </w:tc>
      </w:tr>
      <w:tr>
        <w:trPr>
          <w:trHeight w:val="213"/>
        </w:trPr>
        <w:tc>
          <w:tcPr>
            <w:tcW w:w="6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Actual ANB results included in statement of income since acquisition date</w:t>
            </w:r>
          </w:p>
        </w:tc>
        <w:tc>
          <w:tcPr>
            <w:tcW w:w="3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4,365</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2,208</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6,655</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1,182</w:t>
            </w:r>
          </w:p>
        </w:tc>
      </w:tr>
      <w:tr>
        <w:trPr>
          <w:trHeight w:val="213"/>
        </w:trPr>
        <w:tc>
          <w:tcPr>
            <w:tcW w:w="6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Supplemental consolidated pro forma as if ANB had been acquired January 1, 2024</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275,888</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93,064</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789,100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247,582</w:t>
            </w:r>
          </w:p>
        </w:tc>
      </w:tr>
      <w:tr>
        <w:trPr>
          <w:trHeight w:val="273"/>
        </w:trPr>
        <w:tc>
          <w:tcPr>
            <w:tcW w:w="60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r>
      <w:tr>
        <w:trPr>
          <w:trHeight w:val="214"/>
        </w:trPr>
        <w:tc>
          <w:tcPr>
            <w:tcW w:w="60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2024</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98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102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98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1040" w:type="dxa"/>
            <w:vAlign w:val="bottom"/>
            <w:tcBorders>
              <w:bottom w:val="single" w:sz="8" w:color="CCEEFF"/>
            </w:tcBorders>
          </w:tcPr>
          <w:p>
            <w:pPr>
              <w:spacing w:after="0"/>
              <w:rPr>
                <w:sz w:val="18"/>
                <w:szCs w:val="18"/>
                <w:color w:val="auto"/>
              </w:rPr>
            </w:pPr>
          </w:p>
        </w:tc>
      </w:tr>
      <w:tr>
        <w:trPr>
          <w:trHeight w:val="211"/>
        </w:trPr>
        <w:tc>
          <w:tcPr>
            <w:tcW w:w="6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Supplemental consolidated pro forma as if ANB had been acquired January 1, 2024</w:t>
            </w:r>
          </w:p>
        </w:tc>
        <w:tc>
          <w:tcPr>
            <w:tcW w:w="3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221,466</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46,492</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713,301</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169,283</w:t>
            </w:r>
          </w:p>
        </w:tc>
      </w:tr>
    </w:tbl>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 Investment Securities</w:t>
      </w:r>
    </w:p>
    <w:p>
      <w:pPr>
        <w:spacing w:after="0" w:line="3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amortized cost basis, unrealized gains and losses and fair value of HTM debt securities as of the dates indicated are as follows.</w:t>
      </w:r>
    </w:p>
    <w:p>
      <w:pPr>
        <w:spacing w:after="0" w:line="8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260" w:type="dxa"/>
            <w:vAlign w:val="bottom"/>
            <w:vMerge w:val="restart"/>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280" w:type="dxa"/>
            <w:vAlign w:val="bottom"/>
          </w:tcPr>
          <w:p>
            <w:pPr>
              <w:spacing w:after="0"/>
              <w:rPr>
                <w:sz w:val="16"/>
                <w:szCs w:val="16"/>
                <w:color w:val="auto"/>
              </w:rPr>
            </w:pPr>
          </w:p>
        </w:tc>
        <w:tc>
          <w:tcPr>
            <w:tcW w:w="1480" w:type="dxa"/>
            <w:vAlign w:val="bottom"/>
            <w:gridSpan w:val="2"/>
          </w:tcPr>
          <w:p>
            <w:pPr>
              <w:jc w:val="center"/>
              <w:ind w:right="380"/>
              <w:spacing w:after="0"/>
              <w:rPr>
                <w:sz w:val="20"/>
                <w:szCs w:val="20"/>
                <w:color w:val="auto"/>
              </w:rPr>
            </w:pPr>
            <w:r>
              <w:rPr>
                <w:rFonts w:ascii="Times New Roman" w:cs="Times New Roman" w:eastAsia="Times New Roman" w:hAnsi="Times New Roman"/>
                <w:sz w:val="16"/>
                <w:szCs w:val="16"/>
                <w:b w:val="1"/>
                <w:bCs w:val="1"/>
                <w:color w:val="auto"/>
              </w:rPr>
              <w:t>Amortized</w:t>
            </w:r>
          </w:p>
        </w:tc>
        <w:tc>
          <w:tcPr>
            <w:tcW w:w="160" w:type="dxa"/>
            <w:vAlign w:val="bottom"/>
          </w:tcPr>
          <w:p>
            <w:pPr>
              <w:spacing w:after="0"/>
              <w:rPr>
                <w:sz w:val="16"/>
                <w:szCs w:val="16"/>
                <w:color w:val="auto"/>
              </w:rPr>
            </w:pPr>
          </w:p>
        </w:tc>
        <w:tc>
          <w:tcPr>
            <w:tcW w:w="162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rPr>
              <w:t>Gross Unrealized</w:t>
            </w:r>
          </w:p>
        </w:tc>
        <w:tc>
          <w:tcPr>
            <w:tcW w:w="160" w:type="dxa"/>
            <w:vAlign w:val="bottom"/>
          </w:tcPr>
          <w:p>
            <w:pPr>
              <w:spacing w:after="0"/>
              <w:rPr>
                <w:sz w:val="16"/>
                <w:szCs w:val="16"/>
                <w:color w:val="auto"/>
              </w:rPr>
            </w:pPr>
          </w:p>
        </w:tc>
        <w:tc>
          <w:tcPr>
            <w:tcW w:w="162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rPr>
              <w:t>Gross Unrealized</w:t>
            </w:r>
          </w:p>
        </w:tc>
        <w:tc>
          <w:tcPr>
            <w:tcW w:w="360" w:type="dxa"/>
            <w:vAlign w:val="bottom"/>
          </w:tcPr>
          <w:p>
            <w:pPr>
              <w:spacing w:after="0"/>
              <w:rPr>
                <w:sz w:val="16"/>
                <w:szCs w:val="16"/>
                <w:color w:val="auto"/>
              </w:rPr>
            </w:pPr>
          </w:p>
        </w:tc>
        <w:tc>
          <w:tcPr>
            <w:tcW w:w="1300" w:type="dxa"/>
            <w:vAlign w:val="bottom"/>
          </w:tcPr>
          <w:p>
            <w:pPr>
              <w:jc w:val="right"/>
              <w:ind w:right="599"/>
              <w:spacing w:after="0"/>
              <w:rPr>
                <w:sz w:val="20"/>
                <w:szCs w:val="20"/>
                <w:color w:val="auto"/>
              </w:rPr>
            </w:pPr>
            <w:r>
              <w:rPr>
                <w:rFonts w:ascii="Times New Roman" w:cs="Times New Roman" w:eastAsia="Times New Roman" w:hAnsi="Times New Roman"/>
                <w:sz w:val="16"/>
                <w:szCs w:val="16"/>
                <w:b w:val="1"/>
                <w:bCs w:val="1"/>
                <w:color w:val="auto"/>
              </w:rPr>
              <w:t>Fair</w:t>
            </w:r>
          </w:p>
        </w:tc>
        <w:tc>
          <w:tcPr>
            <w:tcW w:w="0" w:type="dxa"/>
            <w:vAlign w:val="bottom"/>
          </w:tcPr>
          <w:p>
            <w:pPr>
              <w:spacing w:after="0"/>
              <w:rPr>
                <w:sz w:val="1"/>
                <w:szCs w:val="1"/>
                <w:color w:val="auto"/>
              </w:rPr>
            </w:pPr>
          </w:p>
        </w:tc>
      </w:tr>
      <w:tr>
        <w:trPr>
          <w:trHeight w:val="214"/>
        </w:trPr>
        <w:tc>
          <w:tcPr>
            <w:tcW w:w="4260" w:type="dxa"/>
            <w:vAlign w:val="bottom"/>
            <w:vMerge w:val="continue"/>
          </w:tcPr>
          <w:p>
            <w:pPr>
              <w:spacing w:after="0"/>
              <w:rPr>
                <w:sz w:val="18"/>
                <w:szCs w:val="18"/>
                <w:color w:val="auto"/>
              </w:rPr>
            </w:pPr>
          </w:p>
        </w:tc>
        <w:tc>
          <w:tcPr>
            <w:tcW w:w="280" w:type="dxa"/>
            <w:vAlign w:val="bottom"/>
          </w:tcPr>
          <w:p>
            <w:pPr>
              <w:spacing w:after="0"/>
              <w:rPr>
                <w:sz w:val="18"/>
                <w:szCs w:val="18"/>
                <w:color w:val="auto"/>
              </w:rPr>
            </w:pPr>
          </w:p>
        </w:tc>
        <w:tc>
          <w:tcPr>
            <w:tcW w:w="1480" w:type="dxa"/>
            <w:vAlign w:val="bottom"/>
            <w:gridSpan w:val="2"/>
          </w:tcPr>
          <w:p>
            <w:pPr>
              <w:jc w:val="center"/>
              <w:ind w:right="380"/>
              <w:spacing w:after="0"/>
              <w:rPr>
                <w:sz w:val="20"/>
                <w:szCs w:val="20"/>
                <w:color w:val="auto"/>
              </w:rPr>
            </w:pPr>
            <w:r>
              <w:rPr>
                <w:rFonts w:ascii="Times New Roman" w:cs="Times New Roman" w:eastAsia="Times New Roman" w:hAnsi="Times New Roman"/>
                <w:sz w:val="16"/>
                <w:szCs w:val="16"/>
                <w:b w:val="1"/>
                <w:bCs w:val="1"/>
                <w:color w:val="auto"/>
                <w:w w:val="96"/>
              </w:rPr>
              <w:t>Cost</w:t>
            </w:r>
          </w:p>
        </w:tc>
        <w:tc>
          <w:tcPr>
            <w:tcW w:w="160" w:type="dxa"/>
            <w:vAlign w:val="bottom"/>
          </w:tcPr>
          <w:p>
            <w:pPr>
              <w:spacing w:after="0"/>
              <w:rPr>
                <w:sz w:val="18"/>
                <w:szCs w:val="18"/>
                <w:color w:val="auto"/>
              </w:rPr>
            </w:pPr>
          </w:p>
        </w:tc>
        <w:tc>
          <w:tcPr>
            <w:tcW w:w="162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9"/>
              </w:rPr>
              <w:t>Gains</w:t>
            </w:r>
          </w:p>
        </w:tc>
        <w:tc>
          <w:tcPr>
            <w:tcW w:w="160" w:type="dxa"/>
            <w:vAlign w:val="bottom"/>
          </w:tcPr>
          <w:p>
            <w:pPr>
              <w:spacing w:after="0"/>
              <w:rPr>
                <w:sz w:val="18"/>
                <w:szCs w:val="18"/>
                <w:color w:val="auto"/>
              </w:rPr>
            </w:pPr>
          </w:p>
        </w:tc>
        <w:tc>
          <w:tcPr>
            <w:tcW w:w="162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Losses</w:t>
            </w:r>
          </w:p>
        </w:tc>
        <w:tc>
          <w:tcPr>
            <w:tcW w:w="360" w:type="dxa"/>
            <w:vAlign w:val="bottom"/>
          </w:tcPr>
          <w:p>
            <w:pPr>
              <w:spacing w:after="0"/>
              <w:rPr>
                <w:sz w:val="18"/>
                <w:szCs w:val="18"/>
                <w:color w:val="auto"/>
              </w:rPr>
            </w:pPr>
          </w:p>
        </w:tc>
        <w:tc>
          <w:tcPr>
            <w:tcW w:w="1300" w:type="dxa"/>
            <w:vAlign w:val="bottom"/>
          </w:tcPr>
          <w:p>
            <w:pPr>
              <w:jc w:val="right"/>
              <w:ind w:right="559"/>
              <w:spacing w:after="0"/>
              <w:rPr>
                <w:sz w:val="20"/>
                <w:szCs w:val="20"/>
                <w:color w:val="auto"/>
              </w:rPr>
            </w:pPr>
            <w:r>
              <w:rPr>
                <w:rFonts w:ascii="Times New Roman" w:cs="Times New Roman" w:eastAsia="Times New Roman" w:hAnsi="Times New Roman"/>
                <w:sz w:val="16"/>
                <w:szCs w:val="16"/>
                <w:b w:val="1"/>
                <w:bCs w:val="1"/>
                <w:color w:val="auto"/>
              </w:rPr>
              <w:t>Value</w:t>
            </w:r>
          </w:p>
        </w:tc>
        <w:tc>
          <w:tcPr>
            <w:tcW w:w="0" w:type="dxa"/>
            <w:vAlign w:val="bottom"/>
          </w:tcPr>
          <w:p>
            <w:pPr>
              <w:spacing w:after="0"/>
              <w:rPr>
                <w:sz w:val="1"/>
                <w:szCs w:val="1"/>
                <w:color w:val="auto"/>
              </w:rPr>
            </w:pPr>
          </w:p>
        </w:tc>
      </w:tr>
      <w:tr>
        <w:trPr>
          <w:trHeight w:val="211"/>
        </w:trPr>
        <w:tc>
          <w:tcPr>
            <w:tcW w:w="4260" w:type="dxa"/>
            <w:vAlign w:val="bottom"/>
            <w:tcBorders>
              <w:top w:val="single" w:sz="8" w:color="CCEEFF"/>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As of September 30, 2025</w:t>
            </w:r>
          </w:p>
        </w:tc>
        <w:tc>
          <w:tcPr>
            <w:tcW w:w="280" w:type="dxa"/>
            <w:vAlign w:val="bottom"/>
            <w:tcBorders>
              <w:top w:val="single" w:sz="8" w:color="auto"/>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5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5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42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U.S. Treasuries</w:t>
            </w: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19,919</w:t>
            </w:r>
          </w:p>
        </w:tc>
        <w:tc>
          <w:tcPr>
            <w:tcW w:w="10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1,039</w:t>
            </w:r>
          </w:p>
        </w:tc>
        <w:tc>
          <w:tcPr>
            <w:tcW w:w="100" w:type="dxa"/>
            <w:vAlign w:val="bottom"/>
          </w:tcPr>
          <w:p>
            <w:pPr>
              <w:spacing w:after="0"/>
              <w:rPr>
                <w:sz w:val="17"/>
                <w:szCs w:val="17"/>
                <w:color w:val="auto"/>
              </w:rPr>
            </w:pPr>
          </w:p>
        </w:tc>
        <w:tc>
          <w:tcPr>
            <w:tcW w:w="36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18,880</w:t>
            </w:r>
          </w:p>
        </w:tc>
        <w:tc>
          <w:tcPr>
            <w:tcW w:w="0" w:type="dxa"/>
            <w:vAlign w:val="bottom"/>
          </w:tcPr>
          <w:p>
            <w:pPr>
              <w:spacing w:after="0"/>
              <w:rPr>
                <w:sz w:val="1"/>
                <w:szCs w:val="1"/>
                <w:color w:val="auto"/>
              </w:rPr>
            </w:pPr>
          </w:p>
        </w:tc>
      </w:tr>
      <w:tr>
        <w:trPr>
          <w:trHeight w:val="219"/>
        </w:trPr>
        <w:tc>
          <w:tcPr>
            <w:tcW w:w="42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U.S. Government Agencies &amp; GSEs</w:t>
            </w:r>
          </w:p>
        </w:tc>
        <w:tc>
          <w:tcPr>
            <w:tcW w:w="2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98,783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11,713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87,070</w:t>
            </w:r>
          </w:p>
        </w:tc>
        <w:tc>
          <w:tcPr>
            <w:tcW w:w="0" w:type="dxa"/>
            <w:vAlign w:val="bottom"/>
          </w:tcPr>
          <w:p>
            <w:pPr>
              <w:spacing w:after="0"/>
              <w:rPr>
                <w:sz w:val="1"/>
                <w:szCs w:val="1"/>
                <w:color w:val="auto"/>
              </w:rPr>
            </w:pPr>
          </w:p>
        </w:tc>
      </w:tr>
      <w:tr>
        <w:trPr>
          <w:trHeight w:val="213"/>
        </w:trPr>
        <w:tc>
          <w:tcPr>
            <w:tcW w:w="42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State and political subdivisions</w:t>
            </w:r>
          </w:p>
        </w:tc>
        <w:tc>
          <w:tcPr>
            <w:tcW w:w="28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285,273</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46,327</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238,988</w:t>
            </w:r>
          </w:p>
        </w:tc>
        <w:tc>
          <w:tcPr>
            <w:tcW w:w="0" w:type="dxa"/>
            <w:vAlign w:val="bottom"/>
          </w:tcPr>
          <w:p>
            <w:pPr>
              <w:spacing w:after="0"/>
              <w:rPr>
                <w:sz w:val="1"/>
                <w:szCs w:val="1"/>
                <w:color w:val="auto"/>
              </w:rPr>
            </w:pPr>
          </w:p>
        </w:tc>
      </w:tr>
      <w:tr>
        <w:trPr>
          <w:trHeight w:val="219"/>
        </w:trPr>
        <w:tc>
          <w:tcPr>
            <w:tcW w:w="42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Residential MBS, Agency &amp; GSEs</w:t>
            </w:r>
          </w:p>
        </w:tc>
        <w:tc>
          <w:tcPr>
            <w:tcW w:w="2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1,206,009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172,538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1,033,487</w:t>
            </w:r>
          </w:p>
        </w:tc>
        <w:tc>
          <w:tcPr>
            <w:tcW w:w="0" w:type="dxa"/>
            <w:vAlign w:val="bottom"/>
          </w:tcPr>
          <w:p>
            <w:pPr>
              <w:spacing w:after="0"/>
              <w:rPr>
                <w:sz w:val="1"/>
                <w:szCs w:val="1"/>
                <w:color w:val="auto"/>
              </w:rPr>
            </w:pPr>
          </w:p>
        </w:tc>
      </w:tr>
      <w:tr>
        <w:trPr>
          <w:trHeight w:val="213"/>
        </w:trPr>
        <w:tc>
          <w:tcPr>
            <w:tcW w:w="42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Commercial MBS, Agency &amp; GSEs</w:t>
            </w:r>
          </w:p>
        </w:tc>
        <w:tc>
          <w:tcPr>
            <w:tcW w:w="28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649,115</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103,548</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545,567</w:t>
            </w:r>
          </w:p>
        </w:tc>
        <w:tc>
          <w:tcPr>
            <w:tcW w:w="0" w:type="dxa"/>
            <w:vAlign w:val="bottom"/>
          </w:tcPr>
          <w:p>
            <w:pPr>
              <w:spacing w:after="0"/>
              <w:rPr>
                <w:sz w:val="1"/>
                <w:szCs w:val="1"/>
                <w:color w:val="auto"/>
              </w:rPr>
            </w:pPr>
          </w:p>
        </w:tc>
      </w:tr>
      <w:tr>
        <w:trPr>
          <w:trHeight w:val="216"/>
        </w:trPr>
        <w:tc>
          <w:tcPr>
            <w:tcW w:w="42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Supranational entities</w:t>
            </w:r>
          </w:p>
        </w:tc>
        <w:tc>
          <w:tcPr>
            <w:tcW w:w="28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15,000</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1,939</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13,061</w:t>
            </w:r>
          </w:p>
        </w:tc>
        <w:tc>
          <w:tcPr>
            <w:tcW w:w="0" w:type="dxa"/>
            <w:vAlign w:val="bottom"/>
          </w:tcPr>
          <w:p>
            <w:pPr>
              <w:spacing w:after="0"/>
              <w:rPr>
                <w:sz w:val="1"/>
                <w:szCs w:val="1"/>
                <w:color w:val="auto"/>
              </w:rPr>
            </w:pPr>
          </w:p>
        </w:tc>
      </w:tr>
      <w:tr>
        <w:trPr>
          <w:trHeight w:val="212"/>
        </w:trPr>
        <w:tc>
          <w:tcPr>
            <w:tcW w:w="42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Total</w:t>
            </w:r>
          </w:p>
        </w:tc>
        <w:tc>
          <w:tcPr>
            <w:tcW w:w="280" w:type="dxa"/>
            <w:vAlign w:val="bottom"/>
            <w:tcBorders>
              <w:top w:val="single" w:sz="8" w:color="auto"/>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2,274,099</w:t>
            </w:r>
          </w:p>
        </w:tc>
        <w:tc>
          <w:tcPr>
            <w:tcW w:w="10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58</w:t>
            </w:r>
          </w:p>
        </w:tc>
        <w:tc>
          <w:tcPr>
            <w:tcW w:w="12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337,104</w:t>
            </w:r>
          </w:p>
        </w:tc>
        <w:tc>
          <w:tcPr>
            <w:tcW w:w="100" w:type="dxa"/>
            <w:vAlign w:val="bottom"/>
          </w:tcPr>
          <w:p>
            <w:pPr>
              <w:spacing w:after="0"/>
              <w:rPr>
                <w:sz w:val="18"/>
                <w:szCs w:val="18"/>
                <w:color w:val="auto"/>
              </w:rPr>
            </w:pPr>
          </w:p>
        </w:tc>
        <w:tc>
          <w:tcPr>
            <w:tcW w:w="360" w:type="dxa"/>
            <w:vAlign w:val="bottom"/>
            <w:tcBorders>
              <w:top w:val="single" w:sz="8" w:color="auto"/>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1,937,053</w:t>
            </w:r>
          </w:p>
        </w:tc>
        <w:tc>
          <w:tcPr>
            <w:tcW w:w="0" w:type="dxa"/>
            <w:vAlign w:val="bottom"/>
          </w:tcPr>
          <w:p>
            <w:pPr>
              <w:spacing w:after="0"/>
              <w:rPr>
                <w:sz w:val="1"/>
                <w:szCs w:val="1"/>
                <w:color w:val="auto"/>
              </w:rPr>
            </w:pPr>
          </w:p>
        </w:tc>
      </w:tr>
      <w:tr>
        <w:trPr>
          <w:trHeight w:val="20"/>
        </w:trPr>
        <w:tc>
          <w:tcPr>
            <w:tcW w:w="426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426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3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5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5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4"/>
        </w:trPr>
        <w:tc>
          <w:tcPr>
            <w:tcW w:w="42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As of December 31, 2024</w:t>
            </w:r>
          </w:p>
        </w:tc>
        <w:tc>
          <w:tcPr>
            <w:tcW w:w="280" w:type="dxa"/>
            <w:vAlign w:val="bottom"/>
            <w:tcBorders>
              <w:bottom w:val="single" w:sz="8" w:color="CCEEFF"/>
            </w:tcBorders>
          </w:tcPr>
          <w:p>
            <w:pPr>
              <w:spacing w:after="0"/>
              <w:rPr>
                <w:sz w:val="18"/>
                <w:szCs w:val="18"/>
                <w:color w:val="auto"/>
              </w:rPr>
            </w:pPr>
          </w:p>
        </w:tc>
        <w:tc>
          <w:tcPr>
            <w:tcW w:w="138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15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15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CCEEFF"/>
            </w:tcBorders>
          </w:tcPr>
          <w:p>
            <w:pPr>
              <w:spacing w:after="0"/>
              <w:rPr>
                <w:sz w:val="18"/>
                <w:szCs w:val="18"/>
                <w:color w:val="auto"/>
              </w:rPr>
            </w:pPr>
          </w:p>
        </w:tc>
        <w:tc>
          <w:tcPr>
            <w:tcW w:w="13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42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U.S. Treasuries</w:t>
            </w: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19,896</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1,734</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18,162</w:t>
            </w:r>
          </w:p>
        </w:tc>
        <w:tc>
          <w:tcPr>
            <w:tcW w:w="0" w:type="dxa"/>
            <w:vAlign w:val="bottom"/>
          </w:tcPr>
          <w:p>
            <w:pPr>
              <w:spacing w:after="0"/>
              <w:rPr>
                <w:sz w:val="1"/>
                <w:szCs w:val="1"/>
                <w:color w:val="auto"/>
              </w:rPr>
            </w:pPr>
          </w:p>
        </w:tc>
      </w:tr>
      <w:tr>
        <w:trPr>
          <w:trHeight w:val="213"/>
        </w:trPr>
        <w:tc>
          <w:tcPr>
            <w:tcW w:w="42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U.S. Government Agencies &amp; GSEs</w:t>
            </w:r>
          </w:p>
        </w:tc>
        <w:tc>
          <w:tcPr>
            <w:tcW w:w="28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99,154</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16,291</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82,863</w:t>
            </w:r>
          </w:p>
        </w:tc>
        <w:tc>
          <w:tcPr>
            <w:tcW w:w="0" w:type="dxa"/>
            <w:vAlign w:val="bottom"/>
          </w:tcPr>
          <w:p>
            <w:pPr>
              <w:spacing w:after="0"/>
              <w:rPr>
                <w:sz w:val="1"/>
                <w:szCs w:val="1"/>
                <w:color w:val="auto"/>
              </w:rPr>
            </w:pPr>
          </w:p>
        </w:tc>
      </w:tr>
      <w:tr>
        <w:trPr>
          <w:trHeight w:val="219"/>
        </w:trPr>
        <w:tc>
          <w:tcPr>
            <w:tcW w:w="42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State and political subdivisions</w:t>
            </w:r>
          </w:p>
        </w:tc>
        <w:tc>
          <w:tcPr>
            <w:tcW w:w="2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289,492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55,206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234,296</w:t>
            </w:r>
          </w:p>
        </w:tc>
        <w:tc>
          <w:tcPr>
            <w:tcW w:w="0" w:type="dxa"/>
            <w:vAlign w:val="bottom"/>
          </w:tcPr>
          <w:p>
            <w:pPr>
              <w:spacing w:after="0"/>
              <w:rPr>
                <w:sz w:val="1"/>
                <w:szCs w:val="1"/>
                <w:color w:val="auto"/>
              </w:rPr>
            </w:pPr>
          </w:p>
        </w:tc>
      </w:tr>
      <w:tr>
        <w:trPr>
          <w:trHeight w:val="213"/>
        </w:trPr>
        <w:tc>
          <w:tcPr>
            <w:tcW w:w="42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Residential MBS, Agency &amp; GSEs</w:t>
            </w:r>
          </w:p>
        </w:tc>
        <w:tc>
          <w:tcPr>
            <w:tcW w:w="28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1,282,174</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223,671</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1,058,504</w:t>
            </w:r>
          </w:p>
        </w:tc>
        <w:tc>
          <w:tcPr>
            <w:tcW w:w="0" w:type="dxa"/>
            <w:vAlign w:val="bottom"/>
          </w:tcPr>
          <w:p>
            <w:pPr>
              <w:spacing w:after="0"/>
              <w:rPr>
                <w:sz w:val="1"/>
                <w:szCs w:val="1"/>
                <w:color w:val="auto"/>
              </w:rPr>
            </w:pPr>
          </w:p>
        </w:tc>
      </w:tr>
      <w:tr>
        <w:trPr>
          <w:trHeight w:val="219"/>
        </w:trPr>
        <w:tc>
          <w:tcPr>
            <w:tcW w:w="42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Commercial MBS, Agency &amp; GSEs</w:t>
            </w:r>
          </w:p>
        </w:tc>
        <w:tc>
          <w:tcPr>
            <w:tcW w:w="2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662,391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124,409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537,982</w:t>
            </w:r>
          </w:p>
        </w:tc>
        <w:tc>
          <w:tcPr>
            <w:tcW w:w="0" w:type="dxa"/>
            <w:vAlign w:val="bottom"/>
          </w:tcPr>
          <w:p>
            <w:pPr>
              <w:spacing w:after="0"/>
              <w:rPr>
                <w:sz w:val="1"/>
                <w:szCs w:val="1"/>
                <w:color w:val="auto"/>
              </w:rPr>
            </w:pPr>
          </w:p>
        </w:tc>
      </w:tr>
      <w:tr>
        <w:trPr>
          <w:trHeight w:val="213"/>
        </w:trPr>
        <w:tc>
          <w:tcPr>
            <w:tcW w:w="42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Supranational entities</w:t>
            </w:r>
          </w:p>
        </w:tc>
        <w:tc>
          <w:tcPr>
            <w:tcW w:w="28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15,000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2,681</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12,319</w:t>
            </w:r>
          </w:p>
        </w:tc>
        <w:tc>
          <w:tcPr>
            <w:tcW w:w="0" w:type="dxa"/>
            <w:vAlign w:val="bottom"/>
          </w:tcPr>
          <w:p>
            <w:pPr>
              <w:spacing w:after="0"/>
              <w:rPr>
                <w:sz w:val="1"/>
                <w:szCs w:val="1"/>
                <w:color w:val="auto"/>
              </w:rPr>
            </w:pPr>
          </w:p>
        </w:tc>
      </w:tr>
      <w:tr>
        <w:trPr>
          <w:trHeight w:val="237"/>
        </w:trPr>
        <w:tc>
          <w:tcPr>
            <w:tcW w:w="4260" w:type="dxa"/>
            <w:vAlign w:val="bottom"/>
            <w:tcBorders>
              <w:top w:val="single" w:sz="8" w:color="CCEEFF"/>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Total</w:t>
            </w:r>
          </w:p>
        </w:tc>
        <w:tc>
          <w:tcPr>
            <w:tcW w:w="280" w:type="dxa"/>
            <w:vAlign w:val="bottom"/>
            <w:tcBorders>
              <w:top w:val="single" w:sz="8" w:color="auto"/>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2,368,107</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423,992</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60" w:type="dxa"/>
            <w:vAlign w:val="bottom"/>
            <w:tcBorders>
              <w:top w:val="single" w:sz="8" w:color="auto"/>
              <w:bottom w:val="single" w:sz="8" w:color="auto"/>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1,944,126</w:t>
            </w:r>
          </w:p>
        </w:tc>
        <w:tc>
          <w:tcPr>
            <w:tcW w:w="0" w:type="dxa"/>
            <w:vAlign w:val="bottom"/>
          </w:tcPr>
          <w:p>
            <w:pPr>
              <w:spacing w:after="0"/>
              <w:rPr>
                <w:sz w:val="1"/>
                <w:szCs w:val="1"/>
                <w:color w:val="auto"/>
              </w:rPr>
            </w:pPr>
          </w:p>
        </w:tc>
      </w:tr>
      <w:tr>
        <w:trPr>
          <w:trHeight w:val="20"/>
        </w:trPr>
        <w:tc>
          <w:tcPr>
            <w:tcW w:w="42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2" w:name="page13"/>
    <w:bookmarkEnd w:id="12"/>
    <w:p>
      <w:pPr>
        <w:jc w:val="center"/>
        <w:spacing w:after="0"/>
        <w:rPr>
          <w:sz w:val="20"/>
          <w:szCs w:val="20"/>
          <w:color w:val="auto"/>
        </w:rPr>
      </w:pPr>
      <w:r>
        <w:rPr>
          <w:rFonts w:ascii="Times New Roman" w:cs="Times New Roman" w:eastAsia="Times New Roman" w:hAnsi="Times New Roman"/>
          <w:sz w:val="18"/>
          <w:szCs w:val="18"/>
          <w:b w:val="1"/>
          <w:bCs w:val="1"/>
          <w:color w:val="auto"/>
        </w:rPr>
        <w:t>UNITED COMMUNITY BANKS,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(Unaudited)</w:t>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amortized cost basis, unrealized gains and losses, and fair value of AFS debt securities as of the dates indicated are presented below.</w:t>
      </w:r>
    </w:p>
    <w:p>
      <w:pPr>
        <w:spacing w:after="0" w:line="8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260" w:type="dxa"/>
            <w:vAlign w:val="bottom"/>
            <w:vMerge w:val="restart"/>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280" w:type="dxa"/>
            <w:vAlign w:val="bottom"/>
          </w:tcPr>
          <w:p>
            <w:pPr>
              <w:spacing w:after="0"/>
              <w:rPr>
                <w:sz w:val="16"/>
                <w:szCs w:val="16"/>
                <w:color w:val="auto"/>
              </w:rPr>
            </w:pPr>
          </w:p>
        </w:tc>
        <w:tc>
          <w:tcPr>
            <w:tcW w:w="1480" w:type="dxa"/>
            <w:vAlign w:val="bottom"/>
            <w:gridSpan w:val="2"/>
          </w:tcPr>
          <w:p>
            <w:pPr>
              <w:jc w:val="center"/>
              <w:ind w:right="380"/>
              <w:spacing w:after="0"/>
              <w:rPr>
                <w:sz w:val="20"/>
                <w:szCs w:val="20"/>
                <w:color w:val="auto"/>
              </w:rPr>
            </w:pPr>
            <w:r>
              <w:rPr>
                <w:rFonts w:ascii="Times New Roman" w:cs="Times New Roman" w:eastAsia="Times New Roman" w:hAnsi="Times New Roman"/>
                <w:sz w:val="16"/>
                <w:szCs w:val="16"/>
                <w:b w:val="1"/>
                <w:bCs w:val="1"/>
                <w:color w:val="auto"/>
              </w:rPr>
              <w:t>Amortized</w:t>
            </w:r>
          </w:p>
        </w:tc>
        <w:tc>
          <w:tcPr>
            <w:tcW w:w="180" w:type="dxa"/>
            <w:vAlign w:val="bottom"/>
          </w:tcPr>
          <w:p>
            <w:pPr>
              <w:spacing w:after="0"/>
              <w:rPr>
                <w:sz w:val="16"/>
                <w:szCs w:val="16"/>
                <w:color w:val="auto"/>
              </w:rPr>
            </w:pPr>
          </w:p>
        </w:tc>
        <w:tc>
          <w:tcPr>
            <w:tcW w:w="160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Gross Unrealized</w:t>
            </w:r>
          </w:p>
        </w:tc>
        <w:tc>
          <w:tcPr>
            <w:tcW w:w="160" w:type="dxa"/>
            <w:vAlign w:val="bottom"/>
          </w:tcPr>
          <w:p>
            <w:pPr>
              <w:spacing w:after="0"/>
              <w:rPr>
                <w:sz w:val="16"/>
                <w:szCs w:val="16"/>
                <w:color w:val="auto"/>
              </w:rPr>
            </w:pPr>
          </w:p>
        </w:tc>
        <w:tc>
          <w:tcPr>
            <w:tcW w:w="160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9"/>
              </w:rPr>
              <w:t>Gross Unrealized</w:t>
            </w:r>
          </w:p>
        </w:tc>
        <w:tc>
          <w:tcPr>
            <w:tcW w:w="380" w:type="dxa"/>
            <w:vAlign w:val="bottom"/>
          </w:tcPr>
          <w:p>
            <w:pPr>
              <w:spacing w:after="0"/>
              <w:rPr>
                <w:sz w:val="16"/>
                <w:szCs w:val="16"/>
                <w:color w:val="auto"/>
              </w:rPr>
            </w:pPr>
          </w:p>
        </w:tc>
        <w:tc>
          <w:tcPr>
            <w:tcW w:w="1300" w:type="dxa"/>
            <w:vAlign w:val="bottom"/>
          </w:tcPr>
          <w:p>
            <w:pPr>
              <w:jc w:val="right"/>
              <w:ind w:right="599"/>
              <w:spacing w:after="0"/>
              <w:rPr>
                <w:sz w:val="20"/>
                <w:szCs w:val="20"/>
                <w:color w:val="auto"/>
              </w:rPr>
            </w:pPr>
            <w:r>
              <w:rPr>
                <w:rFonts w:ascii="Times New Roman" w:cs="Times New Roman" w:eastAsia="Times New Roman" w:hAnsi="Times New Roman"/>
                <w:sz w:val="16"/>
                <w:szCs w:val="16"/>
                <w:b w:val="1"/>
                <w:bCs w:val="1"/>
                <w:color w:val="auto"/>
              </w:rPr>
              <w:t>Fair</w:t>
            </w:r>
          </w:p>
        </w:tc>
        <w:tc>
          <w:tcPr>
            <w:tcW w:w="0" w:type="dxa"/>
            <w:vAlign w:val="bottom"/>
          </w:tcPr>
          <w:p>
            <w:pPr>
              <w:spacing w:after="0"/>
              <w:rPr>
                <w:sz w:val="1"/>
                <w:szCs w:val="1"/>
                <w:color w:val="auto"/>
              </w:rPr>
            </w:pPr>
          </w:p>
        </w:tc>
      </w:tr>
      <w:tr>
        <w:trPr>
          <w:trHeight w:val="214"/>
        </w:trPr>
        <w:tc>
          <w:tcPr>
            <w:tcW w:w="4260" w:type="dxa"/>
            <w:vAlign w:val="bottom"/>
            <w:vMerge w:val="continue"/>
          </w:tcPr>
          <w:p>
            <w:pPr>
              <w:spacing w:after="0"/>
              <w:rPr>
                <w:sz w:val="18"/>
                <w:szCs w:val="18"/>
                <w:color w:val="auto"/>
              </w:rPr>
            </w:pPr>
          </w:p>
        </w:tc>
        <w:tc>
          <w:tcPr>
            <w:tcW w:w="280" w:type="dxa"/>
            <w:vAlign w:val="bottom"/>
          </w:tcPr>
          <w:p>
            <w:pPr>
              <w:spacing w:after="0"/>
              <w:rPr>
                <w:sz w:val="18"/>
                <w:szCs w:val="18"/>
                <w:color w:val="auto"/>
              </w:rPr>
            </w:pPr>
          </w:p>
        </w:tc>
        <w:tc>
          <w:tcPr>
            <w:tcW w:w="1480" w:type="dxa"/>
            <w:vAlign w:val="bottom"/>
            <w:gridSpan w:val="2"/>
          </w:tcPr>
          <w:p>
            <w:pPr>
              <w:jc w:val="center"/>
              <w:ind w:right="380"/>
              <w:spacing w:after="0"/>
              <w:rPr>
                <w:sz w:val="20"/>
                <w:szCs w:val="20"/>
                <w:color w:val="auto"/>
              </w:rPr>
            </w:pPr>
            <w:r>
              <w:rPr>
                <w:rFonts w:ascii="Times New Roman" w:cs="Times New Roman" w:eastAsia="Times New Roman" w:hAnsi="Times New Roman"/>
                <w:sz w:val="16"/>
                <w:szCs w:val="16"/>
                <w:b w:val="1"/>
                <w:bCs w:val="1"/>
                <w:color w:val="auto"/>
                <w:w w:val="96"/>
              </w:rPr>
              <w:t>Cost</w:t>
            </w:r>
          </w:p>
        </w:tc>
        <w:tc>
          <w:tcPr>
            <w:tcW w:w="180" w:type="dxa"/>
            <w:vAlign w:val="bottom"/>
          </w:tcPr>
          <w:p>
            <w:pPr>
              <w:spacing w:after="0"/>
              <w:rPr>
                <w:sz w:val="18"/>
                <w:szCs w:val="18"/>
                <w:color w:val="auto"/>
              </w:rPr>
            </w:pPr>
          </w:p>
        </w:tc>
        <w:tc>
          <w:tcPr>
            <w:tcW w:w="160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w w:val="99"/>
              </w:rPr>
              <w:t>Gains</w:t>
            </w:r>
          </w:p>
        </w:tc>
        <w:tc>
          <w:tcPr>
            <w:tcW w:w="160" w:type="dxa"/>
            <w:vAlign w:val="bottom"/>
          </w:tcPr>
          <w:p>
            <w:pPr>
              <w:spacing w:after="0"/>
              <w:rPr>
                <w:sz w:val="18"/>
                <w:szCs w:val="18"/>
                <w:color w:val="auto"/>
              </w:rPr>
            </w:pPr>
          </w:p>
        </w:tc>
        <w:tc>
          <w:tcPr>
            <w:tcW w:w="160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Losses</w:t>
            </w:r>
          </w:p>
        </w:tc>
        <w:tc>
          <w:tcPr>
            <w:tcW w:w="380" w:type="dxa"/>
            <w:vAlign w:val="bottom"/>
          </w:tcPr>
          <w:p>
            <w:pPr>
              <w:spacing w:after="0"/>
              <w:rPr>
                <w:sz w:val="18"/>
                <w:szCs w:val="18"/>
                <w:color w:val="auto"/>
              </w:rPr>
            </w:pPr>
          </w:p>
        </w:tc>
        <w:tc>
          <w:tcPr>
            <w:tcW w:w="1300" w:type="dxa"/>
            <w:vAlign w:val="bottom"/>
          </w:tcPr>
          <w:p>
            <w:pPr>
              <w:jc w:val="right"/>
              <w:ind w:right="559"/>
              <w:spacing w:after="0"/>
              <w:rPr>
                <w:sz w:val="20"/>
                <w:szCs w:val="20"/>
                <w:color w:val="auto"/>
              </w:rPr>
            </w:pPr>
            <w:r>
              <w:rPr>
                <w:rFonts w:ascii="Times New Roman" w:cs="Times New Roman" w:eastAsia="Times New Roman" w:hAnsi="Times New Roman"/>
                <w:sz w:val="16"/>
                <w:szCs w:val="16"/>
                <w:b w:val="1"/>
                <w:bCs w:val="1"/>
                <w:color w:val="auto"/>
              </w:rPr>
              <w:t>Value</w:t>
            </w:r>
          </w:p>
        </w:tc>
        <w:tc>
          <w:tcPr>
            <w:tcW w:w="0" w:type="dxa"/>
            <w:vAlign w:val="bottom"/>
          </w:tcPr>
          <w:p>
            <w:pPr>
              <w:spacing w:after="0"/>
              <w:rPr>
                <w:sz w:val="1"/>
                <w:szCs w:val="1"/>
                <w:color w:val="auto"/>
              </w:rPr>
            </w:pPr>
          </w:p>
        </w:tc>
      </w:tr>
      <w:tr>
        <w:trPr>
          <w:trHeight w:val="211"/>
        </w:trPr>
        <w:tc>
          <w:tcPr>
            <w:tcW w:w="4260" w:type="dxa"/>
            <w:vAlign w:val="bottom"/>
            <w:tcBorders>
              <w:top w:val="single" w:sz="8" w:color="CCEEFF"/>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As of September 30, 2025</w:t>
            </w:r>
          </w:p>
        </w:tc>
        <w:tc>
          <w:tcPr>
            <w:tcW w:w="280" w:type="dxa"/>
            <w:vAlign w:val="bottom"/>
            <w:tcBorders>
              <w:top w:val="single" w:sz="8" w:color="auto"/>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4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5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42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U.S. Treasuries</w:t>
            </w: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414,510</w:t>
            </w:r>
          </w:p>
        </w:tc>
        <w:tc>
          <w:tcPr>
            <w:tcW w:w="100" w:type="dxa"/>
            <w:vAlign w:val="bottom"/>
          </w:tcPr>
          <w:p>
            <w:pPr>
              <w:spacing w:after="0"/>
              <w:rPr>
                <w:sz w:val="17"/>
                <w:szCs w:val="17"/>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974</w:t>
            </w:r>
          </w:p>
        </w:tc>
        <w:tc>
          <w:tcPr>
            <w:tcW w:w="12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4,726</w:t>
            </w:r>
          </w:p>
        </w:tc>
        <w:tc>
          <w:tcPr>
            <w:tcW w:w="100" w:type="dxa"/>
            <w:vAlign w:val="bottom"/>
          </w:tcPr>
          <w:p>
            <w:pPr>
              <w:spacing w:after="0"/>
              <w:rPr>
                <w:sz w:val="17"/>
                <w:szCs w:val="17"/>
                <w:color w:val="auto"/>
              </w:rPr>
            </w:pPr>
          </w:p>
        </w:tc>
        <w:tc>
          <w:tcPr>
            <w:tcW w:w="38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410,758</w:t>
            </w:r>
          </w:p>
        </w:tc>
        <w:tc>
          <w:tcPr>
            <w:tcW w:w="0" w:type="dxa"/>
            <w:vAlign w:val="bottom"/>
          </w:tcPr>
          <w:p>
            <w:pPr>
              <w:spacing w:after="0"/>
              <w:rPr>
                <w:sz w:val="1"/>
                <w:szCs w:val="1"/>
                <w:color w:val="auto"/>
              </w:rPr>
            </w:pPr>
          </w:p>
        </w:tc>
      </w:tr>
      <w:tr>
        <w:trPr>
          <w:trHeight w:val="219"/>
        </w:trPr>
        <w:tc>
          <w:tcPr>
            <w:tcW w:w="4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U.S. Government Agencies &amp; GSEs</w:t>
            </w:r>
          </w:p>
        </w:tc>
        <w:tc>
          <w:tcPr>
            <w:tcW w:w="2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292,171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11,318</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280,921</w:t>
            </w:r>
          </w:p>
        </w:tc>
        <w:tc>
          <w:tcPr>
            <w:tcW w:w="0" w:type="dxa"/>
            <w:vAlign w:val="bottom"/>
          </w:tcPr>
          <w:p>
            <w:pPr>
              <w:spacing w:after="0"/>
              <w:rPr>
                <w:sz w:val="1"/>
                <w:szCs w:val="1"/>
                <w:color w:val="auto"/>
              </w:rPr>
            </w:pPr>
          </w:p>
        </w:tc>
      </w:tr>
      <w:tr>
        <w:trPr>
          <w:trHeight w:val="213"/>
        </w:trPr>
        <w:tc>
          <w:tcPr>
            <w:tcW w:w="42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State and political subdivisions</w:t>
            </w:r>
          </w:p>
        </w:tc>
        <w:tc>
          <w:tcPr>
            <w:tcW w:w="28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166,983</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11,586</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155,397</w:t>
            </w:r>
          </w:p>
        </w:tc>
        <w:tc>
          <w:tcPr>
            <w:tcW w:w="0" w:type="dxa"/>
            <w:vAlign w:val="bottom"/>
          </w:tcPr>
          <w:p>
            <w:pPr>
              <w:spacing w:after="0"/>
              <w:rPr>
                <w:sz w:val="1"/>
                <w:szCs w:val="1"/>
                <w:color w:val="auto"/>
              </w:rPr>
            </w:pPr>
          </w:p>
        </w:tc>
      </w:tr>
      <w:tr>
        <w:trPr>
          <w:trHeight w:val="219"/>
        </w:trPr>
        <w:tc>
          <w:tcPr>
            <w:tcW w:w="4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Residential MBS, Agency &amp; GSEs</w:t>
            </w:r>
          </w:p>
        </w:tc>
        <w:tc>
          <w:tcPr>
            <w:tcW w:w="2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1,673,608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5,502</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86,836</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1,592,274</w:t>
            </w:r>
          </w:p>
        </w:tc>
        <w:tc>
          <w:tcPr>
            <w:tcW w:w="0" w:type="dxa"/>
            <w:vAlign w:val="bottom"/>
          </w:tcPr>
          <w:p>
            <w:pPr>
              <w:spacing w:after="0"/>
              <w:rPr>
                <w:sz w:val="1"/>
                <w:szCs w:val="1"/>
                <w:color w:val="auto"/>
              </w:rPr>
            </w:pPr>
          </w:p>
        </w:tc>
      </w:tr>
      <w:tr>
        <w:trPr>
          <w:trHeight w:val="213"/>
        </w:trPr>
        <w:tc>
          <w:tcPr>
            <w:tcW w:w="42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Residential MBS, Non-Agency</w:t>
            </w:r>
          </w:p>
        </w:tc>
        <w:tc>
          <w:tcPr>
            <w:tcW w:w="28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284,563</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13,803</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270,766</w:t>
            </w:r>
          </w:p>
        </w:tc>
        <w:tc>
          <w:tcPr>
            <w:tcW w:w="0" w:type="dxa"/>
            <w:vAlign w:val="bottom"/>
          </w:tcPr>
          <w:p>
            <w:pPr>
              <w:spacing w:after="0"/>
              <w:rPr>
                <w:sz w:val="1"/>
                <w:szCs w:val="1"/>
                <w:color w:val="auto"/>
              </w:rPr>
            </w:pPr>
          </w:p>
        </w:tc>
      </w:tr>
      <w:tr>
        <w:trPr>
          <w:trHeight w:val="219"/>
        </w:trPr>
        <w:tc>
          <w:tcPr>
            <w:tcW w:w="4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Commercial MBS, Agency &amp; GSEs</w:t>
            </w:r>
          </w:p>
        </w:tc>
        <w:tc>
          <w:tcPr>
            <w:tcW w:w="2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756,522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4,647</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25,990</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735,179</w:t>
            </w:r>
          </w:p>
        </w:tc>
        <w:tc>
          <w:tcPr>
            <w:tcW w:w="0" w:type="dxa"/>
            <w:vAlign w:val="bottom"/>
          </w:tcPr>
          <w:p>
            <w:pPr>
              <w:spacing w:after="0"/>
              <w:rPr>
                <w:sz w:val="1"/>
                <w:szCs w:val="1"/>
                <w:color w:val="auto"/>
              </w:rPr>
            </w:pPr>
          </w:p>
        </w:tc>
      </w:tr>
      <w:tr>
        <w:trPr>
          <w:trHeight w:val="213"/>
        </w:trPr>
        <w:tc>
          <w:tcPr>
            <w:tcW w:w="42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Commercial MBS, Non-Agency</w:t>
            </w:r>
          </w:p>
        </w:tc>
        <w:tc>
          <w:tcPr>
            <w:tcW w:w="28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7,965</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116</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7,849</w:t>
            </w:r>
          </w:p>
        </w:tc>
        <w:tc>
          <w:tcPr>
            <w:tcW w:w="0" w:type="dxa"/>
            <w:vAlign w:val="bottom"/>
          </w:tcPr>
          <w:p>
            <w:pPr>
              <w:spacing w:after="0"/>
              <w:rPr>
                <w:sz w:val="1"/>
                <w:szCs w:val="1"/>
                <w:color w:val="auto"/>
              </w:rPr>
            </w:pPr>
          </w:p>
        </w:tc>
      </w:tr>
      <w:tr>
        <w:trPr>
          <w:trHeight w:val="219"/>
        </w:trPr>
        <w:tc>
          <w:tcPr>
            <w:tcW w:w="4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Corporate bonds</w:t>
            </w:r>
          </w:p>
        </w:tc>
        <w:tc>
          <w:tcPr>
            <w:tcW w:w="2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145,218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6,887</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138,344</w:t>
            </w:r>
          </w:p>
        </w:tc>
        <w:tc>
          <w:tcPr>
            <w:tcW w:w="0" w:type="dxa"/>
            <w:vAlign w:val="bottom"/>
          </w:tcPr>
          <w:p>
            <w:pPr>
              <w:spacing w:after="0"/>
              <w:rPr>
                <w:sz w:val="1"/>
                <w:szCs w:val="1"/>
                <w:color w:val="auto"/>
              </w:rPr>
            </w:pPr>
          </w:p>
        </w:tc>
      </w:tr>
      <w:tr>
        <w:trPr>
          <w:trHeight w:val="213"/>
        </w:trPr>
        <w:tc>
          <w:tcPr>
            <w:tcW w:w="42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Asset-backed securities</w:t>
            </w:r>
          </w:p>
        </w:tc>
        <w:tc>
          <w:tcPr>
            <w:tcW w:w="28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298,532</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296</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1,053</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297,775</w:t>
            </w:r>
          </w:p>
        </w:tc>
        <w:tc>
          <w:tcPr>
            <w:tcW w:w="0" w:type="dxa"/>
            <w:vAlign w:val="bottom"/>
          </w:tcPr>
          <w:p>
            <w:pPr>
              <w:spacing w:after="0"/>
              <w:rPr>
                <w:sz w:val="1"/>
                <w:szCs w:val="1"/>
                <w:color w:val="auto"/>
              </w:rPr>
            </w:pPr>
          </w:p>
        </w:tc>
      </w:tr>
      <w:tr>
        <w:trPr>
          <w:trHeight w:val="237"/>
        </w:trPr>
        <w:tc>
          <w:tcPr>
            <w:tcW w:w="42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Total</w:t>
            </w: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4,040,072</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11,506</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162,315</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3,889,263</w:t>
            </w:r>
          </w:p>
        </w:tc>
        <w:tc>
          <w:tcPr>
            <w:tcW w:w="0" w:type="dxa"/>
            <w:vAlign w:val="bottom"/>
          </w:tcPr>
          <w:p>
            <w:pPr>
              <w:spacing w:after="0"/>
              <w:rPr>
                <w:sz w:val="1"/>
                <w:szCs w:val="1"/>
                <w:color w:val="auto"/>
              </w:rPr>
            </w:pPr>
          </w:p>
        </w:tc>
      </w:tr>
      <w:tr>
        <w:trPr>
          <w:trHeight w:val="20"/>
        </w:trPr>
        <w:tc>
          <w:tcPr>
            <w:tcW w:w="42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4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42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As of December 31, 2024</w:t>
            </w:r>
          </w:p>
        </w:tc>
        <w:tc>
          <w:tcPr>
            <w:tcW w:w="28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42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U.S. Treasuries</w:t>
            </w: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511,994</w:t>
            </w:r>
          </w:p>
        </w:tc>
        <w:tc>
          <w:tcPr>
            <w:tcW w:w="100" w:type="dxa"/>
            <w:vAlign w:val="bottom"/>
          </w:tcPr>
          <w:p>
            <w:pPr>
              <w:spacing w:after="0"/>
              <w:rPr>
                <w:sz w:val="17"/>
                <w:szCs w:val="17"/>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874</w:t>
            </w:r>
          </w:p>
        </w:tc>
        <w:tc>
          <w:tcPr>
            <w:tcW w:w="12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9,199</w:t>
            </w:r>
          </w:p>
        </w:tc>
        <w:tc>
          <w:tcPr>
            <w:tcW w:w="100" w:type="dxa"/>
            <w:vAlign w:val="bottom"/>
          </w:tcPr>
          <w:p>
            <w:pPr>
              <w:spacing w:after="0"/>
              <w:rPr>
                <w:sz w:val="17"/>
                <w:szCs w:val="17"/>
                <w:color w:val="auto"/>
              </w:rPr>
            </w:pPr>
          </w:p>
        </w:tc>
        <w:tc>
          <w:tcPr>
            <w:tcW w:w="38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503,669</w:t>
            </w:r>
          </w:p>
        </w:tc>
        <w:tc>
          <w:tcPr>
            <w:tcW w:w="0" w:type="dxa"/>
            <w:vAlign w:val="bottom"/>
          </w:tcPr>
          <w:p>
            <w:pPr>
              <w:spacing w:after="0"/>
              <w:rPr>
                <w:sz w:val="1"/>
                <w:szCs w:val="1"/>
                <w:color w:val="auto"/>
              </w:rPr>
            </w:pPr>
          </w:p>
        </w:tc>
      </w:tr>
      <w:tr>
        <w:trPr>
          <w:trHeight w:val="219"/>
        </w:trPr>
        <w:tc>
          <w:tcPr>
            <w:tcW w:w="4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U.S. Government Agencies &amp; GSEs</w:t>
            </w:r>
          </w:p>
        </w:tc>
        <w:tc>
          <w:tcPr>
            <w:tcW w:w="2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334,147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13,980</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320,267</w:t>
            </w:r>
          </w:p>
        </w:tc>
        <w:tc>
          <w:tcPr>
            <w:tcW w:w="0" w:type="dxa"/>
            <w:vAlign w:val="bottom"/>
          </w:tcPr>
          <w:p>
            <w:pPr>
              <w:spacing w:after="0"/>
              <w:rPr>
                <w:sz w:val="1"/>
                <w:szCs w:val="1"/>
                <w:color w:val="auto"/>
              </w:rPr>
            </w:pPr>
          </w:p>
        </w:tc>
      </w:tr>
      <w:tr>
        <w:trPr>
          <w:trHeight w:val="213"/>
        </w:trPr>
        <w:tc>
          <w:tcPr>
            <w:tcW w:w="42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State and political subdivisions</w:t>
            </w:r>
          </w:p>
        </w:tc>
        <w:tc>
          <w:tcPr>
            <w:tcW w:w="28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175,041</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16,809</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158,232</w:t>
            </w:r>
          </w:p>
        </w:tc>
        <w:tc>
          <w:tcPr>
            <w:tcW w:w="0" w:type="dxa"/>
            <w:vAlign w:val="bottom"/>
          </w:tcPr>
          <w:p>
            <w:pPr>
              <w:spacing w:after="0"/>
              <w:rPr>
                <w:sz w:val="1"/>
                <w:szCs w:val="1"/>
                <w:color w:val="auto"/>
              </w:rPr>
            </w:pPr>
          </w:p>
        </w:tc>
      </w:tr>
      <w:tr>
        <w:trPr>
          <w:trHeight w:val="219"/>
        </w:trPr>
        <w:tc>
          <w:tcPr>
            <w:tcW w:w="4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Residential MBS, Agency &amp; GSEs</w:t>
            </w:r>
          </w:p>
        </w:tc>
        <w:tc>
          <w:tcPr>
            <w:tcW w:w="2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2,070,433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1,431</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125,833</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1,946,031</w:t>
            </w:r>
          </w:p>
        </w:tc>
        <w:tc>
          <w:tcPr>
            <w:tcW w:w="0" w:type="dxa"/>
            <w:vAlign w:val="bottom"/>
          </w:tcPr>
          <w:p>
            <w:pPr>
              <w:spacing w:after="0"/>
              <w:rPr>
                <w:sz w:val="1"/>
                <w:szCs w:val="1"/>
                <w:color w:val="auto"/>
              </w:rPr>
            </w:pPr>
          </w:p>
        </w:tc>
      </w:tr>
      <w:tr>
        <w:trPr>
          <w:trHeight w:val="213"/>
        </w:trPr>
        <w:tc>
          <w:tcPr>
            <w:tcW w:w="42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Residential MBS, Non-Agency</w:t>
            </w:r>
          </w:p>
        </w:tc>
        <w:tc>
          <w:tcPr>
            <w:tcW w:w="28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302,318</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18,390</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283,928</w:t>
            </w:r>
          </w:p>
        </w:tc>
        <w:tc>
          <w:tcPr>
            <w:tcW w:w="0" w:type="dxa"/>
            <w:vAlign w:val="bottom"/>
          </w:tcPr>
          <w:p>
            <w:pPr>
              <w:spacing w:after="0"/>
              <w:rPr>
                <w:sz w:val="1"/>
                <w:szCs w:val="1"/>
                <w:color w:val="auto"/>
              </w:rPr>
            </w:pPr>
          </w:p>
        </w:tc>
      </w:tr>
      <w:tr>
        <w:trPr>
          <w:trHeight w:val="219"/>
        </w:trPr>
        <w:tc>
          <w:tcPr>
            <w:tcW w:w="4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Commercial MBS, Agency &amp; GSEs</w:t>
            </w:r>
          </w:p>
        </w:tc>
        <w:tc>
          <w:tcPr>
            <w:tcW w:w="2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844,302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851</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35,243</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809,910</w:t>
            </w:r>
          </w:p>
        </w:tc>
        <w:tc>
          <w:tcPr>
            <w:tcW w:w="0" w:type="dxa"/>
            <w:vAlign w:val="bottom"/>
          </w:tcPr>
          <w:p>
            <w:pPr>
              <w:spacing w:after="0"/>
              <w:rPr>
                <w:sz w:val="1"/>
                <w:szCs w:val="1"/>
                <w:color w:val="auto"/>
              </w:rPr>
            </w:pPr>
          </w:p>
        </w:tc>
      </w:tr>
      <w:tr>
        <w:trPr>
          <w:trHeight w:val="213"/>
        </w:trPr>
        <w:tc>
          <w:tcPr>
            <w:tcW w:w="42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Commercial MBS, Non-Agency</w:t>
            </w:r>
          </w:p>
        </w:tc>
        <w:tc>
          <w:tcPr>
            <w:tcW w:w="28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13,323</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336</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12,987</w:t>
            </w:r>
          </w:p>
        </w:tc>
        <w:tc>
          <w:tcPr>
            <w:tcW w:w="0" w:type="dxa"/>
            <w:vAlign w:val="bottom"/>
          </w:tcPr>
          <w:p>
            <w:pPr>
              <w:spacing w:after="0"/>
              <w:rPr>
                <w:sz w:val="1"/>
                <w:szCs w:val="1"/>
                <w:color w:val="auto"/>
              </w:rPr>
            </w:pPr>
          </w:p>
        </w:tc>
      </w:tr>
      <w:tr>
        <w:trPr>
          <w:trHeight w:val="219"/>
        </w:trPr>
        <w:tc>
          <w:tcPr>
            <w:tcW w:w="4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Corporate bonds</w:t>
            </w:r>
          </w:p>
        </w:tc>
        <w:tc>
          <w:tcPr>
            <w:tcW w:w="2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164,069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130</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11,579</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152,620</w:t>
            </w:r>
          </w:p>
        </w:tc>
        <w:tc>
          <w:tcPr>
            <w:tcW w:w="0" w:type="dxa"/>
            <w:vAlign w:val="bottom"/>
          </w:tcPr>
          <w:p>
            <w:pPr>
              <w:spacing w:after="0"/>
              <w:rPr>
                <w:sz w:val="1"/>
                <w:szCs w:val="1"/>
                <w:color w:val="auto"/>
              </w:rPr>
            </w:pPr>
          </w:p>
        </w:tc>
      </w:tr>
      <w:tr>
        <w:trPr>
          <w:trHeight w:val="213"/>
        </w:trPr>
        <w:tc>
          <w:tcPr>
            <w:tcW w:w="42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Asset-backed securities</w:t>
            </w:r>
          </w:p>
        </w:tc>
        <w:tc>
          <w:tcPr>
            <w:tcW w:w="28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248,673</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501</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527</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248,647</w:t>
            </w:r>
          </w:p>
        </w:tc>
        <w:tc>
          <w:tcPr>
            <w:tcW w:w="0" w:type="dxa"/>
            <w:vAlign w:val="bottom"/>
          </w:tcPr>
          <w:p>
            <w:pPr>
              <w:spacing w:after="0"/>
              <w:rPr>
                <w:sz w:val="1"/>
                <w:szCs w:val="1"/>
                <w:color w:val="auto"/>
              </w:rPr>
            </w:pPr>
          </w:p>
        </w:tc>
      </w:tr>
      <w:tr>
        <w:trPr>
          <w:trHeight w:val="237"/>
        </w:trPr>
        <w:tc>
          <w:tcPr>
            <w:tcW w:w="42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Total</w:t>
            </w: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4,664,300</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3,887</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231,896</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4,436,291</w:t>
            </w:r>
          </w:p>
        </w:tc>
        <w:tc>
          <w:tcPr>
            <w:tcW w:w="0" w:type="dxa"/>
            <w:vAlign w:val="bottom"/>
          </w:tcPr>
          <w:p>
            <w:pPr>
              <w:spacing w:after="0"/>
              <w:rPr>
                <w:sz w:val="1"/>
                <w:szCs w:val="1"/>
                <w:color w:val="auto"/>
              </w:rPr>
            </w:pPr>
          </w:p>
        </w:tc>
      </w:tr>
      <w:tr>
        <w:trPr>
          <w:trHeight w:val="20"/>
        </w:trPr>
        <w:tc>
          <w:tcPr>
            <w:tcW w:w="42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September 30, 2025 and December 31, 2024 the carrying value of pledged securities totaled $2.50 billion and $3.20 billion, respectively. Securities were pledged primarily to secure public deposits.</w:t>
      </w:r>
    </w:p>
    <w:p>
      <w:pPr>
        <w:spacing w:after="0" w:line="18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fair values and gross unrealized losses of HTM debt securities as of the dates indicated based on the length of time that individual securities have been in a continuous unrealized loss position.</w:t>
      </w:r>
    </w:p>
    <w:p>
      <w:pPr>
        <w:spacing w:after="0" w:line="70"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4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0" w:type="dxa"/>
            <w:vAlign w:val="bottom"/>
            <w:gridSpan w:val="11"/>
          </w:tcPr>
          <w:p>
            <w:pPr>
              <w:ind w:left="680"/>
              <w:spacing w:after="0"/>
              <w:rPr>
                <w:sz w:val="20"/>
                <w:szCs w:val="20"/>
                <w:color w:val="auto"/>
              </w:rPr>
            </w:pPr>
            <w:r>
              <w:rPr>
                <w:rFonts w:ascii="Times New Roman" w:cs="Times New Roman" w:eastAsia="Times New Roman" w:hAnsi="Times New Roman"/>
                <w:sz w:val="16"/>
                <w:szCs w:val="16"/>
                <w:b w:val="1"/>
                <w:bCs w:val="1"/>
                <w:color w:val="auto"/>
              </w:rPr>
              <w:t>Length of Time in Unrealized Loss Position</w:t>
            </w: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41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2220" w:type="dxa"/>
            <w:vAlign w:val="bottom"/>
            <w:tcBorders>
              <w:top w:val="single" w:sz="8" w:color="auto"/>
            </w:tcBorders>
            <w:gridSpan w:val="5"/>
          </w:tcPr>
          <w:p>
            <w:pPr>
              <w:ind w:left="280"/>
              <w:spacing w:after="0"/>
              <w:rPr>
                <w:sz w:val="20"/>
                <w:szCs w:val="20"/>
                <w:color w:val="auto"/>
              </w:rPr>
            </w:pPr>
            <w:r>
              <w:rPr>
                <w:rFonts w:ascii="Times New Roman" w:cs="Times New Roman" w:eastAsia="Times New Roman" w:hAnsi="Times New Roman"/>
                <w:sz w:val="16"/>
                <w:szCs w:val="16"/>
                <w:b w:val="1"/>
                <w:bCs w:val="1"/>
                <w:color w:val="auto"/>
              </w:rPr>
              <w:t>Less than 12 Months</w:t>
            </w:r>
          </w:p>
        </w:tc>
        <w:tc>
          <w:tcPr>
            <w:tcW w:w="140" w:type="dxa"/>
            <w:vAlign w:val="bottom"/>
            <w:tcBorders>
              <w:top w:val="single" w:sz="8" w:color="auto"/>
            </w:tcBorders>
          </w:tcPr>
          <w:p>
            <w:pPr>
              <w:spacing w:after="0"/>
              <w:rPr>
                <w:sz w:val="18"/>
                <w:szCs w:val="18"/>
                <w:color w:val="auto"/>
              </w:rPr>
            </w:pPr>
          </w:p>
        </w:tc>
        <w:tc>
          <w:tcPr>
            <w:tcW w:w="2140" w:type="dxa"/>
            <w:vAlign w:val="bottom"/>
            <w:tcBorders>
              <w:top w:val="single" w:sz="8" w:color="auto"/>
            </w:tcBorders>
            <w:gridSpan w:val="4"/>
          </w:tcPr>
          <w:p>
            <w:pPr>
              <w:jc w:val="right"/>
              <w:ind w:right="379"/>
              <w:spacing w:after="0"/>
              <w:rPr>
                <w:sz w:val="20"/>
                <w:szCs w:val="20"/>
                <w:color w:val="auto"/>
              </w:rPr>
            </w:pPr>
            <w:r>
              <w:rPr>
                <w:rFonts w:ascii="Times New Roman" w:cs="Times New Roman" w:eastAsia="Times New Roman" w:hAnsi="Times New Roman"/>
                <w:sz w:val="16"/>
                <w:szCs w:val="16"/>
                <w:b w:val="1"/>
                <w:bCs w:val="1"/>
                <w:color w:val="auto"/>
              </w:rPr>
              <w:t>12 Months or More</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Total</w:t>
            </w: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7"/>
        </w:trPr>
        <w:tc>
          <w:tcPr>
            <w:tcW w:w="4160" w:type="dxa"/>
            <w:vAlign w:val="bottom"/>
            <w:vMerge w:val="restart"/>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140" w:type="dxa"/>
            <w:vAlign w:val="bottom"/>
            <w:tcBorders>
              <w:top w:val="single" w:sz="8" w:color="auto"/>
            </w:tcBorders>
          </w:tcPr>
          <w:p>
            <w:pPr>
              <w:spacing w:after="0"/>
              <w:rPr>
                <w:sz w:val="13"/>
                <w:szCs w:val="13"/>
                <w:color w:val="auto"/>
              </w:rPr>
            </w:pPr>
          </w:p>
        </w:tc>
        <w:tc>
          <w:tcPr>
            <w:tcW w:w="1040" w:type="dxa"/>
            <w:vAlign w:val="bottom"/>
            <w:tcBorders>
              <w:top w:val="single" w:sz="8" w:color="auto"/>
            </w:tcBorders>
            <w:gridSpan w:val="2"/>
            <w:vMerge w:val="restart"/>
          </w:tcPr>
          <w:p>
            <w:pPr>
              <w:ind w:left="40"/>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140" w:type="dxa"/>
            <w:vAlign w:val="bottom"/>
            <w:tcBorders>
              <w:top w:val="single" w:sz="8" w:color="auto"/>
            </w:tcBorders>
          </w:tcPr>
          <w:p>
            <w:pPr>
              <w:spacing w:after="0"/>
              <w:rPr>
                <w:sz w:val="13"/>
                <w:szCs w:val="13"/>
                <w:color w:val="auto"/>
              </w:rPr>
            </w:pPr>
          </w:p>
        </w:tc>
        <w:tc>
          <w:tcPr>
            <w:tcW w:w="940" w:type="dxa"/>
            <w:vAlign w:val="bottom"/>
            <w:tcBorders>
              <w:top w:val="single" w:sz="8" w:color="auto"/>
            </w:tcBorders>
          </w:tcPr>
          <w:p>
            <w:pPr>
              <w:jc w:val="center"/>
              <w:ind w:right="59"/>
              <w:spacing w:after="0" w:line="158" w:lineRule="exact"/>
              <w:rPr>
                <w:sz w:val="20"/>
                <w:szCs w:val="20"/>
                <w:color w:val="auto"/>
              </w:rPr>
            </w:pPr>
            <w:r>
              <w:rPr>
                <w:rFonts w:ascii="Times New Roman" w:cs="Times New Roman" w:eastAsia="Times New Roman" w:hAnsi="Times New Roman"/>
                <w:sz w:val="16"/>
                <w:szCs w:val="16"/>
                <w:b w:val="1"/>
                <w:bCs w:val="1"/>
                <w:color w:val="auto"/>
              </w:rPr>
              <w:t>Unrealized</w:t>
            </w:r>
          </w:p>
        </w:tc>
        <w:tc>
          <w:tcPr>
            <w:tcW w:w="10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060" w:type="dxa"/>
            <w:vAlign w:val="bottom"/>
            <w:tcBorders>
              <w:top w:val="single" w:sz="8" w:color="auto"/>
            </w:tcBorders>
            <w:gridSpan w:val="2"/>
            <w:vMerge w:val="restart"/>
          </w:tcPr>
          <w:p>
            <w:pPr>
              <w:ind w:left="40"/>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120" w:type="dxa"/>
            <w:vAlign w:val="bottom"/>
            <w:tcBorders>
              <w:top w:val="single" w:sz="8" w:color="auto"/>
            </w:tcBorders>
          </w:tcPr>
          <w:p>
            <w:pPr>
              <w:spacing w:after="0"/>
              <w:rPr>
                <w:sz w:val="13"/>
                <w:szCs w:val="13"/>
                <w:color w:val="auto"/>
              </w:rPr>
            </w:pPr>
          </w:p>
        </w:tc>
        <w:tc>
          <w:tcPr>
            <w:tcW w:w="960" w:type="dxa"/>
            <w:vAlign w:val="bottom"/>
            <w:tcBorders>
              <w:top w:val="single" w:sz="8" w:color="auto"/>
            </w:tcBorders>
          </w:tcPr>
          <w:p>
            <w:pPr>
              <w:jc w:val="center"/>
              <w:ind w:right="39"/>
              <w:spacing w:after="0" w:line="158" w:lineRule="exact"/>
              <w:rPr>
                <w:sz w:val="20"/>
                <w:szCs w:val="20"/>
                <w:color w:val="auto"/>
              </w:rPr>
            </w:pPr>
            <w:r>
              <w:rPr>
                <w:rFonts w:ascii="Times New Roman" w:cs="Times New Roman" w:eastAsia="Times New Roman" w:hAnsi="Times New Roman"/>
                <w:sz w:val="16"/>
                <w:szCs w:val="16"/>
                <w:b w:val="1"/>
                <w:bCs w:val="1"/>
                <w:color w:val="auto"/>
              </w:rPr>
              <w:t>Unrealized</w:t>
            </w:r>
          </w:p>
        </w:tc>
        <w:tc>
          <w:tcPr>
            <w:tcW w:w="10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060" w:type="dxa"/>
            <w:vAlign w:val="bottom"/>
            <w:tcBorders>
              <w:top w:val="single" w:sz="8" w:color="auto"/>
            </w:tcBorders>
            <w:gridSpan w:val="2"/>
            <w:vMerge w:val="restart"/>
          </w:tcPr>
          <w:p>
            <w:pPr>
              <w:ind w:left="40"/>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140" w:type="dxa"/>
            <w:vAlign w:val="bottom"/>
            <w:tcBorders>
              <w:top w:val="single" w:sz="8" w:color="auto"/>
            </w:tcBorders>
          </w:tcPr>
          <w:p>
            <w:pPr>
              <w:spacing w:after="0"/>
              <w:rPr>
                <w:sz w:val="13"/>
                <w:szCs w:val="13"/>
                <w:color w:val="auto"/>
              </w:rPr>
            </w:pPr>
          </w:p>
        </w:tc>
        <w:tc>
          <w:tcPr>
            <w:tcW w:w="940" w:type="dxa"/>
            <w:vAlign w:val="bottom"/>
            <w:tcBorders>
              <w:top w:val="single" w:sz="8" w:color="auto"/>
            </w:tcBorders>
          </w:tcPr>
          <w:p>
            <w:pPr>
              <w:jc w:val="right"/>
              <w:ind w:right="99"/>
              <w:spacing w:after="0" w:line="158" w:lineRule="exact"/>
              <w:rPr>
                <w:sz w:val="20"/>
                <w:szCs w:val="20"/>
                <w:color w:val="auto"/>
              </w:rPr>
            </w:pPr>
            <w:r>
              <w:rPr>
                <w:rFonts w:ascii="Times New Roman" w:cs="Times New Roman" w:eastAsia="Times New Roman" w:hAnsi="Times New Roman"/>
                <w:sz w:val="16"/>
                <w:szCs w:val="16"/>
                <w:b w:val="1"/>
                <w:bCs w:val="1"/>
                <w:color w:val="auto"/>
                <w:w w:val="99"/>
              </w:rPr>
              <w:t>Unrealized</w:t>
            </w:r>
          </w:p>
        </w:tc>
        <w:tc>
          <w:tcPr>
            <w:tcW w:w="0" w:type="dxa"/>
            <w:vAlign w:val="bottom"/>
          </w:tcPr>
          <w:p>
            <w:pPr>
              <w:spacing w:after="0"/>
              <w:rPr>
                <w:sz w:val="1"/>
                <w:szCs w:val="1"/>
                <w:color w:val="auto"/>
              </w:rPr>
            </w:pPr>
          </w:p>
        </w:tc>
      </w:tr>
      <w:tr>
        <w:trPr>
          <w:trHeight w:val="214"/>
        </w:trPr>
        <w:tc>
          <w:tcPr>
            <w:tcW w:w="416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Loss</w:t>
            </w:r>
          </w:p>
        </w:tc>
        <w:tc>
          <w:tcPr>
            <w:tcW w:w="140" w:type="dxa"/>
            <w:vAlign w:val="bottom"/>
          </w:tcPr>
          <w:p>
            <w:pPr>
              <w:spacing w:after="0"/>
              <w:rPr>
                <w:sz w:val="18"/>
                <w:szCs w:val="18"/>
                <w:color w:val="auto"/>
              </w:rPr>
            </w:pPr>
          </w:p>
        </w:tc>
        <w:tc>
          <w:tcPr>
            <w:tcW w:w="106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Loss</w:t>
            </w:r>
          </w:p>
        </w:tc>
        <w:tc>
          <w:tcPr>
            <w:tcW w:w="140" w:type="dxa"/>
            <w:vAlign w:val="bottom"/>
          </w:tcPr>
          <w:p>
            <w:pPr>
              <w:spacing w:after="0"/>
              <w:rPr>
                <w:sz w:val="18"/>
                <w:szCs w:val="18"/>
                <w:color w:val="auto"/>
              </w:rPr>
            </w:pPr>
          </w:p>
        </w:tc>
        <w:tc>
          <w:tcPr>
            <w:tcW w:w="106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Loss</w:t>
            </w:r>
          </w:p>
        </w:tc>
        <w:tc>
          <w:tcPr>
            <w:tcW w:w="0" w:type="dxa"/>
            <w:vAlign w:val="bottom"/>
          </w:tcPr>
          <w:p>
            <w:pPr>
              <w:spacing w:after="0"/>
              <w:rPr>
                <w:sz w:val="1"/>
                <w:szCs w:val="1"/>
                <w:color w:val="auto"/>
              </w:rPr>
            </w:pPr>
          </w:p>
        </w:tc>
      </w:tr>
      <w:tr>
        <w:trPr>
          <w:trHeight w:val="211"/>
        </w:trPr>
        <w:tc>
          <w:tcPr>
            <w:tcW w:w="4160" w:type="dxa"/>
            <w:vAlign w:val="bottom"/>
            <w:tcBorders>
              <w:top w:val="single" w:sz="8" w:color="CCEEFF"/>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As of September 30, 2025</w:t>
            </w:r>
          </w:p>
        </w:tc>
        <w:tc>
          <w:tcPr>
            <w:tcW w:w="14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41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U.S. Treasuries</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18,880</w:t>
            </w:r>
          </w:p>
        </w:tc>
        <w:tc>
          <w:tcPr>
            <w:tcW w:w="12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1,039</w:t>
            </w:r>
          </w:p>
        </w:tc>
        <w:tc>
          <w:tcPr>
            <w:tcW w:w="10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18,880</w:t>
            </w:r>
          </w:p>
        </w:tc>
        <w:tc>
          <w:tcPr>
            <w:tcW w:w="12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1,039</w:t>
            </w:r>
          </w:p>
        </w:tc>
        <w:tc>
          <w:tcPr>
            <w:tcW w:w="0" w:type="dxa"/>
            <w:vAlign w:val="bottom"/>
          </w:tcPr>
          <w:p>
            <w:pPr>
              <w:spacing w:after="0"/>
              <w:rPr>
                <w:sz w:val="1"/>
                <w:szCs w:val="1"/>
                <w:color w:val="auto"/>
              </w:rPr>
            </w:pPr>
          </w:p>
        </w:tc>
      </w:tr>
      <w:tr>
        <w:trPr>
          <w:trHeight w:val="219"/>
        </w:trPr>
        <w:tc>
          <w:tcPr>
            <w:tcW w:w="4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U.S. Government Agencies &amp; GSEs</w:t>
            </w:r>
          </w:p>
        </w:tc>
        <w:tc>
          <w:tcPr>
            <w:tcW w:w="14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87,071</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11,713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87,071</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11,713</w:t>
            </w:r>
          </w:p>
        </w:tc>
        <w:tc>
          <w:tcPr>
            <w:tcW w:w="0" w:type="dxa"/>
            <w:vAlign w:val="bottom"/>
          </w:tcPr>
          <w:p>
            <w:pPr>
              <w:spacing w:after="0"/>
              <w:rPr>
                <w:sz w:val="1"/>
                <w:szCs w:val="1"/>
                <w:color w:val="auto"/>
              </w:rPr>
            </w:pPr>
          </w:p>
        </w:tc>
      </w:tr>
      <w:tr>
        <w:trPr>
          <w:trHeight w:val="213"/>
        </w:trPr>
        <w:tc>
          <w:tcPr>
            <w:tcW w:w="41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State and political subdivisions</w:t>
            </w: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5,229</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222,344</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46,315</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227,573</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46,327</w:t>
            </w:r>
          </w:p>
        </w:tc>
        <w:tc>
          <w:tcPr>
            <w:tcW w:w="0" w:type="dxa"/>
            <w:vAlign w:val="bottom"/>
          </w:tcPr>
          <w:p>
            <w:pPr>
              <w:spacing w:after="0"/>
              <w:rPr>
                <w:sz w:val="1"/>
                <w:szCs w:val="1"/>
                <w:color w:val="auto"/>
              </w:rPr>
            </w:pPr>
          </w:p>
        </w:tc>
      </w:tr>
      <w:tr>
        <w:trPr>
          <w:trHeight w:val="219"/>
        </w:trPr>
        <w:tc>
          <w:tcPr>
            <w:tcW w:w="4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Residential MBS, Agency &amp; GSEs</w:t>
            </w:r>
          </w:p>
        </w:tc>
        <w:tc>
          <w:tcPr>
            <w:tcW w:w="14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1,032,380</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172,538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1,032,380</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172,538</w:t>
            </w:r>
          </w:p>
        </w:tc>
        <w:tc>
          <w:tcPr>
            <w:tcW w:w="0" w:type="dxa"/>
            <w:vAlign w:val="bottom"/>
          </w:tcPr>
          <w:p>
            <w:pPr>
              <w:spacing w:after="0"/>
              <w:rPr>
                <w:sz w:val="1"/>
                <w:szCs w:val="1"/>
                <w:color w:val="auto"/>
              </w:rPr>
            </w:pPr>
          </w:p>
        </w:tc>
      </w:tr>
      <w:tr>
        <w:trPr>
          <w:trHeight w:val="213"/>
        </w:trPr>
        <w:tc>
          <w:tcPr>
            <w:tcW w:w="41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Commercial MBS, Agency &amp; GSEs</w:t>
            </w:r>
          </w:p>
        </w:tc>
        <w:tc>
          <w:tcPr>
            <w:tcW w:w="14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545,567</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103,548</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545,567</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103,548</w:t>
            </w:r>
          </w:p>
        </w:tc>
        <w:tc>
          <w:tcPr>
            <w:tcW w:w="0" w:type="dxa"/>
            <w:vAlign w:val="bottom"/>
          </w:tcPr>
          <w:p>
            <w:pPr>
              <w:spacing w:after="0"/>
              <w:rPr>
                <w:sz w:val="1"/>
                <w:szCs w:val="1"/>
                <w:color w:val="auto"/>
              </w:rPr>
            </w:pPr>
          </w:p>
        </w:tc>
      </w:tr>
      <w:tr>
        <w:trPr>
          <w:trHeight w:val="216"/>
        </w:trPr>
        <w:tc>
          <w:tcPr>
            <w:tcW w:w="4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Supranational entities</w:t>
            </w: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13,061</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1,939</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13,061</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1,939</w:t>
            </w:r>
          </w:p>
        </w:tc>
        <w:tc>
          <w:tcPr>
            <w:tcW w:w="0" w:type="dxa"/>
            <w:vAlign w:val="bottom"/>
          </w:tcPr>
          <w:p>
            <w:pPr>
              <w:spacing w:after="0"/>
              <w:rPr>
                <w:sz w:val="1"/>
                <w:szCs w:val="1"/>
                <w:color w:val="auto"/>
              </w:rPr>
            </w:pPr>
          </w:p>
        </w:tc>
      </w:tr>
      <w:tr>
        <w:trPr>
          <w:trHeight w:val="212"/>
        </w:trPr>
        <w:tc>
          <w:tcPr>
            <w:tcW w:w="41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Total</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5,229</w:t>
            </w:r>
          </w:p>
        </w:tc>
        <w:tc>
          <w:tcPr>
            <w:tcW w:w="10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10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1,919,303</w:t>
            </w:r>
          </w:p>
        </w:tc>
        <w:tc>
          <w:tcPr>
            <w:tcW w:w="12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337,092</w:t>
            </w:r>
          </w:p>
        </w:tc>
        <w:tc>
          <w:tcPr>
            <w:tcW w:w="10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1,924,532</w:t>
            </w:r>
          </w:p>
        </w:tc>
        <w:tc>
          <w:tcPr>
            <w:tcW w:w="12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337,104</w:t>
            </w:r>
          </w:p>
        </w:tc>
        <w:tc>
          <w:tcPr>
            <w:tcW w:w="0" w:type="dxa"/>
            <w:vAlign w:val="bottom"/>
          </w:tcPr>
          <w:p>
            <w:pPr>
              <w:spacing w:after="0"/>
              <w:rPr>
                <w:sz w:val="1"/>
                <w:szCs w:val="1"/>
                <w:color w:val="auto"/>
              </w:rPr>
            </w:pPr>
          </w:p>
        </w:tc>
      </w:tr>
      <w:tr>
        <w:trPr>
          <w:trHeight w:val="20"/>
        </w:trPr>
        <w:tc>
          <w:tcPr>
            <w:tcW w:w="416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41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4"/>
        </w:trPr>
        <w:tc>
          <w:tcPr>
            <w:tcW w:w="41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As of December 31, 2024</w:t>
            </w:r>
          </w:p>
        </w:tc>
        <w:tc>
          <w:tcPr>
            <w:tcW w:w="140" w:type="dxa"/>
            <w:vAlign w:val="bottom"/>
            <w:tcBorders>
              <w:bottom w:val="single" w:sz="8" w:color="CCEEFF"/>
            </w:tcBorders>
          </w:tcPr>
          <w:p>
            <w:pPr>
              <w:spacing w:after="0"/>
              <w:rPr>
                <w:sz w:val="18"/>
                <w:szCs w:val="18"/>
                <w:color w:val="auto"/>
              </w:rPr>
            </w:pPr>
          </w:p>
        </w:tc>
        <w:tc>
          <w:tcPr>
            <w:tcW w:w="94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94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94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96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94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94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4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U.S. Treasuries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18,162</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1,734</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18,162</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1,734</w:t>
            </w:r>
          </w:p>
        </w:tc>
        <w:tc>
          <w:tcPr>
            <w:tcW w:w="0" w:type="dxa"/>
            <w:vAlign w:val="bottom"/>
          </w:tcPr>
          <w:p>
            <w:pPr>
              <w:spacing w:after="0"/>
              <w:rPr>
                <w:sz w:val="1"/>
                <w:szCs w:val="1"/>
                <w:color w:val="auto"/>
              </w:rPr>
            </w:pPr>
          </w:p>
        </w:tc>
      </w:tr>
      <w:tr>
        <w:trPr>
          <w:trHeight w:val="213"/>
        </w:trPr>
        <w:tc>
          <w:tcPr>
            <w:tcW w:w="41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U.S. Government Agencies &amp; GSEs</w:t>
            </w:r>
          </w:p>
        </w:tc>
        <w:tc>
          <w:tcPr>
            <w:tcW w:w="14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82,863</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16,291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82,863</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16,291</w:t>
            </w:r>
          </w:p>
        </w:tc>
        <w:tc>
          <w:tcPr>
            <w:tcW w:w="0" w:type="dxa"/>
            <w:vAlign w:val="bottom"/>
          </w:tcPr>
          <w:p>
            <w:pPr>
              <w:spacing w:after="0"/>
              <w:rPr>
                <w:sz w:val="1"/>
                <w:szCs w:val="1"/>
                <w:color w:val="auto"/>
              </w:rPr>
            </w:pPr>
          </w:p>
        </w:tc>
      </w:tr>
      <w:tr>
        <w:trPr>
          <w:trHeight w:val="219"/>
        </w:trPr>
        <w:tc>
          <w:tcPr>
            <w:tcW w:w="4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State and political subdivisions</w:t>
            </w: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18,729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212,356</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54,901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231,085</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55,206</w:t>
            </w:r>
          </w:p>
        </w:tc>
        <w:tc>
          <w:tcPr>
            <w:tcW w:w="0" w:type="dxa"/>
            <w:vAlign w:val="bottom"/>
          </w:tcPr>
          <w:p>
            <w:pPr>
              <w:spacing w:after="0"/>
              <w:rPr>
                <w:sz w:val="1"/>
                <w:szCs w:val="1"/>
                <w:color w:val="auto"/>
              </w:rPr>
            </w:pPr>
          </w:p>
        </w:tc>
      </w:tr>
      <w:tr>
        <w:trPr>
          <w:trHeight w:val="213"/>
        </w:trPr>
        <w:tc>
          <w:tcPr>
            <w:tcW w:w="41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Residential MBS, Agency &amp; GSEs</w:t>
            </w: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6,778</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1,822</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1,051,455</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221,849</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1,058,233</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223,671</w:t>
            </w:r>
          </w:p>
        </w:tc>
        <w:tc>
          <w:tcPr>
            <w:tcW w:w="0" w:type="dxa"/>
            <w:vAlign w:val="bottom"/>
          </w:tcPr>
          <w:p>
            <w:pPr>
              <w:spacing w:after="0"/>
              <w:rPr>
                <w:sz w:val="1"/>
                <w:szCs w:val="1"/>
                <w:color w:val="auto"/>
              </w:rPr>
            </w:pPr>
          </w:p>
        </w:tc>
      </w:tr>
      <w:tr>
        <w:trPr>
          <w:trHeight w:val="219"/>
        </w:trPr>
        <w:tc>
          <w:tcPr>
            <w:tcW w:w="4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Commercial MBS, Agency &amp; GSEs</w:t>
            </w:r>
          </w:p>
        </w:tc>
        <w:tc>
          <w:tcPr>
            <w:tcW w:w="14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537,981</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124,409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537,981</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124,409</w:t>
            </w:r>
          </w:p>
        </w:tc>
        <w:tc>
          <w:tcPr>
            <w:tcW w:w="0" w:type="dxa"/>
            <w:vAlign w:val="bottom"/>
          </w:tcPr>
          <w:p>
            <w:pPr>
              <w:spacing w:after="0"/>
              <w:rPr>
                <w:sz w:val="1"/>
                <w:szCs w:val="1"/>
                <w:color w:val="auto"/>
              </w:rPr>
            </w:pPr>
          </w:p>
        </w:tc>
      </w:tr>
      <w:tr>
        <w:trPr>
          <w:trHeight w:val="213"/>
        </w:trPr>
        <w:tc>
          <w:tcPr>
            <w:tcW w:w="41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Supranational entities</w:t>
            </w:r>
          </w:p>
        </w:tc>
        <w:tc>
          <w:tcPr>
            <w:tcW w:w="14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12,319</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2,681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12,319</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2,681</w:t>
            </w:r>
          </w:p>
        </w:tc>
        <w:tc>
          <w:tcPr>
            <w:tcW w:w="0" w:type="dxa"/>
            <w:vAlign w:val="bottom"/>
          </w:tcPr>
          <w:p>
            <w:pPr>
              <w:spacing w:after="0"/>
              <w:rPr>
                <w:sz w:val="1"/>
                <w:szCs w:val="1"/>
                <w:color w:val="auto"/>
              </w:rPr>
            </w:pPr>
          </w:p>
        </w:tc>
      </w:tr>
      <w:tr>
        <w:trPr>
          <w:trHeight w:val="237"/>
        </w:trPr>
        <w:tc>
          <w:tcPr>
            <w:tcW w:w="4160" w:type="dxa"/>
            <w:vAlign w:val="bottom"/>
            <w:tcBorders>
              <w:top w:val="single" w:sz="8" w:color="CCEEFF"/>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Total</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25,507</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2,127</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1,915,136</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421,865</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1,940,643</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423,992</w:t>
            </w:r>
          </w:p>
        </w:tc>
        <w:tc>
          <w:tcPr>
            <w:tcW w:w="0" w:type="dxa"/>
            <w:vAlign w:val="bottom"/>
          </w:tcPr>
          <w:p>
            <w:pPr>
              <w:spacing w:after="0"/>
              <w:rPr>
                <w:sz w:val="1"/>
                <w:szCs w:val="1"/>
                <w:color w:val="auto"/>
              </w:rPr>
            </w:pPr>
          </w:p>
        </w:tc>
      </w:tr>
      <w:tr>
        <w:trPr>
          <w:trHeight w:val="20"/>
        </w:trPr>
        <w:tc>
          <w:tcPr>
            <w:tcW w:w="41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1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13" w:name="page14"/>
    <w:bookmarkEnd w:id="13"/>
    <w:p>
      <w:pPr>
        <w:jc w:val="center"/>
        <w:spacing w:after="0"/>
        <w:rPr>
          <w:sz w:val="20"/>
          <w:szCs w:val="20"/>
          <w:color w:val="auto"/>
        </w:rPr>
      </w:pPr>
      <w:r>
        <w:rPr>
          <w:rFonts w:ascii="Times New Roman" w:cs="Times New Roman" w:eastAsia="Times New Roman" w:hAnsi="Times New Roman"/>
          <w:sz w:val="18"/>
          <w:szCs w:val="18"/>
          <w:b w:val="1"/>
          <w:bCs w:val="1"/>
          <w:color w:val="auto"/>
        </w:rPr>
        <w:t>UNITED COMMUNITY BANKS,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(Unaudited)</w:t>
      </w:r>
    </w:p>
    <w:p>
      <w:pPr>
        <w:spacing w:after="0" w:line="200" w:lineRule="exact"/>
        <w:rPr>
          <w:sz w:val="20"/>
          <w:szCs w:val="20"/>
          <w:color w:val="auto"/>
        </w:rPr>
      </w:pPr>
    </w:p>
    <w:p>
      <w:pPr>
        <w:spacing w:after="0" w:line="277"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fair values and gross unrealized losses of AFS debt securities as of the dates indicated based on the length of time that individual securities have been in a continuous unrealized loss position.</w:t>
      </w:r>
    </w:p>
    <w:p>
      <w:pPr>
        <w:spacing w:after="0" w:line="83"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4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0" w:type="dxa"/>
            <w:vAlign w:val="bottom"/>
            <w:gridSpan w:val="11"/>
          </w:tcPr>
          <w:p>
            <w:pPr>
              <w:ind w:left="680"/>
              <w:spacing w:after="0"/>
              <w:rPr>
                <w:sz w:val="20"/>
                <w:szCs w:val="20"/>
                <w:color w:val="auto"/>
              </w:rPr>
            </w:pPr>
            <w:r>
              <w:rPr>
                <w:rFonts w:ascii="Times New Roman" w:cs="Times New Roman" w:eastAsia="Times New Roman" w:hAnsi="Times New Roman"/>
                <w:sz w:val="16"/>
                <w:szCs w:val="16"/>
                <w:b w:val="1"/>
                <w:bCs w:val="1"/>
                <w:color w:val="auto"/>
              </w:rPr>
              <w:t>Length of Time in Unrealized Loss Position</w:t>
            </w: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41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2220" w:type="dxa"/>
            <w:vAlign w:val="bottom"/>
            <w:tcBorders>
              <w:top w:val="single" w:sz="8" w:color="auto"/>
            </w:tcBorders>
            <w:gridSpan w:val="5"/>
          </w:tcPr>
          <w:p>
            <w:pPr>
              <w:ind w:left="260"/>
              <w:spacing w:after="0"/>
              <w:rPr>
                <w:sz w:val="20"/>
                <w:szCs w:val="20"/>
                <w:color w:val="auto"/>
              </w:rPr>
            </w:pPr>
            <w:r>
              <w:rPr>
                <w:rFonts w:ascii="Times New Roman" w:cs="Times New Roman" w:eastAsia="Times New Roman" w:hAnsi="Times New Roman"/>
                <w:sz w:val="16"/>
                <w:szCs w:val="16"/>
                <w:b w:val="1"/>
                <w:bCs w:val="1"/>
                <w:color w:val="auto"/>
              </w:rPr>
              <w:t>Less than 12 Months</w:t>
            </w:r>
          </w:p>
        </w:tc>
        <w:tc>
          <w:tcPr>
            <w:tcW w:w="140" w:type="dxa"/>
            <w:vAlign w:val="bottom"/>
            <w:tcBorders>
              <w:top w:val="single" w:sz="8" w:color="auto"/>
            </w:tcBorders>
          </w:tcPr>
          <w:p>
            <w:pPr>
              <w:spacing w:after="0"/>
              <w:rPr>
                <w:sz w:val="18"/>
                <w:szCs w:val="18"/>
                <w:color w:val="auto"/>
              </w:rPr>
            </w:pPr>
          </w:p>
        </w:tc>
        <w:tc>
          <w:tcPr>
            <w:tcW w:w="2140" w:type="dxa"/>
            <w:vAlign w:val="bottom"/>
            <w:tcBorders>
              <w:top w:val="single" w:sz="8" w:color="auto"/>
            </w:tcBorders>
            <w:gridSpan w:val="4"/>
          </w:tcPr>
          <w:p>
            <w:pPr>
              <w:jc w:val="right"/>
              <w:ind w:right="379"/>
              <w:spacing w:after="0"/>
              <w:rPr>
                <w:sz w:val="20"/>
                <w:szCs w:val="20"/>
                <w:color w:val="auto"/>
              </w:rPr>
            </w:pPr>
            <w:r>
              <w:rPr>
                <w:rFonts w:ascii="Times New Roman" w:cs="Times New Roman" w:eastAsia="Times New Roman" w:hAnsi="Times New Roman"/>
                <w:sz w:val="16"/>
                <w:szCs w:val="16"/>
                <w:b w:val="1"/>
                <w:bCs w:val="1"/>
                <w:color w:val="auto"/>
              </w:rPr>
              <w:t>12 Months or More</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Total</w:t>
            </w: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7"/>
        </w:trPr>
        <w:tc>
          <w:tcPr>
            <w:tcW w:w="4160" w:type="dxa"/>
            <w:vAlign w:val="bottom"/>
            <w:vMerge w:val="restart"/>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140" w:type="dxa"/>
            <w:vAlign w:val="bottom"/>
            <w:tcBorders>
              <w:top w:val="single" w:sz="8" w:color="auto"/>
            </w:tcBorders>
          </w:tcPr>
          <w:p>
            <w:pPr>
              <w:spacing w:after="0"/>
              <w:rPr>
                <w:sz w:val="13"/>
                <w:szCs w:val="13"/>
                <w:color w:val="auto"/>
              </w:rPr>
            </w:pPr>
          </w:p>
        </w:tc>
        <w:tc>
          <w:tcPr>
            <w:tcW w:w="1040" w:type="dxa"/>
            <w:vAlign w:val="bottom"/>
            <w:tcBorders>
              <w:top w:val="single" w:sz="8" w:color="auto"/>
            </w:tcBorders>
            <w:gridSpan w:val="2"/>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140" w:type="dxa"/>
            <w:vAlign w:val="bottom"/>
            <w:tcBorders>
              <w:top w:val="single" w:sz="8" w:color="auto"/>
            </w:tcBorders>
          </w:tcPr>
          <w:p>
            <w:pPr>
              <w:spacing w:after="0"/>
              <w:rPr>
                <w:sz w:val="13"/>
                <w:szCs w:val="13"/>
                <w:color w:val="auto"/>
              </w:rPr>
            </w:pPr>
          </w:p>
        </w:tc>
        <w:tc>
          <w:tcPr>
            <w:tcW w:w="940" w:type="dxa"/>
            <w:vAlign w:val="bottom"/>
            <w:tcBorders>
              <w:top w:val="single" w:sz="8" w:color="auto"/>
            </w:tcBorders>
          </w:tcPr>
          <w:p>
            <w:pPr>
              <w:jc w:val="center"/>
              <w:ind w:right="59"/>
              <w:spacing w:after="0" w:line="158" w:lineRule="exact"/>
              <w:rPr>
                <w:sz w:val="20"/>
                <w:szCs w:val="20"/>
                <w:color w:val="auto"/>
              </w:rPr>
            </w:pPr>
            <w:r>
              <w:rPr>
                <w:rFonts w:ascii="Times New Roman" w:cs="Times New Roman" w:eastAsia="Times New Roman" w:hAnsi="Times New Roman"/>
                <w:sz w:val="16"/>
                <w:szCs w:val="16"/>
                <w:b w:val="1"/>
                <w:bCs w:val="1"/>
                <w:color w:val="auto"/>
              </w:rPr>
              <w:t>Unrealized</w:t>
            </w:r>
          </w:p>
        </w:tc>
        <w:tc>
          <w:tcPr>
            <w:tcW w:w="10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060" w:type="dxa"/>
            <w:vAlign w:val="bottom"/>
            <w:tcBorders>
              <w:top w:val="single" w:sz="8" w:color="auto"/>
            </w:tcBorders>
            <w:gridSpan w:val="2"/>
            <w:vMerge w:val="restart"/>
          </w:tcPr>
          <w:p>
            <w:pPr>
              <w:ind w:left="40"/>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120" w:type="dxa"/>
            <w:vAlign w:val="bottom"/>
            <w:tcBorders>
              <w:top w:val="single" w:sz="8" w:color="auto"/>
            </w:tcBorders>
          </w:tcPr>
          <w:p>
            <w:pPr>
              <w:spacing w:after="0"/>
              <w:rPr>
                <w:sz w:val="13"/>
                <w:szCs w:val="13"/>
                <w:color w:val="auto"/>
              </w:rPr>
            </w:pPr>
          </w:p>
        </w:tc>
        <w:tc>
          <w:tcPr>
            <w:tcW w:w="960" w:type="dxa"/>
            <w:vAlign w:val="bottom"/>
            <w:tcBorders>
              <w:top w:val="single" w:sz="8" w:color="auto"/>
            </w:tcBorders>
          </w:tcPr>
          <w:p>
            <w:pPr>
              <w:jc w:val="center"/>
              <w:ind w:right="39"/>
              <w:spacing w:after="0" w:line="158" w:lineRule="exact"/>
              <w:rPr>
                <w:sz w:val="20"/>
                <w:szCs w:val="20"/>
                <w:color w:val="auto"/>
              </w:rPr>
            </w:pPr>
            <w:r>
              <w:rPr>
                <w:rFonts w:ascii="Times New Roman" w:cs="Times New Roman" w:eastAsia="Times New Roman" w:hAnsi="Times New Roman"/>
                <w:sz w:val="16"/>
                <w:szCs w:val="16"/>
                <w:b w:val="1"/>
                <w:bCs w:val="1"/>
                <w:color w:val="auto"/>
              </w:rPr>
              <w:t>Unrealized</w:t>
            </w:r>
          </w:p>
        </w:tc>
        <w:tc>
          <w:tcPr>
            <w:tcW w:w="10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060" w:type="dxa"/>
            <w:vAlign w:val="bottom"/>
            <w:tcBorders>
              <w:top w:val="single" w:sz="8" w:color="auto"/>
            </w:tcBorders>
            <w:gridSpan w:val="2"/>
            <w:vMerge w:val="restart"/>
          </w:tcPr>
          <w:p>
            <w:pPr>
              <w:ind w:left="40"/>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140" w:type="dxa"/>
            <w:vAlign w:val="bottom"/>
            <w:tcBorders>
              <w:top w:val="single" w:sz="8" w:color="auto"/>
            </w:tcBorders>
          </w:tcPr>
          <w:p>
            <w:pPr>
              <w:spacing w:after="0"/>
              <w:rPr>
                <w:sz w:val="13"/>
                <w:szCs w:val="13"/>
                <w:color w:val="auto"/>
              </w:rPr>
            </w:pPr>
          </w:p>
        </w:tc>
        <w:tc>
          <w:tcPr>
            <w:tcW w:w="940" w:type="dxa"/>
            <w:vAlign w:val="bottom"/>
            <w:tcBorders>
              <w:top w:val="single" w:sz="8" w:color="auto"/>
            </w:tcBorders>
          </w:tcPr>
          <w:p>
            <w:pPr>
              <w:jc w:val="right"/>
              <w:ind w:right="99"/>
              <w:spacing w:after="0" w:line="158" w:lineRule="exact"/>
              <w:rPr>
                <w:sz w:val="20"/>
                <w:szCs w:val="20"/>
                <w:color w:val="auto"/>
              </w:rPr>
            </w:pPr>
            <w:r>
              <w:rPr>
                <w:rFonts w:ascii="Times New Roman" w:cs="Times New Roman" w:eastAsia="Times New Roman" w:hAnsi="Times New Roman"/>
                <w:sz w:val="16"/>
                <w:szCs w:val="16"/>
                <w:b w:val="1"/>
                <w:bCs w:val="1"/>
                <w:color w:val="auto"/>
                <w:w w:val="99"/>
              </w:rPr>
              <w:t>Unrealized</w:t>
            </w:r>
          </w:p>
        </w:tc>
        <w:tc>
          <w:tcPr>
            <w:tcW w:w="0" w:type="dxa"/>
            <w:vAlign w:val="bottom"/>
          </w:tcPr>
          <w:p>
            <w:pPr>
              <w:spacing w:after="0"/>
              <w:rPr>
                <w:sz w:val="1"/>
                <w:szCs w:val="1"/>
                <w:color w:val="auto"/>
              </w:rPr>
            </w:pPr>
          </w:p>
        </w:tc>
      </w:tr>
      <w:tr>
        <w:trPr>
          <w:trHeight w:val="214"/>
        </w:trPr>
        <w:tc>
          <w:tcPr>
            <w:tcW w:w="416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Loss</w:t>
            </w:r>
          </w:p>
        </w:tc>
        <w:tc>
          <w:tcPr>
            <w:tcW w:w="140" w:type="dxa"/>
            <w:vAlign w:val="bottom"/>
          </w:tcPr>
          <w:p>
            <w:pPr>
              <w:spacing w:after="0"/>
              <w:rPr>
                <w:sz w:val="18"/>
                <w:szCs w:val="18"/>
                <w:color w:val="auto"/>
              </w:rPr>
            </w:pPr>
          </w:p>
        </w:tc>
        <w:tc>
          <w:tcPr>
            <w:tcW w:w="106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Loss</w:t>
            </w:r>
          </w:p>
        </w:tc>
        <w:tc>
          <w:tcPr>
            <w:tcW w:w="140" w:type="dxa"/>
            <w:vAlign w:val="bottom"/>
          </w:tcPr>
          <w:p>
            <w:pPr>
              <w:spacing w:after="0"/>
              <w:rPr>
                <w:sz w:val="18"/>
                <w:szCs w:val="18"/>
                <w:color w:val="auto"/>
              </w:rPr>
            </w:pPr>
          </w:p>
        </w:tc>
        <w:tc>
          <w:tcPr>
            <w:tcW w:w="106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Loss</w:t>
            </w:r>
          </w:p>
        </w:tc>
        <w:tc>
          <w:tcPr>
            <w:tcW w:w="0" w:type="dxa"/>
            <w:vAlign w:val="bottom"/>
          </w:tcPr>
          <w:p>
            <w:pPr>
              <w:spacing w:after="0"/>
              <w:rPr>
                <w:sz w:val="1"/>
                <w:szCs w:val="1"/>
                <w:color w:val="auto"/>
              </w:rPr>
            </w:pPr>
          </w:p>
        </w:tc>
      </w:tr>
      <w:tr>
        <w:trPr>
          <w:trHeight w:val="211"/>
        </w:trPr>
        <w:tc>
          <w:tcPr>
            <w:tcW w:w="4160" w:type="dxa"/>
            <w:vAlign w:val="bottom"/>
            <w:tcBorders>
              <w:top w:val="single" w:sz="8" w:color="CCEEFF"/>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As of September 30, 2025</w:t>
            </w:r>
          </w:p>
        </w:tc>
        <w:tc>
          <w:tcPr>
            <w:tcW w:w="14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41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U.S. Treasuries</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50,153</w:t>
            </w:r>
          </w:p>
        </w:tc>
        <w:tc>
          <w:tcPr>
            <w:tcW w:w="10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w:t>
            </w:r>
          </w:p>
        </w:tc>
        <w:tc>
          <w:tcPr>
            <w:tcW w:w="10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109,886</w:t>
            </w:r>
          </w:p>
        </w:tc>
        <w:tc>
          <w:tcPr>
            <w:tcW w:w="12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4,707</w:t>
            </w:r>
          </w:p>
        </w:tc>
        <w:tc>
          <w:tcPr>
            <w:tcW w:w="10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160,039</w:t>
            </w:r>
          </w:p>
        </w:tc>
        <w:tc>
          <w:tcPr>
            <w:tcW w:w="12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4,726</w:t>
            </w:r>
          </w:p>
        </w:tc>
        <w:tc>
          <w:tcPr>
            <w:tcW w:w="0" w:type="dxa"/>
            <w:vAlign w:val="bottom"/>
          </w:tcPr>
          <w:p>
            <w:pPr>
              <w:spacing w:after="0"/>
              <w:rPr>
                <w:sz w:val="1"/>
                <w:szCs w:val="1"/>
                <w:color w:val="auto"/>
              </w:rPr>
            </w:pPr>
          </w:p>
        </w:tc>
      </w:tr>
      <w:tr>
        <w:trPr>
          <w:trHeight w:val="219"/>
        </w:trPr>
        <w:tc>
          <w:tcPr>
            <w:tcW w:w="4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U.S. Government Agencies &amp; GSEs</w:t>
            </w: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80,610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192,876</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10,784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273,486</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11,318</w:t>
            </w:r>
          </w:p>
        </w:tc>
        <w:tc>
          <w:tcPr>
            <w:tcW w:w="0" w:type="dxa"/>
            <w:vAlign w:val="bottom"/>
          </w:tcPr>
          <w:p>
            <w:pPr>
              <w:spacing w:after="0"/>
              <w:rPr>
                <w:sz w:val="1"/>
                <w:szCs w:val="1"/>
                <w:color w:val="auto"/>
              </w:rPr>
            </w:pPr>
          </w:p>
        </w:tc>
      </w:tr>
      <w:tr>
        <w:trPr>
          <w:trHeight w:val="213"/>
        </w:trPr>
        <w:tc>
          <w:tcPr>
            <w:tcW w:w="41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State and political subdivisions</w:t>
            </w: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154,737</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11,585</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154,762</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11,586</w:t>
            </w:r>
          </w:p>
        </w:tc>
        <w:tc>
          <w:tcPr>
            <w:tcW w:w="0" w:type="dxa"/>
            <w:vAlign w:val="bottom"/>
          </w:tcPr>
          <w:p>
            <w:pPr>
              <w:spacing w:after="0"/>
              <w:rPr>
                <w:sz w:val="1"/>
                <w:szCs w:val="1"/>
                <w:color w:val="auto"/>
              </w:rPr>
            </w:pPr>
          </w:p>
        </w:tc>
      </w:tr>
      <w:tr>
        <w:trPr>
          <w:trHeight w:val="219"/>
        </w:trPr>
        <w:tc>
          <w:tcPr>
            <w:tcW w:w="4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Residential MBS, Agency &amp; GSEs</w:t>
            </w: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113,191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862,218</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86,308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975,409</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86,836</w:t>
            </w:r>
          </w:p>
        </w:tc>
        <w:tc>
          <w:tcPr>
            <w:tcW w:w="0" w:type="dxa"/>
            <w:vAlign w:val="bottom"/>
          </w:tcPr>
          <w:p>
            <w:pPr>
              <w:spacing w:after="0"/>
              <w:rPr>
                <w:sz w:val="1"/>
                <w:szCs w:val="1"/>
                <w:color w:val="auto"/>
              </w:rPr>
            </w:pPr>
          </w:p>
        </w:tc>
      </w:tr>
      <w:tr>
        <w:trPr>
          <w:trHeight w:val="213"/>
        </w:trPr>
        <w:tc>
          <w:tcPr>
            <w:tcW w:w="41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Residential MBS, Non-Agency</w:t>
            </w: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18,158</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109</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252,188</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13,694</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270,346</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13,803</w:t>
            </w:r>
          </w:p>
        </w:tc>
        <w:tc>
          <w:tcPr>
            <w:tcW w:w="0" w:type="dxa"/>
            <w:vAlign w:val="bottom"/>
          </w:tcPr>
          <w:p>
            <w:pPr>
              <w:spacing w:after="0"/>
              <w:rPr>
                <w:sz w:val="1"/>
                <w:szCs w:val="1"/>
                <w:color w:val="auto"/>
              </w:rPr>
            </w:pPr>
          </w:p>
        </w:tc>
      </w:tr>
      <w:tr>
        <w:trPr>
          <w:trHeight w:val="219"/>
        </w:trPr>
        <w:tc>
          <w:tcPr>
            <w:tcW w:w="4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Commercial MBS, Agency &amp; GSEs</w:t>
            </w: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66,263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357,944</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25,830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424,207</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25,990</w:t>
            </w:r>
          </w:p>
        </w:tc>
        <w:tc>
          <w:tcPr>
            <w:tcW w:w="0" w:type="dxa"/>
            <w:vAlign w:val="bottom"/>
          </w:tcPr>
          <w:p>
            <w:pPr>
              <w:spacing w:after="0"/>
              <w:rPr>
                <w:sz w:val="1"/>
                <w:szCs w:val="1"/>
                <w:color w:val="auto"/>
              </w:rPr>
            </w:pPr>
          </w:p>
        </w:tc>
      </w:tr>
      <w:tr>
        <w:trPr>
          <w:trHeight w:val="213"/>
        </w:trPr>
        <w:tc>
          <w:tcPr>
            <w:tcW w:w="41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Commercial MBS, Non-Agency</w:t>
            </w:r>
          </w:p>
        </w:tc>
        <w:tc>
          <w:tcPr>
            <w:tcW w:w="14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7,849</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116</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7,849</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116</w:t>
            </w:r>
          </w:p>
        </w:tc>
        <w:tc>
          <w:tcPr>
            <w:tcW w:w="0" w:type="dxa"/>
            <w:vAlign w:val="bottom"/>
          </w:tcPr>
          <w:p>
            <w:pPr>
              <w:spacing w:after="0"/>
              <w:rPr>
                <w:sz w:val="1"/>
                <w:szCs w:val="1"/>
                <w:color w:val="auto"/>
              </w:rPr>
            </w:pPr>
          </w:p>
        </w:tc>
      </w:tr>
      <w:tr>
        <w:trPr>
          <w:trHeight w:val="219"/>
        </w:trPr>
        <w:tc>
          <w:tcPr>
            <w:tcW w:w="4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Corporate bonds</w:t>
            </w:r>
          </w:p>
        </w:tc>
        <w:tc>
          <w:tcPr>
            <w:tcW w:w="14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136,424</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6,887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136,424</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6,887</w:t>
            </w:r>
          </w:p>
        </w:tc>
        <w:tc>
          <w:tcPr>
            <w:tcW w:w="0" w:type="dxa"/>
            <w:vAlign w:val="bottom"/>
          </w:tcPr>
          <w:p>
            <w:pPr>
              <w:spacing w:after="0"/>
              <w:rPr>
                <w:sz w:val="1"/>
                <w:szCs w:val="1"/>
                <w:color w:val="auto"/>
              </w:rPr>
            </w:pPr>
          </w:p>
        </w:tc>
      </w:tr>
      <w:tr>
        <w:trPr>
          <w:trHeight w:val="213"/>
        </w:trPr>
        <w:tc>
          <w:tcPr>
            <w:tcW w:w="41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Asset-backed securities</w:t>
            </w:r>
          </w:p>
        </w:tc>
        <w:tc>
          <w:tcPr>
            <w:tcW w:w="1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107,191</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358</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49,406</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695</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156,597</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1,053</w:t>
            </w:r>
          </w:p>
        </w:tc>
        <w:tc>
          <w:tcPr>
            <w:tcW w:w="0" w:type="dxa"/>
            <w:vAlign w:val="bottom"/>
          </w:tcPr>
          <w:p>
            <w:pPr>
              <w:spacing w:after="0"/>
              <w:rPr>
                <w:sz w:val="1"/>
                <w:szCs w:val="1"/>
                <w:color w:val="auto"/>
              </w:rPr>
            </w:pPr>
          </w:p>
        </w:tc>
      </w:tr>
      <w:tr>
        <w:trPr>
          <w:trHeight w:val="237"/>
        </w:trPr>
        <w:tc>
          <w:tcPr>
            <w:tcW w:w="41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Total</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435,591</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1,709</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2,123,528</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160,606</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2,559,119</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162,315</w:t>
            </w:r>
          </w:p>
        </w:tc>
        <w:tc>
          <w:tcPr>
            <w:tcW w:w="0" w:type="dxa"/>
            <w:vAlign w:val="bottom"/>
          </w:tcPr>
          <w:p>
            <w:pPr>
              <w:spacing w:after="0"/>
              <w:rPr>
                <w:sz w:val="1"/>
                <w:szCs w:val="1"/>
                <w:color w:val="auto"/>
              </w:rPr>
            </w:pPr>
          </w:p>
        </w:tc>
      </w:tr>
      <w:tr>
        <w:trPr>
          <w:trHeight w:val="20"/>
        </w:trPr>
        <w:tc>
          <w:tcPr>
            <w:tcW w:w="41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4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41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As of December 31, 2024</w:t>
            </w: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41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U.S. Treasuries</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75,183</w:t>
            </w:r>
          </w:p>
        </w:tc>
        <w:tc>
          <w:tcPr>
            <w:tcW w:w="10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808</w:t>
            </w:r>
          </w:p>
        </w:tc>
        <w:tc>
          <w:tcPr>
            <w:tcW w:w="10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106,036</w:t>
            </w:r>
          </w:p>
        </w:tc>
        <w:tc>
          <w:tcPr>
            <w:tcW w:w="12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8,391</w:t>
            </w:r>
          </w:p>
        </w:tc>
        <w:tc>
          <w:tcPr>
            <w:tcW w:w="10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181,219</w:t>
            </w:r>
          </w:p>
        </w:tc>
        <w:tc>
          <w:tcPr>
            <w:tcW w:w="12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9,199</w:t>
            </w:r>
          </w:p>
        </w:tc>
        <w:tc>
          <w:tcPr>
            <w:tcW w:w="0" w:type="dxa"/>
            <w:vAlign w:val="bottom"/>
          </w:tcPr>
          <w:p>
            <w:pPr>
              <w:spacing w:after="0"/>
              <w:rPr>
                <w:sz w:val="1"/>
                <w:szCs w:val="1"/>
                <w:color w:val="auto"/>
              </w:rPr>
            </w:pPr>
          </w:p>
        </w:tc>
      </w:tr>
      <w:tr>
        <w:trPr>
          <w:trHeight w:val="219"/>
        </w:trPr>
        <w:tc>
          <w:tcPr>
            <w:tcW w:w="4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U.S. Government Agencies &amp; GSEs</w:t>
            </w: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101,964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190,525</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13,592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292,489</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13,980</w:t>
            </w:r>
          </w:p>
        </w:tc>
        <w:tc>
          <w:tcPr>
            <w:tcW w:w="0" w:type="dxa"/>
            <w:vAlign w:val="bottom"/>
          </w:tcPr>
          <w:p>
            <w:pPr>
              <w:spacing w:after="0"/>
              <w:rPr>
                <w:sz w:val="1"/>
                <w:szCs w:val="1"/>
                <w:color w:val="auto"/>
              </w:rPr>
            </w:pPr>
          </w:p>
        </w:tc>
      </w:tr>
      <w:tr>
        <w:trPr>
          <w:trHeight w:val="213"/>
        </w:trPr>
        <w:tc>
          <w:tcPr>
            <w:tcW w:w="41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State and political subdivisions</w:t>
            </w:r>
          </w:p>
        </w:tc>
        <w:tc>
          <w:tcPr>
            <w:tcW w:w="14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157,479</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16,809</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157,479</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16,809</w:t>
            </w:r>
          </w:p>
        </w:tc>
        <w:tc>
          <w:tcPr>
            <w:tcW w:w="0" w:type="dxa"/>
            <w:vAlign w:val="bottom"/>
          </w:tcPr>
          <w:p>
            <w:pPr>
              <w:spacing w:after="0"/>
              <w:rPr>
                <w:sz w:val="1"/>
                <w:szCs w:val="1"/>
                <w:color w:val="auto"/>
              </w:rPr>
            </w:pPr>
          </w:p>
        </w:tc>
      </w:tr>
      <w:tr>
        <w:trPr>
          <w:trHeight w:val="219"/>
        </w:trPr>
        <w:tc>
          <w:tcPr>
            <w:tcW w:w="4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Residential MBS, Agency &amp; GSEs</w:t>
            </w: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773,257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7,593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896,691</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118,240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1,669,948</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125,833</w:t>
            </w:r>
          </w:p>
        </w:tc>
        <w:tc>
          <w:tcPr>
            <w:tcW w:w="0" w:type="dxa"/>
            <w:vAlign w:val="bottom"/>
          </w:tcPr>
          <w:p>
            <w:pPr>
              <w:spacing w:after="0"/>
              <w:rPr>
                <w:sz w:val="1"/>
                <w:szCs w:val="1"/>
                <w:color w:val="auto"/>
              </w:rPr>
            </w:pPr>
          </w:p>
        </w:tc>
      </w:tr>
      <w:tr>
        <w:trPr>
          <w:trHeight w:val="213"/>
        </w:trPr>
        <w:tc>
          <w:tcPr>
            <w:tcW w:w="41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Residential MBS, Non-Agency</w:t>
            </w: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2,788</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98</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281,140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18,292</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283,928</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18,390</w:t>
            </w:r>
          </w:p>
        </w:tc>
        <w:tc>
          <w:tcPr>
            <w:tcW w:w="0" w:type="dxa"/>
            <w:vAlign w:val="bottom"/>
          </w:tcPr>
          <w:p>
            <w:pPr>
              <w:spacing w:after="0"/>
              <w:rPr>
                <w:sz w:val="1"/>
                <w:szCs w:val="1"/>
                <w:color w:val="auto"/>
              </w:rPr>
            </w:pPr>
          </w:p>
        </w:tc>
      </w:tr>
      <w:tr>
        <w:trPr>
          <w:trHeight w:val="219"/>
        </w:trPr>
        <w:tc>
          <w:tcPr>
            <w:tcW w:w="4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Commercial MBS, Agency &amp; GSEs</w:t>
            </w: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226,363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1,733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355,852</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33,510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582,215</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35,243</w:t>
            </w:r>
          </w:p>
        </w:tc>
        <w:tc>
          <w:tcPr>
            <w:tcW w:w="0" w:type="dxa"/>
            <w:vAlign w:val="bottom"/>
          </w:tcPr>
          <w:p>
            <w:pPr>
              <w:spacing w:after="0"/>
              <w:rPr>
                <w:sz w:val="1"/>
                <w:szCs w:val="1"/>
                <w:color w:val="auto"/>
              </w:rPr>
            </w:pPr>
          </w:p>
        </w:tc>
      </w:tr>
      <w:tr>
        <w:trPr>
          <w:trHeight w:val="213"/>
        </w:trPr>
        <w:tc>
          <w:tcPr>
            <w:tcW w:w="41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Commercial MBS, Non-Agency</w:t>
            </w:r>
          </w:p>
        </w:tc>
        <w:tc>
          <w:tcPr>
            <w:tcW w:w="14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12,987</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336</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12,987</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336</w:t>
            </w:r>
          </w:p>
        </w:tc>
        <w:tc>
          <w:tcPr>
            <w:tcW w:w="0" w:type="dxa"/>
            <w:vAlign w:val="bottom"/>
          </w:tcPr>
          <w:p>
            <w:pPr>
              <w:spacing w:after="0"/>
              <w:rPr>
                <w:sz w:val="1"/>
                <w:szCs w:val="1"/>
                <w:color w:val="auto"/>
              </w:rPr>
            </w:pPr>
          </w:p>
        </w:tc>
      </w:tr>
      <w:tr>
        <w:trPr>
          <w:trHeight w:val="219"/>
        </w:trPr>
        <w:tc>
          <w:tcPr>
            <w:tcW w:w="4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Corporate bonds</w:t>
            </w:r>
          </w:p>
        </w:tc>
        <w:tc>
          <w:tcPr>
            <w:tcW w:w="14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150,666</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11,579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150,666</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11,579</w:t>
            </w:r>
          </w:p>
        </w:tc>
        <w:tc>
          <w:tcPr>
            <w:tcW w:w="0" w:type="dxa"/>
            <w:vAlign w:val="bottom"/>
          </w:tcPr>
          <w:p>
            <w:pPr>
              <w:spacing w:after="0"/>
              <w:rPr>
                <w:sz w:val="1"/>
                <w:szCs w:val="1"/>
                <w:color w:val="auto"/>
              </w:rPr>
            </w:pPr>
          </w:p>
        </w:tc>
      </w:tr>
      <w:tr>
        <w:trPr>
          <w:trHeight w:val="213"/>
        </w:trPr>
        <w:tc>
          <w:tcPr>
            <w:tcW w:w="41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Asset-backed securities</w:t>
            </w:r>
          </w:p>
        </w:tc>
        <w:tc>
          <w:tcPr>
            <w:tcW w:w="1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46,870</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98</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64,271</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429</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111,141</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527</w:t>
            </w:r>
          </w:p>
        </w:tc>
        <w:tc>
          <w:tcPr>
            <w:tcW w:w="0" w:type="dxa"/>
            <w:vAlign w:val="bottom"/>
          </w:tcPr>
          <w:p>
            <w:pPr>
              <w:spacing w:after="0"/>
              <w:rPr>
                <w:sz w:val="1"/>
                <w:szCs w:val="1"/>
                <w:color w:val="auto"/>
              </w:rPr>
            </w:pPr>
          </w:p>
        </w:tc>
      </w:tr>
      <w:tr>
        <w:trPr>
          <w:trHeight w:val="237"/>
        </w:trPr>
        <w:tc>
          <w:tcPr>
            <w:tcW w:w="41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Total</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1,226,425</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10,718</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2,215,647</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221,178</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3,442,072</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231,896</w:t>
            </w:r>
          </w:p>
        </w:tc>
        <w:tc>
          <w:tcPr>
            <w:tcW w:w="0" w:type="dxa"/>
            <w:vAlign w:val="bottom"/>
          </w:tcPr>
          <w:p>
            <w:pPr>
              <w:spacing w:after="0"/>
              <w:rPr>
                <w:sz w:val="1"/>
                <w:szCs w:val="1"/>
                <w:color w:val="auto"/>
              </w:rPr>
            </w:pPr>
          </w:p>
        </w:tc>
      </w:tr>
      <w:tr>
        <w:trPr>
          <w:trHeight w:val="20"/>
        </w:trPr>
        <w:tc>
          <w:tcPr>
            <w:tcW w:w="41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At September 30, 2025, there were 506 AFS debt securities and 288 HTM debt securities that were in an unrealized loss position. United does not intend to sell nor does it believe it will be required to sell securities in an unrealized loss position prior to the recovery of their amortized cost basis. Unrealized losses at September 30, 2025 were primarily attributable to changes in interest rates.</w:t>
      </w:r>
    </w:p>
    <w:p>
      <w:pPr>
        <w:spacing w:after="0" w:line="20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At September 30, 2025 and December 31, 2024, the majority of HTM securities were considered to have a zero loss assumption for ACL purposes. For the remaining HTM securities, primarily those issued by state and political subdivisions, calculated credit losses, and, thus, the related ACL were de minimis due to the high credit quality of the portfolio. As a result, no ACL was recorded on the HTM portfolio at September 30, 2025 and December 31, 2024. In addition, based on the assessments performed at September 30, 2025 and December 31, 2024, there was no ACL required related to the AFS portfolio.</w:t>
      </w:r>
    </w:p>
    <w:p>
      <w:pPr>
        <w:spacing w:after="0" w:line="207"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8"/>
          <w:szCs w:val="18"/>
          <w:color w:val="auto"/>
        </w:rPr>
        <w:t>The following table presents accrued interest receivable on HTM and AFS debt securities, which was excluded from the estimate of credit losses, for the periods indicated.</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4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40" w:type="dxa"/>
            <w:vAlign w:val="bottom"/>
            <w:gridSpan w:val="5"/>
          </w:tcPr>
          <w:p>
            <w:pPr>
              <w:ind w:left="720"/>
              <w:spacing w:after="0"/>
              <w:rPr>
                <w:sz w:val="20"/>
                <w:szCs w:val="20"/>
                <w:color w:val="auto"/>
              </w:rPr>
            </w:pPr>
            <w:r>
              <w:rPr>
                <w:rFonts w:ascii="Times New Roman" w:cs="Times New Roman" w:eastAsia="Times New Roman" w:hAnsi="Times New Roman"/>
                <w:sz w:val="16"/>
                <w:szCs w:val="16"/>
                <w:b w:val="1"/>
                <w:bCs w:val="1"/>
                <w:color w:val="auto"/>
              </w:rPr>
              <w:t>Accrued Interest Receivable</w:t>
            </w:r>
          </w:p>
        </w:tc>
      </w:tr>
      <w:tr>
        <w:trPr>
          <w:trHeight w:val="214"/>
        </w:trPr>
        <w:tc>
          <w:tcPr>
            <w:tcW w:w="4820" w:type="dxa"/>
            <w:vAlign w:val="bottom"/>
          </w:tcPr>
          <w:p>
            <w:pPr>
              <w:ind w:left="268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160" w:type="dxa"/>
            <w:vAlign w:val="bottom"/>
            <w:tcBorders>
              <w:top w:val="single" w:sz="8" w:color="auto"/>
            </w:tcBorders>
          </w:tcPr>
          <w:p>
            <w:pPr>
              <w:spacing w:after="0"/>
              <w:rPr>
                <w:sz w:val="18"/>
                <w:szCs w:val="18"/>
                <w:color w:val="auto"/>
              </w:rPr>
            </w:pPr>
          </w:p>
        </w:tc>
        <w:tc>
          <w:tcPr>
            <w:tcW w:w="1740" w:type="dxa"/>
            <w:vAlign w:val="bottom"/>
            <w:tcBorders>
              <w:top w:val="single" w:sz="8" w:color="auto"/>
            </w:tcBorders>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September 30, 2025</w:t>
            </w:r>
          </w:p>
        </w:tc>
        <w:tc>
          <w:tcPr>
            <w:tcW w:w="180" w:type="dxa"/>
            <w:vAlign w:val="bottom"/>
            <w:tcBorders>
              <w:top w:val="single" w:sz="8" w:color="auto"/>
            </w:tcBorders>
          </w:tcPr>
          <w:p>
            <w:pPr>
              <w:spacing w:after="0"/>
              <w:rPr>
                <w:sz w:val="18"/>
                <w:szCs w:val="18"/>
                <w:color w:val="auto"/>
              </w:rPr>
            </w:pPr>
          </w:p>
        </w:tc>
        <w:tc>
          <w:tcPr>
            <w:tcW w:w="1640" w:type="dxa"/>
            <w:vAlign w:val="bottom"/>
            <w:tcBorders>
              <w:top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December 31, 2024</w:t>
            </w:r>
          </w:p>
        </w:tc>
        <w:tc>
          <w:tcPr>
            <w:tcW w:w="2680" w:type="dxa"/>
            <w:vAlign w:val="bottom"/>
          </w:tcPr>
          <w:p>
            <w:pPr>
              <w:spacing w:after="0"/>
              <w:rPr>
                <w:sz w:val="18"/>
                <w:szCs w:val="18"/>
                <w:color w:val="auto"/>
              </w:rPr>
            </w:pPr>
          </w:p>
        </w:tc>
      </w:tr>
      <w:tr>
        <w:trPr>
          <w:trHeight w:val="211"/>
        </w:trPr>
        <w:tc>
          <w:tcPr>
            <w:tcW w:w="4820" w:type="dxa"/>
            <w:vAlign w:val="bottom"/>
            <w:tcBorders>
              <w:top w:val="single" w:sz="8" w:color="CCEEFF"/>
            </w:tcBorders>
            <w:shd w:val="clear" w:color="auto" w:fill="CCEEFF"/>
          </w:tcPr>
          <w:p>
            <w:pPr>
              <w:ind w:left="2780"/>
              <w:spacing w:after="0"/>
              <w:rPr>
                <w:sz w:val="20"/>
                <w:szCs w:val="20"/>
                <w:color w:val="auto"/>
              </w:rPr>
            </w:pPr>
            <w:r>
              <w:rPr>
                <w:rFonts w:ascii="Times New Roman" w:cs="Times New Roman" w:eastAsia="Times New Roman" w:hAnsi="Times New Roman"/>
                <w:sz w:val="16"/>
                <w:szCs w:val="16"/>
                <w:color w:val="auto"/>
              </w:rPr>
              <w:t>HTM</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5,292</w:t>
            </w:r>
          </w:p>
        </w:tc>
        <w:tc>
          <w:tcPr>
            <w:tcW w:w="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5,763</w:t>
            </w:r>
          </w:p>
        </w:tc>
        <w:tc>
          <w:tcPr>
            <w:tcW w:w="2680" w:type="dxa"/>
            <w:vAlign w:val="bottom"/>
            <w:tcBorders>
              <w:top w:val="single" w:sz="8" w:color="CCEEFF"/>
            </w:tcBorders>
            <w:shd w:val="clear" w:color="auto" w:fill="CCEEFF"/>
          </w:tcPr>
          <w:p>
            <w:pPr>
              <w:spacing w:after="0"/>
              <w:rPr>
                <w:sz w:val="18"/>
                <w:szCs w:val="18"/>
                <w:color w:val="auto"/>
              </w:rPr>
            </w:pPr>
          </w:p>
        </w:tc>
      </w:tr>
      <w:tr>
        <w:trPr>
          <w:trHeight w:val="210"/>
        </w:trPr>
        <w:tc>
          <w:tcPr>
            <w:tcW w:w="4820" w:type="dxa"/>
            <w:vAlign w:val="bottom"/>
          </w:tcPr>
          <w:p>
            <w:pPr>
              <w:ind w:left="2780"/>
              <w:spacing w:after="0"/>
              <w:rPr>
                <w:sz w:val="20"/>
                <w:szCs w:val="20"/>
                <w:color w:val="auto"/>
              </w:rPr>
            </w:pPr>
            <w:r>
              <w:rPr>
                <w:rFonts w:ascii="Times New Roman" w:cs="Times New Roman" w:eastAsia="Times New Roman" w:hAnsi="Times New Roman"/>
                <w:sz w:val="16"/>
                <w:szCs w:val="16"/>
                <w:color w:val="auto"/>
              </w:rPr>
              <w:t>AFS</w:t>
            </w:r>
          </w:p>
        </w:tc>
        <w:tc>
          <w:tcPr>
            <w:tcW w:w="16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17,122</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18,201</w:t>
            </w:r>
          </w:p>
        </w:tc>
        <w:tc>
          <w:tcPr>
            <w:tcW w:w="2680" w:type="dxa"/>
            <w:vAlign w:val="bottom"/>
          </w:tcPr>
          <w:p>
            <w:pPr>
              <w:spacing w:after="0"/>
              <w:rPr>
                <w:sz w:val="18"/>
                <w:szCs w:val="18"/>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4" w:name="page15"/>
    <w:bookmarkEnd w:id="14"/>
    <w:p>
      <w:pPr>
        <w:jc w:val="center"/>
        <w:spacing w:after="0"/>
        <w:rPr>
          <w:sz w:val="20"/>
          <w:szCs w:val="20"/>
          <w:color w:val="auto"/>
        </w:rPr>
      </w:pPr>
      <w:r>
        <w:rPr>
          <w:rFonts w:ascii="Times New Roman" w:cs="Times New Roman" w:eastAsia="Times New Roman" w:hAnsi="Times New Roman"/>
          <w:sz w:val="18"/>
          <w:szCs w:val="18"/>
          <w:b w:val="1"/>
          <w:bCs w:val="1"/>
          <w:color w:val="auto"/>
        </w:rPr>
        <w:t>UNITED COMMUNITY BANKS,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amortized cost and fair value of AFS and HTM debt securities at September 30, 2025, by contractual maturity, are presented in the following table.</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42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860" w:type="dxa"/>
            <w:vAlign w:val="bottom"/>
            <w:tcBorders>
              <w:bottom w:val="single" w:sz="8" w:color="auto"/>
            </w:tcBorders>
            <w:gridSpan w:val="3"/>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AFS</w:t>
            </w:r>
          </w:p>
        </w:tc>
        <w:tc>
          <w:tcPr>
            <w:tcW w:w="138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880" w:type="dxa"/>
            <w:vAlign w:val="bottom"/>
            <w:tcBorders>
              <w:bottom w:val="single" w:sz="8" w:color="auto"/>
            </w:tcBorders>
            <w:gridSpan w:val="3"/>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HTM</w:t>
            </w:r>
          </w:p>
        </w:tc>
        <w:tc>
          <w:tcPr>
            <w:tcW w:w="1360" w:type="dxa"/>
            <w:vAlign w:val="bottom"/>
            <w:tcBorders>
              <w:bottom w:val="single" w:sz="8" w:color="auto"/>
            </w:tcBorders>
          </w:tcPr>
          <w:p>
            <w:pPr>
              <w:spacing w:after="0"/>
              <w:rPr>
                <w:sz w:val="18"/>
                <w:szCs w:val="18"/>
                <w:color w:val="auto"/>
              </w:rPr>
            </w:pPr>
          </w:p>
        </w:tc>
      </w:tr>
      <w:tr>
        <w:trPr>
          <w:trHeight w:val="214"/>
        </w:trPr>
        <w:tc>
          <w:tcPr>
            <w:tcW w:w="4280" w:type="dxa"/>
            <w:vAlign w:val="bottom"/>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180" w:type="dxa"/>
            <w:vAlign w:val="bottom"/>
          </w:tcPr>
          <w:p>
            <w:pPr>
              <w:spacing w:after="0"/>
              <w:rPr>
                <w:sz w:val="18"/>
                <w:szCs w:val="18"/>
                <w:color w:val="auto"/>
              </w:rPr>
            </w:pPr>
          </w:p>
        </w:tc>
        <w:tc>
          <w:tcPr>
            <w:tcW w:w="1580" w:type="dxa"/>
            <w:vAlign w:val="bottom"/>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Amortized Cost</w:t>
            </w:r>
          </w:p>
        </w:tc>
        <w:tc>
          <w:tcPr>
            <w:tcW w:w="280" w:type="dxa"/>
            <w:vAlign w:val="bottom"/>
          </w:tcPr>
          <w:p>
            <w:pPr>
              <w:spacing w:after="0"/>
              <w:rPr>
                <w:sz w:val="18"/>
                <w:szCs w:val="18"/>
                <w:color w:val="auto"/>
              </w:rPr>
            </w:pPr>
          </w:p>
        </w:tc>
        <w:tc>
          <w:tcPr>
            <w:tcW w:w="1380" w:type="dxa"/>
            <w:vAlign w:val="bottom"/>
          </w:tcPr>
          <w:p>
            <w:pPr>
              <w:jc w:val="right"/>
              <w:ind w:right="379"/>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80" w:type="dxa"/>
            <w:vAlign w:val="bottom"/>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Amortized Cost</w:t>
            </w:r>
          </w:p>
        </w:tc>
        <w:tc>
          <w:tcPr>
            <w:tcW w:w="300" w:type="dxa"/>
            <w:vAlign w:val="bottom"/>
          </w:tcPr>
          <w:p>
            <w:pPr>
              <w:spacing w:after="0"/>
              <w:rPr>
                <w:sz w:val="18"/>
                <w:szCs w:val="18"/>
                <w:color w:val="auto"/>
              </w:rPr>
            </w:pPr>
          </w:p>
        </w:tc>
        <w:tc>
          <w:tcPr>
            <w:tcW w:w="1360" w:type="dxa"/>
            <w:vAlign w:val="bottom"/>
          </w:tcPr>
          <w:p>
            <w:pPr>
              <w:jc w:val="right"/>
              <w:ind w:right="379"/>
              <w:spacing w:after="0"/>
              <w:rPr>
                <w:sz w:val="20"/>
                <w:szCs w:val="20"/>
                <w:color w:val="auto"/>
              </w:rPr>
            </w:pPr>
            <w:r>
              <w:rPr>
                <w:rFonts w:ascii="Times New Roman" w:cs="Times New Roman" w:eastAsia="Times New Roman" w:hAnsi="Times New Roman"/>
                <w:sz w:val="16"/>
                <w:szCs w:val="16"/>
                <w:b w:val="1"/>
                <w:bCs w:val="1"/>
                <w:color w:val="auto"/>
              </w:rPr>
              <w:t>Fair Value</w:t>
            </w:r>
          </w:p>
        </w:tc>
      </w:tr>
      <w:tr>
        <w:trPr>
          <w:trHeight w:val="198"/>
        </w:trPr>
        <w:tc>
          <w:tcPr>
            <w:tcW w:w="42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Within 1 year:</w:t>
            </w:r>
          </w:p>
        </w:tc>
        <w:tc>
          <w:tcPr>
            <w:tcW w:w="180" w:type="dxa"/>
            <w:vAlign w:val="bottom"/>
            <w:tcBorders>
              <w:top w:val="single" w:sz="8" w:color="auto"/>
            </w:tcBorders>
            <w:shd w:val="clear" w:color="auto" w:fill="CCEEFF"/>
          </w:tcPr>
          <w:p>
            <w:pPr>
              <w:spacing w:after="0"/>
              <w:rPr>
                <w:sz w:val="17"/>
                <w:szCs w:val="17"/>
                <w:color w:val="auto"/>
              </w:rPr>
            </w:pPr>
          </w:p>
        </w:tc>
        <w:tc>
          <w:tcPr>
            <w:tcW w:w="14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138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4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1360" w:type="dxa"/>
            <w:vAlign w:val="bottom"/>
            <w:tcBorders>
              <w:top w:val="single" w:sz="8" w:color="auto"/>
            </w:tcBorders>
            <w:shd w:val="clear" w:color="auto" w:fill="CCEEFF"/>
          </w:tcPr>
          <w:p>
            <w:pPr>
              <w:spacing w:after="0"/>
              <w:rPr>
                <w:sz w:val="17"/>
                <w:szCs w:val="17"/>
                <w:color w:val="auto"/>
              </w:rPr>
            </w:pPr>
          </w:p>
        </w:tc>
      </w:tr>
      <w:tr>
        <w:trPr>
          <w:trHeight w:val="213"/>
        </w:trPr>
        <w:tc>
          <w:tcPr>
            <w:tcW w:w="42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U.S. Treasuries</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199,084</w:t>
            </w:r>
          </w:p>
        </w:tc>
        <w:tc>
          <w:tcPr>
            <w:tcW w:w="100" w:type="dxa"/>
            <w:vAlign w:val="bottom"/>
          </w:tcPr>
          <w:p>
            <w:pPr>
              <w:spacing w:after="0"/>
              <w:rPr>
                <w:sz w:val="18"/>
                <w:szCs w:val="18"/>
                <w:color w:val="auto"/>
              </w:rPr>
            </w:pP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198,742</w:t>
            </w:r>
          </w:p>
        </w:tc>
        <w:tc>
          <w:tcPr>
            <w:tcW w:w="12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9"/>
        </w:trPr>
        <w:tc>
          <w:tcPr>
            <w:tcW w:w="42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U.S. Government Agencies &amp; GSEs</w:t>
            </w:r>
          </w:p>
        </w:tc>
        <w:tc>
          <w:tcPr>
            <w:tcW w:w="1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11,818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11,536</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42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State and political subdivisions</w:t>
            </w:r>
          </w:p>
        </w:tc>
        <w:tc>
          <w:tcPr>
            <w:tcW w:w="1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2,206</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2,190</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2,500</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2,503</w:t>
            </w:r>
          </w:p>
        </w:tc>
      </w:tr>
      <w:tr>
        <w:trPr>
          <w:trHeight w:val="216"/>
        </w:trPr>
        <w:tc>
          <w:tcPr>
            <w:tcW w:w="42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Corporate bonds</w:t>
            </w:r>
          </w:p>
        </w:tc>
        <w:tc>
          <w:tcPr>
            <w:tcW w:w="18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20,155</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19,807</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9"/>
        </w:trPr>
        <w:tc>
          <w:tcPr>
            <w:tcW w:w="42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233,263</w:t>
            </w:r>
          </w:p>
        </w:tc>
        <w:tc>
          <w:tcPr>
            <w:tcW w:w="10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232,275</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2,500</w:t>
            </w:r>
          </w:p>
        </w:tc>
        <w:tc>
          <w:tcPr>
            <w:tcW w:w="10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2,503</w:t>
            </w:r>
          </w:p>
        </w:tc>
      </w:tr>
      <w:tr>
        <w:trPr>
          <w:trHeight w:val="219"/>
        </w:trPr>
        <w:tc>
          <w:tcPr>
            <w:tcW w:w="4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1 to 5 years:</w:t>
            </w:r>
          </w:p>
        </w:tc>
        <w:tc>
          <w:tcPr>
            <w:tcW w:w="18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r>
      <w:tr>
        <w:trPr>
          <w:trHeight w:val="213"/>
        </w:trPr>
        <w:tc>
          <w:tcPr>
            <w:tcW w:w="42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U.S. Treasuries</w:t>
            </w:r>
          </w:p>
        </w:tc>
        <w:tc>
          <w:tcPr>
            <w:tcW w:w="1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215,426</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212,016</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19,919</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18,880</w:t>
            </w:r>
          </w:p>
        </w:tc>
      </w:tr>
      <w:tr>
        <w:trPr>
          <w:trHeight w:val="219"/>
        </w:trPr>
        <w:tc>
          <w:tcPr>
            <w:tcW w:w="42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U.S. Government Agencies &amp; GSEs</w:t>
            </w:r>
          </w:p>
        </w:tc>
        <w:tc>
          <w:tcPr>
            <w:tcW w:w="1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45,691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42,517</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42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State and political subdivisions</w:t>
            </w:r>
          </w:p>
        </w:tc>
        <w:tc>
          <w:tcPr>
            <w:tcW w:w="1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35,809</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33,711</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35,375</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33,543</w:t>
            </w:r>
          </w:p>
        </w:tc>
      </w:tr>
      <w:tr>
        <w:trPr>
          <w:trHeight w:val="216"/>
        </w:trPr>
        <w:tc>
          <w:tcPr>
            <w:tcW w:w="42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Corporate bonds</w:t>
            </w:r>
          </w:p>
        </w:tc>
        <w:tc>
          <w:tcPr>
            <w:tcW w:w="18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108,250</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103,192</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9"/>
        </w:trPr>
        <w:tc>
          <w:tcPr>
            <w:tcW w:w="42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405,176</w:t>
            </w:r>
          </w:p>
        </w:tc>
        <w:tc>
          <w:tcPr>
            <w:tcW w:w="10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391,436</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55,294</w:t>
            </w:r>
          </w:p>
        </w:tc>
        <w:tc>
          <w:tcPr>
            <w:tcW w:w="10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52,423</w:t>
            </w:r>
          </w:p>
        </w:tc>
      </w:tr>
      <w:tr>
        <w:trPr>
          <w:trHeight w:val="219"/>
        </w:trPr>
        <w:tc>
          <w:tcPr>
            <w:tcW w:w="4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5 to 10 years:</w:t>
            </w:r>
          </w:p>
        </w:tc>
        <w:tc>
          <w:tcPr>
            <w:tcW w:w="18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r>
      <w:tr>
        <w:trPr>
          <w:trHeight w:val="213"/>
        </w:trPr>
        <w:tc>
          <w:tcPr>
            <w:tcW w:w="42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U.S. Government Agencies &amp; GSEs</w:t>
            </w:r>
          </w:p>
        </w:tc>
        <w:tc>
          <w:tcPr>
            <w:tcW w:w="1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154,423</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149,049</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75,003</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66,898</w:t>
            </w:r>
          </w:p>
        </w:tc>
      </w:tr>
      <w:tr>
        <w:trPr>
          <w:trHeight w:val="219"/>
        </w:trPr>
        <w:tc>
          <w:tcPr>
            <w:tcW w:w="42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State and political subdivisions</w:t>
            </w:r>
          </w:p>
        </w:tc>
        <w:tc>
          <w:tcPr>
            <w:tcW w:w="1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72,791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65,897</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80,289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69,608</w:t>
            </w:r>
          </w:p>
        </w:tc>
      </w:tr>
      <w:tr>
        <w:trPr>
          <w:trHeight w:val="213"/>
        </w:trPr>
        <w:tc>
          <w:tcPr>
            <w:tcW w:w="42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Corporate bonds</w:t>
            </w:r>
          </w:p>
        </w:tc>
        <w:tc>
          <w:tcPr>
            <w:tcW w:w="1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16,813</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15,345</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6"/>
        </w:trPr>
        <w:tc>
          <w:tcPr>
            <w:tcW w:w="42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Supranational entities</w:t>
            </w:r>
          </w:p>
        </w:tc>
        <w:tc>
          <w:tcPr>
            <w:tcW w:w="18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15,000</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13,061</w:t>
            </w:r>
          </w:p>
        </w:tc>
      </w:tr>
      <w:tr>
        <w:trPr>
          <w:trHeight w:val="209"/>
        </w:trPr>
        <w:tc>
          <w:tcPr>
            <w:tcW w:w="42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244,027</w:t>
            </w:r>
          </w:p>
        </w:tc>
        <w:tc>
          <w:tcPr>
            <w:tcW w:w="10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230,291</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170,292</w:t>
            </w:r>
          </w:p>
        </w:tc>
        <w:tc>
          <w:tcPr>
            <w:tcW w:w="10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149,567</w:t>
            </w:r>
          </w:p>
        </w:tc>
      </w:tr>
      <w:tr>
        <w:trPr>
          <w:trHeight w:val="219"/>
        </w:trPr>
        <w:tc>
          <w:tcPr>
            <w:tcW w:w="4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More than 10 years:</w:t>
            </w:r>
          </w:p>
        </w:tc>
        <w:tc>
          <w:tcPr>
            <w:tcW w:w="18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r>
      <w:tr>
        <w:trPr>
          <w:trHeight w:val="213"/>
        </w:trPr>
        <w:tc>
          <w:tcPr>
            <w:tcW w:w="42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U.S. Government Agencies &amp; GSEs</w:t>
            </w:r>
          </w:p>
        </w:tc>
        <w:tc>
          <w:tcPr>
            <w:tcW w:w="1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80,239</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77,819</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23,780</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20,172</w:t>
            </w:r>
          </w:p>
        </w:tc>
      </w:tr>
      <w:tr>
        <w:trPr>
          <w:trHeight w:val="216"/>
        </w:trPr>
        <w:tc>
          <w:tcPr>
            <w:tcW w:w="42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State and political subdivisions</w:t>
            </w:r>
          </w:p>
        </w:tc>
        <w:tc>
          <w:tcPr>
            <w:tcW w:w="18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56,177</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53,599</w:t>
            </w:r>
          </w:p>
        </w:tc>
        <w:tc>
          <w:tcPr>
            <w:tcW w:w="1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167,109</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133,334</w:t>
            </w:r>
          </w:p>
        </w:tc>
      </w:tr>
      <w:tr>
        <w:trPr>
          <w:trHeight w:val="209"/>
        </w:trPr>
        <w:tc>
          <w:tcPr>
            <w:tcW w:w="4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136,416</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131,418</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190,889</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153,506</w:t>
            </w:r>
          </w:p>
        </w:tc>
      </w:tr>
      <w:tr>
        <w:trPr>
          <w:trHeight w:val="219"/>
        </w:trPr>
        <w:tc>
          <w:tcPr>
            <w:tcW w:w="4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Debt securities not due at a single maturity date:</w:t>
            </w:r>
          </w:p>
        </w:tc>
        <w:tc>
          <w:tcPr>
            <w:tcW w:w="18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r>
      <w:tr>
        <w:trPr>
          <w:trHeight w:val="213"/>
        </w:trPr>
        <w:tc>
          <w:tcPr>
            <w:tcW w:w="42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Asset-backed securities</w:t>
            </w:r>
          </w:p>
        </w:tc>
        <w:tc>
          <w:tcPr>
            <w:tcW w:w="1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298,532</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297,775</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9"/>
        </w:trPr>
        <w:tc>
          <w:tcPr>
            <w:tcW w:w="4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Residential MBS</w:t>
            </w:r>
          </w:p>
        </w:tc>
        <w:tc>
          <w:tcPr>
            <w:tcW w:w="1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1,958,171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1,863,040</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1,206,009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1,033,487</w:t>
            </w:r>
          </w:p>
        </w:tc>
      </w:tr>
      <w:tr>
        <w:trPr>
          <w:trHeight w:val="213"/>
        </w:trPr>
        <w:tc>
          <w:tcPr>
            <w:tcW w:w="42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Commercial MBS</w:t>
            </w:r>
          </w:p>
        </w:tc>
        <w:tc>
          <w:tcPr>
            <w:tcW w:w="18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764,487</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743,028</w:t>
            </w: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649,115</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545,567</w:t>
            </w:r>
          </w:p>
        </w:tc>
      </w:tr>
      <w:tr>
        <w:trPr>
          <w:trHeight w:val="212"/>
        </w:trPr>
        <w:tc>
          <w:tcPr>
            <w:tcW w:w="4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3,021,190</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2,903,843</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1,855,124</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1,579,054</w:t>
            </w:r>
          </w:p>
        </w:tc>
      </w:tr>
      <w:tr>
        <w:trPr>
          <w:trHeight w:val="216"/>
        </w:trPr>
        <w:tc>
          <w:tcPr>
            <w:tcW w:w="42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spacing w:after="0"/>
              <w:rPr>
                <w:sz w:val="18"/>
                <w:szCs w:val="18"/>
                <w:color w:val="auto"/>
              </w:rPr>
            </w:pPr>
          </w:p>
        </w:tc>
      </w:tr>
      <w:tr>
        <w:trPr>
          <w:trHeight w:val="234"/>
        </w:trPr>
        <w:tc>
          <w:tcPr>
            <w:tcW w:w="4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4,040,072</w:t>
            </w: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3,889,263</w:t>
            </w: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2,274,099</w:t>
            </w: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1,937,053</w:t>
            </w:r>
          </w:p>
        </w:tc>
      </w:tr>
      <w:tr>
        <w:trPr>
          <w:trHeight w:val="20"/>
        </w:trPr>
        <w:tc>
          <w:tcPr>
            <w:tcW w:w="42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Expected maturities may differ from contractual maturities because issuers and borrowers may have the right to call or prepay obligations.</w:t>
      </w:r>
    </w:p>
    <w:p>
      <w:pPr>
        <w:spacing w:after="0" w:line="25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Realized gains and losses are derived using the specific identification method for determining the cost of securities sold. The following table summarizes AFS securities sales activity for the three and nine months ended September 30, 2025 and 2024</w:t>
      </w:r>
      <w:r>
        <w:rPr>
          <w:rFonts w:ascii="Times New Roman" w:cs="Times New Roman" w:eastAsia="Times New Roman" w:hAnsi="Times New Roman"/>
          <w:sz w:val="18"/>
          <w:szCs w:val="18"/>
          <w:i w:val="1"/>
          <w:iCs w:val="1"/>
          <w:color w:val="auto"/>
        </w:rPr>
        <w:t>.</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860" w:type="dxa"/>
            <w:vAlign w:val="bottom"/>
          </w:tcPr>
          <w:p>
            <w:pPr>
              <w:spacing w:after="0"/>
              <w:rPr>
                <w:sz w:val="16"/>
                <w:szCs w:val="16"/>
                <w:color w:val="auto"/>
              </w:rPr>
            </w:pPr>
          </w:p>
        </w:tc>
        <w:tc>
          <w:tcPr>
            <w:tcW w:w="2700" w:type="dxa"/>
            <w:vAlign w:val="bottom"/>
            <w:gridSpan w:val="4"/>
          </w:tcPr>
          <w:p>
            <w:pPr>
              <w:jc w:val="right"/>
              <w:ind w:right="319"/>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780" w:type="dxa"/>
            <w:vAlign w:val="bottom"/>
            <w:gridSpan w:val="4"/>
          </w:tcPr>
          <w:p>
            <w:pPr>
              <w:jc w:val="right"/>
              <w:ind w:right="799"/>
              <w:spacing w:after="0"/>
              <w:rPr>
                <w:sz w:val="20"/>
                <w:szCs w:val="20"/>
                <w:color w:val="auto"/>
              </w:rPr>
            </w:pPr>
            <w:r>
              <w:rPr>
                <w:rFonts w:ascii="Times New Roman" w:cs="Times New Roman" w:eastAsia="Times New Roman" w:hAnsi="Times New Roman"/>
                <w:sz w:val="16"/>
                <w:szCs w:val="16"/>
                <w:b w:val="1"/>
                <w:bCs w:val="1"/>
                <w:color w:val="auto"/>
              </w:rPr>
              <w:t>Nine Months Ended</w:t>
            </w:r>
          </w:p>
        </w:tc>
      </w:tr>
      <w:tr>
        <w:trPr>
          <w:trHeight w:val="212"/>
        </w:trPr>
        <w:tc>
          <w:tcPr>
            <w:tcW w:w="4860" w:type="dxa"/>
            <w:vAlign w:val="bottom"/>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1780" w:type="dxa"/>
            <w:vAlign w:val="bottom"/>
            <w:tcBorders>
              <w:bottom w:val="single" w:sz="8" w:color="auto"/>
            </w:tcBorders>
            <w:gridSpan w:val="3"/>
          </w:tcPr>
          <w:p>
            <w:pPr>
              <w:jc w:val="right"/>
              <w:ind w:right="579"/>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42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7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1000" w:type="dxa"/>
            <w:vAlign w:val="bottom"/>
            <w:tcBorders>
              <w:bottom w:val="single" w:sz="8" w:color="auto"/>
            </w:tcBorders>
          </w:tcPr>
          <w:p>
            <w:pPr>
              <w:spacing w:after="0"/>
              <w:rPr>
                <w:sz w:val="18"/>
                <w:szCs w:val="18"/>
                <w:color w:val="auto"/>
              </w:rPr>
            </w:pPr>
          </w:p>
        </w:tc>
      </w:tr>
      <w:tr>
        <w:trPr>
          <w:trHeight w:val="211"/>
        </w:trPr>
        <w:tc>
          <w:tcPr>
            <w:tcW w:w="48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2025</w:t>
            </w:r>
          </w:p>
        </w:tc>
        <w:tc>
          <w:tcPr>
            <w:tcW w:w="58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08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2024</w:t>
            </w:r>
          </w:p>
        </w:tc>
        <w:tc>
          <w:tcPr>
            <w:tcW w:w="42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51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Borders>
              <w:bottom w:val="single" w:sz="8" w:color="CCEEFF"/>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519"/>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236"/>
        </w:trPr>
        <w:tc>
          <w:tcPr>
            <w:tcW w:w="4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Proceeds from sales</w:t>
            </w:r>
          </w:p>
        </w:tc>
        <w:tc>
          <w:tcPr>
            <w:tcW w:w="920" w:type="dxa"/>
            <w:vAlign w:val="bottom"/>
            <w:tcBorders>
              <w:bottom w:val="single" w:sz="8" w:color="auto"/>
            </w:tcBorders>
            <w:shd w:val="clear" w:color="auto" w:fill="CCEEFF"/>
          </w:tcPr>
          <w:p>
            <w:pPr>
              <w:jc w:val="right"/>
              <w:ind w:right="739"/>
              <w:spacing w:after="0"/>
              <w:rPr>
                <w:sz w:val="20"/>
                <w:szCs w:val="20"/>
                <w:color w:val="auto"/>
              </w:rPr>
            </w:pPr>
            <w:r>
              <w:rPr>
                <w:rFonts w:ascii="Times New Roman" w:cs="Times New Roman" w:eastAsia="Times New Roman" w:hAnsi="Times New Roman"/>
                <w:sz w:val="16"/>
                <w:szCs w:val="16"/>
                <w:color w:val="auto"/>
                <w:w w:val="99"/>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6"/>
              </w:rPr>
              <w:t>158,989</w:t>
            </w:r>
          </w:p>
        </w:tc>
        <w:tc>
          <w:tcPr>
            <w:tcW w:w="12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auto"/>
            </w:tcBorders>
            <w:shd w:val="clear" w:color="auto" w:fill="CCEEFF"/>
          </w:tcPr>
          <w:p>
            <w:pPr>
              <w:jc w:val="right"/>
              <w:ind w:right="899"/>
              <w:spacing w:after="0"/>
              <w:rPr>
                <w:sz w:val="20"/>
                <w:szCs w:val="20"/>
                <w:color w:val="auto"/>
              </w:rPr>
            </w:pPr>
            <w:r>
              <w:rPr>
                <w:rFonts w:ascii="Times New Roman" w:cs="Times New Roman" w:eastAsia="Times New Roman" w:hAnsi="Times New Roman"/>
                <w:sz w:val="16"/>
                <w:szCs w:val="16"/>
                <w:color w:val="auto"/>
                <w:w w:val="99"/>
              </w:rPr>
              <w:t>$</w:t>
            </w:r>
          </w:p>
        </w:tc>
        <w:tc>
          <w:tcPr>
            <w:tcW w:w="420" w:type="dxa"/>
            <w:vAlign w:val="bottom"/>
            <w:tcBorders>
              <w:bottom w:val="single" w:sz="8" w:color="auto"/>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417,898</w:t>
            </w:r>
          </w:p>
        </w:tc>
        <w:tc>
          <w:tcPr>
            <w:tcW w:w="10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auto"/>
            </w:tcBorders>
            <w:shd w:val="clear" w:color="auto" w:fill="CCEEFF"/>
          </w:tcPr>
          <w:p>
            <w:pPr>
              <w:jc w:val="right"/>
              <w:ind w:right="33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647</w:t>
            </w:r>
          </w:p>
        </w:tc>
      </w:tr>
      <w:tr>
        <w:trPr>
          <w:trHeight w:val="20"/>
        </w:trPr>
        <w:tc>
          <w:tcPr>
            <w:tcW w:w="486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r>
        <w:trPr>
          <w:trHeight w:val="163"/>
        </w:trPr>
        <w:tc>
          <w:tcPr>
            <w:tcW w:w="48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216"/>
        </w:trPr>
        <w:tc>
          <w:tcPr>
            <w:tcW w:w="4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Gross realized gains</w:t>
            </w:r>
          </w:p>
        </w:tc>
        <w:tc>
          <w:tcPr>
            <w:tcW w:w="920" w:type="dxa"/>
            <w:vAlign w:val="bottom"/>
            <w:shd w:val="clear" w:color="auto" w:fill="CCEEFF"/>
          </w:tcPr>
          <w:p>
            <w:pPr>
              <w:jc w:val="right"/>
              <w:ind w:right="739"/>
              <w:spacing w:after="0"/>
              <w:rPr>
                <w:sz w:val="20"/>
                <w:szCs w:val="20"/>
                <w:color w:val="auto"/>
              </w:rPr>
            </w:pPr>
            <w:r>
              <w:rPr>
                <w:rFonts w:ascii="Times New Roman" w:cs="Times New Roman" w:eastAsia="Times New Roman" w:hAnsi="Times New Roman"/>
                <w:sz w:val="16"/>
                <w:szCs w:val="16"/>
                <w:color w:val="auto"/>
                <w:w w:val="99"/>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439</w:t>
            </w: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899"/>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960</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ind w:right="33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48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Gross realized losses</w:t>
            </w:r>
          </w:p>
        </w:tc>
        <w:tc>
          <w:tcPr>
            <w:tcW w:w="9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(390)</w:t>
            </w: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540" w:type="dxa"/>
            <w:vAlign w:val="bottom"/>
            <w:gridSpan w:val="2"/>
          </w:tcPr>
          <w:p>
            <w:pPr>
              <w:ind w:left="18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(619)</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37"/>
        </w:trPr>
        <w:tc>
          <w:tcPr>
            <w:tcW w:w="4860" w:type="dxa"/>
            <w:vAlign w:val="bottom"/>
            <w:tcBorders>
              <w:top w:val="single" w:sz="8" w:color="CCEEFF"/>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Securities gains, net</w:t>
            </w:r>
          </w:p>
        </w:tc>
        <w:tc>
          <w:tcPr>
            <w:tcW w:w="920" w:type="dxa"/>
            <w:vAlign w:val="bottom"/>
            <w:tcBorders>
              <w:top w:val="single" w:sz="8" w:color="auto"/>
              <w:bottom w:val="single" w:sz="8" w:color="auto"/>
            </w:tcBorders>
            <w:shd w:val="clear" w:color="auto" w:fill="CCEEFF"/>
          </w:tcPr>
          <w:p>
            <w:pPr>
              <w:jc w:val="right"/>
              <w:ind w:right="739"/>
              <w:spacing w:after="0"/>
              <w:rPr>
                <w:sz w:val="20"/>
                <w:szCs w:val="20"/>
                <w:color w:val="auto"/>
              </w:rPr>
            </w:pPr>
            <w:r>
              <w:rPr>
                <w:rFonts w:ascii="Times New Roman" w:cs="Times New Roman" w:eastAsia="Times New Roman" w:hAnsi="Times New Roman"/>
                <w:sz w:val="16"/>
                <w:szCs w:val="16"/>
                <w:color w:val="auto"/>
                <w:w w:val="99"/>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080" w:type="dxa"/>
            <w:vAlign w:val="bottom"/>
            <w:tcBorders>
              <w:top w:val="single" w:sz="8" w:color="auto"/>
              <w:bottom w:val="single" w:sz="8" w:color="auto"/>
            </w:tcBorders>
            <w:shd w:val="clear" w:color="auto" w:fill="CCEEFF"/>
          </w:tcPr>
          <w:p>
            <w:pPr>
              <w:jc w:val="right"/>
              <w:ind w:right="899"/>
              <w:spacing w:after="0"/>
              <w:rPr>
                <w:sz w:val="20"/>
                <w:szCs w:val="20"/>
                <w:color w:val="auto"/>
              </w:rPr>
            </w:pPr>
            <w:r>
              <w:rPr>
                <w:rFonts w:ascii="Times New Roman" w:cs="Times New Roman" w:eastAsia="Times New Roman" w:hAnsi="Times New Roman"/>
                <w:sz w:val="16"/>
                <w:szCs w:val="16"/>
                <w:color w:val="auto"/>
                <w:w w:val="99"/>
              </w:rPr>
              <w:t>$</w:t>
            </w:r>
          </w:p>
        </w:tc>
        <w:tc>
          <w:tcPr>
            <w:tcW w:w="420" w:type="dxa"/>
            <w:vAlign w:val="bottom"/>
            <w:tcBorders>
              <w:top w:val="single" w:sz="8" w:color="auto"/>
              <w:bottom w:val="single" w:sz="8" w:color="auto"/>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360" w:type="dxa"/>
            <w:vAlign w:val="bottom"/>
            <w:tcBorders>
              <w:top w:val="single" w:sz="8" w:color="auto"/>
              <w:bottom w:val="single" w:sz="8" w:color="auto"/>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341</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520" w:type="dxa"/>
            <w:vAlign w:val="bottom"/>
            <w:tcBorders>
              <w:top w:val="single" w:sz="8" w:color="auto"/>
              <w:bottom w:val="single" w:sz="8" w:color="auto"/>
            </w:tcBorders>
            <w:shd w:val="clear" w:color="auto" w:fill="CCEEFF"/>
          </w:tcPr>
          <w:p>
            <w:pPr>
              <w:jc w:val="right"/>
              <w:ind w:right="33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
        </w:trPr>
        <w:tc>
          <w:tcPr>
            <w:tcW w:w="486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r>
        <w:trPr>
          <w:trHeight w:val="163"/>
        </w:trPr>
        <w:tc>
          <w:tcPr>
            <w:tcW w:w="48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236"/>
        </w:trPr>
        <w:tc>
          <w:tcPr>
            <w:tcW w:w="4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tax expense attributable to sales</w:t>
            </w:r>
          </w:p>
        </w:tc>
        <w:tc>
          <w:tcPr>
            <w:tcW w:w="920" w:type="dxa"/>
            <w:vAlign w:val="bottom"/>
            <w:shd w:val="clear" w:color="auto" w:fill="CCEEFF"/>
          </w:tcPr>
          <w:p>
            <w:pPr>
              <w:jc w:val="right"/>
              <w:ind w:right="739"/>
              <w:spacing w:after="0"/>
              <w:rPr>
                <w:sz w:val="20"/>
                <w:szCs w:val="20"/>
                <w:color w:val="auto"/>
              </w:rPr>
            </w:pPr>
            <w:r>
              <w:rPr>
                <w:rFonts w:ascii="Times New Roman" w:cs="Times New Roman" w:eastAsia="Times New Roman" w:hAnsi="Times New Roman"/>
                <w:sz w:val="16"/>
                <w:szCs w:val="16"/>
                <w:color w:val="auto"/>
                <w:w w:val="99"/>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120" w:type="dxa"/>
            <w:vAlign w:val="bottom"/>
            <w:shd w:val="clear" w:color="auto" w:fill="CCEEFF"/>
          </w:tcPr>
          <w:p>
            <w:pPr>
              <w:spacing w:after="0"/>
              <w:rPr>
                <w:sz w:val="20"/>
                <w:szCs w:val="20"/>
                <w:color w:val="auto"/>
              </w:rPr>
            </w:pPr>
          </w:p>
        </w:tc>
        <w:tc>
          <w:tcPr>
            <w:tcW w:w="1080" w:type="dxa"/>
            <w:vAlign w:val="bottom"/>
            <w:shd w:val="clear" w:color="auto" w:fill="CCEEFF"/>
          </w:tcPr>
          <w:p>
            <w:pPr>
              <w:jc w:val="right"/>
              <w:ind w:right="899"/>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w:t>
            </w:r>
          </w:p>
        </w:tc>
        <w:tc>
          <w:tcPr>
            <w:tcW w:w="100" w:type="dxa"/>
            <w:vAlign w:val="bottom"/>
            <w:shd w:val="clear" w:color="auto" w:fill="CCEEFF"/>
          </w:tcPr>
          <w:p>
            <w:pPr>
              <w:spacing w:after="0"/>
              <w:rPr>
                <w:sz w:val="20"/>
                <w:szCs w:val="20"/>
                <w:color w:val="auto"/>
              </w:rPr>
            </w:pPr>
          </w:p>
        </w:tc>
        <w:tc>
          <w:tcPr>
            <w:tcW w:w="520" w:type="dxa"/>
            <w:vAlign w:val="bottom"/>
            <w:shd w:val="clear" w:color="auto" w:fill="CCEEFF"/>
          </w:tcPr>
          <w:p>
            <w:pPr>
              <w:jc w:val="right"/>
              <w:ind w:right="33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
        </w:trPr>
        <w:tc>
          <w:tcPr>
            <w:tcW w:w="486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5" w:name="page16"/>
    <w:bookmarkEnd w:id="15"/>
    <w:p>
      <w:pPr>
        <w:jc w:val="center"/>
        <w:spacing w:after="0"/>
        <w:rPr>
          <w:sz w:val="20"/>
          <w:szCs w:val="20"/>
          <w:color w:val="auto"/>
        </w:rPr>
      </w:pPr>
      <w:r>
        <w:rPr>
          <w:rFonts w:ascii="Times New Roman" w:cs="Times New Roman" w:eastAsia="Times New Roman" w:hAnsi="Times New Roman"/>
          <w:sz w:val="18"/>
          <w:szCs w:val="18"/>
          <w:b w:val="1"/>
          <w:bCs w:val="1"/>
          <w:color w:val="auto"/>
        </w:rPr>
        <w:t>UNITED COMMUNITY BANKS,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(Unaudited)</w:t>
      </w: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Equity Investments</w:t>
      </w:r>
    </w:p>
    <w:p>
      <w:pPr>
        <w:spacing w:after="0" w:line="31" w:lineRule="exact"/>
        <w:rPr>
          <w:sz w:val="20"/>
          <w:szCs w:val="20"/>
          <w:color w:val="auto"/>
        </w:rPr>
      </w:pPr>
    </w:p>
    <w:p>
      <w:pPr>
        <w:jc w:val="both"/>
        <w:ind w:right="20"/>
        <w:spacing w:after="0" w:line="260" w:lineRule="auto"/>
        <w:rPr>
          <w:sz w:val="20"/>
          <w:szCs w:val="20"/>
          <w:color w:val="auto"/>
        </w:rPr>
      </w:pPr>
      <w:r>
        <w:rPr>
          <w:rFonts w:ascii="Times New Roman" w:cs="Times New Roman" w:eastAsia="Times New Roman" w:hAnsi="Times New Roman"/>
          <w:sz w:val="18"/>
          <w:szCs w:val="18"/>
          <w:color w:val="auto"/>
        </w:rPr>
        <w:t>The table below reflects the carrying value of certain equity investments, which are included in other assets on the consolidated balance sheet, as of the dates indicated.</w:t>
      </w:r>
    </w:p>
    <w:p>
      <w:pPr>
        <w:spacing w:after="0" w:line="251" w:lineRule="exact"/>
        <w:rPr>
          <w:sz w:val="20"/>
          <w:szCs w:val="20"/>
          <w:color w:val="auto"/>
        </w:rPr>
      </w:pPr>
    </w:p>
    <w:tbl>
      <w:tblPr>
        <w:tblLayout w:type="fixed"/>
        <w:tblInd w:w="340" w:type="dxa"/>
        <w:tblCellMar>
          <w:top w:w="0" w:type="dxa"/>
          <w:left w:w="0" w:type="dxa"/>
          <w:bottom w:w="0" w:type="dxa"/>
          <w:right w:w="0" w:type="dxa"/>
        </w:tblCellMar>
      </w:tblPr>
      <w:tr>
        <w:trPr>
          <w:trHeight w:val="215"/>
        </w:trPr>
        <w:tc>
          <w:tcPr>
            <w:tcW w:w="5480" w:type="dxa"/>
            <w:vAlign w:val="bottom"/>
          </w:tcPr>
          <w:p>
            <w:pPr>
              <w:ind w:left="146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140" w:type="dxa"/>
            <w:vAlign w:val="bottom"/>
          </w:tcPr>
          <w:p>
            <w:pPr>
              <w:spacing w:after="0"/>
              <w:rPr>
                <w:sz w:val="18"/>
                <w:szCs w:val="18"/>
                <w:color w:val="auto"/>
              </w:rPr>
            </w:pPr>
          </w:p>
        </w:tc>
        <w:tc>
          <w:tcPr>
            <w:tcW w:w="172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September 30, 2025</w:t>
            </w:r>
          </w:p>
        </w:tc>
        <w:tc>
          <w:tcPr>
            <w:tcW w:w="140" w:type="dxa"/>
            <w:vAlign w:val="bottom"/>
          </w:tcPr>
          <w:p>
            <w:pPr>
              <w:spacing w:after="0"/>
              <w:rPr>
                <w:sz w:val="18"/>
                <w:szCs w:val="18"/>
                <w:color w:val="auto"/>
              </w:rPr>
            </w:pPr>
          </w:p>
        </w:tc>
        <w:tc>
          <w:tcPr>
            <w:tcW w:w="3020" w:type="dxa"/>
            <w:vAlign w:val="bottom"/>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December 31, 2024</w:t>
            </w:r>
          </w:p>
        </w:tc>
      </w:tr>
      <w:tr>
        <w:trPr>
          <w:trHeight w:val="213"/>
        </w:trPr>
        <w:tc>
          <w:tcPr>
            <w:tcW w:w="5480" w:type="dxa"/>
            <w:vAlign w:val="bottom"/>
            <w:tcBorders>
              <w:top w:val="single" w:sz="8" w:color="CCEEFF"/>
            </w:tcBorders>
            <w:shd w:val="clear" w:color="auto" w:fill="CCEEFF"/>
          </w:tcPr>
          <w:p>
            <w:pPr>
              <w:ind w:left="1460"/>
              <w:spacing w:after="0"/>
              <w:rPr>
                <w:sz w:val="20"/>
                <w:szCs w:val="20"/>
                <w:color w:val="auto"/>
              </w:rPr>
            </w:pPr>
            <w:r>
              <w:rPr>
                <w:rFonts w:ascii="Times New Roman" w:cs="Times New Roman" w:eastAsia="Times New Roman" w:hAnsi="Times New Roman"/>
                <w:sz w:val="16"/>
                <w:szCs w:val="16"/>
                <w:color w:val="auto"/>
              </w:rPr>
              <w:t>Federal Reserve stock</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89,979</w:t>
            </w: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88,008</w:t>
            </w:r>
          </w:p>
        </w:tc>
        <w:tc>
          <w:tcPr>
            <w:tcW w:w="1460" w:type="dxa"/>
            <w:vAlign w:val="bottom"/>
            <w:tcBorders>
              <w:top w:val="single" w:sz="8" w:color="CCEEFF"/>
            </w:tcBorders>
            <w:shd w:val="clear" w:color="auto" w:fill="CCEEFF"/>
          </w:tcPr>
          <w:p>
            <w:pPr>
              <w:spacing w:after="0"/>
              <w:rPr>
                <w:sz w:val="18"/>
                <w:szCs w:val="18"/>
                <w:color w:val="auto"/>
              </w:rPr>
            </w:pPr>
          </w:p>
        </w:tc>
      </w:tr>
      <w:tr>
        <w:trPr>
          <w:trHeight w:val="213"/>
        </w:trPr>
        <w:tc>
          <w:tcPr>
            <w:tcW w:w="5480" w:type="dxa"/>
            <w:vAlign w:val="bottom"/>
          </w:tcPr>
          <w:p>
            <w:pPr>
              <w:ind w:left="1460"/>
              <w:spacing w:after="0"/>
              <w:rPr>
                <w:sz w:val="20"/>
                <w:szCs w:val="20"/>
                <w:color w:val="auto"/>
              </w:rPr>
            </w:pPr>
            <w:r>
              <w:rPr>
                <w:rFonts w:ascii="Times New Roman" w:cs="Times New Roman" w:eastAsia="Times New Roman" w:hAnsi="Times New Roman"/>
                <w:sz w:val="16"/>
                <w:szCs w:val="16"/>
                <w:color w:val="auto"/>
              </w:rPr>
              <w:t>FHLB stock</w:t>
            </w:r>
          </w:p>
        </w:tc>
        <w:tc>
          <w:tcPr>
            <w:tcW w:w="14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18,049</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18,051</w:t>
            </w:r>
          </w:p>
        </w:tc>
        <w:tc>
          <w:tcPr>
            <w:tcW w:w="1460" w:type="dxa"/>
            <w:vAlign w:val="bottom"/>
          </w:tcPr>
          <w:p>
            <w:pPr>
              <w:spacing w:after="0"/>
              <w:rPr>
                <w:sz w:val="18"/>
                <w:szCs w:val="18"/>
                <w:color w:val="auto"/>
              </w:rPr>
            </w:pPr>
          </w:p>
        </w:tc>
      </w:tr>
      <w:tr>
        <w:trPr>
          <w:trHeight w:val="219"/>
        </w:trPr>
        <w:tc>
          <w:tcPr>
            <w:tcW w:w="5480" w:type="dxa"/>
            <w:vAlign w:val="bottom"/>
            <w:shd w:val="clear" w:color="auto" w:fill="CCEEFF"/>
          </w:tcPr>
          <w:p>
            <w:pPr>
              <w:ind w:left="1460"/>
              <w:spacing w:after="0"/>
              <w:rPr>
                <w:sz w:val="20"/>
                <w:szCs w:val="20"/>
                <w:color w:val="auto"/>
              </w:rPr>
            </w:pPr>
            <w:r>
              <w:rPr>
                <w:rFonts w:ascii="Times New Roman" w:cs="Times New Roman" w:eastAsia="Times New Roman" w:hAnsi="Times New Roman"/>
                <w:sz w:val="16"/>
                <w:szCs w:val="16"/>
                <w:color w:val="auto"/>
              </w:rPr>
              <w:t>Equity securities with readily determinable fair values</w:t>
            </w:r>
          </w:p>
        </w:tc>
        <w:tc>
          <w:tcPr>
            <w:tcW w:w="14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2,328</w:t>
            </w:r>
          </w:p>
        </w:tc>
        <w:tc>
          <w:tcPr>
            <w:tcW w:w="1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2,341</w:t>
            </w:r>
          </w:p>
        </w:tc>
        <w:tc>
          <w:tcPr>
            <w:tcW w:w="1460" w:type="dxa"/>
            <w:vAlign w:val="bottom"/>
            <w:shd w:val="clear" w:color="auto" w:fill="CCEEFF"/>
          </w:tcPr>
          <w:p>
            <w:pPr>
              <w:spacing w:after="0"/>
              <w:rPr>
                <w:sz w:val="19"/>
                <w:szCs w:val="19"/>
                <w:color w:val="auto"/>
              </w:rPr>
            </w:pPr>
          </w:p>
        </w:tc>
      </w:tr>
    </w:tbl>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 – Loans and Leases and Allowance for Credit Losses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Major classifications of the loan and lease portfolio (collectively referred to as the “loan portfolio” or “loans”) are summarized as of the dates indicated as follows. At September 30, 2025, remaining manufactured housing loans of $1.33 million are classified as consumer because manufactured housing is no longer a significant component of loans following the sale of substantially all of that portfolio in 2024.</w:t>
      </w:r>
    </w:p>
    <w:p>
      <w:pPr>
        <w:spacing w:after="0" w:line="200" w:lineRule="exact"/>
        <w:rPr>
          <w:sz w:val="20"/>
          <w:szCs w:val="20"/>
          <w:color w:val="auto"/>
        </w:rPr>
      </w:pPr>
    </w:p>
    <w:p>
      <w:pPr>
        <w:spacing w:after="0" w:line="221" w:lineRule="exact"/>
        <w:rPr>
          <w:sz w:val="20"/>
          <w:szCs w:val="20"/>
          <w:color w:val="auto"/>
        </w:rPr>
      </w:pPr>
    </w:p>
    <w:tbl>
      <w:tblPr>
        <w:tblLayout w:type="fixed"/>
        <w:tblInd w:w="100" w:type="dxa"/>
        <w:tblCellMar>
          <w:top w:w="0" w:type="dxa"/>
          <w:left w:w="0" w:type="dxa"/>
          <w:bottom w:w="0" w:type="dxa"/>
          <w:right w:w="0" w:type="dxa"/>
        </w:tblCellMar>
      </w:tblPr>
      <w:tr>
        <w:trPr>
          <w:trHeight w:val="215"/>
        </w:trPr>
        <w:tc>
          <w:tcPr>
            <w:tcW w:w="6220" w:type="dxa"/>
            <w:vAlign w:val="bottom"/>
          </w:tcPr>
          <w:p>
            <w:pPr>
              <w:ind w:left="118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160" w:type="dxa"/>
            <w:vAlign w:val="bottom"/>
          </w:tcPr>
          <w:p>
            <w:pPr>
              <w:spacing w:after="0"/>
              <w:rPr>
                <w:sz w:val="18"/>
                <w:szCs w:val="18"/>
                <w:color w:val="auto"/>
              </w:rPr>
            </w:pPr>
          </w:p>
        </w:tc>
        <w:tc>
          <w:tcPr>
            <w:tcW w:w="1720" w:type="dxa"/>
            <w:vAlign w:val="bottom"/>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September 30, 2025</w:t>
            </w:r>
          </w:p>
        </w:tc>
        <w:tc>
          <w:tcPr>
            <w:tcW w:w="160" w:type="dxa"/>
            <w:vAlign w:val="bottom"/>
          </w:tcPr>
          <w:p>
            <w:pPr>
              <w:spacing w:after="0"/>
              <w:rPr>
                <w:sz w:val="18"/>
                <w:szCs w:val="18"/>
                <w:color w:val="auto"/>
              </w:rPr>
            </w:pPr>
          </w:p>
        </w:tc>
        <w:tc>
          <w:tcPr>
            <w:tcW w:w="278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December 31, 2024</w:t>
            </w:r>
          </w:p>
        </w:tc>
      </w:tr>
      <w:tr>
        <w:trPr>
          <w:trHeight w:val="212"/>
        </w:trPr>
        <w:tc>
          <w:tcPr>
            <w:tcW w:w="6220" w:type="dxa"/>
            <w:vAlign w:val="bottom"/>
            <w:tcBorders>
              <w:top w:val="single" w:sz="8" w:color="CCEEFF"/>
            </w:tcBorders>
            <w:shd w:val="clear" w:color="auto" w:fill="CCEEFF"/>
          </w:tcPr>
          <w:p>
            <w:pPr>
              <w:ind w:left="1180"/>
              <w:spacing w:after="0"/>
              <w:rPr>
                <w:sz w:val="20"/>
                <w:szCs w:val="20"/>
                <w:color w:val="auto"/>
              </w:rPr>
            </w:pPr>
            <w:r>
              <w:rPr>
                <w:rFonts w:ascii="Times New Roman" w:cs="Times New Roman" w:eastAsia="Times New Roman" w:hAnsi="Times New Roman"/>
                <w:sz w:val="16"/>
                <w:szCs w:val="16"/>
                <w:color w:val="auto"/>
              </w:rPr>
              <w:t>Owner occupied CRE</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3,678,286</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3,398,217</w:t>
            </w:r>
          </w:p>
        </w:tc>
        <w:tc>
          <w:tcPr>
            <w:tcW w:w="1160" w:type="dxa"/>
            <w:vAlign w:val="bottom"/>
            <w:tcBorders>
              <w:top w:val="single" w:sz="8" w:color="CCEEFF"/>
            </w:tcBorders>
            <w:shd w:val="clear" w:color="auto" w:fill="CCEEFF"/>
          </w:tcPr>
          <w:p>
            <w:pPr>
              <w:spacing w:after="0"/>
              <w:rPr>
                <w:sz w:val="18"/>
                <w:szCs w:val="18"/>
                <w:color w:val="auto"/>
              </w:rPr>
            </w:pPr>
          </w:p>
        </w:tc>
      </w:tr>
      <w:tr>
        <w:trPr>
          <w:trHeight w:val="213"/>
        </w:trPr>
        <w:tc>
          <w:tcPr>
            <w:tcW w:w="6220" w:type="dxa"/>
            <w:vAlign w:val="bottom"/>
          </w:tcPr>
          <w:p>
            <w:pPr>
              <w:ind w:left="1180"/>
              <w:spacing w:after="0"/>
              <w:rPr>
                <w:sz w:val="20"/>
                <w:szCs w:val="20"/>
                <w:color w:val="auto"/>
              </w:rPr>
            </w:pPr>
            <w:r>
              <w:rPr>
                <w:rFonts w:ascii="Times New Roman" w:cs="Times New Roman" w:eastAsia="Times New Roman" w:hAnsi="Times New Roman"/>
                <w:sz w:val="16"/>
                <w:szCs w:val="16"/>
                <w:color w:val="auto"/>
              </w:rPr>
              <w:t>Income producing CRE</w:t>
            </w:r>
          </w:p>
        </w:tc>
        <w:tc>
          <w:tcPr>
            <w:tcW w:w="16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4,534,407</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4,360,920</w:t>
            </w:r>
          </w:p>
        </w:tc>
        <w:tc>
          <w:tcPr>
            <w:tcW w:w="1160" w:type="dxa"/>
            <w:vAlign w:val="bottom"/>
          </w:tcPr>
          <w:p>
            <w:pPr>
              <w:spacing w:after="0"/>
              <w:rPr>
                <w:sz w:val="18"/>
                <w:szCs w:val="18"/>
                <w:color w:val="auto"/>
              </w:rPr>
            </w:pPr>
          </w:p>
        </w:tc>
      </w:tr>
      <w:tr>
        <w:trPr>
          <w:trHeight w:val="219"/>
        </w:trPr>
        <w:tc>
          <w:tcPr>
            <w:tcW w:w="6220" w:type="dxa"/>
            <w:vAlign w:val="bottom"/>
            <w:shd w:val="clear" w:color="auto" w:fill="CCEEFF"/>
          </w:tcPr>
          <w:p>
            <w:pPr>
              <w:ind w:left="1180"/>
              <w:spacing w:after="0"/>
              <w:rPr>
                <w:sz w:val="20"/>
                <w:szCs w:val="20"/>
                <w:color w:val="auto"/>
              </w:rPr>
            </w:pPr>
            <w:r>
              <w:rPr>
                <w:rFonts w:ascii="Times New Roman" w:cs="Times New Roman" w:eastAsia="Times New Roman" w:hAnsi="Times New Roman"/>
                <w:sz w:val="16"/>
                <w:szCs w:val="16"/>
                <w:color w:val="auto"/>
              </w:rPr>
              <w:t>Commercial &amp; industrial</w:t>
            </w:r>
          </w:p>
        </w:tc>
        <w:tc>
          <w:tcPr>
            <w:tcW w:w="16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2,592,971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2,428,376</w:t>
            </w:r>
          </w:p>
        </w:tc>
        <w:tc>
          <w:tcPr>
            <w:tcW w:w="1160" w:type="dxa"/>
            <w:vAlign w:val="bottom"/>
            <w:shd w:val="clear" w:color="auto" w:fill="CCEEFF"/>
          </w:tcPr>
          <w:p>
            <w:pPr>
              <w:spacing w:after="0"/>
              <w:rPr>
                <w:sz w:val="19"/>
                <w:szCs w:val="19"/>
                <w:color w:val="auto"/>
              </w:rPr>
            </w:pPr>
          </w:p>
        </w:tc>
      </w:tr>
      <w:tr>
        <w:trPr>
          <w:trHeight w:val="213"/>
        </w:trPr>
        <w:tc>
          <w:tcPr>
            <w:tcW w:w="6220" w:type="dxa"/>
            <w:vAlign w:val="bottom"/>
          </w:tcPr>
          <w:p>
            <w:pPr>
              <w:ind w:left="1180"/>
              <w:spacing w:after="0"/>
              <w:rPr>
                <w:sz w:val="20"/>
                <w:szCs w:val="20"/>
                <w:color w:val="auto"/>
              </w:rPr>
            </w:pPr>
            <w:r>
              <w:rPr>
                <w:rFonts w:ascii="Times New Roman" w:cs="Times New Roman" w:eastAsia="Times New Roman" w:hAnsi="Times New Roman"/>
                <w:sz w:val="16"/>
                <w:szCs w:val="16"/>
                <w:color w:val="auto"/>
              </w:rPr>
              <w:t>Commercial construction</w:t>
            </w:r>
          </w:p>
        </w:tc>
        <w:tc>
          <w:tcPr>
            <w:tcW w:w="16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1,733,473</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1,655,710</w:t>
            </w:r>
          </w:p>
        </w:tc>
        <w:tc>
          <w:tcPr>
            <w:tcW w:w="1160" w:type="dxa"/>
            <w:vAlign w:val="bottom"/>
          </w:tcPr>
          <w:p>
            <w:pPr>
              <w:spacing w:after="0"/>
              <w:rPr>
                <w:sz w:val="18"/>
                <w:szCs w:val="18"/>
                <w:color w:val="auto"/>
              </w:rPr>
            </w:pPr>
          </w:p>
        </w:tc>
      </w:tr>
      <w:tr>
        <w:trPr>
          <w:trHeight w:val="219"/>
        </w:trPr>
        <w:tc>
          <w:tcPr>
            <w:tcW w:w="6220" w:type="dxa"/>
            <w:vAlign w:val="bottom"/>
            <w:shd w:val="clear" w:color="auto" w:fill="CCEEFF"/>
          </w:tcPr>
          <w:p>
            <w:pPr>
              <w:ind w:left="1180"/>
              <w:spacing w:after="0"/>
              <w:rPr>
                <w:sz w:val="20"/>
                <w:szCs w:val="20"/>
                <w:color w:val="auto"/>
              </w:rPr>
            </w:pPr>
            <w:r>
              <w:rPr>
                <w:rFonts w:ascii="Times New Roman" w:cs="Times New Roman" w:eastAsia="Times New Roman" w:hAnsi="Times New Roman"/>
                <w:sz w:val="16"/>
                <w:szCs w:val="16"/>
                <w:color w:val="auto"/>
              </w:rPr>
              <w:t>Equipment financing</w:t>
            </w:r>
          </w:p>
        </w:tc>
        <w:tc>
          <w:tcPr>
            <w:tcW w:w="160" w:type="dxa"/>
            <w:vAlign w:val="bottom"/>
            <w:tcBorders>
              <w:bottom w:val="single" w:sz="8" w:color="auto"/>
            </w:tcBorders>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1,807,907</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1,662,501</w:t>
            </w:r>
          </w:p>
        </w:tc>
        <w:tc>
          <w:tcPr>
            <w:tcW w:w="1160" w:type="dxa"/>
            <w:vAlign w:val="bottom"/>
            <w:shd w:val="clear" w:color="auto" w:fill="CCEEFF"/>
          </w:tcPr>
          <w:p>
            <w:pPr>
              <w:spacing w:after="0"/>
              <w:rPr>
                <w:sz w:val="19"/>
                <w:szCs w:val="19"/>
                <w:color w:val="auto"/>
              </w:rPr>
            </w:pPr>
          </w:p>
        </w:tc>
      </w:tr>
      <w:tr>
        <w:trPr>
          <w:trHeight w:val="207"/>
        </w:trPr>
        <w:tc>
          <w:tcPr>
            <w:tcW w:w="6220" w:type="dxa"/>
            <w:vAlign w:val="bottom"/>
          </w:tcPr>
          <w:p>
            <w:pPr>
              <w:ind w:left="1380"/>
              <w:spacing w:after="0"/>
              <w:rPr>
                <w:sz w:val="20"/>
                <w:szCs w:val="20"/>
                <w:color w:val="auto"/>
              </w:rPr>
            </w:pPr>
            <w:r>
              <w:rPr>
                <w:rFonts w:ascii="Times New Roman" w:cs="Times New Roman" w:eastAsia="Times New Roman" w:hAnsi="Times New Roman"/>
                <w:sz w:val="16"/>
                <w:szCs w:val="16"/>
                <w:color w:val="auto"/>
              </w:rPr>
              <w:t>Total commercial</w:t>
            </w:r>
          </w:p>
        </w:tc>
        <w:tc>
          <w:tcPr>
            <w:tcW w:w="160" w:type="dxa"/>
            <w:vAlign w:val="bottom"/>
          </w:tcPr>
          <w:p>
            <w:pPr>
              <w:spacing w:after="0"/>
              <w:rPr>
                <w:sz w:val="17"/>
                <w:szCs w:val="17"/>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14,347,044</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13,505,724</w:t>
            </w:r>
          </w:p>
        </w:tc>
        <w:tc>
          <w:tcPr>
            <w:tcW w:w="1160" w:type="dxa"/>
            <w:vAlign w:val="bottom"/>
          </w:tcPr>
          <w:p>
            <w:pPr>
              <w:spacing w:after="0"/>
              <w:rPr>
                <w:sz w:val="17"/>
                <w:szCs w:val="17"/>
                <w:color w:val="auto"/>
              </w:rPr>
            </w:pPr>
          </w:p>
        </w:tc>
      </w:tr>
      <w:tr>
        <w:trPr>
          <w:trHeight w:val="219"/>
        </w:trPr>
        <w:tc>
          <w:tcPr>
            <w:tcW w:w="6220" w:type="dxa"/>
            <w:vAlign w:val="bottom"/>
            <w:shd w:val="clear" w:color="auto" w:fill="CCEEFF"/>
          </w:tcPr>
          <w:p>
            <w:pPr>
              <w:ind w:left="1180"/>
              <w:spacing w:after="0"/>
              <w:rPr>
                <w:sz w:val="20"/>
                <w:szCs w:val="20"/>
                <w:color w:val="auto"/>
              </w:rPr>
            </w:pPr>
            <w:r>
              <w:rPr>
                <w:rFonts w:ascii="Times New Roman" w:cs="Times New Roman" w:eastAsia="Times New Roman" w:hAnsi="Times New Roman"/>
                <w:sz w:val="16"/>
                <w:szCs w:val="16"/>
                <w:color w:val="auto"/>
              </w:rPr>
              <w:t>Residential mortgage</w:t>
            </w:r>
          </w:p>
        </w:tc>
        <w:tc>
          <w:tcPr>
            <w:tcW w:w="16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3,197,857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3,231,479</w:t>
            </w:r>
          </w:p>
        </w:tc>
        <w:tc>
          <w:tcPr>
            <w:tcW w:w="1160" w:type="dxa"/>
            <w:vAlign w:val="bottom"/>
            <w:shd w:val="clear" w:color="auto" w:fill="CCEEFF"/>
          </w:tcPr>
          <w:p>
            <w:pPr>
              <w:spacing w:after="0"/>
              <w:rPr>
                <w:sz w:val="19"/>
                <w:szCs w:val="19"/>
                <w:color w:val="auto"/>
              </w:rPr>
            </w:pPr>
          </w:p>
        </w:tc>
      </w:tr>
      <w:tr>
        <w:trPr>
          <w:trHeight w:val="213"/>
        </w:trPr>
        <w:tc>
          <w:tcPr>
            <w:tcW w:w="6220" w:type="dxa"/>
            <w:vAlign w:val="bottom"/>
          </w:tcPr>
          <w:p>
            <w:pPr>
              <w:ind w:left="1180"/>
              <w:spacing w:after="0"/>
              <w:rPr>
                <w:sz w:val="20"/>
                <w:szCs w:val="20"/>
                <w:color w:val="auto"/>
              </w:rPr>
            </w:pPr>
            <w:r>
              <w:rPr>
                <w:rFonts w:ascii="Times New Roman" w:cs="Times New Roman" w:eastAsia="Times New Roman" w:hAnsi="Times New Roman"/>
                <w:sz w:val="16"/>
                <w:szCs w:val="16"/>
                <w:color w:val="auto"/>
              </w:rPr>
              <w:t>Home equity</w:t>
            </w:r>
          </w:p>
        </w:tc>
        <w:tc>
          <w:tcPr>
            <w:tcW w:w="16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1,252,087</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1,064,874</w:t>
            </w:r>
          </w:p>
        </w:tc>
        <w:tc>
          <w:tcPr>
            <w:tcW w:w="1160" w:type="dxa"/>
            <w:vAlign w:val="bottom"/>
          </w:tcPr>
          <w:p>
            <w:pPr>
              <w:spacing w:after="0"/>
              <w:rPr>
                <w:sz w:val="18"/>
                <w:szCs w:val="18"/>
                <w:color w:val="auto"/>
              </w:rPr>
            </w:pPr>
          </w:p>
        </w:tc>
      </w:tr>
      <w:tr>
        <w:trPr>
          <w:trHeight w:val="219"/>
        </w:trPr>
        <w:tc>
          <w:tcPr>
            <w:tcW w:w="6220" w:type="dxa"/>
            <w:vAlign w:val="bottom"/>
            <w:shd w:val="clear" w:color="auto" w:fill="CCEEFF"/>
          </w:tcPr>
          <w:p>
            <w:pPr>
              <w:ind w:left="1180"/>
              <w:spacing w:after="0"/>
              <w:rPr>
                <w:sz w:val="20"/>
                <w:szCs w:val="20"/>
                <w:color w:val="auto"/>
              </w:rPr>
            </w:pPr>
            <w:r>
              <w:rPr>
                <w:rFonts w:ascii="Times New Roman" w:cs="Times New Roman" w:eastAsia="Times New Roman" w:hAnsi="Times New Roman"/>
                <w:sz w:val="16"/>
                <w:szCs w:val="16"/>
                <w:color w:val="auto"/>
              </w:rPr>
              <w:t>Residential construction</w:t>
            </w:r>
          </w:p>
        </w:tc>
        <w:tc>
          <w:tcPr>
            <w:tcW w:w="16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178,468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178,405</w:t>
            </w:r>
          </w:p>
        </w:tc>
        <w:tc>
          <w:tcPr>
            <w:tcW w:w="1160" w:type="dxa"/>
            <w:vAlign w:val="bottom"/>
            <w:shd w:val="clear" w:color="auto" w:fill="CCEEFF"/>
          </w:tcPr>
          <w:p>
            <w:pPr>
              <w:spacing w:after="0"/>
              <w:rPr>
                <w:sz w:val="19"/>
                <w:szCs w:val="19"/>
                <w:color w:val="auto"/>
              </w:rPr>
            </w:pPr>
          </w:p>
        </w:tc>
      </w:tr>
      <w:tr>
        <w:trPr>
          <w:trHeight w:val="213"/>
        </w:trPr>
        <w:tc>
          <w:tcPr>
            <w:tcW w:w="6220" w:type="dxa"/>
            <w:vAlign w:val="bottom"/>
          </w:tcPr>
          <w:p>
            <w:pPr>
              <w:ind w:left="1180"/>
              <w:spacing w:after="0"/>
              <w:rPr>
                <w:sz w:val="20"/>
                <w:szCs w:val="20"/>
                <w:color w:val="auto"/>
              </w:rPr>
            </w:pPr>
            <w:r>
              <w:rPr>
                <w:rFonts w:ascii="Times New Roman" w:cs="Times New Roman" w:eastAsia="Times New Roman" w:hAnsi="Times New Roman"/>
                <w:sz w:val="16"/>
                <w:szCs w:val="16"/>
                <w:color w:val="auto"/>
              </w:rPr>
              <w:t>Manufactured housing</w:t>
            </w:r>
          </w:p>
        </w:tc>
        <w:tc>
          <w:tcPr>
            <w:tcW w:w="160" w:type="dxa"/>
            <w:vAlign w:val="bottom"/>
          </w:tcPr>
          <w:p>
            <w:pPr>
              <w:spacing w:after="0"/>
              <w:rPr>
                <w:sz w:val="18"/>
                <w:szCs w:val="18"/>
                <w:color w:val="auto"/>
              </w:rPr>
            </w:pPr>
          </w:p>
        </w:tc>
        <w:tc>
          <w:tcPr>
            <w:tcW w:w="17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1,723</w:t>
            </w:r>
          </w:p>
        </w:tc>
        <w:tc>
          <w:tcPr>
            <w:tcW w:w="1160" w:type="dxa"/>
            <w:vAlign w:val="bottom"/>
          </w:tcPr>
          <w:p>
            <w:pPr>
              <w:spacing w:after="0"/>
              <w:rPr>
                <w:sz w:val="18"/>
                <w:szCs w:val="18"/>
                <w:color w:val="auto"/>
              </w:rPr>
            </w:pPr>
          </w:p>
        </w:tc>
      </w:tr>
      <w:tr>
        <w:trPr>
          <w:trHeight w:val="219"/>
        </w:trPr>
        <w:tc>
          <w:tcPr>
            <w:tcW w:w="6220" w:type="dxa"/>
            <w:vAlign w:val="bottom"/>
            <w:shd w:val="clear" w:color="auto" w:fill="CCEEFF"/>
          </w:tcPr>
          <w:p>
            <w:pPr>
              <w:ind w:left="1180"/>
              <w:spacing w:after="0"/>
              <w:rPr>
                <w:sz w:val="20"/>
                <w:szCs w:val="20"/>
                <w:color w:val="auto"/>
              </w:rPr>
            </w:pPr>
            <w:r>
              <w:rPr>
                <w:rFonts w:ascii="Times New Roman" w:cs="Times New Roman" w:eastAsia="Times New Roman" w:hAnsi="Times New Roman"/>
                <w:sz w:val="16"/>
                <w:szCs w:val="16"/>
                <w:color w:val="auto"/>
              </w:rPr>
              <w:t>Consumer</w:t>
            </w:r>
          </w:p>
        </w:tc>
        <w:tc>
          <w:tcPr>
            <w:tcW w:w="160" w:type="dxa"/>
            <w:vAlign w:val="bottom"/>
            <w:tcBorders>
              <w:bottom w:val="single" w:sz="8" w:color="auto"/>
            </w:tcBorders>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191,509</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186,448</w:t>
            </w:r>
          </w:p>
        </w:tc>
        <w:tc>
          <w:tcPr>
            <w:tcW w:w="1160" w:type="dxa"/>
            <w:vAlign w:val="bottom"/>
            <w:shd w:val="clear" w:color="auto" w:fill="CCEEFF"/>
          </w:tcPr>
          <w:p>
            <w:pPr>
              <w:spacing w:after="0"/>
              <w:rPr>
                <w:sz w:val="19"/>
                <w:szCs w:val="19"/>
                <w:color w:val="auto"/>
              </w:rPr>
            </w:pPr>
          </w:p>
        </w:tc>
      </w:tr>
      <w:tr>
        <w:trPr>
          <w:trHeight w:val="207"/>
        </w:trPr>
        <w:tc>
          <w:tcPr>
            <w:tcW w:w="6220" w:type="dxa"/>
            <w:vAlign w:val="bottom"/>
          </w:tcPr>
          <w:p>
            <w:pPr>
              <w:ind w:left="1380"/>
              <w:spacing w:after="0"/>
              <w:rPr>
                <w:sz w:val="20"/>
                <w:szCs w:val="20"/>
                <w:color w:val="auto"/>
              </w:rPr>
            </w:pPr>
            <w:r>
              <w:rPr>
                <w:rFonts w:ascii="Times New Roman" w:cs="Times New Roman" w:eastAsia="Times New Roman" w:hAnsi="Times New Roman"/>
                <w:sz w:val="16"/>
                <w:szCs w:val="16"/>
                <w:color w:val="auto"/>
              </w:rPr>
              <w:t>Total loans excluding fair value hedge basis adjustment</w:t>
            </w:r>
          </w:p>
        </w:tc>
        <w:tc>
          <w:tcPr>
            <w:tcW w:w="160" w:type="dxa"/>
            <w:vAlign w:val="bottom"/>
          </w:tcPr>
          <w:p>
            <w:pPr>
              <w:spacing w:after="0"/>
              <w:rPr>
                <w:sz w:val="17"/>
                <w:szCs w:val="17"/>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19,166,965</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18,168,653</w:t>
            </w:r>
          </w:p>
        </w:tc>
        <w:tc>
          <w:tcPr>
            <w:tcW w:w="1160" w:type="dxa"/>
            <w:vAlign w:val="bottom"/>
          </w:tcPr>
          <w:p>
            <w:pPr>
              <w:spacing w:after="0"/>
              <w:rPr>
                <w:sz w:val="17"/>
                <w:szCs w:val="17"/>
                <w:color w:val="auto"/>
              </w:rPr>
            </w:pPr>
          </w:p>
        </w:tc>
      </w:tr>
      <w:tr>
        <w:trPr>
          <w:trHeight w:val="219"/>
        </w:trPr>
        <w:tc>
          <w:tcPr>
            <w:tcW w:w="6220" w:type="dxa"/>
            <w:vAlign w:val="bottom"/>
            <w:shd w:val="clear" w:color="auto" w:fill="CCEEFF"/>
          </w:tcPr>
          <w:p>
            <w:pPr>
              <w:ind w:left="1180"/>
              <w:spacing w:after="0"/>
              <w:rPr>
                <w:sz w:val="20"/>
                <w:szCs w:val="20"/>
                <w:color w:val="auto"/>
              </w:rPr>
            </w:pPr>
            <w:r>
              <w:rPr>
                <w:rFonts w:ascii="Times New Roman" w:cs="Times New Roman" w:eastAsia="Times New Roman" w:hAnsi="Times New Roman"/>
                <w:sz w:val="16"/>
                <w:szCs w:val="16"/>
                <w:color w:val="auto"/>
              </w:rPr>
              <w:t>Fair value hedge basis adjustment</w:t>
            </w:r>
          </w:p>
        </w:tc>
        <w:tc>
          <w:tcPr>
            <w:tcW w:w="160" w:type="dxa"/>
            <w:vAlign w:val="bottom"/>
            <w:tcBorders>
              <w:bottom w:val="single" w:sz="8" w:color="auto"/>
            </w:tcBorders>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7,829</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7,327</w:t>
            </w:r>
          </w:p>
        </w:tc>
        <w:tc>
          <w:tcPr>
            <w:tcW w:w="1160" w:type="dxa"/>
            <w:vAlign w:val="bottom"/>
            <w:shd w:val="clear" w:color="auto" w:fill="CCEEFF"/>
          </w:tcPr>
          <w:p>
            <w:pPr>
              <w:spacing w:after="0"/>
              <w:rPr>
                <w:sz w:val="19"/>
                <w:szCs w:val="19"/>
                <w:color w:val="auto"/>
              </w:rPr>
            </w:pPr>
          </w:p>
        </w:tc>
      </w:tr>
      <w:tr>
        <w:trPr>
          <w:trHeight w:val="207"/>
        </w:trPr>
        <w:tc>
          <w:tcPr>
            <w:tcW w:w="6220" w:type="dxa"/>
            <w:vAlign w:val="bottom"/>
          </w:tcPr>
          <w:p>
            <w:pPr>
              <w:ind w:left="1380"/>
              <w:spacing w:after="0"/>
              <w:rPr>
                <w:sz w:val="20"/>
                <w:szCs w:val="20"/>
                <w:color w:val="auto"/>
              </w:rPr>
            </w:pPr>
            <w:r>
              <w:rPr>
                <w:rFonts w:ascii="Times New Roman" w:cs="Times New Roman" w:eastAsia="Times New Roman" w:hAnsi="Times New Roman"/>
                <w:sz w:val="16"/>
                <w:szCs w:val="16"/>
                <w:color w:val="auto"/>
              </w:rPr>
              <w:t>Total loans</w:t>
            </w:r>
          </w:p>
        </w:tc>
        <w:tc>
          <w:tcPr>
            <w:tcW w:w="160" w:type="dxa"/>
            <w:vAlign w:val="bottom"/>
          </w:tcPr>
          <w:p>
            <w:pPr>
              <w:spacing w:after="0"/>
              <w:rPr>
                <w:sz w:val="17"/>
                <w:szCs w:val="17"/>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19,174,794</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18,175,980</w:t>
            </w:r>
          </w:p>
        </w:tc>
        <w:tc>
          <w:tcPr>
            <w:tcW w:w="1160" w:type="dxa"/>
            <w:vAlign w:val="bottom"/>
          </w:tcPr>
          <w:p>
            <w:pPr>
              <w:spacing w:after="0"/>
              <w:rPr>
                <w:sz w:val="17"/>
                <w:szCs w:val="17"/>
                <w:color w:val="auto"/>
              </w:rPr>
            </w:pPr>
          </w:p>
        </w:tc>
      </w:tr>
      <w:tr>
        <w:trPr>
          <w:trHeight w:val="219"/>
        </w:trPr>
        <w:tc>
          <w:tcPr>
            <w:tcW w:w="6220" w:type="dxa"/>
            <w:vAlign w:val="bottom"/>
            <w:shd w:val="clear" w:color="auto" w:fill="CCEEFF"/>
          </w:tcPr>
          <w:p>
            <w:pPr>
              <w:ind w:left="1180"/>
              <w:spacing w:after="0"/>
              <w:rPr>
                <w:sz w:val="20"/>
                <w:szCs w:val="20"/>
                <w:color w:val="auto"/>
              </w:rPr>
            </w:pPr>
            <w:r>
              <w:rPr>
                <w:rFonts w:ascii="Times New Roman" w:cs="Times New Roman" w:eastAsia="Times New Roman" w:hAnsi="Times New Roman"/>
                <w:sz w:val="16"/>
                <w:szCs w:val="16"/>
                <w:color w:val="auto"/>
              </w:rPr>
              <w:t>Less ACL - loans</w:t>
            </w:r>
          </w:p>
        </w:tc>
        <w:tc>
          <w:tcPr>
            <w:tcW w:w="160" w:type="dxa"/>
            <w:vAlign w:val="bottom"/>
            <w:tcBorders>
              <w:bottom w:val="single" w:sz="8" w:color="auto"/>
            </w:tcBorders>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(215,791)</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(206,998)</w:t>
            </w:r>
          </w:p>
        </w:tc>
        <w:tc>
          <w:tcPr>
            <w:tcW w:w="1160" w:type="dxa"/>
            <w:vAlign w:val="bottom"/>
            <w:shd w:val="clear" w:color="auto" w:fill="CCEEFF"/>
          </w:tcPr>
          <w:p>
            <w:pPr>
              <w:spacing w:after="0"/>
              <w:rPr>
                <w:sz w:val="19"/>
                <w:szCs w:val="19"/>
                <w:color w:val="auto"/>
              </w:rPr>
            </w:pPr>
          </w:p>
        </w:tc>
      </w:tr>
      <w:tr>
        <w:trPr>
          <w:trHeight w:val="210"/>
        </w:trPr>
        <w:tc>
          <w:tcPr>
            <w:tcW w:w="6220" w:type="dxa"/>
            <w:vAlign w:val="bottom"/>
          </w:tcPr>
          <w:p>
            <w:pPr>
              <w:ind w:left="1380"/>
              <w:spacing w:after="0"/>
              <w:rPr>
                <w:sz w:val="20"/>
                <w:szCs w:val="20"/>
                <w:color w:val="auto"/>
              </w:rPr>
            </w:pPr>
            <w:r>
              <w:rPr>
                <w:rFonts w:ascii="Times New Roman" w:cs="Times New Roman" w:eastAsia="Times New Roman" w:hAnsi="Times New Roman"/>
                <w:sz w:val="16"/>
                <w:szCs w:val="16"/>
                <w:color w:val="auto"/>
              </w:rPr>
              <w:t>Loans, net</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18,959,003</w:t>
            </w:r>
          </w:p>
        </w:tc>
        <w:tc>
          <w:tcPr>
            <w:tcW w:w="10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17,968,982</w:t>
            </w:r>
          </w:p>
        </w:tc>
        <w:tc>
          <w:tcPr>
            <w:tcW w:w="1160" w:type="dxa"/>
            <w:vAlign w:val="bottom"/>
          </w:tcPr>
          <w:p>
            <w:pPr>
              <w:spacing w:after="0"/>
              <w:rPr>
                <w:sz w:val="18"/>
                <w:szCs w:val="18"/>
                <w:color w:val="auto"/>
              </w:rPr>
            </w:pPr>
          </w:p>
        </w:tc>
      </w:tr>
      <w:tr>
        <w:trPr>
          <w:trHeight w:val="20"/>
        </w:trPr>
        <w:tc>
          <w:tcPr>
            <w:tcW w:w="6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bl>
    <w:p>
      <w:pPr>
        <w:spacing w:after="0" w:line="400"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Accrued interest receivable related to loans totaled $55.6 million and $60.1 million at September 30, 2025 and December 31, 2024, respectively, and was reported in other assets on the consolidated balance sheets. Accrued interest receivable was excluded from the estimate of credit losses.</w:t>
      </w:r>
    </w:p>
    <w:p>
      <w:pPr>
        <w:spacing w:after="0" w:line="18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At September 30, 2025 and December 31, 2024, the loan portfolio included certain loans specifically pledged to the Federal Reserve as well as loans covered by a blanket lien on qualifying loan types with the FHLB to secure contingent funding sources.</w:t>
      </w:r>
    </w:p>
    <w:p>
      <w:pPr>
        <w:spacing w:after="0" w:line="189"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amortized cost of certain loans held for investment that were sold in the periods indicated. The net gains or losses on these loan sales were included in noninterest income on the consolidated statements of income.</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4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960" w:type="dxa"/>
            <w:vAlign w:val="bottom"/>
            <w:gridSpan w:val="5"/>
          </w:tcPr>
          <w:p>
            <w:pPr>
              <w:ind w:left="80"/>
              <w:spacing w:after="0"/>
              <w:rPr>
                <w:sz w:val="20"/>
                <w:szCs w:val="20"/>
                <w:color w:val="auto"/>
              </w:rPr>
            </w:pPr>
            <w:r>
              <w:rPr>
                <w:rFonts w:ascii="Times New Roman" w:cs="Times New Roman" w:eastAsia="Times New Roman" w:hAnsi="Times New Roman"/>
                <w:sz w:val="16"/>
                <w:szCs w:val="16"/>
                <w:b w:val="1"/>
                <w:bCs w:val="1"/>
                <w:color w:val="auto"/>
              </w:rPr>
              <w:t>Three Months Ended September 30,</w:t>
            </w:r>
          </w:p>
        </w:tc>
        <w:tc>
          <w:tcPr>
            <w:tcW w:w="340" w:type="dxa"/>
            <w:vAlign w:val="bottom"/>
          </w:tcPr>
          <w:p>
            <w:pPr>
              <w:spacing w:after="0"/>
              <w:rPr>
                <w:sz w:val="18"/>
                <w:szCs w:val="18"/>
                <w:color w:val="auto"/>
              </w:rPr>
            </w:pPr>
          </w:p>
        </w:tc>
        <w:tc>
          <w:tcPr>
            <w:tcW w:w="3200" w:type="dxa"/>
            <w:vAlign w:val="bottom"/>
            <w:gridSpan w:val="4"/>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Nine Months Ended September 30,</w:t>
            </w:r>
          </w:p>
        </w:tc>
      </w:tr>
      <w:tr>
        <w:trPr>
          <w:trHeight w:val="214"/>
        </w:trPr>
        <w:tc>
          <w:tcPr>
            <w:tcW w:w="45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180" w:type="dxa"/>
            <w:vAlign w:val="bottom"/>
            <w:tcBorders>
              <w:top w:val="single" w:sz="8" w:color="auto"/>
              <w:bottom w:val="single" w:sz="8" w:color="auto"/>
            </w:tcBorders>
          </w:tcPr>
          <w:p>
            <w:pPr>
              <w:spacing w:after="0"/>
              <w:rPr>
                <w:sz w:val="18"/>
                <w:szCs w:val="18"/>
                <w:color w:val="auto"/>
              </w:rPr>
            </w:pPr>
          </w:p>
        </w:tc>
        <w:tc>
          <w:tcPr>
            <w:tcW w:w="1280" w:type="dxa"/>
            <w:vAlign w:val="bottom"/>
            <w:tcBorders>
              <w:top w:val="single" w:sz="8" w:color="auto"/>
              <w:bottom w:val="single" w:sz="8" w:color="auto"/>
            </w:tcBorders>
          </w:tcPr>
          <w:p>
            <w:pPr>
              <w:jc w:val="right"/>
              <w:ind w:right="49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Borders>
              <w:top w:val="single" w:sz="8" w:color="auto"/>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ind w:right="49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400" w:type="dxa"/>
            <w:vAlign w:val="bottom"/>
            <w:tcBorders>
              <w:top w:val="single" w:sz="8" w:color="auto"/>
              <w:bottom w:val="single" w:sz="8" w:color="auto"/>
            </w:tcBorders>
          </w:tcPr>
          <w:p>
            <w:pPr>
              <w:jc w:val="right"/>
              <w:ind w:right="639"/>
              <w:spacing w:after="0"/>
              <w:rPr>
                <w:sz w:val="20"/>
                <w:szCs w:val="20"/>
                <w:color w:val="auto"/>
              </w:rPr>
            </w:pPr>
            <w:r>
              <w:rPr>
                <w:rFonts w:ascii="Times New Roman" w:cs="Times New Roman" w:eastAsia="Times New Roman" w:hAnsi="Times New Roman"/>
                <w:sz w:val="16"/>
                <w:szCs w:val="16"/>
                <w:b w:val="1"/>
                <w:bCs w:val="1"/>
                <w:color w:val="auto"/>
              </w:rPr>
              <w:t>2025</w:t>
            </w:r>
          </w:p>
        </w:tc>
        <w:tc>
          <w:tcPr>
            <w:tcW w:w="80" w:type="dxa"/>
            <w:vAlign w:val="bottom"/>
            <w:tcBorders>
              <w:top w:val="single" w:sz="8" w:color="auto"/>
              <w:bottom w:val="single" w:sz="8" w:color="CCEEFF"/>
            </w:tcBorders>
          </w:tcPr>
          <w:p>
            <w:pPr>
              <w:spacing w:after="0"/>
              <w:rPr>
                <w:sz w:val="18"/>
                <w:szCs w:val="18"/>
                <w:color w:val="auto"/>
              </w:rPr>
            </w:pPr>
          </w:p>
        </w:tc>
        <w:tc>
          <w:tcPr>
            <w:tcW w:w="400" w:type="dxa"/>
            <w:vAlign w:val="bottom"/>
            <w:tcBorders>
              <w:top w:val="single" w:sz="8" w:color="auto"/>
              <w:bottom w:val="single" w:sz="8" w:color="auto"/>
            </w:tcBorders>
          </w:tcPr>
          <w:p>
            <w:pPr>
              <w:spacing w:after="0"/>
              <w:rPr>
                <w:sz w:val="18"/>
                <w:szCs w:val="18"/>
                <w:color w:val="auto"/>
              </w:rPr>
            </w:pPr>
          </w:p>
        </w:tc>
        <w:tc>
          <w:tcPr>
            <w:tcW w:w="1320" w:type="dxa"/>
            <w:vAlign w:val="bottom"/>
            <w:tcBorders>
              <w:top w:val="single" w:sz="8" w:color="auto"/>
              <w:bottom w:val="single" w:sz="8" w:color="auto"/>
            </w:tcBorders>
          </w:tcPr>
          <w:p>
            <w:pPr>
              <w:jc w:val="right"/>
              <w:ind w:right="619"/>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211"/>
        </w:trPr>
        <w:tc>
          <w:tcPr>
            <w:tcW w:w="4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Manufactured housing loans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302,870</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302,870</w:t>
            </w:r>
          </w:p>
        </w:tc>
      </w:tr>
      <w:tr>
        <w:trPr>
          <w:trHeight w:val="213"/>
        </w:trPr>
        <w:tc>
          <w:tcPr>
            <w:tcW w:w="45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Guaranteed portion of SBA/USDA loans</w:t>
            </w:r>
          </w:p>
        </w:tc>
        <w:tc>
          <w:tcPr>
            <w:tcW w:w="1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16,180</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11,385</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59,889</w:t>
            </w: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39,084</w:t>
            </w:r>
          </w:p>
        </w:tc>
      </w:tr>
      <w:tr>
        <w:trPr>
          <w:trHeight w:val="216"/>
        </w:trPr>
        <w:tc>
          <w:tcPr>
            <w:tcW w:w="4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Equipment financing receivables</w:t>
            </w:r>
          </w:p>
        </w:tc>
        <w:tc>
          <w:tcPr>
            <w:tcW w:w="18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37,239</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21,122</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58,288</w:t>
            </w:r>
          </w:p>
        </w:tc>
        <w:tc>
          <w:tcPr>
            <w:tcW w:w="8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57,836</w:t>
            </w:r>
          </w:p>
        </w:tc>
      </w:tr>
      <w:tr>
        <w:trPr>
          <w:trHeight w:val="212"/>
        </w:trPr>
        <w:tc>
          <w:tcPr>
            <w:tcW w:w="45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Total</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53,419</w:t>
            </w:r>
          </w:p>
        </w:tc>
        <w:tc>
          <w:tcPr>
            <w:tcW w:w="100" w:type="dxa"/>
            <w:vAlign w:val="bottom"/>
          </w:tcPr>
          <w:p>
            <w:pPr>
              <w:spacing w:after="0"/>
              <w:rPr>
                <w:sz w:val="18"/>
                <w:szCs w:val="18"/>
                <w:color w:val="auto"/>
              </w:rPr>
            </w:pPr>
          </w:p>
        </w:tc>
        <w:tc>
          <w:tcPr>
            <w:tcW w:w="34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335,377</w:t>
            </w:r>
          </w:p>
        </w:tc>
        <w:tc>
          <w:tcPr>
            <w:tcW w:w="100" w:type="dxa"/>
            <w:vAlign w:val="bottom"/>
          </w:tcPr>
          <w:p>
            <w:pPr>
              <w:spacing w:after="0"/>
              <w:rPr>
                <w:sz w:val="18"/>
                <w:szCs w:val="18"/>
                <w:color w:val="auto"/>
              </w:rPr>
            </w:pPr>
          </w:p>
        </w:tc>
        <w:tc>
          <w:tcPr>
            <w:tcW w:w="34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118,177</w:t>
            </w:r>
          </w:p>
        </w:tc>
        <w:tc>
          <w:tcPr>
            <w:tcW w:w="80" w:type="dxa"/>
            <w:vAlign w:val="bottom"/>
          </w:tcPr>
          <w:p>
            <w:pPr>
              <w:spacing w:after="0"/>
              <w:rPr>
                <w:sz w:val="18"/>
                <w:szCs w:val="18"/>
                <w:color w:val="auto"/>
              </w:rPr>
            </w:pPr>
          </w:p>
        </w:tc>
        <w:tc>
          <w:tcPr>
            <w:tcW w:w="400" w:type="dxa"/>
            <w:vAlign w:val="bottom"/>
            <w:tcBorders>
              <w:bottom w:val="single" w:sz="8" w:color="auto"/>
            </w:tcBorders>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399,790</w:t>
            </w:r>
          </w:p>
        </w:tc>
      </w:tr>
      <w:tr>
        <w:trPr>
          <w:trHeight w:val="21"/>
        </w:trPr>
        <w:tc>
          <w:tcPr>
            <w:tcW w:w="45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6" w:name="page17"/>
    <w:bookmarkEnd w:id="16"/>
    <w:p>
      <w:pPr>
        <w:jc w:val="center"/>
        <w:spacing w:after="0"/>
        <w:rPr>
          <w:sz w:val="20"/>
          <w:szCs w:val="20"/>
          <w:color w:val="auto"/>
        </w:rPr>
      </w:pPr>
      <w:r>
        <w:rPr>
          <w:rFonts w:ascii="Times New Roman" w:cs="Times New Roman" w:eastAsia="Times New Roman" w:hAnsi="Times New Roman"/>
          <w:sz w:val="18"/>
          <w:szCs w:val="18"/>
          <w:b w:val="1"/>
          <w:bCs w:val="1"/>
          <w:color w:val="auto"/>
        </w:rPr>
        <w:t>UNITED COMMUNITY BANKS,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(Unaudited)</w:t>
      </w: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Past Due and Nonaccrual Loans</w:t>
      </w:r>
    </w:p>
    <w:p>
      <w:pPr>
        <w:spacing w:after="0" w:line="31"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The following table presents the aging of the amortized cost basis in loans by aging category and accrual status as of the dates indicated. Past due status is based on contractual terms of the loan. The accrual of interest is generally discontinued when a loan becomes 90 days past due.</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gridSpan w:val="3"/>
          </w:tcPr>
          <w:p>
            <w:pPr>
              <w:ind w:left="420"/>
              <w:spacing w:after="0"/>
              <w:rPr>
                <w:sz w:val="20"/>
                <w:szCs w:val="20"/>
                <w:color w:val="auto"/>
              </w:rPr>
            </w:pPr>
            <w:r>
              <w:rPr>
                <w:rFonts w:ascii="Times New Roman" w:cs="Times New Roman" w:eastAsia="Times New Roman" w:hAnsi="Times New Roman"/>
                <w:sz w:val="16"/>
                <w:szCs w:val="16"/>
                <w:b w:val="1"/>
                <w:bCs w:val="1"/>
                <w:color w:val="auto"/>
              </w:rPr>
              <w:t>Accruing</w:t>
            </w:r>
          </w:p>
        </w:tc>
        <w:tc>
          <w:tcPr>
            <w:tcW w:w="6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3"/>
        </w:trPr>
        <w:tc>
          <w:tcPr>
            <w:tcW w:w="4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16"/>
                <w:szCs w:val="16"/>
                <w:b w:val="1"/>
                <w:bCs w:val="1"/>
                <w:color w:val="auto"/>
              </w:rPr>
              <w:t>Loans Past Due</w:t>
            </w:r>
          </w:p>
        </w:tc>
        <w:tc>
          <w:tcPr>
            <w:tcW w:w="1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8"/>
        </w:trPr>
        <w:tc>
          <w:tcPr>
            <w:tcW w:w="426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1240" w:type="dxa"/>
            <w:vAlign w:val="bottom"/>
            <w:gridSpan w:val="3"/>
            <w:vMerge w:val="restart"/>
          </w:tcPr>
          <w:p>
            <w:pPr>
              <w:ind w:left="60"/>
              <w:spacing w:after="0"/>
              <w:rPr>
                <w:sz w:val="20"/>
                <w:szCs w:val="20"/>
                <w:color w:val="auto"/>
              </w:rPr>
            </w:pPr>
            <w:r>
              <w:rPr>
                <w:rFonts w:ascii="Times New Roman" w:cs="Times New Roman" w:eastAsia="Times New Roman" w:hAnsi="Times New Roman"/>
                <w:sz w:val="16"/>
                <w:szCs w:val="16"/>
                <w:b w:val="1"/>
                <w:bCs w:val="1"/>
                <w:color w:val="auto"/>
              </w:rPr>
              <w:t>Current Loans</w:t>
            </w:r>
          </w:p>
        </w:tc>
        <w:tc>
          <w:tcPr>
            <w:tcW w:w="1100" w:type="dxa"/>
            <w:vAlign w:val="bottom"/>
            <w:gridSpan w:val="3"/>
            <w:vMerge w:val="restart"/>
          </w:tcPr>
          <w:p>
            <w:pPr>
              <w:ind w:left="80"/>
              <w:spacing w:after="0"/>
              <w:rPr>
                <w:sz w:val="20"/>
                <w:szCs w:val="20"/>
                <w:color w:val="auto"/>
              </w:rPr>
            </w:pPr>
            <w:r>
              <w:rPr>
                <w:rFonts w:ascii="Times New Roman" w:cs="Times New Roman" w:eastAsia="Times New Roman" w:hAnsi="Times New Roman"/>
                <w:sz w:val="16"/>
                <w:szCs w:val="16"/>
                <w:b w:val="1"/>
                <w:bCs w:val="1"/>
                <w:color w:val="auto"/>
              </w:rPr>
              <w:t>30 - 59 Days</w:t>
            </w:r>
          </w:p>
        </w:tc>
        <w:tc>
          <w:tcPr>
            <w:tcW w:w="1120" w:type="dxa"/>
            <w:vAlign w:val="bottom"/>
            <w:gridSpan w:val="3"/>
            <w:vMerge w:val="restart"/>
          </w:tcPr>
          <w:p>
            <w:pPr>
              <w:ind w:left="80"/>
              <w:spacing w:after="0"/>
              <w:rPr>
                <w:sz w:val="20"/>
                <w:szCs w:val="20"/>
                <w:color w:val="auto"/>
              </w:rPr>
            </w:pPr>
            <w:r>
              <w:rPr>
                <w:rFonts w:ascii="Times New Roman" w:cs="Times New Roman" w:eastAsia="Times New Roman" w:hAnsi="Times New Roman"/>
                <w:sz w:val="16"/>
                <w:szCs w:val="16"/>
                <w:b w:val="1"/>
                <w:bCs w:val="1"/>
                <w:color w:val="auto"/>
              </w:rPr>
              <w:t>60 - 89 Days</w:t>
            </w:r>
          </w:p>
        </w:tc>
        <w:tc>
          <w:tcPr>
            <w:tcW w:w="120" w:type="dxa"/>
            <w:vAlign w:val="bottom"/>
          </w:tcPr>
          <w:p>
            <w:pPr>
              <w:spacing w:after="0"/>
              <w:rPr>
                <w:sz w:val="16"/>
                <w:szCs w:val="16"/>
                <w:color w:val="auto"/>
              </w:rPr>
            </w:pPr>
          </w:p>
        </w:tc>
        <w:tc>
          <w:tcPr>
            <w:tcW w:w="980" w:type="dxa"/>
            <w:vAlign w:val="bottom"/>
            <w:gridSpan w:val="2"/>
            <w:vMerge w:val="restart"/>
          </w:tcPr>
          <w:p>
            <w:pPr>
              <w:ind w:left="40"/>
              <w:spacing w:after="0"/>
              <w:rPr>
                <w:sz w:val="20"/>
                <w:szCs w:val="20"/>
                <w:color w:val="auto"/>
              </w:rPr>
            </w:pPr>
            <w:r>
              <w:rPr>
                <w:rFonts w:ascii="Times New Roman" w:cs="Times New Roman" w:eastAsia="Times New Roman" w:hAnsi="Times New Roman"/>
                <w:sz w:val="16"/>
                <w:szCs w:val="16"/>
                <w:b w:val="1"/>
                <w:bCs w:val="1"/>
                <w:color w:val="auto"/>
              </w:rPr>
              <w:t>&gt; 90 Days</w:t>
            </w:r>
          </w:p>
        </w:tc>
        <w:tc>
          <w:tcPr>
            <w:tcW w:w="140" w:type="dxa"/>
            <w:vAlign w:val="bottom"/>
          </w:tcPr>
          <w:p>
            <w:pPr>
              <w:spacing w:after="0"/>
              <w:rPr>
                <w:sz w:val="16"/>
                <w:szCs w:val="16"/>
                <w:color w:val="auto"/>
              </w:rPr>
            </w:pPr>
          </w:p>
        </w:tc>
        <w:tc>
          <w:tcPr>
            <w:tcW w:w="112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Nonaccrual</w:t>
            </w:r>
          </w:p>
        </w:tc>
        <w:tc>
          <w:tcPr>
            <w:tcW w:w="140" w:type="dxa"/>
            <w:vAlign w:val="bottom"/>
          </w:tcPr>
          <w:p>
            <w:pPr>
              <w:spacing w:after="0"/>
              <w:rPr>
                <w:sz w:val="16"/>
                <w:szCs w:val="16"/>
                <w:color w:val="auto"/>
              </w:rPr>
            </w:pPr>
          </w:p>
        </w:tc>
        <w:tc>
          <w:tcPr>
            <w:tcW w:w="1020" w:type="dxa"/>
            <w:vAlign w:val="bottom"/>
            <w:vMerge w:val="restart"/>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w w:val="99"/>
              </w:rPr>
              <w:t>Total Loans</w:t>
            </w:r>
          </w:p>
        </w:tc>
        <w:tc>
          <w:tcPr>
            <w:tcW w:w="0" w:type="dxa"/>
            <w:vAlign w:val="bottom"/>
          </w:tcPr>
          <w:p>
            <w:pPr>
              <w:spacing w:after="0"/>
              <w:rPr>
                <w:sz w:val="1"/>
                <w:szCs w:val="1"/>
                <w:color w:val="auto"/>
              </w:rPr>
            </w:pPr>
          </w:p>
        </w:tc>
      </w:tr>
      <w:tr>
        <w:trPr>
          <w:trHeight w:val="212"/>
        </w:trPr>
        <w:tc>
          <w:tcPr>
            <w:tcW w:w="4260" w:type="dxa"/>
            <w:vAlign w:val="bottom"/>
            <w:gridSpan w:val="2"/>
            <w:vMerge w:val="continue"/>
          </w:tcPr>
          <w:p>
            <w:pPr>
              <w:spacing w:after="0"/>
              <w:rPr>
                <w:sz w:val="18"/>
                <w:szCs w:val="18"/>
                <w:color w:val="auto"/>
              </w:rPr>
            </w:pPr>
          </w:p>
        </w:tc>
        <w:tc>
          <w:tcPr>
            <w:tcW w:w="1240" w:type="dxa"/>
            <w:vAlign w:val="bottom"/>
            <w:gridSpan w:val="3"/>
            <w:vMerge w:val="continue"/>
          </w:tcPr>
          <w:p>
            <w:pPr>
              <w:spacing w:after="0"/>
              <w:rPr>
                <w:sz w:val="18"/>
                <w:szCs w:val="18"/>
                <w:color w:val="auto"/>
              </w:rPr>
            </w:pPr>
          </w:p>
        </w:tc>
        <w:tc>
          <w:tcPr>
            <w:tcW w:w="1100" w:type="dxa"/>
            <w:vAlign w:val="bottom"/>
            <w:gridSpan w:val="3"/>
            <w:vMerge w:val="continue"/>
          </w:tcPr>
          <w:p>
            <w:pPr>
              <w:spacing w:after="0"/>
              <w:rPr>
                <w:sz w:val="18"/>
                <w:szCs w:val="18"/>
                <w:color w:val="auto"/>
              </w:rPr>
            </w:pPr>
          </w:p>
        </w:tc>
        <w:tc>
          <w:tcPr>
            <w:tcW w:w="1120" w:type="dxa"/>
            <w:vAlign w:val="bottom"/>
            <w:gridSpan w:val="3"/>
            <w:vMerge w:val="continue"/>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Loans</w:t>
            </w:r>
          </w:p>
        </w:tc>
        <w:tc>
          <w:tcPr>
            <w:tcW w:w="140" w:type="dxa"/>
            <w:vAlign w:val="bottom"/>
          </w:tcPr>
          <w:p>
            <w:pPr>
              <w:spacing w:after="0"/>
              <w:rPr>
                <w:sz w:val="18"/>
                <w:szCs w:val="18"/>
                <w:color w:val="auto"/>
              </w:rPr>
            </w:pPr>
          </w:p>
        </w:tc>
        <w:tc>
          <w:tcPr>
            <w:tcW w:w="10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97"/>
        </w:trPr>
        <w:tc>
          <w:tcPr>
            <w:tcW w:w="426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As of September 30, 2025</w:t>
            </w:r>
          </w:p>
        </w:tc>
        <w:tc>
          <w:tcPr>
            <w:tcW w:w="22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Borders>
              <w:top w:val="single" w:sz="8" w:color="auto"/>
            </w:tcBorders>
          </w:tcPr>
          <w:p>
            <w:pPr>
              <w:spacing w:after="0"/>
              <w:rPr>
                <w:sz w:val="17"/>
                <w:szCs w:val="17"/>
                <w:color w:val="auto"/>
              </w:rPr>
            </w:pPr>
          </w:p>
        </w:tc>
        <w:tc>
          <w:tcPr>
            <w:tcW w:w="6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41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Owner occupied CRE</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3,662,266</w:t>
            </w:r>
          </w:p>
        </w:tc>
        <w:tc>
          <w:tcPr>
            <w:tcW w:w="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2,170</w:t>
            </w:r>
          </w:p>
        </w:tc>
        <w:tc>
          <w:tcPr>
            <w:tcW w:w="10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3,575</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top w:val="single" w:sz="8" w:color="CCEEFF"/>
            </w:tcBorders>
            <w:gridSpan w:val="2"/>
            <w:shd w:val="clear" w:color="auto" w:fill="CCEEFF"/>
          </w:tcPr>
          <w:p>
            <w:pPr>
              <w:ind w:left="6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10,275</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3,678,286</w:t>
            </w:r>
          </w:p>
        </w:tc>
        <w:tc>
          <w:tcPr>
            <w:tcW w:w="0" w:type="dxa"/>
            <w:vAlign w:val="bottom"/>
          </w:tcPr>
          <w:p>
            <w:pPr>
              <w:spacing w:after="0"/>
              <w:rPr>
                <w:sz w:val="1"/>
                <w:szCs w:val="1"/>
                <w:color w:val="auto"/>
              </w:rPr>
            </w:pPr>
          </w:p>
        </w:tc>
      </w:tr>
      <w:tr>
        <w:trPr>
          <w:trHeight w:val="213"/>
        </w:trPr>
        <w:tc>
          <w:tcPr>
            <w:tcW w:w="42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Income producing CRE</w:t>
            </w: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4,518,820</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4,703</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980" w:type="dxa"/>
            <w:vAlign w:val="bottom"/>
            <w:gridSpan w:val="2"/>
          </w:tcPr>
          <w:p>
            <w:pPr>
              <w:ind w:left="6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10,884</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4,534,407</w:t>
            </w:r>
          </w:p>
        </w:tc>
        <w:tc>
          <w:tcPr>
            <w:tcW w:w="0" w:type="dxa"/>
            <w:vAlign w:val="bottom"/>
          </w:tcPr>
          <w:p>
            <w:pPr>
              <w:spacing w:after="0"/>
              <w:rPr>
                <w:sz w:val="1"/>
                <w:szCs w:val="1"/>
                <w:color w:val="auto"/>
              </w:rPr>
            </w:pPr>
          </w:p>
        </w:tc>
      </w:tr>
      <w:tr>
        <w:trPr>
          <w:trHeight w:val="219"/>
        </w:trPr>
        <w:tc>
          <w:tcPr>
            <w:tcW w:w="42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Commercial &amp; industrial</w:t>
            </w: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2,559,013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6,278</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1,926</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25,754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2,592,971</w:t>
            </w:r>
          </w:p>
        </w:tc>
        <w:tc>
          <w:tcPr>
            <w:tcW w:w="0" w:type="dxa"/>
            <w:vAlign w:val="bottom"/>
          </w:tcPr>
          <w:p>
            <w:pPr>
              <w:spacing w:after="0"/>
              <w:rPr>
                <w:sz w:val="1"/>
                <w:szCs w:val="1"/>
                <w:color w:val="auto"/>
              </w:rPr>
            </w:pPr>
          </w:p>
        </w:tc>
      </w:tr>
      <w:tr>
        <w:trPr>
          <w:trHeight w:val="213"/>
        </w:trPr>
        <w:tc>
          <w:tcPr>
            <w:tcW w:w="42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Commercial construction</w:t>
            </w: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1,726,531</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3,744</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980" w:type="dxa"/>
            <w:vAlign w:val="bottom"/>
            <w:gridSpan w:val="2"/>
          </w:tcPr>
          <w:p>
            <w:pPr>
              <w:ind w:left="6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3,198</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1,733,473</w:t>
            </w:r>
          </w:p>
        </w:tc>
        <w:tc>
          <w:tcPr>
            <w:tcW w:w="0" w:type="dxa"/>
            <w:vAlign w:val="bottom"/>
          </w:tcPr>
          <w:p>
            <w:pPr>
              <w:spacing w:after="0"/>
              <w:rPr>
                <w:sz w:val="1"/>
                <w:szCs w:val="1"/>
                <w:color w:val="auto"/>
              </w:rPr>
            </w:pPr>
          </w:p>
        </w:tc>
      </w:tr>
      <w:tr>
        <w:trPr>
          <w:trHeight w:val="219"/>
        </w:trPr>
        <w:tc>
          <w:tcPr>
            <w:tcW w:w="42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Equipment financing</w:t>
            </w: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1,789,848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3,813</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4,530</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9,716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1,807,907</w:t>
            </w:r>
          </w:p>
        </w:tc>
        <w:tc>
          <w:tcPr>
            <w:tcW w:w="0" w:type="dxa"/>
            <w:vAlign w:val="bottom"/>
          </w:tcPr>
          <w:p>
            <w:pPr>
              <w:spacing w:after="0"/>
              <w:rPr>
                <w:sz w:val="1"/>
                <w:szCs w:val="1"/>
                <w:color w:val="auto"/>
              </w:rPr>
            </w:pPr>
          </w:p>
        </w:tc>
      </w:tr>
      <w:tr>
        <w:trPr>
          <w:trHeight w:val="207"/>
        </w:trPr>
        <w:tc>
          <w:tcPr>
            <w:tcW w:w="426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Total commercial</w:t>
            </w:r>
          </w:p>
        </w:tc>
        <w:tc>
          <w:tcPr>
            <w:tcW w:w="22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14,256,478</w:t>
            </w:r>
          </w:p>
        </w:tc>
        <w:tc>
          <w:tcPr>
            <w:tcW w:w="100" w:type="dxa"/>
            <w:vAlign w:val="bottom"/>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20,708</w:t>
            </w:r>
          </w:p>
        </w:tc>
        <w:tc>
          <w:tcPr>
            <w:tcW w:w="100" w:type="dxa"/>
            <w:vAlign w:val="bottom"/>
          </w:tcPr>
          <w:p>
            <w:pPr>
              <w:spacing w:after="0"/>
              <w:rPr>
                <w:sz w:val="17"/>
                <w:szCs w:val="17"/>
                <w:color w:val="auto"/>
              </w:rPr>
            </w:pPr>
          </w:p>
        </w:tc>
        <w:tc>
          <w:tcPr>
            <w:tcW w:w="380" w:type="dxa"/>
            <w:vAlign w:val="bottom"/>
            <w:tcBorders>
              <w:top w:val="single" w:sz="8" w:color="auto"/>
            </w:tcBorders>
          </w:tcPr>
          <w:p>
            <w:pPr>
              <w:spacing w:after="0"/>
              <w:rPr>
                <w:sz w:val="17"/>
                <w:szCs w:val="17"/>
                <w:color w:val="auto"/>
              </w:rPr>
            </w:pP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10,031</w:t>
            </w:r>
          </w:p>
        </w:tc>
        <w:tc>
          <w:tcPr>
            <w:tcW w:w="1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ind w:left="6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59,827</w:t>
            </w: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14,347,044</w:t>
            </w:r>
          </w:p>
        </w:tc>
        <w:tc>
          <w:tcPr>
            <w:tcW w:w="0" w:type="dxa"/>
            <w:vAlign w:val="bottom"/>
          </w:tcPr>
          <w:p>
            <w:pPr>
              <w:spacing w:after="0"/>
              <w:rPr>
                <w:sz w:val="1"/>
                <w:szCs w:val="1"/>
                <w:color w:val="auto"/>
              </w:rPr>
            </w:pPr>
          </w:p>
        </w:tc>
      </w:tr>
      <w:tr>
        <w:trPr>
          <w:trHeight w:val="219"/>
        </w:trPr>
        <w:tc>
          <w:tcPr>
            <w:tcW w:w="42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Residential mortgage</w:t>
            </w: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3,161,867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5,769</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1,243</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28,978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3,197,857</w:t>
            </w:r>
          </w:p>
        </w:tc>
        <w:tc>
          <w:tcPr>
            <w:tcW w:w="0" w:type="dxa"/>
            <w:vAlign w:val="bottom"/>
          </w:tcPr>
          <w:p>
            <w:pPr>
              <w:spacing w:after="0"/>
              <w:rPr>
                <w:sz w:val="1"/>
                <w:szCs w:val="1"/>
                <w:color w:val="auto"/>
              </w:rPr>
            </w:pPr>
          </w:p>
        </w:tc>
      </w:tr>
      <w:tr>
        <w:trPr>
          <w:trHeight w:val="213"/>
        </w:trPr>
        <w:tc>
          <w:tcPr>
            <w:tcW w:w="42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Home equity</w:t>
            </w: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1,241,771</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3,343</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1,739</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ind w:left="6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5,234</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1,252,087</w:t>
            </w:r>
          </w:p>
        </w:tc>
        <w:tc>
          <w:tcPr>
            <w:tcW w:w="0" w:type="dxa"/>
            <w:vAlign w:val="bottom"/>
          </w:tcPr>
          <w:p>
            <w:pPr>
              <w:spacing w:after="0"/>
              <w:rPr>
                <w:sz w:val="1"/>
                <w:szCs w:val="1"/>
                <w:color w:val="auto"/>
              </w:rPr>
            </w:pPr>
          </w:p>
        </w:tc>
      </w:tr>
      <w:tr>
        <w:trPr>
          <w:trHeight w:val="219"/>
        </w:trPr>
        <w:tc>
          <w:tcPr>
            <w:tcW w:w="42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Residential construction</w:t>
            </w: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177,145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1,241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178,468</w:t>
            </w:r>
          </w:p>
        </w:tc>
        <w:tc>
          <w:tcPr>
            <w:tcW w:w="0" w:type="dxa"/>
            <w:vAlign w:val="bottom"/>
          </w:tcPr>
          <w:p>
            <w:pPr>
              <w:spacing w:after="0"/>
              <w:rPr>
                <w:sz w:val="1"/>
                <w:szCs w:val="1"/>
                <w:color w:val="auto"/>
              </w:rPr>
            </w:pPr>
          </w:p>
        </w:tc>
      </w:tr>
      <w:tr>
        <w:trPr>
          <w:trHeight w:val="213"/>
        </w:trPr>
        <w:tc>
          <w:tcPr>
            <w:tcW w:w="42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Consumer</w:t>
            </w: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189,797</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449</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ind w:left="6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1,163</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191,509</w:t>
            </w:r>
          </w:p>
        </w:tc>
        <w:tc>
          <w:tcPr>
            <w:tcW w:w="0" w:type="dxa"/>
            <w:vAlign w:val="bottom"/>
          </w:tcPr>
          <w:p>
            <w:pPr>
              <w:spacing w:after="0"/>
              <w:rPr>
                <w:sz w:val="1"/>
                <w:szCs w:val="1"/>
                <w:color w:val="auto"/>
              </w:rPr>
            </w:pPr>
          </w:p>
        </w:tc>
      </w:tr>
      <w:tr>
        <w:trPr>
          <w:trHeight w:val="237"/>
        </w:trPr>
        <w:tc>
          <w:tcPr>
            <w:tcW w:w="4260" w:type="dxa"/>
            <w:vAlign w:val="bottom"/>
            <w:tcBorders>
              <w:top w:val="single" w:sz="8" w:color="CCEEFF"/>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Total loans</w:t>
            </w:r>
          </w:p>
        </w:tc>
        <w:tc>
          <w:tcPr>
            <w:tcW w:w="220" w:type="dxa"/>
            <w:vAlign w:val="bottom"/>
            <w:tcBorders>
              <w:top w:val="single" w:sz="8" w:color="auto"/>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19,027,058</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00" w:type="dxa"/>
            <w:vAlign w:val="bottom"/>
            <w:tcBorders>
              <w:top w:val="single" w:sz="8" w:color="auto"/>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30,291</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8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13,173</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top w:val="single" w:sz="8" w:color="auto"/>
              <w:bottom w:val="single" w:sz="8" w:color="auto"/>
            </w:tcBorders>
            <w:shd w:val="clear" w:color="auto" w:fill="CCEEFF"/>
          </w:tcPr>
          <w:p>
            <w:pPr>
              <w:ind w:left="6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96,443</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19,166,965</w:t>
            </w:r>
          </w:p>
        </w:tc>
        <w:tc>
          <w:tcPr>
            <w:tcW w:w="0" w:type="dxa"/>
            <w:vAlign w:val="bottom"/>
          </w:tcPr>
          <w:p>
            <w:pPr>
              <w:spacing w:after="0"/>
              <w:rPr>
                <w:sz w:val="1"/>
                <w:szCs w:val="1"/>
                <w:color w:val="auto"/>
              </w:rPr>
            </w:pPr>
          </w:p>
        </w:tc>
      </w:tr>
      <w:tr>
        <w:trPr>
          <w:trHeight w:val="20"/>
        </w:trPr>
        <w:tc>
          <w:tcPr>
            <w:tcW w:w="4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4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42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As of December 31, 2024</w:t>
            </w: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416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Owner occupied CRE</w:t>
            </w:r>
          </w:p>
        </w:tc>
        <w:tc>
          <w:tcPr>
            <w:tcW w:w="100" w:type="dxa"/>
            <w:vAlign w:val="bottom"/>
          </w:tcPr>
          <w:p>
            <w:pPr>
              <w:spacing w:after="0"/>
              <w:rPr>
                <w:sz w:val="17"/>
                <w:szCs w:val="17"/>
                <w:color w:val="auto"/>
              </w:rPr>
            </w:pP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3,381,622</w:t>
            </w:r>
          </w:p>
        </w:tc>
        <w:tc>
          <w:tcPr>
            <w:tcW w:w="100" w:type="dxa"/>
            <w:vAlign w:val="bottom"/>
          </w:tcPr>
          <w:p>
            <w:pPr>
              <w:spacing w:after="0"/>
              <w:rPr>
                <w:sz w:val="17"/>
                <w:szCs w:val="17"/>
                <w:color w:val="auto"/>
              </w:rPr>
            </w:pP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4,402</w:t>
            </w:r>
          </w:p>
        </w:tc>
        <w:tc>
          <w:tcPr>
            <w:tcW w:w="100" w:type="dxa"/>
            <w:vAlign w:val="bottom"/>
          </w:tcPr>
          <w:p>
            <w:pPr>
              <w:spacing w:after="0"/>
              <w:rPr>
                <w:sz w:val="17"/>
                <w:szCs w:val="17"/>
                <w:color w:val="auto"/>
              </w:rPr>
            </w:pPr>
          </w:p>
        </w:tc>
        <w:tc>
          <w:tcPr>
            <w:tcW w:w="3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519</w:t>
            </w:r>
          </w:p>
        </w:tc>
        <w:tc>
          <w:tcPr>
            <w:tcW w:w="12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gridSpan w:val="2"/>
          </w:tcPr>
          <w:p>
            <w:pPr>
              <w:ind w:left="6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11,674</w:t>
            </w:r>
          </w:p>
        </w:tc>
        <w:tc>
          <w:tcPr>
            <w:tcW w:w="10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3,398,217</w:t>
            </w:r>
          </w:p>
        </w:tc>
        <w:tc>
          <w:tcPr>
            <w:tcW w:w="0" w:type="dxa"/>
            <w:vAlign w:val="bottom"/>
          </w:tcPr>
          <w:p>
            <w:pPr>
              <w:spacing w:after="0"/>
              <w:rPr>
                <w:sz w:val="1"/>
                <w:szCs w:val="1"/>
                <w:color w:val="auto"/>
              </w:rPr>
            </w:pPr>
          </w:p>
        </w:tc>
      </w:tr>
      <w:tr>
        <w:trPr>
          <w:trHeight w:val="219"/>
        </w:trPr>
        <w:tc>
          <w:tcPr>
            <w:tcW w:w="42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producing CRE</w:t>
            </w: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4,333,651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1,705</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207</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25,357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4,360,920</w:t>
            </w:r>
          </w:p>
        </w:tc>
        <w:tc>
          <w:tcPr>
            <w:tcW w:w="0" w:type="dxa"/>
            <w:vAlign w:val="bottom"/>
          </w:tcPr>
          <w:p>
            <w:pPr>
              <w:spacing w:after="0"/>
              <w:rPr>
                <w:sz w:val="1"/>
                <w:szCs w:val="1"/>
                <w:color w:val="auto"/>
              </w:rPr>
            </w:pPr>
          </w:p>
        </w:tc>
      </w:tr>
      <w:tr>
        <w:trPr>
          <w:trHeight w:val="213"/>
        </w:trPr>
        <w:tc>
          <w:tcPr>
            <w:tcW w:w="42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Commercial &amp; industrial</w:t>
            </w: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2,395,889</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2,665</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483</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ind w:left="6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29,339</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2,428,376</w:t>
            </w:r>
          </w:p>
        </w:tc>
        <w:tc>
          <w:tcPr>
            <w:tcW w:w="0" w:type="dxa"/>
            <w:vAlign w:val="bottom"/>
          </w:tcPr>
          <w:p>
            <w:pPr>
              <w:spacing w:after="0"/>
              <w:rPr>
                <w:sz w:val="1"/>
                <w:szCs w:val="1"/>
                <w:color w:val="auto"/>
              </w:rPr>
            </w:pPr>
          </w:p>
        </w:tc>
      </w:tr>
      <w:tr>
        <w:trPr>
          <w:trHeight w:val="219"/>
        </w:trPr>
        <w:tc>
          <w:tcPr>
            <w:tcW w:w="42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Commercial construction</w:t>
            </w: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1,646,175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1,693</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442</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7,400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1,655,710</w:t>
            </w:r>
          </w:p>
        </w:tc>
        <w:tc>
          <w:tcPr>
            <w:tcW w:w="0" w:type="dxa"/>
            <w:vAlign w:val="bottom"/>
          </w:tcPr>
          <w:p>
            <w:pPr>
              <w:spacing w:after="0"/>
              <w:rPr>
                <w:sz w:val="1"/>
                <w:szCs w:val="1"/>
                <w:color w:val="auto"/>
              </w:rPr>
            </w:pPr>
          </w:p>
        </w:tc>
      </w:tr>
      <w:tr>
        <w:trPr>
          <w:trHeight w:val="213"/>
        </w:trPr>
        <w:tc>
          <w:tcPr>
            <w:tcW w:w="42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Equipment financing</w:t>
            </w: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1,644,721</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5,939</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2,916</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ind w:left="6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8,925</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1,662,501</w:t>
            </w:r>
          </w:p>
        </w:tc>
        <w:tc>
          <w:tcPr>
            <w:tcW w:w="0" w:type="dxa"/>
            <w:vAlign w:val="bottom"/>
          </w:tcPr>
          <w:p>
            <w:pPr>
              <w:spacing w:after="0"/>
              <w:rPr>
                <w:sz w:val="1"/>
                <w:szCs w:val="1"/>
                <w:color w:val="auto"/>
              </w:rPr>
            </w:pPr>
          </w:p>
        </w:tc>
      </w:tr>
      <w:tr>
        <w:trPr>
          <w:trHeight w:val="212"/>
        </w:trPr>
        <w:tc>
          <w:tcPr>
            <w:tcW w:w="4260" w:type="dxa"/>
            <w:vAlign w:val="bottom"/>
            <w:tcBorders>
              <w:top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Total commercial</w:t>
            </w:r>
          </w:p>
        </w:tc>
        <w:tc>
          <w:tcPr>
            <w:tcW w:w="22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13,402,058</w:t>
            </w:r>
          </w:p>
        </w:tc>
        <w:tc>
          <w:tcPr>
            <w:tcW w:w="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16,404</w:t>
            </w:r>
          </w:p>
        </w:tc>
        <w:tc>
          <w:tcPr>
            <w:tcW w:w="10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4,567</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ind w:left="6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82,695</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13,505,724</w:t>
            </w:r>
          </w:p>
        </w:tc>
        <w:tc>
          <w:tcPr>
            <w:tcW w:w="0" w:type="dxa"/>
            <w:vAlign w:val="bottom"/>
          </w:tcPr>
          <w:p>
            <w:pPr>
              <w:spacing w:after="0"/>
              <w:rPr>
                <w:sz w:val="1"/>
                <w:szCs w:val="1"/>
                <w:color w:val="auto"/>
              </w:rPr>
            </w:pPr>
          </w:p>
        </w:tc>
      </w:tr>
      <w:tr>
        <w:trPr>
          <w:trHeight w:val="213"/>
        </w:trPr>
        <w:tc>
          <w:tcPr>
            <w:tcW w:w="42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Residential mortgage</w:t>
            </w: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3,199,956</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4,808</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2,100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ind w:left="6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24,615</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3,231,479</w:t>
            </w:r>
          </w:p>
        </w:tc>
        <w:tc>
          <w:tcPr>
            <w:tcW w:w="0" w:type="dxa"/>
            <w:vAlign w:val="bottom"/>
          </w:tcPr>
          <w:p>
            <w:pPr>
              <w:spacing w:after="0"/>
              <w:rPr>
                <w:sz w:val="1"/>
                <w:szCs w:val="1"/>
                <w:color w:val="auto"/>
              </w:rPr>
            </w:pPr>
          </w:p>
        </w:tc>
      </w:tr>
      <w:tr>
        <w:trPr>
          <w:trHeight w:val="219"/>
        </w:trPr>
        <w:tc>
          <w:tcPr>
            <w:tcW w:w="42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Home equity</w:t>
            </w: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1,059,010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986</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248</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4,630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1,064,874</w:t>
            </w:r>
          </w:p>
        </w:tc>
        <w:tc>
          <w:tcPr>
            <w:tcW w:w="0" w:type="dxa"/>
            <w:vAlign w:val="bottom"/>
          </w:tcPr>
          <w:p>
            <w:pPr>
              <w:spacing w:after="0"/>
              <w:rPr>
                <w:sz w:val="1"/>
                <w:szCs w:val="1"/>
                <w:color w:val="auto"/>
              </w:rPr>
            </w:pPr>
          </w:p>
        </w:tc>
      </w:tr>
      <w:tr>
        <w:trPr>
          <w:trHeight w:val="213"/>
        </w:trPr>
        <w:tc>
          <w:tcPr>
            <w:tcW w:w="42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Residential construction</w:t>
            </w: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177,371</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133</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844</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ind w:left="6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178,405</w:t>
            </w:r>
          </w:p>
        </w:tc>
        <w:tc>
          <w:tcPr>
            <w:tcW w:w="0" w:type="dxa"/>
            <w:vAlign w:val="bottom"/>
          </w:tcPr>
          <w:p>
            <w:pPr>
              <w:spacing w:after="0"/>
              <w:rPr>
                <w:sz w:val="1"/>
                <w:szCs w:val="1"/>
                <w:color w:val="auto"/>
              </w:rPr>
            </w:pPr>
          </w:p>
        </w:tc>
      </w:tr>
      <w:tr>
        <w:trPr>
          <w:trHeight w:val="219"/>
        </w:trPr>
        <w:tc>
          <w:tcPr>
            <w:tcW w:w="42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Manufactured housing</w:t>
            </w: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124</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98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1,444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1,723</w:t>
            </w:r>
          </w:p>
        </w:tc>
        <w:tc>
          <w:tcPr>
            <w:tcW w:w="0" w:type="dxa"/>
            <w:vAlign w:val="bottom"/>
          </w:tcPr>
          <w:p>
            <w:pPr>
              <w:spacing w:after="0"/>
              <w:rPr>
                <w:sz w:val="1"/>
                <w:szCs w:val="1"/>
                <w:color w:val="auto"/>
              </w:rPr>
            </w:pPr>
          </w:p>
        </w:tc>
      </w:tr>
      <w:tr>
        <w:trPr>
          <w:trHeight w:val="213"/>
        </w:trPr>
        <w:tc>
          <w:tcPr>
            <w:tcW w:w="42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Consumer</w:t>
            </w: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185,545</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636</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129</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ind w:left="6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138</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186,448</w:t>
            </w:r>
          </w:p>
        </w:tc>
        <w:tc>
          <w:tcPr>
            <w:tcW w:w="0" w:type="dxa"/>
            <w:vAlign w:val="bottom"/>
          </w:tcPr>
          <w:p>
            <w:pPr>
              <w:spacing w:after="0"/>
              <w:rPr>
                <w:sz w:val="1"/>
                <w:szCs w:val="1"/>
                <w:color w:val="auto"/>
              </w:rPr>
            </w:pPr>
          </w:p>
        </w:tc>
      </w:tr>
      <w:tr>
        <w:trPr>
          <w:trHeight w:val="237"/>
        </w:trPr>
        <w:tc>
          <w:tcPr>
            <w:tcW w:w="4260" w:type="dxa"/>
            <w:vAlign w:val="bottom"/>
            <w:tcBorders>
              <w:top w:val="single" w:sz="8" w:color="CCEEFF"/>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Total loans</w:t>
            </w:r>
          </w:p>
        </w:tc>
        <w:tc>
          <w:tcPr>
            <w:tcW w:w="220" w:type="dxa"/>
            <w:vAlign w:val="bottom"/>
            <w:tcBorders>
              <w:top w:val="single" w:sz="8" w:color="auto"/>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18,024,095</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00" w:type="dxa"/>
            <w:vAlign w:val="bottom"/>
            <w:tcBorders>
              <w:top w:val="single" w:sz="8" w:color="auto"/>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23,091</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8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7,888</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top w:val="single" w:sz="8" w:color="auto"/>
              <w:bottom w:val="single" w:sz="8" w:color="auto"/>
            </w:tcBorders>
            <w:shd w:val="clear" w:color="auto" w:fill="CCEEFF"/>
          </w:tcPr>
          <w:p>
            <w:pPr>
              <w:ind w:left="6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113,579</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18,168,653</w:t>
            </w:r>
          </w:p>
        </w:tc>
        <w:tc>
          <w:tcPr>
            <w:tcW w:w="0" w:type="dxa"/>
            <w:vAlign w:val="bottom"/>
          </w:tcPr>
          <w:p>
            <w:pPr>
              <w:spacing w:after="0"/>
              <w:rPr>
                <w:sz w:val="1"/>
                <w:szCs w:val="1"/>
                <w:color w:val="auto"/>
              </w:rPr>
            </w:pPr>
          </w:p>
        </w:tc>
      </w:tr>
      <w:tr>
        <w:trPr>
          <w:trHeight w:val="20"/>
        </w:trPr>
        <w:tc>
          <w:tcPr>
            <w:tcW w:w="4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nonaccrual loans held for investment by loan class for the periods indicated.</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394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2100" w:type="dxa"/>
            <w:vAlign w:val="bottom"/>
            <w:tcBorders>
              <w:bottom w:val="single" w:sz="8" w:color="auto"/>
            </w:tcBorders>
            <w:gridSpan w:val="4"/>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Nonaccrual Loans</w:t>
            </w:r>
          </w:p>
        </w:tc>
        <w:tc>
          <w:tcPr>
            <w:tcW w:w="8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394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gridSpan w:val="5"/>
          </w:tcPr>
          <w:p>
            <w:pPr>
              <w:jc w:val="center"/>
              <w:spacing w:after="0"/>
              <w:rPr>
                <w:sz w:val="20"/>
                <w:szCs w:val="20"/>
                <w:color w:val="auto"/>
              </w:rPr>
            </w:pPr>
            <w:r>
              <w:rPr>
                <w:rFonts w:ascii="Times New Roman" w:cs="Times New Roman" w:eastAsia="Times New Roman" w:hAnsi="Times New Roman"/>
                <w:sz w:val="16"/>
                <w:szCs w:val="16"/>
                <w:b w:val="1"/>
                <w:bCs w:val="1"/>
                <w:color w:val="auto"/>
              </w:rPr>
              <w:t>September 30, 2025</w:t>
            </w: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6"/>
                <w:szCs w:val="16"/>
                <w:b w:val="1"/>
                <w:bCs w:val="1"/>
                <w:color w:val="auto"/>
              </w:rPr>
              <w:t>December 31, 2024</w:t>
            </w: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7"/>
        </w:trPr>
        <w:tc>
          <w:tcPr>
            <w:tcW w:w="3940" w:type="dxa"/>
            <w:vAlign w:val="bottom"/>
            <w:vMerge w:val="restart"/>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180" w:type="dxa"/>
            <w:vAlign w:val="bottom"/>
          </w:tcPr>
          <w:p>
            <w:pPr>
              <w:spacing w:after="0"/>
              <w:rPr>
                <w:sz w:val="13"/>
                <w:szCs w:val="13"/>
                <w:color w:val="auto"/>
              </w:rPr>
            </w:pPr>
          </w:p>
        </w:tc>
        <w:tc>
          <w:tcPr>
            <w:tcW w:w="920" w:type="dxa"/>
            <w:vAlign w:val="bottom"/>
          </w:tcPr>
          <w:p>
            <w:pPr>
              <w:jc w:val="right"/>
              <w:ind w:right="159"/>
              <w:spacing w:after="0" w:line="158" w:lineRule="exact"/>
              <w:rPr>
                <w:sz w:val="20"/>
                <w:szCs w:val="20"/>
                <w:color w:val="auto"/>
              </w:rPr>
            </w:pPr>
            <w:r>
              <w:rPr>
                <w:rFonts w:ascii="Times New Roman" w:cs="Times New Roman" w:eastAsia="Times New Roman" w:hAnsi="Times New Roman"/>
                <w:sz w:val="16"/>
                <w:szCs w:val="16"/>
                <w:b w:val="1"/>
                <w:bCs w:val="1"/>
                <w:color w:val="auto"/>
              </w:rPr>
              <w:t>With no</w:t>
            </w: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gridSpan w:val="2"/>
          </w:tcPr>
          <w:p>
            <w:pPr>
              <w:jc w:val="center"/>
              <w:ind w:right="280"/>
              <w:spacing w:after="0" w:line="158" w:lineRule="exact"/>
              <w:rPr>
                <w:sz w:val="20"/>
                <w:szCs w:val="20"/>
                <w:color w:val="auto"/>
              </w:rPr>
            </w:pPr>
            <w:r>
              <w:rPr>
                <w:rFonts w:ascii="Times New Roman" w:cs="Times New Roman" w:eastAsia="Times New Roman" w:hAnsi="Times New Roman"/>
                <w:sz w:val="16"/>
                <w:szCs w:val="16"/>
                <w:b w:val="1"/>
                <w:bCs w:val="1"/>
                <w:color w:val="auto"/>
              </w:rPr>
              <w:t>With an</w:t>
            </w:r>
          </w:p>
        </w:tc>
        <w:tc>
          <w:tcPr>
            <w:tcW w:w="240" w:type="dxa"/>
            <w:vAlign w:val="bottom"/>
          </w:tcPr>
          <w:p>
            <w:pPr>
              <w:spacing w:after="0"/>
              <w:rPr>
                <w:sz w:val="13"/>
                <w:szCs w:val="13"/>
                <w:color w:val="auto"/>
              </w:rPr>
            </w:pPr>
          </w:p>
        </w:tc>
        <w:tc>
          <w:tcPr>
            <w:tcW w:w="960" w:type="dxa"/>
            <w:vAlign w:val="bottom"/>
            <w:gridSpan w:val="2"/>
            <w:vMerge w:val="restart"/>
          </w:tcPr>
          <w:p>
            <w:pPr>
              <w:ind w:left="14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180" w:type="dxa"/>
            <w:vAlign w:val="bottom"/>
          </w:tcPr>
          <w:p>
            <w:pPr>
              <w:spacing w:after="0"/>
              <w:rPr>
                <w:sz w:val="13"/>
                <w:szCs w:val="13"/>
                <w:color w:val="auto"/>
              </w:rPr>
            </w:pPr>
          </w:p>
        </w:tc>
        <w:tc>
          <w:tcPr>
            <w:tcW w:w="960" w:type="dxa"/>
            <w:vAlign w:val="bottom"/>
          </w:tcPr>
          <w:p>
            <w:pPr>
              <w:jc w:val="right"/>
              <w:ind w:right="199"/>
              <w:spacing w:after="0" w:line="158" w:lineRule="exact"/>
              <w:rPr>
                <w:sz w:val="20"/>
                <w:szCs w:val="20"/>
                <w:color w:val="auto"/>
              </w:rPr>
            </w:pPr>
            <w:r>
              <w:rPr>
                <w:rFonts w:ascii="Times New Roman" w:cs="Times New Roman" w:eastAsia="Times New Roman" w:hAnsi="Times New Roman"/>
                <w:sz w:val="16"/>
                <w:szCs w:val="16"/>
                <w:b w:val="1"/>
                <w:bCs w:val="1"/>
                <w:color w:val="auto"/>
              </w:rPr>
              <w:t>With no</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gridSpan w:val="2"/>
          </w:tcPr>
          <w:p>
            <w:pPr>
              <w:jc w:val="center"/>
              <w:ind w:right="240"/>
              <w:spacing w:after="0" w:line="158" w:lineRule="exact"/>
              <w:rPr>
                <w:sz w:val="20"/>
                <w:szCs w:val="20"/>
                <w:color w:val="auto"/>
              </w:rPr>
            </w:pPr>
            <w:r>
              <w:rPr>
                <w:rFonts w:ascii="Times New Roman" w:cs="Times New Roman" w:eastAsia="Times New Roman" w:hAnsi="Times New Roman"/>
                <w:sz w:val="16"/>
                <w:szCs w:val="16"/>
                <w:b w:val="1"/>
                <w:bCs w:val="1"/>
                <w:color w:val="auto"/>
              </w:rPr>
              <w:t>With an</w:t>
            </w:r>
          </w:p>
        </w:tc>
        <w:tc>
          <w:tcPr>
            <w:tcW w:w="260" w:type="dxa"/>
            <w:vAlign w:val="bottom"/>
          </w:tcPr>
          <w:p>
            <w:pPr>
              <w:spacing w:after="0"/>
              <w:rPr>
                <w:sz w:val="13"/>
                <w:szCs w:val="13"/>
                <w:color w:val="auto"/>
              </w:rPr>
            </w:pPr>
          </w:p>
        </w:tc>
        <w:tc>
          <w:tcPr>
            <w:tcW w:w="880" w:type="dxa"/>
            <w:vAlign w:val="bottom"/>
            <w:vMerge w:val="restart"/>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214"/>
        </w:trPr>
        <w:tc>
          <w:tcPr>
            <w:tcW w:w="3940" w:type="dxa"/>
            <w:vAlign w:val="bottom"/>
            <w:vMerge w:val="continue"/>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allowance</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allowance</w:t>
            </w:r>
          </w:p>
        </w:tc>
        <w:tc>
          <w:tcPr>
            <w:tcW w:w="240" w:type="dxa"/>
            <w:vAlign w:val="bottom"/>
          </w:tcPr>
          <w:p>
            <w:pPr>
              <w:spacing w:after="0"/>
              <w:rPr>
                <w:sz w:val="18"/>
                <w:szCs w:val="18"/>
                <w:color w:val="auto"/>
              </w:rPr>
            </w:pPr>
          </w:p>
        </w:tc>
        <w:tc>
          <w:tcPr>
            <w:tcW w:w="96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allowance</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allowance</w:t>
            </w:r>
          </w:p>
        </w:tc>
        <w:tc>
          <w:tcPr>
            <w:tcW w:w="260" w:type="dxa"/>
            <w:vAlign w:val="bottom"/>
          </w:tcPr>
          <w:p>
            <w:pPr>
              <w:spacing w:after="0"/>
              <w:rPr>
                <w:sz w:val="18"/>
                <w:szCs w:val="18"/>
                <w:color w:val="auto"/>
              </w:rPr>
            </w:pPr>
          </w:p>
        </w:tc>
        <w:tc>
          <w:tcPr>
            <w:tcW w:w="8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39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Owner occupied CRE</w:t>
            </w: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7,841</w:t>
            </w:r>
          </w:p>
        </w:tc>
        <w:tc>
          <w:tcPr>
            <w:tcW w:w="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2,434</w:t>
            </w:r>
          </w:p>
        </w:tc>
        <w:tc>
          <w:tcPr>
            <w:tcW w:w="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10,275</w:t>
            </w:r>
          </w:p>
        </w:tc>
        <w:tc>
          <w:tcPr>
            <w:tcW w:w="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9,926</w:t>
            </w: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1,748</w:t>
            </w: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11,674</w:t>
            </w:r>
          </w:p>
        </w:tc>
        <w:tc>
          <w:tcPr>
            <w:tcW w:w="0" w:type="dxa"/>
            <w:vAlign w:val="bottom"/>
          </w:tcPr>
          <w:p>
            <w:pPr>
              <w:spacing w:after="0"/>
              <w:rPr>
                <w:sz w:val="1"/>
                <w:szCs w:val="1"/>
                <w:color w:val="auto"/>
              </w:rPr>
            </w:pPr>
          </w:p>
        </w:tc>
      </w:tr>
      <w:tr>
        <w:trPr>
          <w:trHeight w:val="213"/>
        </w:trPr>
        <w:tc>
          <w:tcPr>
            <w:tcW w:w="39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Income producing CRE</w:t>
            </w:r>
          </w:p>
        </w:tc>
        <w:tc>
          <w:tcPr>
            <w:tcW w:w="1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7,885</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2,999</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10,884</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24,970</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387</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25,357</w:t>
            </w:r>
          </w:p>
        </w:tc>
        <w:tc>
          <w:tcPr>
            <w:tcW w:w="0" w:type="dxa"/>
            <w:vAlign w:val="bottom"/>
          </w:tcPr>
          <w:p>
            <w:pPr>
              <w:spacing w:after="0"/>
              <w:rPr>
                <w:sz w:val="1"/>
                <w:szCs w:val="1"/>
                <w:color w:val="auto"/>
              </w:rPr>
            </w:pPr>
          </w:p>
        </w:tc>
      </w:tr>
      <w:tr>
        <w:trPr>
          <w:trHeight w:val="219"/>
        </w:trPr>
        <w:tc>
          <w:tcPr>
            <w:tcW w:w="3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Commercial &amp; industrial</w:t>
            </w: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10,305</w:t>
            </w: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15,449</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25,754</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21,570</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7,769</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29,339</w:t>
            </w:r>
          </w:p>
        </w:tc>
        <w:tc>
          <w:tcPr>
            <w:tcW w:w="0" w:type="dxa"/>
            <w:vAlign w:val="bottom"/>
          </w:tcPr>
          <w:p>
            <w:pPr>
              <w:spacing w:after="0"/>
              <w:rPr>
                <w:sz w:val="1"/>
                <w:szCs w:val="1"/>
                <w:color w:val="auto"/>
              </w:rPr>
            </w:pPr>
          </w:p>
        </w:tc>
      </w:tr>
      <w:tr>
        <w:trPr>
          <w:trHeight w:val="213"/>
        </w:trPr>
        <w:tc>
          <w:tcPr>
            <w:tcW w:w="39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Commercial construction</w:t>
            </w:r>
          </w:p>
        </w:tc>
        <w:tc>
          <w:tcPr>
            <w:tcW w:w="1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778</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2,420</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3,198</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6,817</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583</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7,400</w:t>
            </w:r>
          </w:p>
        </w:tc>
        <w:tc>
          <w:tcPr>
            <w:tcW w:w="0" w:type="dxa"/>
            <w:vAlign w:val="bottom"/>
          </w:tcPr>
          <w:p>
            <w:pPr>
              <w:spacing w:after="0"/>
              <w:rPr>
                <w:sz w:val="1"/>
                <w:szCs w:val="1"/>
                <w:color w:val="auto"/>
              </w:rPr>
            </w:pPr>
          </w:p>
        </w:tc>
      </w:tr>
      <w:tr>
        <w:trPr>
          <w:trHeight w:val="219"/>
        </w:trPr>
        <w:tc>
          <w:tcPr>
            <w:tcW w:w="3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Equipment financing</w:t>
            </w:r>
          </w:p>
        </w:tc>
        <w:tc>
          <w:tcPr>
            <w:tcW w:w="1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117</w:t>
            </w:r>
          </w:p>
        </w:tc>
        <w:tc>
          <w:tcPr>
            <w:tcW w:w="40" w:type="dxa"/>
            <w:vAlign w:val="bottom"/>
            <w:tcBorders>
              <w:bottom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9,599</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9,716</w:t>
            </w:r>
          </w:p>
        </w:tc>
        <w:tc>
          <w:tcPr>
            <w:tcW w:w="8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w:t>
            </w: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8,892</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8,925</w:t>
            </w:r>
          </w:p>
        </w:tc>
        <w:tc>
          <w:tcPr>
            <w:tcW w:w="0" w:type="dxa"/>
            <w:vAlign w:val="bottom"/>
          </w:tcPr>
          <w:p>
            <w:pPr>
              <w:spacing w:after="0"/>
              <w:rPr>
                <w:sz w:val="1"/>
                <w:szCs w:val="1"/>
                <w:color w:val="auto"/>
              </w:rPr>
            </w:pPr>
          </w:p>
        </w:tc>
      </w:tr>
      <w:tr>
        <w:trPr>
          <w:trHeight w:val="207"/>
        </w:trPr>
        <w:tc>
          <w:tcPr>
            <w:tcW w:w="39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Total commercial</w:t>
            </w:r>
          </w:p>
        </w:tc>
        <w:tc>
          <w:tcPr>
            <w:tcW w:w="1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26,926</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32,901</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59,827</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63,316</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19,379</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82,695</w:t>
            </w:r>
          </w:p>
        </w:tc>
        <w:tc>
          <w:tcPr>
            <w:tcW w:w="0" w:type="dxa"/>
            <w:vAlign w:val="bottom"/>
          </w:tcPr>
          <w:p>
            <w:pPr>
              <w:spacing w:after="0"/>
              <w:rPr>
                <w:sz w:val="1"/>
                <w:szCs w:val="1"/>
                <w:color w:val="auto"/>
              </w:rPr>
            </w:pPr>
          </w:p>
        </w:tc>
      </w:tr>
      <w:tr>
        <w:trPr>
          <w:trHeight w:val="219"/>
        </w:trPr>
        <w:tc>
          <w:tcPr>
            <w:tcW w:w="3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Residential mortgage</w:t>
            </w: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4,381</w:t>
            </w: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24,597</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28,978</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6,540</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18,075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24,615</w:t>
            </w:r>
          </w:p>
        </w:tc>
        <w:tc>
          <w:tcPr>
            <w:tcW w:w="0" w:type="dxa"/>
            <w:vAlign w:val="bottom"/>
          </w:tcPr>
          <w:p>
            <w:pPr>
              <w:spacing w:after="0"/>
              <w:rPr>
                <w:sz w:val="1"/>
                <w:szCs w:val="1"/>
                <w:color w:val="auto"/>
              </w:rPr>
            </w:pPr>
          </w:p>
        </w:tc>
      </w:tr>
      <w:tr>
        <w:trPr>
          <w:trHeight w:val="213"/>
        </w:trPr>
        <w:tc>
          <w:tcPr>
            <w:tcW w:w="39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Home equity</w:t>
            </w:r>
          </w:p>
        </w:tc>
        <w:tc>
          <w:tcPr>
            <w:tcW w:w="1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801</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4,433</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5,234</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231</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4,399</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4,630</w:t>
            </w:r>
          </w:p>
        </w:tc>
        <w:tc>
          <w:tcPr>
            <w:tcW w:w="0" w:type="dxa"/>
            <w:vAlign w:val="bottom"/>
          </w:tcPr>
          <w:p>
            <w:pPr>
              <w:spacing w:after="0"/>
              <w:rPr>
                <w:sz w:val="1"/>
                <w:szCs w:val="1"/>
                <w:color w:val="auto"/>
              </w:rPr>
            </w:pPr>
          </w:p>
        </w:tc>
      </w:tr>
      <w:tr>
        <w:trPr>
          <w:trHeight w:val="219"/>
        </w:trPr>
        <w:tc>
          <w:tcPr>
            <w:tcW w:w="3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Residential construction</w:t>
            </w: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757</w:t>
            </w: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484</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1,241</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w:t>
            </w:r>
          </w:p>
        </w:tc>
        <w:tc>
          <w:tcPr>
            <w:tcW w:w="0" w:type="dxa"/>
            <w:vAlign w:val="bottom"/>
          </w:tcPr>
          <w:p>
            <w:pPr>
              <w:spacing w:after="0"/>
              <w:rPr>
                <w:sz w:val="1"/>
                <w:szCs w:val="1"/>
                <w:color w:val="auto"/>
              </w:rPr>
            </w:pPr>
          </w:p>
        </w:tc>
      </w:tr>
      <w:tr>
        <w:trPr>
          <w:trHeight w:val="213"/>
        </w:trPr>
        <w:tc>
          <w:tcPr>
            <w:tcW w:w="39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Manufactured housing</w:t>
            </w:r>
          </w:p>
        </w:tc>
        <w:tc>
          <w:tcPr>
            <w:tcW w:w="1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1,444</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1,444</w:t>
            </w:r>
          </w:p>
        </w:tc>
        <w:tc>
          <w:tcPr>
            <w:tcW w:w="0" w:type="dxa"/>
            <w:vAlign w:val="bottom"/>
          </w:tcPr>
          <w:p>
            <w:pPr>
              <w:spacing w:after="0"/>
              <w:rPr>
                <w:sz w:val="1"/>
                <w:szCs w:val="1"/>
                <w:color w:val="auto"/>
              </w:rPr>
            </w:pPr>
          </w:p>
        </w:tc>
      </w:tr>
      <w:tr>
        <w:trPr>
          <w:trHeight w:val="219"/>
        </w:trPr>
        <w:tc>
          <w:tcPr>
            <w:tcW w:w="3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Consumer</w:t>
            </w:r>
          </w:p>
        </w:tc>
        <w:tc>
          <w:tcPr>
            <w:tcW w:w="1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Borders>
              <w:bottom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1,163</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1,163</w:t>
            </w:r>
          </w:p>
        </w:tc>
        <w:tc>
          <w:tcPr>
            <w:tcW w:w="8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w:t>
            </w: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138</w:t>
            </w:r>
          </w:p>
        </w:tc>
        <w:tc>
          <w:tcPr>
            <w:tcW w:w="0" w:type="dxa"/>
            <w:vAlign w:val="bottom"/>
          </w:tcPr>
          <w:p>
            <w:pPr>
              <w:spacing w:after="0"/>
              <w:rPr>
                <w:sz w:val="1"/>
                <w:szCs w:val="1"/>
                <w:color w:val="auto"/>
              </w:rPr>
            </w:pPr>
          </w:p>
        </w:tc>
      </w:tr>
      <w:tr>
        <w:trPr>
          <w:trHeight w:val="209"/>
        </w:trPr>
        <w:tc>
          <w:tcPr>
            <w:tcW w:w="39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Total</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32,865</w:t>
            </w:r>
          </w:p>
        </w:tc>
        <w:tc>
          <w:tcPr>
            <w:tcW w:w="4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63,578</w:t>
            </w:r>
          </w:p>
        </w:tc>
        <w:tc>
          <w:tcPr>
            <w:tcW w:w="120" w:type="dxa"/>
            <w:vAlign w:val="bottom"/>
          </w:tcPr>
          <w:p>
            <w:pPr>
              <w:spacing w:after="0"/>
              <w:rPr>
                <w:sz w:val="18"/>
                <w:szCs w:val="18"/>
                <w:color w:val="auto"/>
              </w:rPr>
            </w:pPr>
          </w:p>
        </w:tc>
        <w:tc>
          <w:tcPr>
            <w:tcW w:w="2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96,443</w:t>
            </w:r>
          </w:p>
        </w:tc>
        <w:tc>
          <w:tcPr>
            <w:tcW w:w="8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70,123</w:t>
            </w:r>
          </w:p>
        </w:tc>
        <w:tc>
          <w:tcPr>
            <w:tcW w:w="8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43,456</w:t>
            </w:r>
          </w:p>
        </w:tc>
        <w:tc>
          <w:tcPr>
            <w:tcW w:w="100" w:type="dxa"/>
            <w:vAlign w:val="bottom"/>
          </w:tcPr>
          <w:p>
            <w:pPr>
              <w:spacing w:after="0"/>
              <w:rPr>
                <w:sz w:val="18"/>
                <w:szCs w:val="18"/>
                <w:color w:val="auto"/>
              </w:rPr>
            </w:pPr>
          </w:p>
        </w:tc>
        <w:tc>
          <w:tcPr>
            <w:tcW w:w="2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113,579</w:t>
            </w:r>
          </w:p>
        </w:tc>
        <w:tc>
          <w:tcPr>
            <w:tcW w:w="0" w:type="dxa"/>
            <w:vAlign w:val="bottom"/>
          </w:tcPr>
          <w:p>
            <w:pPr>
              <w:spacing w:after="0"/>
              <w:rPr>
                <w:sz w:val="1"/>
                <w:szCs w:val="1"/>
                <w:color w:val="auto"/>
              </w:rPr>
            </w:pPr>
          </w:p>
        </w:tc>
      </w:tr>
      <w:tr>
        <w:trPr>
          <w:trHeight w:val="21"/>
        </w:trPr>
        <w:tc>
          <w:tcPr>
            <w:tcW w:w="39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7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At September 30, 2025 and December 31, 2024, United had $51.3 million and $75.1 million, respectively, in loans for which repayment is expected to be provided substantially through the operation or sale of the collateral. Estimated credit losses for these loans are based on the net realizable value of the collateral relative to the amortized cost of the loan. The majority of these loans are income producing CRE and commercial and industrial loans.</w:t>
      </w:r>
    </w:p>
    <w:p>
      <w:pPr>
        <w:sectPr>
          <w:pgSz w:w="11900" w:h="16838" w:orient="portrait"/>
          <w:cols w:equalWidth="0" w:num="1">
            <w:col w:w="11240"/>
          </w:cols>
          <w:pgMar w:left="320" w:top="117" w:right="339" w:bottom="1440" w:gutter="0" w:footer="0" w:header="0"/>
        </w:sectPr>
      </w:pP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17" w:name="page18"/>
    <w:bookmarkEnd w:id="17"/>
    <w:p>
      <w:pPr>
        <w:jc w:val="center"/>
        <w:spacing w:after="0"/>
        <w:rPr>
          <w:sz w:val="20"/>
          <w:szCs w:val="20"/>
          <w:color w:val="auto"/>
        </w:rPr>
      </w:pPr>
      <w:r>
        <w:rPr>
          <w:rFonts w:ascii="Times New Roman" w:cs="Times New Roman" w:eastAsia="Times New Roman" w:hAnsi="Times New Roman"/>
          <w:sz w:val="18"/>
          <w:szCs w:val="18"/>
          <w:b w:val="1"/>
          <w:bCs w:val="1"/>
          <w:color w:val="auto"/>
        </w:rPr>
        <w:t>UNITED COMMUNITY BANKS,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Lease Receivables</w:t>
      </w:r>
    </w:p>
    <w:p>
      <w:pPr>
        <w:spacing w:after="0" w:line="31"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The equipment financing portfolio includes sales-type and direct financing lease receivables. The following table presents the components of the net investment in these lease receivables as of the dates indicated.</w:t>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760" w:type="dxa"/>
            <w:vAlign w:val="bottom"/>
          </w:tcPr>
          <w:p>
            <w:pPr>
              <w:ind w:left="16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180" w:type="dxa"/>
            <w:vAlign w:val="bottom"/>
          </w:tcPr>
          <w:p>
            <w:pPr>
              <w:spacing w:after="0"/>
              <w:rPr>
                <w:sz w:val="18"/>
                <w:szCs w:val="18"/>
                <w:color w:val="auto"/>
              </w:rPr>
            </w:pPr>
          </w:p>
        </w:tc>
        <w:tc>
          <w:tcPr>
            <w:tcW w:w="180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September 30, 2025</w:t>
            </w:r>
          </w:p>
        </w:tc>
        <w:tc>
          <w:tcPr>
            <w:tcW w:w="200" w:type="dxa"/>
            <w:vAlign w:val="bottom"/>
          </w:tcPr>
          <w:p>
            <w:pPr>
              <w:spacing w:after="0"/>
              <w:rPr>
                <w:sz w:val="18"/>
                <w:szCs w:val="18"/>
                <w:color w:val="auto"/>
              </w:rPr>
            </w:pPr>
          </w:p>
        </w:tc>
        <w:tc>
          <w:tcPr>
            <w:tcW w:w="330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December 31, 2024</w:t>
            </w:r>
          </w:p>
        </w:tc>
      </w:tr>
      <w:tr>
        <w:trPr>
          <w:trHeight w:val="213"/>
        </w:trPr>
        <w:tc>
          <w:tcPr>
            <w:tcW w:w="5760" w:type="dxa"/>
            <w:vAlign w:val="bottom"/>
            <w:tcBorders>
              <w:top w:val="single" w:sz="8" w:color="CCEEFF"/>
            </w:tcBorders>
            <w:shd w:val="clear" w:color="auto" w:fill="CCEEFF"/>
          </w:tcPr>
          <w:p>
            <w:pPr>
              <w:ind w:left="1620"/>
              <w:spacing w:after="0"/>
              <w:rPr>
                <w:sz w:val="20"/>
                <w:szCs w:val="20"/>
                <w:color w:val="auto"/>
              </w:rPr>
            </w:pPr>
            <w:r>
              <w:rPr>
                <w:rFonts w:ascii="Times New Roman" w:cs="Times New Roman" w:eastAsia="Times New Roman" w:hAnsi="Times New Roman"/>
                <w:sz w:val="16"/>
                <w:szCs w:val="16"/>
                <w:color w:val="auto"/>
              </w:rPr>
              <w:t>Minimum future lease payments receivable</w:t>
            </w: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111,252</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97,793</w:t>
            </w:r>
          </w:p>
        </w:tc>
        <w:tc>
          <w:tcPr>
            <w:tcW w:w="1620" w:type="dxa"/>
            <w:vAlign w:val="bottom"/>
            <w:tcBorders>
              <w:top w:val="single" w:sz="8" w:color="CCEEFF"/>
            </w:tcBorders>
            <w:shd w:val="clear" w:color="auto" w:fill="CCEEFF"/>
          </w:tcPr>
          <w:p>
            <w:pPr>
              <w:spacing w:after="0"/>
              <w:rPr>
                <w:sz w:val="18"/>
                <w:szCs w:val="18"/>
                <w:color w:val="auto"/>
              </w:rPr>
            </w:pPr>
          </w:p>
        </w:tc>
      </w:tr>
      <w:tr>
        <w:trPr>
          <w:trHeight w:val="213"/>
        </w:trPr>
        <w:tc>
          <w:tcPr>
            <w:tcW w:w="5760" w:type="dxa"/>
            <w:vAlign w:val="bottom"/>
          </w:tcPr>
          <w:p>
            <w:pPr>
              <w:ind w:left="1620"/>
              <w:spacing w:after="0"/>
              <w:rPr>
                <w:sz w:val="20"/>
                <w:szCs w:val="20"/>
                <w:color w:val="auto"/>
              </w:rPr>
            </w:pPr>
            <w:r>
              <w:rPr>
                <w:rFonts w:ascii="Times New Roman" w:cs="Times New Roman" w:eastAsia="Times New Roman" w:hAnsi="Times New Roman"/>
                <w:sz w:val="16"/>
                <w:szCs w:val="16"/>
                <w:color w:val="auto"/>
              </w:rPr>
              <w:t>Estimated residual value of leased equipment</w:t>
            </w:r>
          </w:p>
        </w:tc>
        <w:tc>
          <w:tcPr>
            <w:tcW w:w="18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6,976</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5,749</w:t>
            </w:r>
          </w:p>
        </w:tc>
        <w:tc>
          <w:tcPr>
            <w:tcW w:w="1620" w:type="dxa"/>
            <w:vAlign w:val="bottom"/>
          </w:tcPr>
          <w:p>
            <w:pPr>
              <w:spacing w:after="0"/>
              <w:rPr>
                <w:sz w:val="18"/>
                <w:szCs w:val="18"/>
                <w:color w:val="auto"/>
              </w:rPr>
            </w:pPr>
          </w:p>
        </w:tc>
      </w:tr>
      <w:tr>
        <w:trPr>
          <w:trHeight w:val="219"/>
        </w:trPr>
        <w:tc>
          <w:tcPr>
            <w:tcW w:w="5760" w:type="dxa"/>
            <w:vAlign w:val="bottom"/>
            <w:shd w:val="clear" w:color="auto" w:fill="CCEEFF"/>
          </w:tcPr>
          <w:p>
            <w:pPr>
              <w:ind w:left="1620"/>
              <w:spacing w:after="0"/>
              <w:rPr>
                <w:sz w:val="20"/>
                <w:szCs w:val="20"/>
                <w:color w:val="auto"/>
              </w:rPr>
            </w:pPr>
            <w:r>
              <w:rPr>
                <w:rFonts w:ascii="Times New Roman" w:cs="Times New Roman" w:eastAsia="Times New Roman" w:hAnsi="Times New Roman"/>
                <w:sz w:val="16"/>
                <w:szCs w:val="16"/>
                <w:color w:val="auto"/>
              </w:rPr>
              <w:t>Initial direct costs</w:t>
            </w:r>
          </w:p>
        </w:tc>
        <w:tc>
          <w:tcPr>
            <w:tcW w:w="18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2,199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1,856</w:t>
            </w:r>
          </w:p>
        </w:tc>
        <w:tc>
          <w:tcPr>
            <w:tcW w:w="1620" w:type="dxa"/>
            <w:vAlign w:val="bottom"/>
            <w:shd w:val="clear" w:color="auto" w:fill="CCEEFF"/>
          </w:tcPr>
          <w:p>
            <w:pPr>
              <w:spacing w:after="0"/>
              <w:rPr>
                <w:sz w:val="19"/>
                <w:szCs w:val="19"/>
                <w:color w:val="auto"/>
              </w:rPr>
            </w:pPr>
          </w:p>
        </w:tc>
      </w:tr>
      <w:tr>
        <w:trPr>
          <w:trHeight w:val="213"/>
        </w:trPr>
        <w:tc>
          <w:tcPr>
            <w:tcW w:w="5760" w:type="dxa"/>
            <w:vAlign w:val="bottom"/>
          </w:tcPr>
          <w:p>
            <w:pPr>
              <w:ind w:left="1620"/>
              <w:spacing w:after="0"/>
              <w:rPr>
                <w:sz w:val="20"/>
                <w:szCs w:val="20"/>
                <w:color w:val="auto"/>
              </w:rPr>
            </w:pPr>
            <w:r>
              <w:rPr>
                <w:rFonts w:ascii="Times New Roman" w:cs="Times New Roman" w:eastAsia="Times New Roman" w:hAnsi="Times New Roman"/>
                <w:sz w:val="16"/>
                <w:szCs w:val="16"/>
                <w:color w:val="auto"/>
              </w:rPr>
              <w:t>Security deposits</w:t>
            </w:r>
          </w:p>
        </w:tc>
        <w:tc>
          <w:tcPr>
            <w:tcW w:w="18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(489)</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(491)</w:t>
            </w:r>
          </w:p>
        </w:tc>
        <w:tc>
          <w:tcPr>
            <w:tcW w:w="1620" w:type="dxa"/>
            <w:vAlign w:val="bottom"/>
          </w:tcPr>
          <w:p>
            <w:pPr>
              <w:spacing w:after="0"/>
              <w:rPr>
                <w:sz w:val="18"/>
                <w:szCs w:val="18"/>
                <w:color w:val="auto"/>
              </w:rPr>
            </w:pPr>
          </w:p>
        </w:tc>
      </w:tr>
      <w:tr>
        <w:trPr>
          <w:trHeight w:val="216"/>
        </w:trPr>
        <w:tc>
          <w:tcPr>
            <w:tcW w:w="5760" w:type="dxa"/>
            <w:vAlign w:val="bottom"/>
            <w:shd w:val="clear" w:color="auto" w:fill="CCEEFF"/>
          </w:tcPr>
          <w:p>
            <w:pPr>
              <w:ind w:left="1620"/>
              <w:spacing w:after="0"/>
              <w:rPr>
                <w:sz w:val="20"/>
                <w:szCs w:val="20"/>
                <w:color w:val="auto"/>
              </w:rPr>
            </w:pPr>
            <w:r>
              <w:rPr>
                <w:rFonts w:ascii="Times New Roman" w:cs="Times New Roman" w:eastAsia="Times New Roman" w:hAnsi="Times New Roman"/>
                <w:sz w:val="16"/>
                <w:szCs w:val="16"/>
                <w:color w:val="auto"/>
              </w:rPr>
              <w:t>Unearned income</w:t>
            </w:r>
          </w:p>
        </w:tc>
        <w:tc>
          <w:tcPr>
            <w:tcW w:w="180" w:type="dxa"/>
            <w:vAlign w:val="bottom"/>
            <w:tcBorders>
              <w:bottom w:val="single" w:sz="8" w:color="auto"/>
            </w:tcBorders>
            <w:shd w:val="clear" w:color="auto" w:fill="CCEEFF"/>
          </w:tcPr>
          <w:p>
            <w:pPr>
              <w:spacing w:after="0"/>
              <w:rPr>
                <w:sz w:val="18"/>
                <w:szCs w:val="18"/>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(17,418)</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(15,412)</w:t>
            </w:r>
          </w:p>
        </w:tc>
        <w:tc>
          <w:tcPr>
            <w:tcW w:w="1620" w:type="dxa"/>
            <w:vAlign w:val="bottom"/>
            <w:shd w:val="clear" w:color="auto" w:fill="CCEEFF"/>
          </w:tcPr>
          <w:p>
            <w:pPr>
              <w:spacing w:after="0"/>
              <w:rPr>
                <w:sz w:val="18"/>
                <w:szCs w:val="18"/>
                <w:color w:val="auto"/>
              </w:rPr>
            </w:pPr>
          </w:p>
        </w:tc>
      </w:tr>
      <w:tr>
        <w:trPr>
          <w:trHeight w:val="212"/>
        </w:trPr>
        <w:tc>
          <w:tcPr>
            <w:tcW w:w="5760" w:type="dxa"/>
            <w:vAlign w:val="bottom"/>
          </w:tcPr>
          <w:p>
            <w:pPr>
              <w:ind w:left="1820"/>
              <w:spacing w:after="0"/>
              <w:rPr>
                <w:sz w:val="20"/>
                <w:szCs w:val="20"/>
                <w:color w:val="auto"/>
              </w:rPr>
            </w:pPr>
            <w:r>
              <w:rPr>
                <w:rFonts w:ascii="Times New Roman" w:cs="Times New Roman" w:eastAsia="Times New Roman" w:hAnsi="Times New Roman"/>
                <w:sz w:val="16"/>
                <w:szCs w:val="16"/>
                <w:color w:val="auto"/>
              </w:rPr>
              <w:t>Net investment in leases</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102,520</w:t>
            </w:r>
          </w:p>
        </w:tc>
        <w:tc>
          <w:tcPr>
            <w:tcW w:w="100" w:type="dxa"/>
            <w:vAlign w:val="bottom"/>
          </w:tcPr>
          <w:p>
            <w:pPr>
              <w:spacing w:after="0"/>
              <w:rPr>
                <w:sz w:val="18"/>
                <w:szCs w:val="18"/>
                <w:color w:val="auto"/>
              </w:rPr>
            </w:pPr>
          </w:p>
        </w:tc>
        <w:tc>
          <w:tcPr>
            <w:tcW w:w="2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89,495</w:t>
            </w:r>
          </w:p>
        </w:tc>
        <w:tc>
          <w:tcPr>
            <w:tcW w:w="1620" w:type="dxa"/>
            <w:vAlign w:val="bottom"/>
          </w:tcPr>
          <w:p>
            <w:pPr>
              <w:spacing w:after="0"/>
              <w:rPr>
                <w:sz w:val="18"/>
                <w:szCs w:val="18"/>
                <w:color w:val="auto"/>
              </w:rPr>
            </w:pPr>
          </w:p>
        </w:tc>
      </w:tr>
      <w:tr>
        <w:trPr>
          <w:trHeight w:val="20"/>
        </w:trPr>
        <w:tc>
          <w:tcPr>
            <w:tcW w:w="57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r>
    </w:tbl>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Minimum future lease payments expected to be received from equipment financing lease contracts as of September 30, 2025 were as follows:</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2680" w:type="dxa"/>
            <w:vAlign w:val="bottom"/>
          </w:tcPr>
          <w:p>
            <w:pPr>
              <w:spacing w:after="0"/>
              <w:rPr>
                <w:sz w:val="18"/>
                <w:szCs w:val="18"/>
                <w:color w:val="auto"/>
              </w:rPr>
            </w:pPr>
          </w:p>
        </w:tc>
        <w:tc>
          <w:tcPr>
            <w:tcW w:w="4300" w:type="dxa"/>
            <w:vAlign w:val="bottom"/>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5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680" w:type="dxa"/>
            <w:vAlign w:val="bottom"/>
          </w:tcPr>
          <w:p>
            <w:pPr>
              <w:spacing w:after="0"/>
              <w:rPr>
                <w:sz w:val="18"/>
                <w:szCs w:val="18"/>
                <w:color w:val="auto"/>
              </w:rPr>
            </w:pPr>
          </w:p>
        </w:tc>
      </w:tr>
      <w:tr>
        <w:trPr>
          <w:trHeight w:val="219"/>
        </w:trPr>
        <w:tc>
          <w:tcPr>
            <w:tcW w:w="2680" w:type="dxa"/>
            <w:vAlign w:val="bottom"/>
            <w:tcBorders>
              <w:bottom w:val="single" w:sz="8" w:color="CCEEFF"/>
            </w:tcBorders>
          </w:tcPr>
          <w:p>
            <w:pPr>
              <w:spacing w:after="0"/>
              <w:rPr>
                <w:sz w:val="19"/>
                <w:szCs w:val="19"/>
                <w:color w:val="auto"/>
              </w:rPr>
            </w:pPr>
          </w:p>
        </w:tc>
        <w:tc>
          <w:tcPr>
            <w:tcW w:w="43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Year</w:t>
            </w:r>
          </w:p>
        </w:tc>
        <w:tc>
          <w:tcPr>
            <w:tcW w:w="540" w:type="dxa"/>
            <w:vAlign w:val="bottom"/>
            <w:tcBorders>
              <w:bottom w:val="single" w:sz="8" w:color="CCEEFF"/>
            </w:tcBorders>
          </w:tcPr>
          <w:p>
            <w:pPr>
              <w:spacing w:after="0"/>
              <w:rPr>
                <w:sz w:val="19"/>
                <w:szCs w:val="19"/>
                <w:color w:val="auto"/>
              </w:rPr>
            </w:pPr>
          </w:p>
        </w:tc>
        <w:tc>
          <w:tcPr>
            <w:tcW w:w="1040" w:type="dxa"/>
            <w:vAlign w:val="bottom"/>
            <w:tcBorders>
              <w:bottom w:val="single" w:sz="8" w:color="CCEEFF"/>
            </w:tcBorders>
          </w:tcPr>
          <w:p>
            <w:pPr>
              <w:spacing w:after="0"/>
              <w:rPr>
                <w:sz w:val="19"/>
                <w:szCs w:val="19"/>
                <w:color w:val="auto"/>
              </w:rPr>
            </w:pPr>
          </w:p>
        </w:tc>
        <w:tc>
          <w:tcPr>
            <w:tcW w:w="2680" w:type="dxa"/>
            <w:vAlign w:val="bottom"/>
            <w:tcBorders>
              <w:bottom w:val="single" w:sz="8" w:color="CCEEFF"/>
            </w:tcBorders>
          </w:tcPr>
          <w:p>
            <w:pPr>
              <w:spacing w:after="0"/>
              <w:rPr>
                <w:sz w:val="19"/>
                <w:szCs w:val="19"/>
                <w:color w:val="auto"/>
              </w:rPr>
            </w:pPr>
          </w:p>
        </w:tc>
      </w:tr>
      <w:tr>
        <w:trPr>
          <w:trHeight w:val="213"/>
        </w:trPr>
        <w:tc>
          <w:tcPr>
            <w:tcW w:w="2680" w:type="dxa"/>
            <w:vAlign w:val="bottom"/>
            <w:shd w:val="clear" w:color="auto" w:fill="CCEEFF"/>
          </w:tcPr>
          <w:p>
            <w:pPr>
              <w:spacing w:after="0"/>
              <w:rPr>
                <w:sz w:val="18"/>
                <w:szCs w:val="18"/>
                <w:color w:val="auto"/>
              </w:rPr>
            </w:pPr>
          </w:p>
        </w:tc>
        <w:tc>
          <w:tcPr>
            <w:tcW w:w="4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Remainder of 2025</w:t>
            </w:r>
          </w:p>
        </w:tc>
        <w:tc>
          <w:tcPr>
            <w:tcW w:w="540" w:type="dxa"/>
            <w:vAlign w:val="bottom"/>
            <w:shd w:val="clear" w:color="auto" w:fill="CCEEFF"/>
          </w:tcPr>
          <w:p>
            <w:pPr>
              <w:jc w:val="right"/>
              <w:ind w:right="35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9,977</w:t>
            </w:r>
          </w:p>
        </w:tc>
        <w:tc>
          <w:tcPr>
            <w:tcW w:w="2680" w:type="dxa"/>
            <w:vAlign w:val="bottom"/>
            <w:shd w:val="clear" w:color="auto" w:fill="CCEEFF"/>
          </w:tcPr>
          <w:p>
            <w:pPr>
              <w:spacing w:after="0"/>
              <w:rPr>
                <w:sz w:val="18"/>
                <w:szCs w:val="18"/>
                <w:color w:val="auto"/>
              </w:rPr>
            </w:pPr>
          </w:p>
        </w:tc>
      </w:tr>
      <w:tr>
        <w:trPr>
          <w:trHeight w:val="213"/>
        </w:trPr>
        <w:tc>
          <w:tcPr>
            <w:tcW w:w="6980" w:type="dxa"/>
            <w:vAlign w:val="bottom"/>
            <w:gridSpan w:val="2"/>
          </w:tcPr>
          <w:p>
            <w:pPr>
              <w:ind w:left="2700"/>
              <w:spacing w:after="0"/>
              <w:rPr>
                <w:sz w:val="20"/>
                <w:szCs w:val="20"/>
                <w:color w:val="auto"/>
              </w:rPr>
            </w:pPr>
            <w:r>
              <w:rPr>
                <w:rFonts w:ascii="Times New Roman" w:cs="Times New Roman" w:eastAsia="Times New Roman" w:hAnsi="Times New Roman"/>
                <w:sz w:val="16"/>
                <w:szCs w:val="16"/>
                <w:color w:val="auto"/>
              </w:rPr>
              <w:t>2026</w:t>
            </w:r>
          </w:p>
        </w:tc>
        <w:tc>
          <w:tcPr>
            <w:tcW w:w="5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37,173</w:t>
            </w:r>
          </w:p>
        </w:tc>
        <w:tc>
          <w:tcPr>
            <w:tcW w:w="2680" w:type="dxa"/>
            <w:vAlign w:val="bottom"/>
          </w:tcPr>
          <w:p>
            <w:pPr>
              <w:spacing w:after="0"/>
              <w:rPr>
                <w:sz w:val="18"/>
                <w:szCs w:val="18"/>
                <w:color w:val="auto"/>
              </w:rPr>
            </w:pPr>
          </w:p>
        </w:tc>
      </w:tr>
      <w:tr>
        <w:trPr>
          <w:trHeight w:val="219"/>
        </w:trPr>
        <w:tc>
          <w:tcPr>
            <w:tcW w:w="6980" w:type="dxa"/>
            <w:vAlign w:val="bottom"/>
            <w:gridSpan w:val="2"/>
            <w:shd w:val="clear" w:color="auto" w:fill="CCEEFF"/>
          </w:tcPr>
          <w:p>
            <w:pPr>
              <w:ind w:left="2700"/>
              <w:spacing w:after="0"/>
              <w:rPr>
                <w:sz w:val="20"/>
                <w:szCs w:val="20"/>
                <w:color w:val="auto"/>
              </w:rPr>
            </w:pPr>
            <w:r>
              <w:rPr>
                <w:rFonts w:ascii="Times New Roman" w:cs="Times New Roman" w:eastAsia="Times New Roman" w:hAnsi="Times New Roman"/>
                <w:sz w:val="16"/>
                <w:szCs w:val="16"/>
                <w:color w:val="auto"/>
              </w:rPr>
              <w:t>2027</w:t>
            </w:r>
          </w:p>
        </w:tc>
        <w:tc>
          <w:tcPr>
            <w:tcW w:w="5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30,254</w:t>
            </w:r>
          </w:p>
        </w:tc>
        <w:tc>
          <w:tcPr>
            <w:tcW w:w="2680" w:type="dxa"/>
            <w:vAlign w:val="bottom"/>
            <w:shd w:val="clear" w:color="auto" w:fill="CCEEFF"/>
          </w:tcPr>
          <w:p>
            <w:pPr>
              <w:spacing w:after="0"/>
              <w:rPr>
                <w:sz w:val="19"/>
                <w:szCs w:val="19"/>
                <w:color w:val="auto"/>
              </w:rPr>
            </w:pPr>
          </w:p>
        </w:tc>
      </w:tr>
      <w:tr>
        <w:trPr>
          <w:trHeight w:val="213"/>
        </w:trPr>
        <w:tc>
          <w:tcPr>
            <w:tcW w:w="6980" w:type="dxa"/>
            <w:vAlign w:val="bottom"/>
            <w:gridSpan w:val="2"/>
          </w:tcPr>
          <w:p>
            <w:pPr>
              <w:ind w:left="2700"/>
              <w:spacing w:after="0"/>
              <w:rPr>
                <w:sz w:val="20"/>
                <w:szCs w:val="20"/>
                <w:color w:val="auto"/>
              </w:rPr>
            </w:pPr>
            <w:r>
              <w:rPr>
                <w:rFonts w:ascii="Times New Roman" w:cs="Times New Roman" w:eastAsia="Times New Roman" w:hAnsi="Times New Roman"/>
                <w:sz w:val="16"/>
                <w:szCs w:val="16"/>
                <w:color w:val="auto"/>
              </w:rPr>
              <w:t>2028</w:t>
            </w:r>
          </w:p>
        </w:tc>
        <w:tc>
          <w:tcPr>
            <w:tcW w:w="5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20,412</w:t>
            </w:r>
          </w:p>
        </w:tc>
        <w:tc>
          <w:tcPr>
            <w:tcW w:w="2680" w:type="dxa"/>
            <w:vAlign w:val="bottom"/>
          </w:tcPr>
          <w:p>
            <w:pPr>
              <w:spacing w:after="0"/>
              <w:rPr>
                <w:sz w:val="18"/>
                <w:szCs w:val="18"/>
                <w:color w:val="auto"/>
              </w:rPr>
            </w:pPr>
          </w:p>
        </w:tc>
      </w:tr>
      <w:tr>
        <w:trPr>
          <w:trHeight w:val="219"/>
        </w:trPr>
        <w:tc>
          <w:tcPr>
            <w:tcW w:w="6980" w:type="dxa"/>
            <w:vAlign w:val="bottom"/>
            <w:gridSpan w:val="2"/>
            <w:shd w:val="clear" w:color="auto" w:fill="CCEEFF"/>
          </w:tcPr>
          <w:p>
            <w:pPr>
              <w:ind w:left="2700"/>
              <w:spacing w:after="0"/>
              <w:rPr>
                <w:sz w:val="20"/>
                <w:szCs w:val="20"/>
                <w:color w:val="auto"/>
              </w:rPr>
            </w:pPr>
            <w:r>
              <w:rPr>
                <w:rFonts w:ascii="Times New Roman" w:cs="Times New Roman" w:eastAsia="Times New Roman" w:hAnsi="Times New Roman"/>
                <w:sz w:val="16"/>
                <w:szCs w:val="16"/>
                <w:color w:val="auto"/>
              </w:rPr>
              <w:t>2029</w:t>
            </w:r>
          </w:p>
        </w:tc>
        <w:tc>
          <w:tcPr>
            <w:tcW w:w="5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10,708</w:t>
            </w:r>
          </w:p>
        </w:tc>
        <w:tc>
          <w:tcPr>
            <w:tcW w:w="2680" w:type="dxa"/>
            <w:vAlign w:val="bottom"/>
            <w:shd w:val="clear" w:color="auto" w:fill="CCEEFF"/>
          </w:tcPr>
          <w:p>
            <w:pPr>
              <w:spacing w:after="0"/>
              <w:rPr>
                <w:sz w:val="19"/>
                <w:szCs w:val="19"/>
                <w:color w:val="auto"/>
              </w:rPr>
            </w:pPr>
          </w:p>
        </w:tc>
      </w:tr>
      <w:tr>
        <w:trPr>
          <w:trHeight w:val="213"/>
        </w:trPr>
        <w:tc>
          <w:tcPr>
            <w:tcW w:w="2680" w:type="dxa"/>
            <w:vAlign w:val="bottom"/>
            <w:tcBorders>
              <w:bottom w:val="single" w:sz="8" w:color="CCEEFF"/>
            </w:tcBorders>
          </w:tcPr>
          <w:p>
            <w:pPr>
              <w:spacing w:after="0"/>
              <w:rPr>
                <w:sz w:val="18"/>
                <w:szCs w:val="18"/>
                <w:color w:val="auto"/>
              </w:rPr>
            </w:pPr>
          </w:p>
        </w:tc>
        <w:tc>
          <w:tcPr>
            <w:tcW w:w="43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Thereafter</w:t>
            </w:r>
          </w:p>
        </w:tc>
        <w:tc>
          <w:tcPr>
            <w:tcW w:w="5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2,728</w:t>
            </w:r>
          </w:p>
        </w:tc>
        <w:tc>
          <w:tcPr>
            <w:tcW w:w="2680" w:type="dxa"/>
            <w:vAlign w:val="bottom"/>
            <w:tcBorders>
              <w:bottom w:val="single" w:sz="8" w:color="CCEEFF"/>
            </w:tcBorders>
          </w:tcPr>
          <w:p>
            <w:pPr>
              <w:spacing w:after="0"/>
              <w:rPr>
                <w:sz w:val="18"/>
                <w:szCs w:val="18"/>
                <w:color w:val="auto"/>
              </w:rPr>
            </w:pPr>
          </w:p>
        </w:tc>
      </w:tr>
      <w:tr>
        <w:trPr>
          <w:trHeight w:val="237"/>
        </w:trPr>
        <w:tc>
          <w:tcPr>
            <w:tcW w:w="2680" w:type="dxa"/>
            <w:vAlign w:val="bottom"/>
            <w:tcBorders>
              <w:bottom w:val="single" w:sz="8" w:color="CCEEFF"/>
            </w:tcBorders>
            <w:shd w:val="clear" w:color="auto" w:fill="CCEEFF"/>
          </w:tcPr>
          <w:p>
            <w:pPr>
              <w:spacing w:after="0"/>
              <w:rPr>
                <w:sz w:val="20"/>
                <w:szCs w:val="20"/>
                <w:color w:val="auto"/>
              </w:rPr>
            </w:pPr>
          </w:p>
        </w:tc>
        <w:tc>
          <w:tcPr>
            <w:tcW w:w="430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Total</w:t>
            </w:r>
          </w:p>
        </w:tc>
        <w:tc>
          <w:tcPr>
            <w:tcW w:w="540" w:type="dxa"/>
            <w:vAlign w:val="bottom"/>
            <w:tcBorders>
              <w:bottom w:val="single" w:sz="8" w:color="auto"/>
            </w:tcBorders>
            <w:shd w:val="clear" w:color="auto" w:fill="CCEEFF"/>
          </w:tcPr>
          <w:p>
            <w:pPr>
              <w:jc w:val="right"/>
              <w:ind w:right="35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111,252</w:t>
            </w:r>
          </w:p>
        </w:tc>
        <w:tc>
          <w:tcPr>
            <w:tcW w:w="2680" w:type="dxa"/>
            <w:vAlign w:val="bottom"/>
            <w:tcBorders>
              <w:bottom w:val="single" w:sz="8" w:color="CCEEFF"/>
            </w:tcBorders>
            <w:shd w:val="clear" w:color="auto" w:fill="CCEEFF"/>
          </w:tcPr>
          <w:p>
            <w:pPr>
              <w:spacing w:after="0"/>
              <w:rPr>
                <w:sz w:val="20"/>
                <w:szCs w:val="20"/>
                <w:color w:val="auto"/>
              </w:rPr>
            </w:pPr>
          </w:p>
        </w:tc>
      </w:tr>
      <w:tr>
        <w:trPr>
          <w:trHeight w:val="20"/>
        </w:trPr>
        <w:tc>
          <w:tcPr>
            <w:tcW w:w="2680" w:type="dxa"/>
            <w:vAlign w:val="bottom"/>
            <w:tcBorders>
              <w:top w:val="single" w:sz="8" w:color="CCEEFF"/>
            </w:tcBorders>
          </w:tcPr>
          <w:p>
            <w:pPr>
              <w:spacing w:after="0" w:line="20" w:lineRule="exact"/>
              <w:rPr>
                <w:sz w:val="1"/>
                <w:szCs w:val="1"/>
                <w:color w:val="auto"/>
              </w:rPr>
            </w:pPr>
          </w:p>
        </w:tc>
        <w:tc>
          <w:tcPr>
            <w:tcW w:w="43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2680" w:type="dxa"/>
            <w:vAlign w:val="bottom"/>
            <w:tcBorders>
              <w:top w:val="single" w:sz="8" w:color="CCEEFF"/>
            </w:tcBorders>
          </w:tcPr>
          <w:p>
            <w:pPr>
              <w:spacing w:after="0" w:line="20" w:lineRule="exact"/>
              <w:rPr>
                <w:sz w:val="1"/>
                <w:szCs w:val="1"/>
                <w:color w:val="auto"/>
              </w:rPr>
            </w:pPr>
          </w:p>
        </w:tc>
      </w:tr>
    </w:tbl>
    <w:p>
      <w:pPr>
        <w:spacing w:after="0" w:line="3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Credit Quality Indicators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United utilizes internal risk ratings as the primary credit quality indicator as outlined below:</w:t>
      </w:r>
    </w:p>
    <w:p>
      <w:pPr>
        <w:spacing w:after="0" w:line="162"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b w:val="1"/>
          <w:bCs w:val="1"/>
          <w:color w:val="auto"/>
        </w:rPr>
        <w:t xml:space="preserve">Commercial Purpose Loans. </w:t>
      </w:r>
      <w:r>
        <w:rPr>
          <w:rFonts w:ascii="Times New Roman" w:cs="Times New Roman" w:eastAsia="Times New Roman" w:hAnsi="Times New Roman"/>
          <w:sz w:val="18"/>
          <w:szCs w:val="18"/>
          <w:color w:val="auto"/>
        </w:rPr>
        <w:t>United analyzes commercial loans individually on an ongoing basis based on relevant information about the ability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borrowers to service their debt such as: current financial information, historical payment experience, public information, and current industry and economic trends, among other factors. Commercial loans are categorized by the credit risk ratings of Pass, Special Mention, Substandard and Doubtful. Special Mention, Substandard and Doubtful ratings are defined by regulatory authorities and represent an elevated level of risk due to weaknesses identified related to the credit and/or borrower. Ratings within these categories are based on the severity of the weakness and the likelihood of repayment. Pass loans are considered to have a low probability of default and do not meet the criteria of the other ratings.</w:t>
      </w:r>
    </w:p>
    <w:p>
      <w:pPr>
        <w:spacing w:after="0" w:line="219"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Consumer Purpose Loans. </w:t>
      </w:r>
      <w:r>
        <w:rPr>
          <w:rFonts w:ascii="Times New Roman" w:cs="Times New Roman" w:eastAsia="Times New Roman" w:hAnsi="Times New Roman"/>
          <w:sz w:val="18"/>
          <w:szCs w:val="18"/>
          <w:color w:val="auto"/>
        </w:rPr>
        <w:t>United applies a pass/fail grading system to all consumer purpose loans. Under this system, loans generally classified as “fail”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are those that are on nonaccrual status, are 90 or more days past due, or meet certain bankruptcy status criteria. All other loans are classified as “pass”. For reporting purposes, loans in these categories that are classified as “fail” are reported as substandard and all other loans are reported as pass.</w:t>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8" w:name="page19"/>
    <w:bookmarkEnd w:id="18"/>
    <w:p>
      <w:pPr>
        <w:jc w:val="center"/>
        <w:spacing w:after="0"/>
        <w:rPr>
          <w:sz w:val="20"/>
          <w:szCs w:val="20"/>
          <w:color w:val="auto"/>
        </w:rPr>
      </w:pPr>
      <w:r>
        <w:rPr>
          <w:rFonts w:ascii="Times New Roman" w:cs="Times New Roman" w:eastAsia="Times New Roman" w:hAnsi="Times New Roman"/>
          <w:sz w:val="18"/>
          <w:szCs w:val="18"/>
          <w:b w:val="1"/>
          <w:bCs w:val="1"/>
          <w:color w:val="auto"/>
        </w:rPr>
        <w:t>UNITED COMMUNITY BANKS,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(Unaudited)</w:t>
      </w:r>
    </w:p>
    <w:p>
      <w:pPr>
        <w:spacing w:after="0" w:line="200" w:lineRule="exact"/>
        <w:rPr>
          <w:sz w:val="20"/>
          <w:szCs w:val="20"/>
          <w:color w:val="auto"/>
        </w:rPr>
      </w:pPr>
    </w:p>
    <w:p>
      <w:pPr>
        <w:spacing w:after="0" w:line="277"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following tables present the risk category of term loans and gross charge-offs by vintage year, which is the year of origination or most recent renewal, as of the date indicated.</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3040" w:type="dxa"/>
            <w:vAlign w:val="bottom"/>
            <w:gridSpan w:val="2"/>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940" w:type="dxa"/>
            <w:vAlign w:val="bottom"/>
            <w:gridSpan w:val="7"/>
          </w:tcPr>
          <w:p>
            <w:pPr>
              <w:ind w:left="60"/>
              <w:spacing w:after="0"/>
              <w:rPr>
                <w:sz w:val="20"/>
                <w:szCs w:val="20"/>
                <w:color w:val="auto"/>
              </w:rPr>
            </w:pPr>
            <w:r>
              <w:rPr>
                <w:rFonts w:ascii="Times New Roman" w:cs="Times New Roman" w:eastAsia="Times New Roman" w:hAnsi="Times New Roman"/>
                <w:sz w:val="13"/>
                <w:szCs w:val="13"/>
                <w:b w:val="1"/>
                <w:bCs w:val="1"/>
                <w:color w:val="auto"/>
              </w:rPr>
              <w:t>Term Loans by Origination Year</w:t>
            </w:r>
          </w:p>
        </w:tc>
        <w:tc>
          <w:tcPr>
            <w:tcW w:w="1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rPr>
              <w:t>Revolvers</w:t>
            </w:r>
          </w:p>
        </w:tc>
        <w:tc>
          <w:tcPr>
            <w:tcW w:w="1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8"/>
        </w:trPr>
        <w:tc>
          <w:tcPr>
            <w:tcW w:w="29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As of September 30, 2025</w:t>
            </w:r>
          </w:p>
        </w:tc>
        <w:tc>
          <w:tcPr>
            <w:tcW w:w="100" w:type="dxa"/>
            <w:vAlign w:val="bottom"/>
            <w:vMerge w:val="restart"/>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720" w:type="dxa"/>
            <w:vAlign w:val="bottom"/>
          </w:tcPr>
          <w:p>
            <w:pPr>
              <w:spacing w:after="0"/>
              <w:rPr>
                <w:sz w:val="3"/>
                <w:szCs w:val="3"/>
                <w:color w:val="auto"/>
              </w:rPr>
            </w:pPr>
          </w:p>
        </w:tc>
        <w:tc>
          <w:tcPr>
            <w:tcW w:w="100" w:type="dxa"/>
            <w:vAlign w:val="bottom"/>
          </w:tcPr>
          <w:p>
            <w:pPr>
              <w:spacing w:after="0"/>
              <w:rPr>
                <w:sz w:val="3"/>
                <w:szCs w:val="3"/>
                <w:color w:val="auto"/>
              </w:rPr>
            </w:pPr>
          </w:p>
        </w:tc>
        <w:tc>
          <w:tcPr>
            <w:tcW w:w="920" w:type="dxa"/>
            <w:vAlign w:val="bottom"/>
            <w:gridSpan w:val="3"/>
            <w:vMerge w:val="restart"/>
          </w:tcPr>
          <w:p>
            <w:pPr>
              <w:jc w:val="center"/>
              <w:ind w:right="120"/>
              <w:spacing w:after="0" w:line="133" w:lineRule="exact"/>
              <w:rPr>
                <w:sz w:val="20"/>
                <w:szCs w:val="20"/>
                <w:color w:val="auto"/>
              </w:rPr>
            </w:pPr>
            <w:r>
              <w:rPr>
                <w:rFonts w:ascii="Times New Roman" w:cs="Times New Roman" w:eastAsia="Times New Roman" w:hAnsi="Times New Roman"/>
                <w:sz w:val="13"/>
                <w:szCs w:val="13"/>
                <w:b w:val="1"/>
                <w:bCs w:val="1"/>
                <w:color w:val="auto"/>
                <w:w w:val="98"/>
              </w:rPr>
              <w:t>converted to</w:t>
            </w:r>
          </w:p>
        </w:tc>
        <w:tc>
          <w:tcPr>
            <w:tcW w:w="160" w:type="dxa"/>
            <w:vAlign w:val="bottom"/>
          </w:tcPr>
          <w:p>
            <w:pPr>
              <w:spacing w:after="0"/>
              <w:rPr>
                <w:sz w:val="3"/>
                <w:szCs w:val="3"/>
                <w:color w:val="auto"/>
              </w:rPr>
            </w:pPr>
          </w:p>
        </w:tc>
        <w:tc>
          <w:tcPr>
            <w:tcW w:w="6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74"/>
        </w:trPr>
        <w:tc>
          <w:tcPr>
            <w:tcW w:w="2940" w:type="dxa"/>
            <w:vAlign w:val="bottom"/>
            <w:vMerge w:val="continue"/>
          </w:tcPr>
          <w:p>
            <w:pPr>
              <w:spacing w:after="0"/>
              <w:rPr>
                <w:sz w:val="6"/>
                <w:szCs w:val="6"/>
                <w:color w:val="auto"/>
              </w:rPr>
            </w:pPr>
          </w:p>
        </w:tc>
        <w:tc>
          <w:tcPr>
            <w:tcW w:w="100" w:type="dxa"/>
            <w:vAlign w:val="bottom"/>
            <w:vMerge w:val="continue"/>
          </w:tcPr>
          <w:p>
            <w:pPr>
              <w:spacing w:after="0"/>
              <w:rPr>
                <w:sz w:val="6"/>
                <w:szCs w:val="6"/>
                <w:color w:val="auto"/>
              </w:rPr>
            </w:pPr>
          </w:p>
        </w:tc>
        <w:tc>
          <w:tcPr>
            <w:tcW w:w="180" w:type="dxa"/>
            <w:vAlign w:val="bottom"/>
          </w:tcPr>
          <w:p>
            <w:pPr>
              <w:spacing w:after="0"/>
              <w:rPr>
                <w:sz w:val="6"/>
                <w:szCs w:val="6"/>
                <w:color w:val="auto"/>
              </w:rPr>
            </w:pPr>
          </w:p>
        </w:tc>
        <w:tc>
          <w:tcPr>
            <w:tcW w:w="640" w:type="dxa"/>
            <w:vAlign w:val="bottom"/>
            <w:vMerge w:val="restart"/>
          </w:tcPr>
          <w:p>
            <w:pPr>
              <w:jc w:val="right"/>
              <w:ind w:right="215"/>
              <w:spacing w:after="0"/>
              <w:rPr>
                <w:sz w:val="20"/>
                <w:szCs w:val="20"/>
                <w:color w:val="auto"/>
              </w:rPr>
            </w:pPr>
            <w:r>
              <w:rPr>
                <w:rFonts w:ascii="Times New Roman" w:cs="Times New Roman" w:eastAsia="Times New Roman" w:hAnsi="Times New Roman"/>
                <w:sz w:val="13"/>
                <w:szCs w:val="13"/>
                <w:b w:val="1"/>
                <w:bCs w:val="1"/>
                <w:color w:val="auto"/>
              </w:rPr>
              <w:t>2025</w:t>
            </w:r>
          </w:p>
        </w:tc>
        <w:tc>
          <w:tcPr>
            <w:tcW w:w="100" w:type="dxa"/>
            <w:vAlign w:val="bottom"/>
          </w:tcPr>
          <w:p>
            <w:pPr>
              <w:spacing w:after="0"/>
              <w:rPr>
                <w:sz w:val="6"/>
                <w:szCs w:val="6"/>
                <w:color w:val="auto"/>
              </w:rPr>
            </w:pPr>
          </w:p>
        </w:tc>
        <w:tc>
          <w:tcPr>
            <w:tcW w:w="180" w:type="dxa"/>
            <w:vAlign w:val="bottom"/>
          </w:tcPr>
          <w:p>
            <w:pPr>
              <w:spacing w:after="0"/>
              <w:rPr>
                <w:sz w:val="6"/>
                <w:szCs w:val="6"/>
                <w:color w:val="auto"/>
              </w:rPr>
            </w:pPr>
          </w:p>
        </w:tc>
        <w:tc>
          <w:tcPr>
            <w:tcW w:w="640" w:type="dxa"/>
            <w:vAlign w:val="bottom"/>
            <w:vMerge w:val="restart"/>
          </w:tcPr>
          <w:p>
            <w:pPr>
              <w:jc w:val="right"/>
              <w:ind w:right="215"/>
              <w:spacing w:after="0"/>
              <w:rPr>
                <w:sz w:val="20"/>
                <w:szCs w:val="20"/>
                <w:color w:val="auto"/>
              </w:rPr>
            </w:pPr>
            <w:r>
              <w:rPr>
                <w:rFonts w:ascii="Times New Roman" w:cs="Times New Roman" w:eastAsia="Times New Roman" w:hAnsi="Times New Roman"/>
                <w:sz w:val="13"/>
                <w:szCs w:val="13"/>
                <w:b w:val="1"/>
                <w:bCs w:val="1"/>
                <w:color w:val="auto"/>
              </w:rPr>
              <w:t>2024</w:t>
            </w:r>
          </w:p>
        </w:tc>
        <w:tc>
          <w:tcPr>
            <w:tcW w:w="100" w:type="dxa"/>
            <w:vAlign w:val="bottom"/>
          </w:tcPr>
          <w:p>
            <w:pPr>
              <w:spacing w:after="0"/>
              <w:rPr>
                <w:sz w:val="6"/>
                <w:szCs w:val="6"/>
                <w:color w:val="auto"/>
              </w:rPr>
            </w:pPr>
          </w:p>
        </w:tc>
        <w:tc>
          <w:tcPr>
            <w:tcW w:w="180" w:type="dxa"/>
            <w:vAlign w:val="bottom"/>
          </w:tcPr>
          <w:p>
            <w:pPr>
              <w:spacing w:after="0"/>
              <w:rPr>
                <w:sz w:val="6"/>
                <w:szCs w:val="6"/>
                <w:color w:val="auto"/>
              </w:rPr>
            </w:pPr>
          </w:p>
        </w:tc>
        <w:tc>
          <w:tcPr>
            <w:tcW w:w="640" w:type="dxa"/>
            <w:vAlign w:val="bottom"/>
            <w:vMerge w:val="restart"/>
          </w:tcPr>
          <w:p>
            <w:pPr>
              <w:jc w:val="right"/>
              <w:ind w:right="215"/>
              <w:spacing w:after="0"/>
              <w:rPr>
                <w:sz w:val="20"/>
                <w:szCs w:val="20"/>
                <w:color w:val="auto"/>
              </w:rPr>
            </w:pPr>
            <w:r>
              <w:rPr>
                <w:rFonts w:ascii="Times New Roman" w:cs="Times New Roman" w:eastAsia="Times New Roman" w:hAnsi="Times New Roman"/>
                <w:sz w:val="13"/>
                <w:szCs w:val="13"/>
                <w:b w:val="1"/>
                <w:bCs w:val="1"/>
                <w:color w:val="auto"/>
              </w:rPr>
              <w:t>2023</w:t>
            </w:r>
          </w:p>
        </w:tc>
        <w:tc>
          <w:tcPr>
            <w:tcW w:w="100" w:type="dxa"/>
            <w:vAlign w:val="bottom"/>
          </w:tcPr>
          <w:p>
            <w:pPr>
              <w:spacing w:after="0"/>
              <w:rPr>
                <w:sz w:val="6"/>
                <w:szCs w:val="6"/>
                <w:color w:val="auto"/>
              </w:rPr>
            </w:pPr>
          </w:p>
        </w:tc>
        <w:tc>
          <w:tcPr>
            <w:tcW w:w="180" w:type="dxa"/>
            <w:vAlign w:val="bottom"/>
          </w:tcPr>
          <w:p>
            <w:pPr>
              <w:spacing w:after="0"/>
              <w:rPr>
                <w:sz w:val="6"/>
                <w:szCs w:val="6"/>
                <w:color w:val="auto"/>
              </w:rPr>
            </w:pPr>
          </w:p>
        </w:tc>
        <w:tc>
          <w:tcPr>
            <w:tcW w:w="620" w:type="dxa"/>
            <w:vAlign w:val="bottom"/>
            <w:vMerge w:val="restart"/>
          </w:tcPr>
          <w:p>
            <w:pPr>
              <w:jc w:val="right"/>
              <w:ind w:right="195"/>
              <w:spacing w:after="0"/>
              <w:rPr>
                <w:sz w:val="20"/>
                <w:szCs w:val="20"/>
                <w:color w:val="auto"/>
              </w:rPr>
            </w:pPr>
            <w:r>
              <w:rPr>
                <w:rFonts w:ascii="Times New Roman" w:cs="Times New Roman" w:eastAsia="Times New Roman" w:hAnsi="Times New Roman"/>
                <w:sz w:val="13"/>
                <w:szCs w:val="13"/>
                <w:b w:val="1"/>
                <w:bCs w:val="1"/>
                <w:color w:val="auto"/>
              </w:rPr>
              <w:t>2022</w:t>
            </w:r>
          </w:p>
        </w:tc>
        <w:tc>
          <w:tcPr>
            <w:tcW w:w="120" w:type="dxa"/>
            <w:vAlign w:val="bottom"/>
          </w:tcPr>
          <w:p>
            <w:pPr>
              <w:spacing w:after="0"/>
              <w:rPr>
                <w:sz w:val="6"/>
                <w:szCs w:val="6"/>
                <w:color w:val="auto"/>
              </w:rPr>
            </w:pPr>
          </w:p>
        </w:tc>
        <w:tc>
          <w:tcPr>
            <w:tcW w:w="180" w:type="dxa"/>
            <w:vAlign w:val="bottom"/>
          </w:tcPr>
          <w:p>
            <w:pPr>
              <w:spacing w:after="0"/>
              <w:rPr>
                <w:sz w:val="6"/>
                <w:szCs w:val="6"/>
                <w:color w:val="auto"/>
              </w:rPr>
            </w:pPr>
          </w:p>
        </w:tc>
        <w:tc>
          <w:tcPr>
            <w:tcW w:w="620" w:type="dxa"/>
            <w:vAlign w:val="bottom"/>
            <w:vMerge w:val="restart"/>
          </w:tcPr>
          <w:p>
            <w:pPr>
              <w:jc w:val="right"/>
              <w:ind w:right="195"/>
              <w:spacing w:after="0"/>
              <w:rPr>
                <w:sz w:val="20"/>
                <w:szCs w:val="20"/>
                <w:color w:val="auto"/>
              </w:rPr>
            </w:pPr>
            <w:r>
              <w:rPr>
                <w:rFonts w:ascii="Times New Roman" w:cs="Times New Roman" w:eastAsia="Times New Roman" w:hAnsi="Times New Roman"/>
                <w:sz w:val="13"/>
                <w:szCs w:val="13"/>
                <w:b w:val="1"/>
                <w:bCs w:val="1"/>
                <w:color w:val="auto"/>
              </w:rPr>
              <w:t>2021</w:t>
            </w:r>
          </w:p>
        </w:tc>
        <w:tc>
          <w:tcPr>
            <w:tcW w:w="120" w:type="dxa"/>
            <w:vAlign w:val="bottom"/>
          </w:tcPr>
          <w:p>
            <w:pPr>
              <w:spacing w:after="0"/>
              <w:rPr>
                <w:sz w:val="6"/>
                <w:szCs w:val="6"/>
                <w:color w:val="auto"/>
              </w:rPr>
            </w:pPr>
          </w:p>
        </w:tc>
        <w:tc>
          <w:tcPr>
            <w:tcW w:w="160" w:type="dxa"/>
            <w:vAlign w:val="bottom"/>
          </w:tcPr>
          <w:p>
            <w:pPr>
              <w:spacing w:after="0"/>
              <w:rPr>
                <w:sz w:val="6"/>
                <w:szCs w:val="6"/>
                <w:color w:val="auto"/>
              </w:rPr>
            </w:pPr>
          </w:p>
        </w:tc>
        <w:tc>
          <w:tcPr>
            <w:tcW w:w="660" w:type="dxa"/>
            <w:vAlign w:val="bottom"/>
            <w:vMerge w:val="restart"/>
          </w:tcPr>
          <w:p>
            <w:pPr>
              <w:jc w:val="right"/>
              <w:ind w:right="195"/>
              <w:spacing w:after="0"/>
              <w:rPr>
                <w:sz w:val="20"/>
                <w:szCs w:val="20"/>
                <w:color w:val="auto"/>
              </w:rPr>
            </w:pPr>
            <w:r>
              <w:rPr>
                <w:rFonts w:ascii="Times New Roman" w:cs="Times New Roman" w:eastAsia="Times New Roman" w:hAnsi="Times New Roman"/>
                <w:sz w:val="13"/>
                <w:szCs w:val="13"/>
                <w:b w:val="1"/>
                <w:bCs w:val="1"/>
                <w:color w:val="auto"/>
              </w:rPr>
              <w:t>Prior</w:t>
            </w:r>
          </w:p>
        </w:tc>
        <w:tc>
          <w:tcPr>
            <w:tcW w:w="100" w:type="dxa"/>
            <w:vAlign w:val="bottom"/>
            <w:vMerge w:val="restart"/>
          </w:tcPr>
          <w:p>
            <w:pPr>
              <w:spacing w:after="0"/>
              <w:rPr>
                <w:sz w:val="6"/>
                <w:szCs w:val="6"/>
                <w:color w:val="auto"/>
              </w:rPr>
            </w:pPr>
          </w:p>
        </w:tc>
        <w:tc>
          <w:tcPr>
            <w:tcW w:w="120" w:type="dxa"/>
            <w:vAlign w:val="bottom"/>
          </w:tcPr>
          <w:p>
            <w:pPr>
              <w:spacing w:after="0"/>
              <w:rPr>
                <w:sz w:val="6"/>
                <w:szCs w:val="6"/>
                <w:color w:val="auto"/>
              </w:rPr>
            </w:pPr>
          </w:p>
        </w:tc>
        <w:tc>
          <w:tcPr>
            <w:tcW w:w="720" w:type="dxa"/>
            <w:vAlign w:val="bottom"/>
            <w:vMerge w:val="restart"/>
          </w:tcPr>
          <w:p>
            <w:pPr>
              <w:jc w:val="right"/>
              <w:ind w:right="75"/>
              <w:spacing w:after="0"/>
              <w:rPr>
                <w:sz w:val="20"/>
                <w:szCs w:val="20"/>
                <w:color w:val="auto"/>
              </w:rPr>
            </w:pPr>
            <w:r>
              <w:rPr>
                <w:rFonts w:ascii="Times New Roman" w:cs="Times New Roman" w:eastAsia="Times New Roman" w:hAnsi="Times New Roman"/>
                <w:sz w:val="13"/>
                <w:szCs w:val="13"/>
                <w:b w:val="1"/>
                <w:bCs w:val="1"/>
                <w:color w:val="auto"/>
              </w:rPr>
              <w:t>Revolvers</w:t>
            </w:r>
          </w:p>
        </w:tc>
        <w:tc>
          <w:tcPr>
            <w:tcW w:w="100" w:type="dxa"/>
            <w:vAlign w:val="bottom"/>
            <w:vMerge w:val="restart"/>
          </w:tcPr>
          <w:p>
            <w:pPr>
              <w:spacing w:after="0"/>
              <w:rPr>
                <w:sz w:val="6"/>
                <w:szCs w:val="6"/>
                <w:color w:val="auto"/>
              </w:rPr>
            </w:pPr>
          </w:p>
        </w:tc>
        <w:tc>
          <w:tcPr>
            <w:tcW w:w="920" w:type="dxa"/>
            <w:vAlign w:val="bottom"/>
            <w:gridSpan w:val="3"/>
            <w:vMerge w:val="continue"/>
          </w:tcPr>
          <w:p>
            <w:pPr>
              <w:spacing w:after="0"/>
              <w:rPr>
                <w:sz w:val="6"/>
                <w:szCs w:val="6"/>
                <w:color w:val="auto"/>
              </w:rPr>
            </w:pPr>
          </w:p>
        </w:tc>
        <w:tc>
          <w:tcPr>
            <w:tcW w:w="160" w:type="dxa"/>
            <w:vAlign w:val="bottom"/>
          </w:tcPr>
          <w:p>
            <w:pPr>
              <w:spacing w:after="0"/>
              <w:rPr>
                <w:sz w:val="6"/>
                <w:szCs w:val="6"/>
                <w:color w:val="auto"/>
              </w:rPr>
            </w:pPr>
          </w:p>
        </w:tc>
        <w:tc>
          <w:tcPr>
            <w:tcW w:w="660" w:type="dxa"/>
            <w:vAlign w:val="bottom"/>
            <w:vMerge w:val="restart"/>
          </w:tcPr>
          <w:p>
            <w:pPr>
              <w:jc w:val="right"/>
              <w:ind w:right="195"/>
              <w:spacing w:after="0"/>
              <w:rPr>
                <w:sz w:val="20"/>
                <w:szCs w:val="20"/>
                <w:color w:val="auto"/>
              </w:rPr>
            </w:pPr>
            <w:r>
              <w:rPr>
                <w:rFonts w:ascii="Times New Roman" w:cs="Times New Roman" w:eastAsia="Times New Roman" w:hAnsi="Times New Roman"/>
                <w:sz w:val="13"/>
                <w:szCs w:val="13"/>
                <w:b w:val="1"/>
                <w:bCs w:val="1"/>
                <w:color w:val="auto"/>
              </w:rPr>
              <w:t>Total</w:t>
            </w:r>
          </w:p>
        </w:tc>
        <w:tc>
          <w:tcPr>
            <w:tcW w:w="0" w:type="dxa"/>
            <w:vAlign w:val="bottom"/>
          </w:tcPr>
          <w:p>
            <w:pPr>
              <w:spacing w:after="0"/>
              <w:rPr>
                <w:sz w:val="1"/>
                <w:szCs w:val="1"/>
                <w:color w:val="auto"/>
              </w:rPr>
            </w:pPr>
          </w:p>
        </w:tc>
      </w:tr>
      <w:tr>
        <w:trPr>
          <w:trHeight w:val="173"/>
        </w:trPr>
        <w:tc>
          <w:tcPr>
            <w:tcW w:w="294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CCEEFF"/>
            </w:tcBorders>
            <w:vMerge w:val="continue"/>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vMerge w:val="continue"/>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vMerge w:val="continue"/>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CCEEFF"/>
            </w:tcBorders>
            <w:vMerge w:val="continue"/>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CCEEFF"/>
            </w:tcBorders>
            <w:vMerge w:val="continue"/>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center"/>
              <w:ind w:right="35"/>
              <w:spacing w:after="0"/>
              <w:rPr>
                <w:sz w:val="20"/>
                <w:szCs w:val="20"/>
                <w:color w:val="auto"/>
              </w:rPr>
            </w:pPr>
            <w:r>
              <w:rPr>
                <w:rFonts w:ascii="Times New Roman" w:cs="Times New Roman" w:eastAsia="Times New Roman" w:hAnsi="Times New Roman"/>
                <w:sz w:val="13"/>
                <w:szCs w:val="13"/>
                <w:b w:val="1"/>
                <w:bCs w:val="1"/>
                <w:color w:val="auto"/>
              </w:rPr>
              <w:t>term loans</w:t>
            </w:r>
          </w:p>
        </w:tc>
        <w:tc>
          <w:tcPr>
            <w:tcW w:w="12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30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Owner occupied CRE</w:t>
            </w:r>
          </w:p>
        </w:tc>
        <w:tc>
          <w:tcPr>
            <w:tcW w:w="18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1"/>
        </w:trPr>
        <w:tc>
          <w:tcPr>
            <w:tcW w:w="3040" w:type="dxa"/>
            <w:vAlign w:val="bottom"/>
            <w:gridSpan w:val="2"/>
          </w:tcPr>
          <w:p>
            <w:pPr>
              <w:ind w:left="140"/>
              <w:spacing w:after="0"/>
              <w:rPr>
                <w:sz w:val="20"/>
                <w:szCs w:val="20"/>
                <w:color w:val="auto"/>
              </w:rPr>
            </w:pPr>
            <w:r>
              <w:rPr>
                <w:rFonts w:ascii="Times New Roman" w:cs="Times New Roman" w:eastAsia="Times New Roman" w:hAnsi="Times New Roman"/>
                <w:sz w:val="13"/>
                <w:szCs w:val="13"/>
                <w:color w:val="auto"/>
              </w:rPr>
              <w:t>Pass</w:t>
            </w:r>
          </w:p>
        </w:tc>
        <w:tc>
          <w:tcPr>
            <w:tcW w:w="180" w:type="dxa"/>
            <w:vAlign w:val="bottom"/>
          </w:tcPr>
          <w:p>
            <w:pPr>
              <w:jc w:val="right"/>
              <w:ind w:right="35"/>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580,917</w:t>
            </w:r>
          </w:p>
        </w:tc>
        <w:tc>
          <w:tcPr>
            <w:tcW w:w="100" w:type="dxa"/>
            <w:vAlign w:val="bottom"/>
          </w:tcPr>
          <w:p>
            <w:pPr>
              <w:spacing w:after="0"/>
              <w:rPr>
                <w:sz w:val="15"/>
                <w:szCs w:val="15"/>
                <w:color w:val="auto"/>
              </w:rPr>
            </w:pPr>
          </w:p>
        </w:tc>
        <w:tc>
          <w:tcPr>
            <w:tcW w:w="180" w:type="dxa"/>
            <w:vAlign w:val="bottom"/>
          </w:tcPr>
          <w:p>
            <w:pPr>
              <w:jc w:val="right"/>
              <w:ind w:right="35"/>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432,714</w:t>
            </w:r>
          </w:p>
        </w:tc>
        <w:tc>
          <w:tcPr>
            <w:tcW w:w="280" w:type="dxa"/>
            <w:vAlign w:val="bottom"/>
            <w:gridSpan w:val="2"/>
          </w:tcPr>
          <w:p>
            <w:pPr>
              <w:jc w:val="right"/>
              <w:ind w:right="35"/>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479,347</w:t>
            </w:r>
          </w:p>
        </w:tc>
        <w:tc>
          <w:tcPr>
            <w:tcW w:w="100" w:type="dxa"/>
            <w:vAlign w:val="bottom"/>
          </w:tcPr>
          <w:p>
            <w:pPr>
              <w:spacing w:after="0"/>
              <w:rPr>
                <w:sz w:val="15"/>
                <w:szCs w:val="15"/>
                <w:color w:val="auto"/>
              </w:rPr>
            </w:pPr>
          </w:p>
        </w:tc>
        <w:tc>
          <w:tcPr>
            <w:tcW w:w="180" w:type="dxa"/>
            <w:vAlign w:val="bottom"/>
          </w:tcPr>
          <w:p>
            <w:pPr>
              <w:jc w:val="right"/>
              <w:ind w:right="35"/>
              <w:spacing w:after="0"/>
              <w:rPr>
                <w:sz w:val="20"/>
                <w:szCs w:val="20"/>
                <w:color w:val="auto"/>
              </w:rPr>
            </w:pPr>
            <w:r>
              <w:rPr>
                <w:rFonts w:ascii="Times New Roman" w:cs="Times New Roman" w:eastAsia="Times New Roman" w:hAnsi="Times New Roman"/>
                <w:sz w:val="13"/>
                <w:szCs w:val="13"/>
                <w:color w:val="auto"/>
                <w:w w:val="91"/>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596,575</w:t>
            </w:r>
          </w:p>
        </w:tc>
        <w:tc>
          <w:tcPr>
            <w:tcW w:w="120" w:type="dxa"/>
            <w:vAlign w:val="bottom"/>
          </w:tcPr>
          <w:p>
            <w:pPr>
              <w:spacing w:after="0"/>
              <w:rPr>
                <w:sz w:val="15"/>
                <w:szCs w:val="15"/>
                <w:color w:val="auto"/>
              </w:rPr>
            </w:pPr>
          </w:p>
        </w:tc>
        <w:tc>
          <w:tcPr>
            <w:tcW w:w="180" w:type="dxa"/>
            <w:vAlign w:val="bottom"/>
          </w:tcPr>
          <w:p>
            <w:pPr>
              <w:jc w:val="right"/>
              <w:ind w:right="35"/>
              <w:spacing w:after="0"/>
              <w:rPr>
                <w:sz w:val="20"/>
                <w:szCs w:val="20"/>
                <w:color w:val="auto"/>
              </w:rPr>
            </w:pPr>
            <w:r>
              <w:rPr>
                <w:rFonts w:ascii="Times New Roman" w:cs="Times New Roman" w:eastAsia="Times New Roman" w:hAnsi="Times New Roman"/>
                <w:sz w:val="13"/>
                <w:szCs w:val="13"/>
                <w:color w:val="auto"/>
                <w:w w:val="91"/>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498,366</w:t>
            </w:r>
          </w:p>
        </w:tc>
        <w:tc>
          <w:tcPr>
            <w:tcW w:w="120" w:type="dxa"/>
            <w:vAlign w:val="bottom"/>
          </w:tcPr>
          <w:p>
            <w:pPr>
              <w:spacing w:after="0"/>
              <w:rPr>
                <w:sz w:val="15"/>
                <w:szCs w:val="15"/>
                <w:color w:val="auto"/>
              </w:rPr>
            </w:pPr>
          </w:p>
        </w:tc>
        <w:tc>
          <w:tcPr>
            <w:tcW w:w="160" w:type="dxa"/>
            <w:vAlign w:val="bottom"/>
          </w:tcPr>
          <w:p>
            <w:pPr>
              <w:jc w:val="right"/>
              <w:ind w:right="15"/>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780,103</w:t>
            </w:r>
          </w:p>
        </w:tc>
        <w:tc>
          <w:tcPr>
            <w:tcW w:w="10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130,300</w:t>
            </w:r>
          </w:p>
        </w:tc>
        <w:tc>
          <w:tcPr>
            <w:tcW w:w="10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23,958</w:t>
            </w:r>
          </w:p>
        </w:tc>
        <w:tc>
          <w:tcPr>
            <w:tcW w:w="120" w:type="dxa"/>
            <w:vAlign w:val="bottom"/>
          </w:tcPr>
          <w:p>
            <w:pPr>
              <w:spacing w:after="0"/>
              <w:rPr>
                <w:sz w:val="15"/>
                <w:szCs w:val="15"/>
                <w:color w:val="auto"/>
              </w:rPr>
            </w:pPr>
          </w:p>
        </w:tc>
        <w:tc>
          <w:tcPr>
            <w:tcW w:w="160" w:type="dxa"/>
            <w:vAlign w:val="bottom"/>
          </w:tcPr>
          <w:p>
            <w:pPr>
              <w:jc w:val="right"/>
              <w:ind w:right="15"/>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3,522,280</w:t>
            </w:r>
          </w:p>
        </w:tc>
        <w:tc>
          <w:tcPr>
            <w:tcW w:w="0" w:type="dxa"/>
            <w:vAlign w:val="bottom"/>
          </w:tcPr>
          <w:p>
            <w:pPr>
              <w:spacing w:after="0"/>
              <w:rPr>
                <w:sz w:val="1"/>
                <w:szCs w:val="1"/>
                <w:color w:val="auto"/>
              </w:rPr>
            </w:pPr>
          </w:p>
        </w:tc>
      </w:tr>
      <w:tr>
        <w:trPr>
          <w:trHeight w:val="197"/>
        </w:trPr>
        <w:tc>
          <w:tcPr>
            <w:tcW w:w="30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Special Mention</w:t>
            </w: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1,255</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1,001</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18,572</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13,177</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15,985</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10,560</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4,294</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231</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65,075</w:t>
            </w:r>
          </w:p>
        </w:tc>
        <w:tc>
          <w:tcPr>
            <w:tcW w:w="0" w:type="dxa"/>
            <w:vAlign w:val="bottom"/>
          </w:tcPr>
          <w:p>
            <w:pPr>
              <w:spacing w:after="0"/>
              <w:rPr>
                <w:sz w:val="1"/>
                <w:szCs w:val="1"/>
                <w:color w:val="auto"/>
              </w:rPr>
            </w:pPr>
          </w:p>
        </w:tc>
      </w:tr>
      <w:tr>
        <w:trPr>
          <w:trHeight w:val="183"/>
        </w:trPr>
        <w:tc>
          <w:tcPr>
            <w:tcW w:w="3040" w:type="dxa"/>
            <w:vAlign w:val="bottom"/>
            <w:tcBorders>
              <w:bottom w:val="single" w:sz="8" w:color="CCEEFF"/>
            </w:tcBorders>
            <w:gridSpan w:val="2"/>
          </w:tcPr>
          <w:p>
            <w:pPr>
              <w:ind w:left="140"/>
              <w:spacing w:after="0"/>
              <w:rPr>
                <w:sz w:val="20"/>
                <w:szCs w:val="20"/>
                <w:color w:val="auto"/>
              </w:rPr>
            </w:pPr>
            <w:r>
              <w:rPr>
                <w:rFonts w:ascii="Times New Roman" w:cs="Times New Roman" w:eastAsia="Times New Roman" w:hAnsi="Times New Roman"/>
                <w:sz w:val="13"/>
                <w:szCs w:val="13"/>
                <w:color w:val="auto"/>
              </w:rPr>
              <w:t>Substandard</w:t>
            </w:r>
          </w:p>
        </w:tc>
        <w:tc>
          <w:tcPr>
            <w:tcW w:w="18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2,743</w:t>
            </w:r>
          </w:p>
        </w:tc>
        <w:tc>
          <w:tcPr>
            <w:tcW w:w="10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6,790</w:t>
            </w:r>
          </w:p>
        </w:tc>
        <w:tc>
          <w:tcPr>
            <w:tcW w:w="10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19,993</w:t>
            </w:r>
          </w:p>
        </w:tc>
        <w:tc>
          <w:tcPr>
            <w:tcW w:w="10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32,413</w:t>
            </w:r>
          </w:p>
        </w:tc>
        <w:tc>
          <w:tcPr>
            <w:tcW w:w="12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3,852</w:t>
            </w:r>
          </w:p>
        </w:tc>
        <w:tc>
          <w:tcPr>
            <w:tcW w:w="12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22,505</w:t>
            </w:r>
          </w:p>
        </w:tc>
        <w:tc>
          <w:tcPr>
            <w:tcW w:w="1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2,635</w:t>
            </w:r>
          </w:p>
        </w:tc>
        <w:tc>
          <w:tcPr>
            <w:tcW w:w="10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90,931</w:t>
            </w:r>
          </w:p>
        </w:tc>
        <w:tc>
          <w:tcPr>
            <w:tcW w:w="0" w:type="dxa"/>
            <w:vAlign w:val="bottom"/>
          </w:tcPr>
          <w:p>
            <w:pPr>
              <w:spacing w:after="0"/>
              <w:rPr>
                <w:sz w:val="1"/>
                <w:szCs w:val="1"/>
                <w:color w:val="auto"/>
              </w:rPr>
            </w:pPr>
          </w:p>
        </w:tc>
      </w:tr>
      <w:tr>
        <w:trPr>
          <w:trHeight w:val="209"/>
        </w:trPr>
        <w:tc>
          <w:tcPr>
            <w:tcW w:w="3040" w:type="dxa"/>
            <w:vAlign w:val="bottom"/>
            <w:tcBorders>
              <w:bottom w:val="single" w:sz="8" w:color="CCEEFF"/>
            </w:tcBorders>
            <w:gridSpan w:val="2"/>
            <w:shd w:val="clear" w:color="auto" w:fill="CCEEFF"/>
          </w:tcPr>
          <w:p>
            <w:pPr>
              <w:ind w:left="220"/>
              <w:spacing w:after="0"/>
              <w:rPr>
                <w:sz w:val="20"/>
                <w:szCs w:val="20"/>
                <w:color w:val="auto"/>
              </w:rPr>
            </w:pPr>
            <w:r>
              <w:rPr>
                <w:rFonts w:ascii="Times New Roman" w:cs="Times New Roman" w:eastAsia="Times New Roman" w:hAnsi="Times New Roman"/>
                <w:sz w:val="13"/>
                <w:szCs w:val="13"/>
                <w:color w:val="auto"/>
              </w:rPr>
              <w:t>Total owner occupied CRE</w:t>
            </w:r>
          </w:p>
        </w:tc>
        <w:tc>
          <w:tcPr>
            <w:tcW w:w="180" w:type="dxa"/>
            <w:vAlign w:val="bottom"/>
            <w:tcBorders>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584,915</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440,505</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517,912</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3"/>
                <w:szCs w:val="13"/>
                <w:color w:val="auto"/>
                <w:w w:val="91"/>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642,165</w:t>
            </w:r>
          </w:p>
        </w:tc>
        <w:tc>
          <w:tcPr>
            <w:tcW w:w="1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3"/>
                <w:szCs w:val="13"/>
                <w:color w:val="auto"/>
                <w:w w:val="91"/>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518,203</w:t>
            </w:r>
          </w:p>
        </w:tc>
        <w:tc>
          <w:tcPr>
            <w:tcW w:w="1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813,168</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137,229</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24,189</w:t>
            </w:r>
          </w:p>
        </w:tc>
        <w:tc>
          <w:tcPr>
            <w:tcW w:w="1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3,678,286</w:t>
            </w:r>
          </w:p>
        </w:tc>
        <w:tc>
          <w:tcPr>
            <w:tcW w:w="0" w:type="dxa"/>
            <w:vAlign w:val="bottom"/>
          </w:tcPr>
          <w:p>
            <w:pPr>
              <w:spacing w:after="0"/>
              <w:rPr>
                <w:sz w:val="1"/>
                <w:szCs w:val="1"/>
                <w:color w:val="auto"/>
              </w:rPr>
            </w:pPr>
          </w:p>
        </w:tc>
      </w:tr>
      <w:tr>
        <w:trPr>
          <w:trHeight w:val="20"/>
        </w:trPr>
        <w:tc>
          <w:tcPr>
            <w:tcW w:w="2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3040" w:type="dxa"/>
            <w:vAlign w:val="bottom"/>
            <w:gridSpan w:val="2"/>
          </w:tcPr>
          <w:p>
            <w:pPr>
              <w:jc w:val="right"/>
              <w:ind w:right="1220"/>
              <w:spacing w:after="0"/>
              <w:rPr>
                <w:sz w:val="20"/>
                <w:szCs w:val="20"/>
                <w:color w:val="auto"/>
              </w:rPr>
            </w:pPr>
            <w:r>
              <w:rPr>
                <w:rFonts w:ascii="Times New Roman" w:cs="Times New Roman" w:eastAsia="Times New Roman" w:hAnsi="Times New Roman"/>
                <w:sz w:val="13"/>
                <w:szCs w:val="13"/>
                <w:color w:val="auto"/>
              </w:rPr>
              <w:t>Current period gross charge-offs</w:t>
            </w:r>
          </w:p>
        </w:tc>
        <w:tc>
          <w:tcPr>
            <w:tcW w:w="180" w:type="dxa"/>
            <w:vAlign w:val="bottom"/>
          </w:tcPr>
          <w:p>
            <w:pPr>
              <w:jc w:val="right"/>
              <w:ind w:right="35"/>
              <w:spacing w:after="0"/>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jc w:val="right"/>
              <w:ind w:right="35"/>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165</w:t>
            </w:r>
          </w:p>
        </w:tc>
        <w:tc>
          <w:tcPr>
            <w:tcW w:w="280" w:type="dxa"/>
            <w:vAlign w:val="bottom"/>
            <w:gridSpan w:val="2"/>
          </w:tcPr>
          <w:p>
            <w:pPr>
              <w:jc w:val="right"/>
              <w:ind w:right="35"/>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476</w:t>
            </w:r>
          </w:p>
        </w:tc>
        <w:tc>
          <w:tcPr>
            <w:tcW w:w="100" w:type="dxa"/>
            <w:vAlign w:val="bottom"/>
          </w:tcPr>
          <w:p>
            <w:pPr>
              <w:spacing w:after="0"/>
              <w:rPr>
                <w:sz w:val="13"/>
                <w:szCs w:val="13"/>
                <w:color w:val="auto"/>
              </w:rPr>
            </w:pPr>
          </w:p>
        </w:tc>
        <w:tc>
          <w:tcPr>
            <w:tcW w:w="180" w:type="dxa"/>
            <w:vAlign w:val="bottom"/>
          </w:tcPr>
          <w:p>
            <w:pPr>
              <w:jc w:val="right"/>
              <w:ind w:right="35"/>
              <w:spacing w:after="0"/>
              <w:rPr>
                <w:sz w:val="20"/>
                <w:szCs w:val="20"/>
                <w:color w:val="auto"/>
              </w:rPr>
            </w:pPr>
            <w:r>
              <w:rPr>
                <w:rFonts w:ascii="Times New Roman" w:cs="Times New Roman" w:eastAsia="Times New Roman" w:hAnsi="Times New Roman"/>
                <w:sz w:val="13"/>
                <w:szCs w:val="13"/>
                <w:color w:val="auto"/>
                <w:w w:val="91"/>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2,162</w:t>
            </w:r>
          </w:p>
        </w:tc>
        <w:tc>
          <w:tcPr>
            <w:tcW w:w="120" w:type="dxa"/>
            <w:vAlign w:val="bottom"/>
          </w:tcPr>
          <w:p>
            <w:pPr>
              <w:spacing w:after="0"/>
              <w:rPr>
                <w:sz w:val="13"/>
                <w:szCs w:val="13"/>
                <w:color w:val="auto"/>
              </w:rPr>
            </w:pPr>
          </w:p>
        </w:tc>
        <w:tc>
          <w:tcPr>
            <w:tcW w:w="180" w:type="dxa"/>
            <w:vAlign w:val="bottom"/>
          </w:tcPr>
          <w:p>
            <w:pPr>
              <w:jc w:val="right"/>
              <w:ind w:right="35"/>
              <w:spacing w:after="0"/>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jc w:val="right"/>
              <w:ind w:right="15"/>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667</w:t>
            </w:r>
          </w:p>
        </w:tc>
        <w:tc>
          <w:tcPr>
            <w:tcW w:w="100" w:type="dxa"/>
            <w:vAlign w:val="bottom"/>
          </w:tcPr>
          <w:p>
            <w:pPr>
              <w:spacing w:after="0"/>
              <w:rPr>
                <w:sz w:val="13"/>
                <w:szCs w:val="13"/>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jc w:val="right"/>
              <w:ind w:right="15"/>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3,470</w:t>
            </w:r>
          </w:p>
        </w:tc>
        <w:tc>
          <w:tcPr>
            <w:tcW w:w="0" w:type="dxa"/>
            <w:vAlign w:val="bottom"/>
          </w:tcPr>
          <w:p>
            <w:pPr>
              <w:spacing w:after="0"/>
              <w:rPr>
                <w:sz w:val="1"/>
                <w:szCs w:val="1"/>
                <w:color w:val="auto"/>
              </w:rPr>
            </w:pPr>
          </w:p>
        </w:tc>
      </w:tr>
      <w:tr>
        <w:trPr>
          <w:trHeight w:val="197"/>
        </w:trPr>
        <w:tc>
          <w:tcPr>
            <w:tcW w:w="30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Income producing CRE</w:t>
            </w: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3040" w:type="dxa"/>
            <w:vAlign w:val="bottom"/>
            <w:gridSpan w:val="2"/>
          </w:tcPr>
          <w:p>
            <w:pPr>
              <w:ind w:left="140"/>
              <w:spacing w:after="0"/>
              <w:rPr>
                <w:sz w:val="20"/>
                <w:szCs w:val="20"/>
                <w:color w:val="auto"/>
              </w:rPr>
            </w:pPr>
            <w:r>
              <w:rPr>
                <w:rFonts w:ascii="Times New Roman" w:cs="Times New Roman" w:eastAsia="Times New Roman" w:hAnsi="Times New Roman"/>
                <w:sz w:val="13"/>
                <w:szCs w:val="13"/>
                <w:color w:val="auto"/>
              </w:rPr>
              <w:t>Pass</w:t>
            </w:r>
          </w:p>
        </w:tc>
        <w:tc>
          <w:tcPr>
            <w:tcW w:w="180" w:type="dxa"/>
            <w:vAlign w:val="bottom"/>
          </w:tcPr>
          <w:p>
            <w:pPr>
              <w:jc w:val="right"/>
              <w:ind w:right="35"/>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633,398</w:t>
            </w:r>
          </w:p>
        </w:tc>
        <w:tc>
          <w:tcPr>
            <w:tcW w:w="100" w:type="dxa"/>
            <w:vAlign w:val="bottom"/>
          </w:tcPr>
          <w:p>
            <w:pPr>
              <w:spacing w:after="0"/>
              <w:rPr>
                <w:sz w:val="15"/>
                <w:szCs w:val="15"/>
                <w:color w:val="auto"/>
              </w:rPr>
            </w:pPr>
          </w:p>
        </w:tc>
        <w:tc>
          <w:tcPr>
            <w:tcW w:w="180" w:type="dxa"/>
            <w:vAlign w:val="bottom"/>
          </w:tcPr>
          <w:p>
            <w:pPr>
              <w:jc w:val="right"/>
              <w:ind w:right="35"/>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475,452</w:t>
            </w:r>
          </w:p>
        </w:tc>
        <w:tc>
          <w:tcPr>
            <w:tcW w:w="280" w:type="dxa"/>
            <w:vAlign w:val="bottom"/>
            <w:gridSpan w:val="2"/>
          </w:tcPr>
          <w:p>
            <w:pPr>
              <w:jc w:val="right"/>
              <w:ind w:right="35"/>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468,950</w:t>
            </w:r>
          </w:p>
        </w:tc>
        <w:tc>
          <w:tcPr>
            <w:tcW w:w="100" w:type="dxa"/>
            <w:vAlign w:val="bottom"/>
          </w:tcPr>
          <w:p>
            <w:pPr>
              <w:spacing w:after="0"/>
              <w:rPr>
                <w:sz w:val="15"/>
                <w:szCs w:val="15"/>
                <w:color w:val="auto"/>
              </w:rPr>
            </w:pPr>
          </w:p>
        </w:tc>
        <w:tc>
          <w:tcPr>
            <w:tcW w:w="180" w:type="dxa"/>
            <w:vAlign w:val="bottom"/>
          </w:tcPr>
          <w:p>
            <w:pPr>
              <w:jc w:val="right"/>
              <w:ind w:right="35"/>
              <w:spacing w:after="0"/>
              <w:rPr>
                <w:sz w:val="20"/>
                <w:szCs w:val="20"/>
                <w:color w:val="auto"/>
              </w:rPr>
            </w:pPr>
            <w:r>
              <w:rPr>
                <w:rFonts w:ascii="Times New Roman" w:cs="Times New Roman" w:eastAsia="Times New Roman" w:hAnsi="Times New Roman"/>
                <w:sz w:val="13"/>
                <w:szCs w:val="13"/>
                <w:color w:val="auto"/>
                <w:w w:val="91"/>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880,469</w:t>
            </w:r>
          </w:p>
        </w:tc>
        <w:tc>
          <w:tcPr>
            <w:tcW w:w="120" w:type="dxa"/>
            <w:vAlign w:val="bottom"/>
          </w:tcPr>
          <w:p>
            <w:pPr>
              <w:spacing w:after="0"/>
              <w:rPr>
                <w:sz w:val="15"/>
                <w:szCs w:val="15"/>
                <w:color w:val="auto"/>
              </w:rPr>
            </w:pPr>
          </w:p>
        </w:tc>
        <w:tc>
          <w:tcPr>
            <w:tcW w:w="180" w:type="dxa"/>
            <w:vAlign w:val="bottom"/>
          </w:tcPr>
          <w:p>
            <w:pPr>
              <w:jc w:val="right"/>
              <w:ind w:right="35"/>
              <w:spacing w:after="0"/>
              <w:rPr>
                <w:sz w:val="20"/>
                <w:szCs w:val="20"/>
                <w:color w:val="auto"/>
              </w:rPr>
            </w:pPr>
            <w:r>
              <w:rPr>
                <w:rFonts w:ascii="Times New Roman" w:cs="Times New Roman" w:eastAsia="Times New Roman" w:hAnsi="Times New Roman"/>
                <w:sz w:val="13"/>
                <w:szCs w:val="13"/>
                <w:color w:val="auto"/>
                <w:w w:val="91"/>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830,978</w:t>
            </w:r>
          </w:p>
        </w:tc>
        <w:tc>
          <w:tcPr>
            <w:tcW w:w="120" w:type="dxa"/>
            <w:vAlign w:val="bottom"/>
          </w:tcPr>
          <w:p>
            <w:pPr>
              <w:spacing w:after="0"/>
              <w:rPr>
                <w:sz w:val="15"/>
                <w:szCs w:val="15"/>
                <w:color w:val="auto"/>
              </w:rPr>
            </w:pPr>
          </w:p>
        </w:tc>
        <w:tc>
          <w:tcPr>
            <w:tcW w:w="160" w:type="dxa"/>
            <w:vAlign w:val="bottom"/>
          </w:tcPr>
          <w:p>
            <w:pPr>
              <w:jc w:val="right"/>
              <w:ind w:right="15"/>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949,790</w:t>
            </w:r>
          </w:p>
        </w:tc>
        <w:tc>
          <w:tcPr>
            <w:tcW w:w="10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48,842</w:t>
            </w:r>
          </w:p>
        </w:tc>
        <w:tc>
          <w:tcPr>
            <w:tcW w:w="10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11,460</w:t>
            </w:r>
          </w:p>
        </w:tc>
        <w:tc>
          <w:tcPr>
            <w:tcW w:w="120" w:type="dxa"/>
            <w:vAlign w:val="bottom"/>
          </w:tcPr>
          <w:p>
            <w:pPr>
              <w:spacing w:after="0"/>
              <w:rPr>
                <w:sz w:val="15"/>
                <w:szCs w:val="15"/>
                <w:color w:val="auto"/>
              </w:rPr>
            </w:pPr>
          </w:p>
        </w:tc>
        <w:tc>
          <w:tcPr>
            <w:tcW w:w="160" w:type="dxa"/>
            <w:vAlign w:val="bottom"/>
          </w:tcPr>
          <w:p>
            <w:pPr>
              <w:jc w:val="right"/>
              <w:ind w:right="15"/>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4,299,339</w:t>
            </w:r>
          </w:p>
        </w:tc>
        <w:tc>
          <w:tcPr>
            <w:tcW w:w="0" w:type="dxa"/>
            <w:vAlign w:val="bottom"/>
          </w:tcPr>
          <w:p>
            <w:pPr>
              <w:spacing w:after="0"/>
              <w:rPr>
                <w:sz w:val="1"/>
                <w:szCs w:val="1"/>
                <w:color w:val="auto"/>
              </w:rPr>
            </w:pPr>
          </w:p>
        </w:tc>
      </w:tr>
      <w:tr>
        <w:trPr>
          <w:trHeight w:val="197"/>
        </w:trPr>
        <w:tc>
          <w:tcPr>
            <w:tcW w:w="30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Special Mention</w:t>
            </w: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12,085</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5,036</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2,094</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57,305</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4,558</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6,301</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87,379</w:t>
            </w:r>
          </w:p>
        </w:tc>
        <w:tc>
          <w:tcPr>
            <w:tcW w:w="0" w:type="dxa"/>
            <w:vAlign w:val="bottom"/>
          </w:tcPr>
          <w:p>
            <w:pPr>
              <w:spacing w:after="0"/>
              <w:rPr>
                <w:sz w:val="1"/>
                <w:szCs w:val="1"/>
                <w:color w:val="auto"/>
              </w:rPr>
            </w:pPr>
          </w:p>
        </w:tc>
      </w:tr>
      <w:tr>
        <w:trPr>
          <w:trHeight w:val="183"/>
        </w:trPr>
        <w:tc>
          <w:tcPr>
            <w:tcW w:w="3040" w:type="dxa"/>
            <w:vAlign w:val="bottom"/>
            <w:tcBorders>
              <w:bottom w:val="single" w:sz="8" w:color="CCEEFF"/>
            </w:tcBorders>
            <w:gridSpan w:val="2"/>
          </w:tcPr>
          <w:p>
            <w:pPr>
              <w:ind w:left="140"/>
              <w:spacing w:after="0"/>
              <w:rPr>
                <w:sz w:val="20"/>
                <w:szCs w:val="20"/>
                <w:color w:val="auto"/>
              </w:rPr>
            </w:pPr>
            <w:r>
              <w:rPr>
                <w:rFonts w:ascii="Times New Roman" w:cs="Times New Roman" w:eastAsia="Times New Roman" w:hAnsi="Times New Roman"/>
                <w:sz w:val="13"/>
                <w:szCs w:val="13"/>
                <w:color w:val="auto"/>
              </w:rPr>
              <w:t>Substandard</w:t>
            </w:r>
          </w:p>
        </w:tc>
        <w:tc>
          <w:tcPr>
            <w:tcW w:w="18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24,287</w:t>
            </w:r>
          </w:p>
        </w:tc>
        <w:tc>
          <w:tcPr>
            <w:tcW w:w="10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26,709</w:t>
            </w:r>
          </w:p>
        </w:tc>
        <w:tc>
          <w:tcPr>
            <w:tcW w:w="10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37,589</w:t>
            </w:r>
          </w:p>
        </w:tc>
        <w:tc>
          <w:tcPr>
            <w:tcW w:w="10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1,362</w:t>
            </w:r>
          </w:p>
        </w:tc>
        <w:tc>
          <w:tcPr>
            <w:tcW w:w="12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4,745</w:t>
            </w:r>
          </w:p>
        </w:tc>
        <w:tc>
          <w:tcPr>
            <w:tcW w:w="12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52,997</w:t>
            </w:r>
          </w:p>
        </w:tc>
        <w:tc>
          <w:tcPr>
            <w:tcW w:w="1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147,689</w:t>
            </w:r>
          </w:p>
        </w:tc>
        <w:tc>
          <w:tcPr>
            <w:tcW w:w="0" w:type="dxa"/>
            <w:vAlign w:val="bottom"/>
          </w:tcPr>
          <w:p>
            <w:pPr>
              <w:spacing w:after="0"/>
              <w:rPr>
                <w:sz w:val="1"/>
                <w:szCs w:val="1"/>
                <w:color w:val="auto"/>
              </w:rPr>
            </w:pPr>
          </w:p>
        </w:tc>
      </w:tr>
      <w:tr>
        <w:trPr>
          <w:trHeight w:val="209"/>
        </w:trPr>
        <w:tc>
          <w:tcPr>
            <w:tcW w:w="3040" w:type="dxa"/>
            <w:vAlign w:val="bottom"/>
            <w:tcBorders>
              <w:bottom w:val="single" w:sz="8" w:color="CCEEFF"/>
            </w:tcBorders>
            <w:gridSpan w:val="2"/>
            <w:shd w:val="clear" w:color="auto" w:fill="CCEEFF"/>
          </w:tcPr>
          <w:p>
            <w:pPr>
              <w:ind w:left="220"/>
              <w:spacing w:after="0"/>
              <w:rPr>
                <w:sz w:val="20"/>
                <w:szCs w:val="20"/>
                <w:color w:val="auto"/>
              </w:rPr>
            </w:pPr>
            <w:r>
              <w:rPr>
                <w:rFonts w:ascii="Times New Roman" w:cs="Times New Roman" w:eastAsia="Times New Roman" w:hAnsi="Times New Roman"/>
                <w:sz w:val="13"/>
                <w:szCs w:val="13"/>
                <w:color w:val="auto"/>
              </w:rPr>
              <w:t>Total income producing CRE</w:t>
            </w:r>
          </w:p>
        </w:tc>
        <w:tc>
          <w:tcPr>
            <w:tcW w:w="180" w:type="dxa"/>
            <w:vAlign w:val="bottom"/>
            <w:tcBorders>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669,770</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507,197</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508,633</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3"/>
                <w:szCs w:val="13"/>
                <w:color w:val="auto"/>
                <w:w w:val="91"/>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939,136</w:t>
            </w:r>
          </w:p>
        </w:tc>
        <w:tc>
          <w:tcPr>
            <w:tcW w:w="1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3"/>
                <w:szCs w:val="13"/>
                <w:color w:val="auto"/>
                <w:w w:val="91"/>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840,281</w:t>
            </w:r>
          </w:p>
        </w:tc>
        <w:tc>
          <w:tcPr>
            <w:tcW w:w="1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1,009,088</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48,842</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11,460</w:t>
            </w:r>
          </w:p>
        </w:tc>
        <w:tc>
          <w:tcPr>
            <w:tcW w:w="1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4,534,407</w:t>
            </w:r>
          </w:p>
        </w:tc>
        <w:tc>
          <w:tcPr>
            <w:tcW w:w="0" w:type="dxa"/>
            <w:vAlign w:val="bottom"/>
          </w:tcPr>
          <w:p>
            <w:pPr>
              <w:spacing w:after="0"/>
              <w:rPr>
                <w:sz w:val="1"/>
                <w:szCs w:val="1"/>
                <w:color w:val="auto"/>
              </w:rPr>
            </w:pPr>
          </w:p>
        </w:tc>
      </w:tr>
      <w:tr>
        <w:trPr>
          <w:trHeight w:val="20"/>
        </w:trPr>
        <w:tc>
          <w:tcPr>
            <w:tcW w:w="2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3040" w:type="dxa"/>
            <w:vAlign w:val="bottom"/>
            <w:gridSpan w:val="2"/>
          </w:tcPr>
          <w:p>
            <w:pPr>
              <w:jc w:val="right"/>
              <w:ind w:right="1220"/>
              <w:spacing w:after="0"/>
              <w:rPr>
                <w:sz w:val="20"/>
                <w:szCs w:val="20"/>
                <w:color w:val="auto"/>
              </w:rPr>
            </w:pPr>
            <w:r>
              <w:rPr>
                <w:rFonts w:ascii="Times New Roman" w:cs="Times New Roman" w:eastAsia="Times New Roman" w:hAnsi="Times New Roman"/>
                <w:sz w:val="13"/>
                <w:szCs w:val="13"/>
                <w:color w:val="auto"/>
              </w:rPr>
              <w:t>Current period gross charge-offs</w:t>
            </w:r>
          </w:p>
        </w:tc>
        <w:tc>
          <w:tcPr>
            <w:tcW w:w="180" w:type="dxa"/>
            <w:vAlign w:val="bottom"/>
          </w:tcPr>
          <w:p>
            <w:pPr>
              <w:jc w:val="right"/>
              <w:ind w:right="35"/>
              <w:spacing w:after="0"/>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jc w:val="right"/>
              <w:ind w:right="35"/>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gridSpan w:val="2"/>
          </w:tcPr>
          <w:p>
            <w:pPr>
              <w:jc w:val="right"/>
              <w:ind w:right="35"/>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jc w:val="right"/>
              <w:ind w:right="35"/>
              <w:spacing w:after="0"/>
              <w:rPr>
                <w:sz w:val="20"/>
                <w:szCs w:val="20"/>
                <w:color w:val="auto"/>
              </w:rPr>
            </w:pPr>
            <w:r>
              <w:rPr>
                <w:rFonts w:ascii="Times New Roman" w:cs="Times New Roman" w:eastAsia="Times New Roman" w:hAnsi="Times New Roman"/>
                <w:sz w:val="13"/>
                <w:szCs w:val="13"/>
                <w:color w:val="auto"/>
                <w:w w:val="91"/>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1,970</w:t>
            </w:r>
          </w:p>
        </w:tc>
        <w:tc>
          <w:tcPr>
            <w:tcW w:w="120" w:type="dxa"/>
            <w:vAlign w:val="bottom"/>
          </w:tcPr>
          <w:p>
            <w:pPr>
              <w:spacing w:after="0"/>
              <w:rPr>
                <w:sz w:val="13"/>
                <w:szCs w:val="13"/>
                <w:color w:val="auto"/>
              </w:rPr>
            </w:pPr>
          </w:p>
        </w:tc>
        <w:tc>
          <w:tcPr>
            <w:tcW w:w="180" w:type="dxa"/>
            <w:vAlign w:val="bottom"/>
          </w:tcPr>
          <w:p>
            <w:pPr>
              <w:jc w:val="right"/>
              <w:ind w:right="35"/>
              <w:spacing w:after="0"/>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jc w:val="right"/>
              <w:ind w:right="15"/>
              <w:spacing w:after="0"/>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jc w:val="right"/>
              <w:ind w:right="15"/>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1,970</w:t>
            </w:r>
          </w:p>
        </w:tc>
        <w:tc>
          <w:tcPr>
            <w:tcW w:w="0" w:type="dxa"/>
            <w:vAlign w:val="bottom"/>
          </w:tcPr>
          <w:p>
            <w:pPr>
              <w:spacing w:after="0"/>
              <w:rPr>
                <w:sz w:val="1"/>
                <w:szCs w:val="1"/>
                <w:color w:val="auto"/>
              </w:rPr>
            </w:pPr>
          </w:p>
        </w:tc>
      </w:tr>
      <w:tr>
        <w:trPr>
          <w:trHeight w:val="197"/>
        </w:trPr>
        <w:tc>
          <w:tcPr>
            <w:tcW w:w="30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Commercial &amp; industrial</w:t>
            </w: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3040" w:type="dxa"/>
            <w:vAlign w:val="bottom"/>
            <w:gridSpan w:val="2"/>
          </w:tcPr>
          <w:p>
            <w:pPr>
              <w:ind w:left="140"/>
              <w:spacing w:after="0"/>
              <w:rPr>
                <w:sz w:val="20"/>
                <w:szCs w:val="20"/>
                <w:color w:val="auto"/>
              </w:rPr>
            </w:pPr>
            <w:r>
              <w:rPr>
                <w:rFonts w:ascii="Times New Roman" w:cs="Times New Roman" w:eastAsia="Times New Roman" w:hAnsi="Times New Roman"/>
                <w:sz w:val="13"/>
                <w:szCs w:val="13"/>
                <w:color w:val="auto"/>
              </w:rPr>
              <w:t>Pass</w:t>
            </w:r>
          </w:p>
        </w:tc>
        <w:tc>
          <w:tcPr>
            <w:tcW w:w="180" w:type="dxa"/>
            <w:vAlign w:val="bottom"/>
          </w:tcPr>
          <w:p>
            <w:pPr>
              <w:jc w:val="right"/>
              <w:ind w:right="35"/>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478,055</w:t>
            </w:r>
          </w:p>
        </w:tc>
        <w:tc>
          <w:tcPr>
            <w:tcW w:w="100" w:type="dxa"/>
            <w:vAlign w:val="bottom"/>
          </w:tcPr>
          <w:p>
            <w:pPr>
              <w:spacing w:after="0"/>
              <w:rPr>
                <w:sz w:val="15"/>
                <w:szCs w:val="15"/>
                <w:color w:val="auto"/>
              </w:rPr>
            </w:pPr>
          </w:p>
        </w:tc>
        <w:tc>
          <w:tcPr>
            <w:tcW w:w="180" w:type="dxa"/>
            <w:vAlign w:val="bottom"/>
          </w:tcPr>
          <w:p>
            <w:pPr>
              <w:jc w:val="right"/>
              <w:ind w:right="35"/>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414,645</w:t>
            </w:r>
          </w:p>
        </w:tc>
        <w:tc>
          <w:tcPr>
            <w:tcW w:w="280" w:type="dxa"/>
            <w:vAlign w:val="bottom"/>
            <w:gridSpan w:val="2"/>
          </w:tcPr>
          <w:p>
            <w:pPr>
              <w:jc w:val="right"/>
              <w:ind w:right="35"/>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302,878</w:t>
            </w:r>
          </w:p>
        </w:tc>
        <w:tc>
          <w:tcPr>
            <w:tcW w:w="100" w:type="dxa"/>
            <w:vAlign w:val="bottom"/>
          </w:tcPr>
          <w:p>
            <w:pPr>
              <w:spacing w:after="0"/>
              <w:rPr>
                <w:sz w:val="15"/>
                <w:szCs w:val="15"/>
                <w:color w:val="auto"/>
              </w:rPr>
            </w:pPr>
          </w:p>
        </w:tc>
        <w:tc>
          <w:tcPr>
            <w:tcW w:w="180" w:type="dxa"/>
            <w:vAlign w:val="bottom"/>
          </w:tcPr>
          <w:p>
            <w:pPr>
              <w:jc w:val="right"/>
              <w:ind w:right="35"/>
              <w:spacing w:after="0"/>
              <w:rPr>
                <w:sz w:val="20"/>
                <w:szCs w:val="20"/>
                <w:color w:val="auto"/>
              </w:rPr>
            </w:pPr>
            <w:r>
              <w:rPr>
                <w:rFonts w:ascii="Times New Roman" w:cs="Times New Roman" w:eastAsia="Times New Roman" w:hAnsi="Times New Roman"/>
                <w:sz w:val="13"/>
                <w:szCs w:val="13"/>
                <w:color w:val="auto"/>
                <w:w w:val="91"/>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178,122</w:t>
            </w:r>
          </w:p>
        </w:tc>
        <w:tc>
          <w:tcPr>
            <w:tcW w:w="120" w:type="dxa"/>
            <w:vAlign w:val="bottom"/>
          </w:tcPr>
          <w:p>
            <w:pPr>
              <w:spacing w:after="0"/>
              <w:rPr>
                <w:sz w:val="15"/>
                <w:szCs w:val="15"/>
                <w:color w:val="auto"/>
              </w:rPr>
            </w:pPr>
          </w:p>
        </w:tc>
        <w:tc>
          <w:tcPr>
            <w:tcW w:w="180" w:type="dxa"/>
            <w:vAlign w:val="bottom"/>
          </w:tcPr>
          <w:p>
            <w:pPr>
              <w:jc w:val="right"/>
              <w:ind w:right="35"/>
              <w:spacing w:after="0"/>
              <w:rPr>
                <w:sz w:val="20"/>
                <w:szCs w:val="20"/>
                <w:color w:val="auto"/>
              </w:rPr>
            </w:pPr>
            <w:r>
              <w:rPr>
                <w:rFonts w:ascii="Times New Roman" w:cs="Times New Roman" w:eastAsia="Times New Roman" w:hAnsi="Times New Roman"/>
                <w:sz w:val="13"/>
                <w:szCs w:val="13"/>
                <w:color w:val="auto"/>
                <w:w w:val="91"/>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162,698</w:t>
            </w:r>
          </w:p>
        </w:tc>
        <w:tc>
          <w:tcPr>
            <w:tcW w:w="120" w:type="dxa"/>
            <w:vAlign w:val="bottom"/>
          </w:tcPr>
          <w:p>
            <w:pPr>
              <w:spacing w:after="0"/>
              <w:rPr>
                <w:sz w:val="15"/>
                <w:szCs w:val="15"/>
                <w:color w:val="auto"/>
              </w:rPr>
            </w:pPr>
          </w:p>
        </w:tc>
        <w:tc>
          <w:tcPr>
            <w:tcW w:w="160" w:type="dxa"/>
            <w:vAlign w:val="bottom"/>
          </w:tcPr>
          <w:p>
            <w:pPr>
              <w:jc w:val="right"/>
              <w:ind w:right="15"/>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246,264</w:t>
            </w:r>
          </w:p>
        </w:tc>
        <w:tc>
          <w:tcPr>
            <w:tcW w:w="10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661,830</w:t>
            </w:r>
          </w:p>
        </w:tc>
        <w:tc>
          <w:tcPr>
            <w:tcW w:w="10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11,045</w:t>
            </w:r>
          </w:p>
        </w:tc>
        <w:tc>
          <w:tcPr>
            <w:tcW w:w="120" w:type="dxa"/>
            <w:vAlign w:val="bottom"/>
          </w:tcPr>
          <w:p>
            <w:pPr>
              <w:spacing w:after="0"/>
              <w:rPr>
                <w:sz w:val="15"/>
                <w:szCs w:val="15"/>
                <w:color w:val="auto"/>
              </w:rPr>
            </w:pPr>
          </w:p>
        </w:tc>
        <w:tc>
          <w:tcPr>
            <w:tcW w:w="160" w:type="dxa"/>
            <w:vAlign w:val="bottom"/>
          </w:tcPr>
          <w:p>
            <w:pPr>
              <w:jc w:val="right"/>
              <w:ind w:right="15"/>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2,455,537</w:t>
            </w:r>
          </w:p>
        </w:tc>
        <w:tc>
          <w:tcPr>
            <w:tcW w:w="0" w:type="dxa"/>
            <w:vAlign w:val="bottom"/>
          </w:tcPr>
          <w:p>
            <w:pPr>
              <w:spacing w:after="0"/>
              <w:rPr>
                <w:sz w:val="1"/>
                <w:szCs w:val="1"/>
                <w:color w:val="auto"/>
              </w:rPr>
            </w:pPr>
          </w:p>
        </w:tc>
      </w:tr>
      <w:tr>
        <w:trPr>
          <w:trHeight w:val="197"/>
        </w:trPr>
        <w:tc>
          <w:tcPr>
            <w:tcW w:w="30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Special Mention</w:t>
            </w: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2,408</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9,411</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14,860</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19,022</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2,102</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3,854</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7,448</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49</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59,154</w:t>
            </w:r>
          </w:p>
        </w:tc>
        <w:tc>
          <w:tcPr>
            <w:tcW w:w="0" w:type="dxa"/>
            <w:vAlign w:val="bottom"/>
          </w:tcPr>
          <w:p>
            <w:pPr>
              <w:spacing w:after="0"/>
              <w:rPr>
                <w:sz w:val="1"/>
                <w:szCs w:val="1"/>
                <w:color w:val="auto"/>
              </w:rPr>
            </w:pPr>
          </w:p>
        </w:tc>
      </w:tr>
      <w:tr>
        <w:trPr>
          <w:trHeight w:val="183"/>
        </w:trPr>
        <w:tc>
          <w:tcPr>
            <w:tcW w:w="3040" w:type="dxa"/>
            <w:vAlign w:val="bottom"/>
            <w:tcBorders>
              <w:bottom w:val="single" w:sz="8" w:color="CCEEFF"/>
            </w:tcBorders>
            <w:gridSpan w:val="2"/>
          </w:tcPr>
          <w:p>
            <w:pPr>
              <w:ind w:left="140"/>
              <w:spacing w:after="0"/>
              <w:rPr>
                <w:sz w:val="20"/>
                <w:szCs w:val="20"/>
                <w:color w:val="auto"/>
              </w:rPr>
            </w:pPr>
            <w:r>
              <w:rPr>
                <w:rFonts w:ascii="Times New Roman" w:cs="Times New Roman" w:eastAsia="Times New Roman" w:hAnsi="Times New Roman"/>
                <w:sz w:val="13"/>
                <w:szCs w:val="13"/>
                <w:color w:val="auto"/>
              </w:rPr>
              <w:t>Substandard</w:t>
            </w:r>
          </w:p>
        </w:tc>
        <w:tc>
          <w:tcPr>
            <w:tcW w:w="18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2,470</w:t>
            </w:r>
          </w:p>
        </w:tc>
        <w:tc>
          <w:tcPr>
            <w:tcW w:w="10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2,661</w:t>
            </w:r>
          </w:p>
        </w:tc>
        <w:tc>
          <w:tcPr>
            <w:tcW w:w="10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41,360</w:t>
            </w:r>
          </w:p>
        </w:tc>
        <w:tc>
          <w:tcPr>
            <w:tcW w:w="10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6,076</w:t>
            </w:r>
          </w:p>
        </w:tc>
        <w:tc>
          <w:tcPr>
            <w:tcW w:w="12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4,070</w:t>
            </w:r>
          </w:p>
        </w:tc>
        <w:tc>
          <w:tcPr>
            <w:tcW w:w="12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8,502</w:t>
            </w:r>
          </w:p>
        </w:tc>
        <w:tc>
          <w:tcPr>
            <w:tcW w:w="1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11,610</w:t>
            </w:r>
          </w:p>
        </w:tc>
        <w:tc>
          <w:tcPr>
            <w:tcW w:w="10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1,531</w:t>
            </w:r>
          </w:p>
        </w:tc>
        <w:tc>
          <w:tcPr>
            <w:tcW w:w="12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78,280</w:t>
            </w:r>
          </w:p>
        </w:tc>
        <w:tc>
          <w:tcPr>
            <w:tcW w:w="0" w:type="dxa"/>
            <w:vAlign w:val="bottom"/>
          </w:tcPr>
          <w:p>
            <w:pPr>
              <w:spacing w:after="0"/>
              <w:rPr>
                <w:sz w:val="1"/>
                <w:szCs w:val="1"/>
                <w:color w:val="auto"/>
              </w:rPr>
            </w:pPr>
          </w:p>
        </w:tc>
      </w:tr>
      <w:tr>
        <w:trPr>
          <w:trHeight w:val="209"/>
        </w:trPr>
        <w:tc>
          <w:tcPr>
            <w:tcW w:w="3040" w:type="dxa"/>
            <w:vAlign w:val="bottom"/>
            <w:tcBorders>
              <w:bottom w:val="single" w:sz="8" w:color="CCEEFF"/>
            </w:tcBorders>
            <w:gridSpan w:val="2"/>
            <w:shd w:val="clear" w:color="auto" w:fill="CCEEFF"/>
          </w:tcPr>
          <w:p>
            <w:pPr>
              <w:jc w:val="right"/>
              <w:ind w:right="1240"/>
              <w:spacing w:after="0"/>
              <w:rPr>
                <w:sz w:val="20"/>
                <w:szCs w:val="20"/>
                <w:color w:val="auto"/>
              </w:rPr>
            </w:pPr>
            <w:r>
              <w:rPr>
                <w:rFonts w:ascii="Times New Roman" w:cs="Times New Roman" w:eastAsia="Times New Roman" w:hAnsi="Times New Roman"/>
                <w:sz w:val="13"/>
                <w:szCs w:val="13"/>
                <w:color w:val="auto"/>
              </w:rPr>
              <w:t>Total commercial &amp; industrial</w:t>
            </w:r>
          </w:p>
        </w:tc>
        <w:tc>
          <w:tcPr>
            <w:tcW w:w="180" w:type="dxa"/>
            <w:vAlign w:val="bottom"/>
            <w:tcBorders>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482,933</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426,717</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359,098</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3"/>
                <w:szCs w:val="13"/>
                <w:color w:val="auto"/>
                <w:w w:val="91"/>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203,220</w:t>
            </w:r>
          </w:p>
        </w:tc>
        <w:tc>
          <w:tcPr>
            <w:tcW w:w="1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3"/>
                <w:szCs w:val="13"/>
                <w:color w:val="auto"/>
                <w:w w:val="91"/>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168,870</w:t>
            </w:r>
          </w:p>
        </w:tc>
        <w:tc>
          <w:tcPr>
            <w:tcW w:w="1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258,620</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680,888</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12,625</w:t>
            </w:r>
          </w:p>
        </w:tc>
        <w:tc>
          <w:tcPr>
            <w:tcW w:w="1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2,592,971</w:t>
            </w:r>
          </w:p>
        </w:tc>
        <w:tc>
          <w:tcPr>
            <w:tcW w:w="0" w:type="dxa"/>
            <w:vAlign w:val="bottom"/>
          </w:tcPr>
          <w:p>
            <w:pPr>
              <w:spacing w:after="0"/>
              <w:rPr>
                <w:sz w:val="1"/>
                <w:szCs w:val="1"/>
                <w:color w:val="auto"/>
              </w:rPr>
            </w:pPr>
          </w:p>
        </w:tc>
      </w:tr>
      <w:tr>
        <w:trPr>
          <w:trHeight w:val="20"/>
        </w:trPr>
        <w:tc>
          <w:tcPr>
            <w:tcW w:w="2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3040" w:type="dxa"/>
            <w:vAlign w:val="bottom"/>
            <w:gridSpan w:val="2"/>
          </w:tcPr>
          <w:p>
            <w:pPr>
              <w:jc w:val="right"/>
              <w:ind w:right="1220"/>
              <w:spacing w:after="0"/>
              <w:rPr>
                <w:sz w:val="20"/>
                <w:szCs w:val="20"/>
                <w:color w:val="auto"/>
              </w:rPr>
            </w:pPr>
            <w:r>
              <w:rPr>
                <w:rFonts w:ascii="Times New Roman" w:cs="Times New Roman" w:eastAsia="Times New Roman" w:hAnsi="Times New Roman"/>
                <w:sz w:val="13"/>
                <w:szCs w:val="13"/>
                <w:color w:val="auto"/>
              </w:rPr>
              <w:t>Current period gross charge-offs</w:t>
            </w:r>
          </w:p>
        </w:tc>
        <w:tc>
          <w:tcPr>
            <w:tcW w:w="180" w:type="dxa"/>
            <w:vAlign w:val="bottom"/>
          </w:tcPr>
          <w:p>
            <w:pPr>
              <w:jc w:val="right"/>
              <w:ind w:right="35"/>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w:t>
            </w:r>
          </w:p>
        </w:tc>
        <w:tc>
          <w:tcPr>
            <w:tcW w:w="100" w:type="dxa"/>
            <w:vAlign w:val="bottom"/>
          </w:tcPr>
          <w:p>
            <w:pPr>
              <w:spacing w:after="0"/>
              <w:rPr>
                <w:sz w:val="13"/>
                <w:szCs w:val="13"/>
                <w:color w:val="auto"/>
              </w:rPr>
            </w:pPr>
          </w:p>
        </w:tc>
        <w:tc>
          <w:tcPr>
            <w:tcW w:w="180" w:type="dxa"/>
            <w:vAlign w:val="bottom"/>
          </w:tcPr>
          <w:p>
            <w:pPr>
              <w:jc w:val="right"/>
              <w:ind w:right="35"/>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999</w:t>
            </w:r>
          </w:p>
        </w:tc>
        <w:tc>
          <w:tcPr>
            <w:tcW w:w="280" w:type="dxa"/>
            <w:vAlign w:val="bottom"/>
            <w:gridSpan w:val="2"/>
          </w:tcPr>
          <w:p>
            <w:pPr>
              <w:jc w:val="right"/>
              <w:ind w:right="35"/>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4,042</w:t>
            </w:r>
          </w:p>
        </w:tc>
        <w:tc>
          <w:tcPr>
            <w:tcW w:w="100" w:type="dxa"/>
            <w:vAlign w:val="bottom"/>
          </w:tcPr>
          <w:p>
            <w:pPr>
              <w:spacing w:after="0"/>
              <w:rPr>
                <w:sz w:val="13"/>
                <w:szCs w:val="13"/>
                <w:color w:val="auto"/>
              </w:rPr>
            </w:pPr>
          </w:p>
        </w:tc>
        <w:tc>
          <w:tcPr>
            <w:tcW w:w="180" w:type="dxa"/>
            <w:vAlign w:val="bottom"/>
          </w:tcPr>
          <w:p>
            <w:pPr>
              <w:jc w:val="right"/>
              <w:ind w:right="35"/>
              <w:spacing w:after="0"/>
              <w:rPr>
                <w:sz w:val="20"/>
                <w:szCs w:val="20"/>
                <w:color w:val="auto"/>
              </w:rPr>
            </w:pPr>
            <w:r>
              <w:rPr>
                <w:rFonts w:ascii="Times New Roman" w:cs="Times New Roman" w:eastAsia="Times New Roman" w:hAnsi="Times New Roman"/>
                <w:sz w:val="13"/>
                <w:szCs w:val="13"/>
                <w:color w:val="auto"/>
                <w:w w:val="91"/>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1,228</w:t>
            </w:r>
          </w:p>
        </w:tc>
        <w:tc>
          <w:tcPr>
            <w:tcW w:w="120" w:type="dxa"/>
            <w:vAlign w:val="bottom"/>
          </w:tcPr>
          <w:p>
            <w:pPr>
              <w:spacing w:after="0"/>
              <w:rPr>
                <w:sz w:val="13"/>
                <w:szCs w:val="13"/>
                <w:color w:val="auto"/>
              </w:rPr>
            </w:pPr>
          </w:p>
        </w:tc>
        <w:tc>
          <w:tcPr>
            <w:tcW w:w="180" w:type="dxa"/>
            <w:vAlign w:val="bottom"/>
          </w:tcPr>
          <w:p>
            <w:pPr>
              <w:jc w:val="right"/>
              <w:ind w:right="35"/>
              <w:spacing w:after="0"/>
              <w:rPr>
                <w:sz w:val="20"/>
                <w:szCs w:val="20"/>
                <w:color w:val="auto"/>
              </w:rPr>
            </w:pPr>
            <w:r>
              <w:rPr>
                <w:rFonts w:ascii="Times New Roman" w:cs="Times New Roman" w:eastAsia="Times New Roman" w:hAnsi="Times New Roman"/>
                <w:sz w:val="13"/>
                <w:szCs w:val="13"/>
                <w:color w:val="auto"/>
                <w:w w:val="91"/>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51</w:t>
            </w:r>
          </w:p>
        </w:tc>
        <w:tc>
          <w:tcPr>
            <w:tcW w:w="120" w:type="dxa"/>
            <w:vAlign w:val="bottom"/>
          </w:tcPr>
          <w:p>
            <w:pPr>
              <w:spacing w:after="0"/>
              <w:rPr>
                <w:sz w:val="13"/>
                <w:szCs w:val="13"/>
                <w:color w:val="auto"/>
              </w:rPr>
            </w:pPr>
          </w:p>
        </w:tc>
        <w:tc>
          <w:tcPr>
            <w:tcW w:w="160" w:type="dxa"/>
            <w:vAlign w:val="bottom"/>
          </w:tcPr>
          <w:p>
            <w:pPr>
              <w:jc w:val="right"/>
              <w:ind w:right="15"/>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225</w:t>
            </w:r>
          </w:p>
        </w:tc>
        <w:tc>
          <w:tcPr>
            <w:tcW w:w="100" w:type="dxa"/>
            <w:vAlign w:val="bottom"/>
          </w:tcPr>
          <w:p>
            <w:pPr>
              <w:spacing w:after="0"/>
              <w:rPr>
                <w:sz w:val="13"/>
                <w:szCs w:val="13"/>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1,265</w:t>
            </w:r>
          </w:p>
        </w:tc>
        <w:tc>
          <w:tcPr>
            <w:tcW w:w="120" w:type="dxa"/>
            <w:vAlign w:val="bottom"/>
          </w:tcPr>
          <w:p>
            <w:pPr>
              <w:spacing w:after="0"/>
              <w:rPr>
                <w:sz w:val="13"/>
                <w:szCs w:val="13"/>
                <w:color w:val="auto"/>
              </w:rPr>
            </w:pPr>
          </w:p>
        </w:tc>
        <w:tc>
          <w:tcPr>
            <w:tcW w:w="160" w:type="dxa"/>
            <w:vAlign w:val="bottom"/>
          </w:tcPr>
          <w:p>
            <w:pPr>
              <w:jc w:val="right"/>
              <w:ind w:right="15"/>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7,832</w:t>
            </w:r>
          </w:p>
        </w:tc>
        <w:tc>
          <w:tcPr>
            <w:tcW w:w="0" w:type="dxa"/>
            <w:vAlign w:val="bottom"/>
          </w:tcPr>
          <w:p>
            <w:pPr>
              <w:spacing w:after="0"/>
              <w:rPr>
                <w:sz w:val="1"/>
                <w:szCs w:val="1"/>
                <w:color w:val="auto"/>
              </w:rPr>
            </w:pPr>
          </w:p>
        </w:tc>
      </w:tr>
      <w:tr>
        <w:trPr>
          <w:trHeight w:val="197"/>
        </w:trPr>
        <w:tc>
          <w:tcPr>
            <w:tcW w:w="30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Commercial construction</w:t>
            </w: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3040" w:type="dxa"/>
            <w:vAlign w:val="bottom"/>
            <w:gridSpan w:val="2"/>
          </w:tcPr>
          <w:p>
            <w:pPr>
              <w:ind w:left="140"/>
              <w:spacing w:after="0"/>
              <w:rPr>
                <w:sz w:val="20"/>
                <w:szCs w:val="20"/>
                <w:color w:val="auto"/>
              </w:rPr>
            </w:pPr>
            <w:r>
              <w:rPr>
                <w:rFonts w:ascii="Times New Roman" w:cs="Times New Roman" w:eastAsia="Times New Roman" w:hAnsi="Times New Roman"/>
                <w:sz w:val="13"/>
                <w:szCs w:val="13"/>
                <w:color w:val="auto"/>
              </w:rPr>
              <w:t>Pass</w:t>
            </w:r>
          </w:p>
        </w:tc>
        <w:tc>
          <w:tcPr>
            <w:tcW w:w="180" w:type="dxa"/>
            <w:vAlign w:val="bottom"/>
          </w:tcPr>
          <w:p>
            <w:pPr>
              <w:jc w:val="right"/>
              <w:ind w:right="35"/>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429,425</w:t>
            </w:r>
          </w:p>
        </w:tc>
        <w:tc>
          <w:tcPr>
            <w:tcW w:w="100" w:type="dxa"/>
            <w:vAlign w:val="bottom"/>
          </w:tcPr>
          <w:p>
            <w:pPr>
              <w:spacing w:after="0"/>
              <w:rPr>
                <w:sz w:val="15"/>
                <w:szCs w:val="15"/>
                <w:color w:val="auto"/>
              </w:rPr>
            </w:pPr>
          </w:p>
        </w:tc>
        <w:tc>
          <w:tcPr>
            <w:tcW w:w="180" w:type="dxa"/>
            <w:vAlign w:val="bottom"/>
          </w:tcPr>
          <w:p>
            <w:pPr>
              <w:jc w:val="right"/>
              <w:ind w:right="35"/>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334,502</w:t>
            </w:r>
          </w:p>
        </w:tc>
        <w:tc>
          <w:tcPr>
            <w:tcW w:w="280" w:type="dxa"/>
            <w:vAlign w:val="bottom"/>
            <w:gridSpan w:val="2"/>
          </w:tcPr>
          <w:p>
            <w:pPr>
              <w:jc w:val="right"/>
              <w:ind w:right="35"/>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265,152</w:t>
            </w:r>
          </w:p>
        </w:tc>
        <w:tc>
          <w:tcPr>
            <w:tcW w:w="100" w:type="dxa"/>
            <w:vAlign w:val="bottom"/>
          </w:tcPr>
          <w:p>
            <w:pPr>
              <w:spacing w:after="0"/>
              <w:rPr>
                <w:sz w:val="15"/>
                <w:szCs w:val="15"/>
                <w:color w:val="auto"/>
              </w:rPr>
            </w:pPr>
          </w:p>
        </w:tc>
        <w:tc>
          <w:tcPr>
            <w:tcW w:w="180" w:type="dxa"/>
            <w:vAlign w:val="bottom"/>
          </w:tcPr>
          <w:p>
            <w:pPr>
              <w:jc w:val="right"/>
              <w:ind w:right="35"/>
              <w:spacing w:after="0"/>
              <w:rPr>
                <w:sz w:val="20"/>
                <w:szCs w:val="20"/>
                <w:color w:val="auto"/>
              </w:rPr>
            </w:pPr>
            <w:r>
              <w:rPr>
                <w:rFonts w:ascii="Times New Roman" w:cs="Times New Roman" w:eastAsia="Times New Roman" w:hAnsi="Times New Roman"/>
                <w:sz w:val="13"/>
                <w:szCs w:val="13"/>
                <w:color w:val="auto"/>
                <w:w w:val="91"/>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373,184</w:t>
            </w:r>
          </w:p>
        </w:tc>
        <w:tc>
          <w:tcPr>
            <w:tcW w:w="120" w:type="dxa"/>
            <w:vAlign w:val="bottom"/>
          </w:tcPr>
          <w:p>
            <w:pPr>
              <w:spacing w:after="0"/>
              <w:rPr>
                <w:sz w:val="15"/>
                <w:szCs w:val="15"/>
                <w:color w:val="auto"/>
              </w:rPr>
            </w:pPr>
          </w:p>
        </w:tc>
        <w:tc>
          <w:tcPr>
            <w:tcW w:w="180" w:type="dxa"/>
            <w:vAlign w:val="bottom"/>
          </w:tcPr>
          <w:p>
            <w:pPr>
              <w:jc w:val="right"/>
              <w:ind w:right="35"/>
              <w:spacing w:after="0"/>
              <w:rPr>
                <w:sz w:val="20"/>
                <w:szCs w:val="20"/>
                <w:color w:val="auto"/>
              </w:rPr>
            </w:pPr>
            <w:r>
              <w:rPr>
                <w:rFonts w:ascii="Times New Roman" w:cs="Times New Roman" w:eastAsia="Times New Roman" w:hAnsi="Times New Roman"/>
                <w:sz w:val="13"/>
                <w:szCs w:val="13"/>
                <w:color w:val="auto"/>
                <w:w w:val="91"/>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128,245</w:t>
            </w:r>
          </w:p>
        </w:tc>
        <w:tc>
          <w:tcPr>
            <w:tcW w:w="120" w:type="dxa"/>
            <w:vAlign w:val="bottom"/>
          </w:tcPr>
          <w:p>
            <w:pPr>
              <w:spacing w:after="0"/>
              <w:rPr>
                <w:sz w:val="15"/>
                <w:szCs w:val="15"/>
                <w:color w:val="auto"/>
              </w:rPr>
            </w:pPr>
          </w:p>
        </w:tc>
        <w:tc>
          <w:tcPr>
            <w:tcW w:w="160" w:type="dxa"/>
            <w:vAlign w:val="bottom"/>
          </w:tcPr>
          <w:p>
            <w:pPr>
              <w:jc w:val="right"/>
              <w:ind w:right="15"/>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47,592</w:t>
            </w:r>
          </w:p>
        </w:tc>
        <w:tc>
          <w:tcPr>
            <w:tcW w:w="10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54,110</w:t>
            </w:r>
          </w:p>
        </w:tc>
        <w:tc>
          <w:tcPr>
            <w:tcW w:w="10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2,064</w:t>
            </w:r>
          </w:p>
        </w:tc>
        <w:tc>
          <w:tcPr>
            <w:tcW w:w="120" w:type="dxa"/>
            <w:vAlign w:val="bottom"/>
          </w:tcPr>
          <w:p>
            <w:pPr>
              <w:spacing w:after="0"/>
              <w:rPr>
                <w:sz w:val="15"/>
                <w:szCs w:val="15"/>
                <w:color w:val="auto"/>
              </w:rPr>
            </w:pPr>
          </w:p>
        </w:tc>
        <w:tc>
          <w:tcPr>
            <w:tcW w:w="160" w:type="dxa"/>
            <w:vAlign w:val="bottom"/>
          </w:tcPr>
          <w:p>
            <w:pPr>
              <w:jc w:val="right"/>
              <w:ind w:right="15"/>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1,634,274</w:t>
            </w:r>
          </w:p>
        </w:tc>
        <w:tc>
          <w:tcPr>
            <w:tcW w:w="0" w:type="dxa"/>
            <w:vAlign w:val="bottom"/>
          </w:tcPr>
          <w:p>
            <w:pPr>
              <w:spacing w:after="0"/>
              <w:rPr>
                <w:sz w:val="1"/>
                <w:szCs w:val="1"/>
                <w:color w:val="auto"/>
              </w:rPr>
            </w:pPr>
          </w:p>
        </w:tc>
      </w:tr>
      <w:tr>
        <w:trPr>
          <w:trHeight w:val="197"/>
        </w:trPr>
        <w:tc>
          <w:tcPr>
            <w:tcW w:w="30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Special Mention</w:t>
            </w: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4,355</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146</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463</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70,361</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6,607</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93</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280</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109</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82,414</w:t>
            </w:r>
          </w:p>
        </w:tc>
        <w:tc>
          <w:tcPr>
            <w:tcW w:w="0" w:type="dxa"/>
            <w:vAlign w:val="bottom"/>
          </w:tcPr>
          <w:p>
            <w:pPr>
              <w:spacing w:after="0"/>
              <w:rPr>
                <w:sz w:val="1"/>
                <w:szCs w:val="1"/>
                <w:color w:val="auto"/>
              </w:rPr>
            </w:pPr>
          </w:p>
        </w:tc>
      </w:tr>
      <w:tr>
        <w:trPr>
          <w:trHeight w:val="183"/>
        </w:trPr>
        <w:tc>
          <w:tcPr>
            <w:tcW w:w="3040" w:type="dxa"/>
            <w:vAlign w:val="bottom"/>
            <w:tcBorders>
              <w:bottom w:val="single" w:sz="8" w:color="CCEEFF"/>
            </w:tcBorders>
            <w:gridSpan w:val="2"/>
          </w:tcPr>
          <w:p>
            <w:pPr>
              <w:ind w:left="140"/>
              <w:spacing w:after="0"/>
              <w:rPr>
                <w:sz w:val="20"/>
                <w:szCs w:val="20"/>
                <w:color w:val="auto"/>
              </w:rPr>
            </w:pPr>
            <w:r>
              <w:rPr>
                <w:rFonts w:ascii="Times New Roman" w:cs="Times New Roman" w:eastAsia="Times New Roman" w:hAnsi="Times New Roman"/>
                <w:sz w:val="13"/>
                <w:szCs w:val="13"/>
                <w:color w:val="auto"/>
              </w:rPr>
              <w:t>Substandard</w:t>
            </w:r>
          </w:p>
        </w:tc>
        <w:tc>
          <w:tcPr>
            <w:tcW w:w="18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895</w:t>
            </w:r>
          </w:p>
        </w:tc>
        <w:tc>
          <w:tcPr>
            <w:tcW w:w="10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4,507</w:t>
            </w:r>
          </w:p>
        </w:tc>
        <w:tc>
          <w:tcPr>
            <w:tcW w:w="10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428</w:t>
            </w:r>
          </w:p>
        </w:tc>
        <w:tc>
          <w:tcPr>
            <w:tcW w:w="10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758</w:t>
            </w:r>
          </w:p>
        </w:tc>
        <w:tc>
          <w:tcPr>
            <w:tcW w:w="12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5,571</w:t>
            </w:r>
          </w:p>
        </w:tc>
        <w:tc>
          <w:tcPr>
            <w:tcW w:w="12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4,626</w:t>
            </w:r>
          </w:p>
        </w:tc>
        <w:tc>
          <w:tcPr>
            <w:tcW w:w="1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16,785</w:t>
            </w:r>
          </w:p>
        </w:tc>
        <w:tc>
          <w:tcPr>
            <w:tcW w:w="0" w:type="dxa"/>
            <w:vAlign w:val="bottom"/>
          </w:tcPr>
          <w:p>
            <w:pPr>
              <w:spacing w:after="0"/>
              <w:rPr>
                <w:sz w:val="1"/>
                <w:szCs w:val="1"/>
                <w:color w:val="auto"/>
              </w:rPr>
            </w:pPr>
          </w:p>
        </w:tc>
      </w:tr>
      <w:tr>
        <w:trPr>
          <w:trHeight w:val="209"/>
        </w:trPr>
        <w:tc>
          <w:tcPr>
            <w:tcW w:w="3040" w:type="dxa"/>
            <w:vAlign w:val="bottom"/>
            <w:tcBorders>
              <w:bottom w:val="single" w:sz="8" w:color="CCEEFF"/>
            </w:tcBorders>
            <w:gridSpan w:val="2"/>
            <w:shd w:val="clear" w:color="auto" w:fill="CCEEFF"/>
          </w:tcPr>
          <w:p>
            <w:pPr>
              <w:jc w:val="right"/>
              <w:ind w:right="1220"/>
              <w:spacing w:after="0"/>
              <w:rPr>
                <w:sz w:val="20"/>
                <w:szCs w:val="20"/>
                <w:color w:val="auto"/>
              </w:rPr>
            </w:pPr>
            <w:r>
              <w:rPr>
                <w:rFonts w:ascii="Times New Roman" w:cs="Times New Roman" w:eastAsia="Times New Roman" w:hAnsi="Times New Roman"/>
                <w:sz w:val="13"/>
                <w:szCs w:val="13"/>
                <w:color w:val="auto"/>
              </w:rPr>
              <w:t>Total commercial construction</w:t>
            </w:r>
          </w:p>
        </w:tc>
        <w:tc>
          <w:tcPr>
            <w:tcW w:w="180" w:type="dxa"/>
            <w:vAlign w:val="bottom"/>
            <w:tcBorders>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434,675</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339,155</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266,043</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3"/>
                <w:szCs w:val="13"/>
                <w:color w:val="auto"/>
                <w:w w:val="91"/>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444,303</w:t>
            </w:r>
          </w:p>
        </w:tc>
        <w:tc>
          <w:tcPr>
            <w:tcW w:w="1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3"/>
                <w:szCs w:val="13"/>
                <w:color w:val="auto"/>
                <w:w w:val="91"/>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140,423</w:t>
            </w:r>
          </w:p>
        </w:tc>
        <w:tc>
          <w:tcPr>
            <w:tcW w:w="1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52,311</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54,390</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2,173</w:t>
            </w:r>
          </w:p>
        </w:tc>
        <w:tc>
          <w:tcPr>
            <w:tcW w:w="1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1,733,473</w:t>
            </w:r>
          </w:p>
        </w:tc>
        <w:tc>
          <w:tcPr>
            <w:tcW w:w="0" w:type="dxa"/>
            <w:vAlign w:val="bottom"/>
          </w:tcPr>
          <w:p>
            <w:pPr>
              <w:spacing w:after="0"/>
              <w:rPr>
                <w:sz w:val="1"/>
                <w:szCs w:val="1"/>
                <w:color w:val="auto"/>
              </w:rPr>
            </w:pPr>
          </w:p>
        </w:tc>
      </w:tr>
      <w:tr>
        <w:trPr>
          <w:trHeight w:val="20"/>
        </w:trPr>
        <w:tc>
          <w:tcPr>
            <w:tcW w:w="2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3040" w:type="dxa"/>
            <w:vAlign w:val="bottom"/>
            <w:gridSpan w:val="2"/>
          </w:tcPr>
          <w:p>
            <w:pPr>
              <w:jc w:val="right"/>
              <w:ind w:right="1220"/>
              <w:spacing w:after="0"/>
              <w:rPr>
                <w:sz w:val="20"/>
                <w:szCs w:val="20"/>
                <w:color w:val="auto"/>
              </w:rPr>
            </w:pPr>
            <w:r>
              <w:rPr>
                <w:rFonts w:ascii="Times New Roman" w:cs="Times New Roman" w:eastAsia="Times New Roman" w:hAnsi="Times New Roman"/>
                <w:sz w:val="13"/>
                <w:szCs w:val="13"/>
                <w:color w:val="auto"/>
              </w:rPr>
              <w:t>Current period gross charge-offs</w:t>
            </w:r>
          </w:p>
        </w:tc>
        <w:tc>
          <w:tcPr>
            <w:tcW w:w="180" w:type="dxa"/>
            <w:vAlign w:val="bottom"/>
          </w:tcPr>
          <w:p>
            <w:pPr>
              <w:jc w:val="right"/>
              <w:ind w:right="35"/>
              <w:spacing w:after="0"/>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jc w:val="right"/>
              <w:ind w:right="35"/>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505</w:t>
            </w:r>
          </w:p>
        </w:tc>
        <w:tc>
          <w:tcPr>
            <w:tcW w:w="280" w:type="dxa"/>
            <w:vAlign w:val="bottom"/>
            <w:gridSpan w:val="2"/>
          </w:tcPr>
          <w:p>
            <w:pPr>
              <w:jc w:val="right"/>
              <w:ind w:right="35"/>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jc w:val="right"/>
              <w:ind w:right="35"/>
              <w:spacing w:after="0"/>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jc w:val="right"/>
              <w:ind w:right="35"/>
              <w:spacing w:after="0"/>
              <w:rPr>
                <w:sz w:val="20"/>
                <w:szCs w:val="20"/>
                <w:color w:val="auto"/>
              </w:rPr>
            </w:pPr>
            <w:r>
              <w:rPr>
                <w:rFonts w:ascii="Times New Roman" w:cs="Times New Roman" w:eastAsia="Times New Roman" w:hAnsi="Times New Roman"/>
                <w:sz w:val="13"/>
                <w:szCs w:val="13"/>
                <w:color w:val="auto"/>
                <w:w w:val="91"/>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130</w:t>
            </w:r>
          </w:p>
        </w:tc>
        <w:tc>
          <w:tcPr>
            <w:tcW w:w="120" w:type="dxa"/>
            <w:vAlign w:val="bottom"/>
          </w:tcPr>
          <w:p>
            <w:pPr>
              <w:spacing w:after="0"/>
              <w:rPr>
                <w:sz w:val="13"/>
                <w:szCs w:val="13"/>
                <w:color w:val="auto"/>
              </w:rPr>
            </w:pPr>
          </w:p>
        </w:tc>
        <w:tc>
          <w:tcPr>
            <w:tcW w:w="160" w:type="dxa"/>
            <w:vAlign w:val="bottom"/>
          </w:tcPr>
          <w:p>
            <w:pPr>
              <w:jc w:val="right"/>
              <w:ind w:right="15"/>
              <w:spacing w:after="0"/>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jc w:val="right"/>
              <w:ind w:right="15"/>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635</w:t>
            </w:r>
          </w:p>
        </w:tc>
        <w:tc>
          <w:tcPr>
            <w:tcW w:w="0" w:type="dxa"/>
            <w:vAlign w:val="bottom"/>
          </w:tcPr>
          <w:p>
            <w:pPr>
              <w:spacing w:after="0"/>
              <w:rPr>
                <w:sz w:val="1"/>
                <w:szCs w:val="1"/>
                <w:color w:val="auto"/>
              </w:rPr>
            </w:pPr>
          </w:p>
        </w:tc>
      </w:tr>
      <w:tr>
        <w:trPr>
          <w:trHeight w:val="197"/>
        </w:trPr>
        <w:tc>
          <w:tcPr>
            <w:tcW w:w="30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Equipment financing</w:t>
            </w: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3040" w:type="dxa"/>
            <w:vAlign w:val="bottom"/>
            <w:gridSpan w:val="2"/>
          </w:tcPr>
          <w:p>
            <w:pPr>
              <w:ind w:left="140"/>
              <w:spacing w:after="0"/>
              <w:rPr>
                <w:sz w:val="20"/>
                <w:szCs w:val="20"/>
                <w:color w:val="auto"/>
              </w:rPr>
            </w:pPr>
            <w:r>
              <w:rPr>
                <w:rFonts w:ascii="Times New Roman" w:cs="Times New Roman" w:eastAsia="Times New Roman" w:hAnsi="Times New Roman"/>
                <w:sz w:val="13"/>
                <w:szCs w:val="13"/>
                <w:color w:val="auto"/>
              </w:rPr>
              <w:t>Pass</w:t>
            </w:r>
          </w:p>
        </w:tc>
        <w:tc>
          <w:tcPr>
            <w:tcW w:w="180" w:type="dxa"/>
            <w:vAlign w:val="bottom"/>
          </w:tcPr>
          <w:p>
            <w:pPr>
              <w:jc w:val="right"/>
              <w:ind w:right="35"/>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617,780</w:t>
            </w:r>
          </w:p>
        </w:tc>
        <w:tc>
          <w:tcPr>
            <w:tcW w:w="100" w:type="dxa"/>
            <w:vAlign w:val="bottom"/>
          </w:tcPr>
          <w:p>
            <w:pPr>
              <w:spacing w:after="0"/>
              <w:rPr>
                <w:sz w:val="15"/>
                <w:szCs w:val="15"/>
                <w:color w:val="auto"/>
              </w:rPr>
            </w:pPr>
          </w:p>
        </w:tc>
        <w:tc>
          <w:tcPr>
            <w:tcW w:w="180" w:type="dxa"/>
            <w:vAlign w:val="bottom"/>
          </w:tcPr>
          <w:p>
            <w:pPr>
              <w:jc w:val="right"/>
              <w:ind w:right="35"/>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536,823</w:t>
            </w:r>
          </w:p>
        </w:tc>
        <w:tc>
          <w:tcPr>
            <w:tcW w:w="280" w:type="dxa"/>
            <w:vAlign w:val="bottom"/>
            <w:gridSpan w:val="2"/>
          </w:tcPr>
          <w:p>
            <w:pPr>
              <w:jc w:val="right"/>
              <w:ind w:right="35"/>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333,765</w:t>
            </w:r>
          </w:p>
        </w:tc>
        <w:tc>
          <w:tcPr>
            <w:tcW w:w="100" w:type="dxa"/>
            <w:vAlign w:val="bottom"/>
          </w:tcPr>
          <w:p>
            <w:pPr>
              <w:spacing w:after="0"/>
              <w:rPr>
                <w:sz w:val="15"/>
                <w:szCs w:val="15"/>
                <w:color w:val="auto"/>
              </w:rPr>
            </w:pPr>
          </w:p>
        </w:tc>
        <w:tc>
          <w:tcPr>
            <w:tcW w:w="180" w:type="dxa"/>
            <w:vAlign w:val="bottom"/>
          </w:tcPr>
          <w:p>
            <w:pPr>
              <w:jc w:val="right"/>
              <w:ind w:right="35"/>
              <w:spacing w:after="0"/>
              <w:rPr>
                <w:sz w:val="20"/>
                <w:szCs w:val="20"/>
                <w:color w:val="auto"/>
              </w:rPr>
            </w:pPr>
            <w:r>
              <w:rPr>
                <w:rFonts w:ascii="Times New Roman" w:cs="Times New Roman" w:eastAsia="Times New Roman" w:hAnsi="Times New Roman"/>
                <w:sz w:val="13"/>
                <w:szCs w:val="13"/>
                <w:color w:val="auto"/>
                <w:w w:val="91"/>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219,591</w:t>
            </w:r>
          </w:p>
        </w:tc>
        <w:tc>
          <w:tcPr>
            <w:tcW w:w="120" w:type="dxa"/>
            <w:vAlign w:val="bottom"/>
          </w:tcPr>
          <w:p>
            <w:pPr>
              <w:spacing w:after="0"/>
              <w:rPr>
                <w:sz w:val="15"/>
                <w:szCs w:val="15"/>
                <w:color w:val="auto"/>
              </w:rPr>
            </w:pPr>
          </w:p>
        </w:tc>
        <w:tc>
          <w:tcPr>
            <w:tcW w:w="180" w:type="dxa"/>
            <w:vAlign w:val="bottom"/>
          </w:tcPr>
          <w:p>
            <w:pPr>
              <w:jc w:val="right"/>
              <w:ind w:right="35"/>
              <w:spacing w:after="0"/>
              <w:rPr>
                <w:sz w:val="20"/>
                <w:szCs w:val="20"/>
                <w:color w:val="auto"/>
              </w:rPr>
            </w:pPr>
            <w:r>
              <w:rPr>
                <w:rFonts w:ascii="Times New Roman" w:cs="Times New Roman" w:eastAsia="Times New Roman" w:hAnsi="Times New Roman"/>
                <w:sz w:val="13"/>
                <w:szCs w:val="13"/>
                <w:color w:val="auto"/>
                <w:w w:val="91"/>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64,851</w:t>
            </w:r>
          </w:p>
        </w:tc>
        <w:tc>
          <w:tcPr>
            <w:tcW w:w="120" w:type="dxa"/>
            <w:vAlign w:val="bottom"/>
          </w:tcPr>
          <w:p>
            <w:pPr>
              <w:spacing w:after="0"/>
              <w:rPr>
                <w:sz w:val="15"/>
                <w:szCs w:val="15"/>
                <w:color w:val="auto"/>
              </w:rPr>
            </w:pPr>
          </w:p>
        </w:tc>
        <w:tc>
          <w:tcPr>
            <w:tcW w:w="160" w:type="dxa"/>
            <w:vAlign w:val="bottom"/>
          </w:tcPr>
          <w:p>
            <w:pPr>
              <w:jc w:val="right"/>
              <w:ind w:right="15"/>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21,257</w:t>
            </w:r>
          </w:p>
        </w:tc>
        <w:tc>
          <w:tcPr>
            <w:tcW w:w="10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jc w:val="right"/>
              <w:ind w:right="15"/>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1,794,067</w:t>
            </w:r>
          </w:p>
        </w:tc>
        <w:tc>
          <w:tcPr>
            <w:tcW w:w="0" w:type="dxa"/>
            <w:vAlign w:val="bottom"/>
          </w:tcPr>
          <w:p>
            <w:pPr>
              <w:spacing w:after="0"/>
              <w:rPr>
                <w:sz w:val="1"/>
                <w:szCs w:val="1"/>
                <w:color w:val="auto"/>
              </w:rPr>
            </w:pPr>
          </w:p>
        </w:tc>
      </w:tr>
      <w:tr>
        <w:trPr>
          <w:trHeight w:val="197"/>
        </w:trPr>
        <w:tc>
          <w:tcPr>
            <w:tcW w:w="30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Special Mention</w:t>
            </w:r>
          </w:p>
        </w:tc>
        <w:tc>
          <w:tcPr>
            <w:tcW w:w="18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495</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1,628</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2,123</w:t>
            </w:r>
          </w:p>
        </w:tc>
        <w:tc>
          <w:tcPr>
            <w:tcW w:w="0" w:type="dxa"/>
            <w:vAlign w:val="bottom"/>
          </w:tcPr>
          <w:p>
            <w:pPr>
              <w:spacing w:after="0"/>
              <w:rPr>
                <w:sz w:val="1"/>
                <w:szCs w:val="1"/>
                <w:color w:val="auto"/>
              </w:rPr>
            </w:pPr>
          </w:p>
        </w:tc>
      </w:tr>
      <w:tr>
        <w:trPr>
          <w:trHeight w:val="183"/>
        </w:trPr>
        <w:tc>
          <w:tcPr>
            <w:tcW w:w="3040" w:type="dxa"/>
            <w:vAlign w:val="bottom"/>
            <w:tcBorders>
              <w:bottom w:val="single" w:sz="8" w:color="CCEEFF"/>
            </w:tcBorders>
            <w:gridSpan w:val="2"/>
          </w:tcPr>
          <w:p>
            <w:pPr>
              <w:ind w:left="140"/>
              <w:spacing w:after="0"/>
              <w:rPr>
                <w:sz w:val="20"/>
                <w:szCs w:val="20"/>
                <w:color w:val="auto"/>
              </w:rPr>
            </w:pPr>
            <w:r>
              <w:rPr>
                <w:rFonts w:ascii="Times New Roman" w:cs="Times New Roman" w:eastAsia="Times New Roman" w:hAnsi="Times New Roman"/>
                <w:sz w:val="13"/>
                <w:szCs w:val="13"/>
                <w:color w:val="auto"/>
              </w:rPr>
              <w:t>Substandard</w:t>
            </w:r>
          </w:p>
        </w:tc>
        <w:tc>
          <w:tcPr>
            <w:tcW w:w="18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604</w:t>
            </w:r>
          </w:p>
        </w:tc>
        <w:tc>
          <w:tcPr>
            <w:tcW w:w="10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2,503</w:t>
            </w:r>
          </w:p>
        </w:tc>
        <w:tc>
          <w:tcPr>
            <w:tcW w:w="10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4,404</w:t>
            </w:r>
          </w:p>
        </w:tc>
        <w:tc>
          <w:tcPr>
            <w:tcW w:w="10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2,508</w:t>
            </w:r>
          </w:p>
        </w:tc>
        <w:tc>
          <w:tcPr>
            <w:tcW w:w="12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901</w:t>
            </w:r>
          </w:p>
        </w:tc>
        <w:tc>
          <w:tcPr>
            <w:tcW w:w="12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797</w:t>
            </w:r>
          </w:p>
        </w:tc>
        <w:tc>
          <w:tcPr>
            <w:tcW w:w="1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11,717</w:t>
            </w:r>
          </w:p>
        </w:tc>
        <w:tc>
          <w:tcPr>
            <w:tcW w:w="0" w:type="dxa"/>
            <w:vAlign w:val="bottom"/>
          </w:tcPr>
          <w:p>
            <w:pPr>
              <w:spacing w:after="0"/>
              <w:rPr>
                <w:sz w:val="1"/>
                <w:szCs w:val="1"/>
                <w:color w:val="auto"/>
              </w:rPr>
            </w:pPr>
          </w:p>
        </w:tc>
      </w:tr>
      <w:tr>
        <w:trPr>
          <w:trHeight w:val="209"/>
        </w:trPr>
        <w:tc>
          <w:tcPr>
            <w:tcW w:w="3040" w:type="dxa"/>
            <w:vAlign w:val="bottom"/>
            <w:tcBorders>
              <w:bottom w:val="single" w:sz="8" w:color="CCEEFF"/>
            </w:tcBorders>
            <w:gridSpan w:val="2"/>
            <w:shd w:val="clear" w:color="auto" w:fill="CCEEFF"/>
          </w:tcPr>
          <w:p>
            <w:pPr>
              <w:ind w:left="220"/>
              <w:spacing w:after="0"/>
              <w:rPr>
                <w:sz w:val="20"/>
                <w:szCs w:val="20"/>
                <w:color w:val="auto"/>
              </w:rPr>
            </w:pPr>
            <w:r>
              <w:rPr>
                <w:rFonts w:ascii="Times New Roman" w:cs="Times New Roman" w:eastAsia="Times New Roman" w:hAnsi="Times New Roman"/>
                <w:sz w:val="13"/>
                <w:szCs w:val="13"/>
                <w:color w:val="auto"/>
              </w:rPr>
              <w:t>Total equipment financing</w:t>
            </w:r>
          </w:p>
        </w:tc>
        <w:tc>
          <w:tcPr>
            <w:tcW w:w="180" w:type="dxa"/>
            <w:vAlign w:val="bottom"/>
            <w:tcBorders>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618,384</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539,326</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338,169</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3"/>
                <w:szCs w:val="13"/>
                <w:color w:val="auto"/>
                <w:w w:val="91"/>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222,594</w:t>
            </w:r>
          </w:p>
        </w:tc>
        <w:tc>
          <w:tcPr>
            <w:tcW w:w="1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3"/>
                <w:szCs w:val="13"/>
                <w:color w:val="auto"/>
                <w:w w:val="91"/>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67,380</w:t>
            </w:r>
          </w:p>
        </w:tc>
        <w:tc>
          <w:tcPr>
            <w:tcW w:w="1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22,054</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1,807,907</w:t>
            </w:r>
          </w:p>
        </w:tc>
        <w:tc>
          <w:tcPr>
            <w:tcW w:w="0" w:type="dxa"/>
            <w:vAlign w:val="bottom"/>
          </w:tcPr>
          <w:p>
            <w:pPr>
              <w:spacing w:after="0"/>
              <w:rPr>
                <w:sz w:val="1"/>
                <w:szCs w:val="1"/>
                <w:color w:val="auto"/>
              </w:rPr>
            </w:pPr>
          </w:p>
        </w:tc>
      </w:tr>
      <w:tr>
        <w:trPr>
          <w:trHeight w:val="20"/>
        </w:trPr>
        <w:tc>
          <w:tcPr>
            <w:tcW w:w="2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3040" w:type="dxa"/>
            <w:vAlign w:val="bottom"/>
            <w:gridSpan w:val="2"/>
          </w:tcPr>
          <w:p>
            <w:pPr>
              <w:jc w:val="right"/>
              <w:ind w:right="1220"/>
              <w:spacing w:after="0"/>
              <w:rPr>
                <w:sz w:val="20"/>
                <w:szCs w:val="20"/>
                <w:color w:val="auto"/>
              </w:rPr>
            </w:pPr>
            <w:r>
              <w:rPr>
                <w:rFonts w:ascii="Times New Roman" w:cs="Times New Roman" w:eastAsia="Times New Roman" w:hAnsi="Times New Roman"/>
                <w:sz w:val="13"/>
                <w:szCs w:val="13"/>
                <w:color w:val="auto"/>
              </w:rPr>
              <w:t>Current period gross charge-offs</w:t>
            </w:r>
          </w:p>
        </w:tc>
        <w:tc>
          <w:tcPr>
            <w:tcW w:w="180" w:type="dxa"/>
            <w:vAlign w:val="bottom"/>
          </w:tcPr>
          <w:p>
            <w:pPr>
              <w:jc w:val="right"/>
              <w:ind w:right="35"/>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141</w:t>
            </w:r>
          </w:p>
        </w:tc>
        <w:tc>
          <w:tcPr>
            <w:tcW w:w="100" w:type="dxa"/>
            <w:vAlign w:val="bottom"/>
          </w:tcPr>
          <w:p>
            <w:pPr>
              <w:spacing w:after="0"/>
              <w:rPr>
                <w:sz w:val="13"/>
                <w:szCs w:val="13"/>
                <w:color w:val="auto"/>
              </w:rPr>
            </w:pPr>
          </w:p>
        </w:tc>
        <w:tc>
          <w:tcPr>
            <w:tcW w:w="180" w:type="dxa"/>
            <w:vAlign w:val="bottom"/>
          </w:tcPr>
          <w:p>
            <w:pPr>
              <w:jc w:val="right"/>
              <w:ind w:right="35"/>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2,695</w:t>
            </w:r>
          </w:p>
        </w:tc>
        <w:tc>
          <w:tcPr>
            <w:tcW w:w="280" w:type="dxa"/>
            <w:vAlign w:val="bottom"/>
            <w:gridSpan w:val="2"/>
          </w:tcPr>
          <w:p>
            <w:pPr>
              <w:jc w:val="right"/>
              <w:ind w:right="35"/>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5,739</w:t>
            </w:r>
          </w:p>
        </w:tc>
        <w:tc>
          <w:tcPr>
            <w:tcW w:w="100" w:type="dxa"/>
            <w:vAlign w:val="bottom"/>
          </w:tcPr>
          <w:p>
            <w:pPr>
              <w:spacing w:after="0"/>
              <w:rPr>
                <w:sz w:val="13"/>
                <w:szCs w:val="13"/>
                <w:color w:val="auto"/>
              </w:rPr>
            </w:pPr>
          </w:p>
        </w:tc>
        <w:tc>
          <w:tcPr>
            <w:tcW w:w="180" w:type="dxa"/>
            <w:vAlign w:val="bottom"/>
          </w:tcPr>
          <w:p>
            <w:pPr>
              <w:jc w:val="right"/>
              <w:ind w:right="35"/>
              <w:spacing w:after="0"/>
              <w:rPr>
                <w:sz w:val="20"/>
                <w:szCs w:val="20"/>
                <w:color w:val="auto"/>
              </w:rPr>
            </w:pPr>
            <w:r>
              <w:rPr>
                <w:rFonts w:ascii="Times New Roman" w:cs="Times New Roman" w:eastAsia="Times New Roman" w:hAnsi="Times New Roman"/>
                <w:sz w:val="13"/>
                <w:szCs w:val="13"/>
                <w:color w:val="auto"/>
                <w:w w:val="91"/>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7,724</w:t>
            </w:r>
          </w:p>
        </w:tc>
        <w:tc>
          <w:tcPr>
            <w:tcW w:w="120" w:type="dxa"/>
            <w:vAlign w:val="bottom"/>
          </w:tcPr>
          <w:p>
            <w:pPr>
              <w:spacing w:after="0"/>
              <w:rPr>
                <w:sz w:val="13"/>
                <w:szCs w:val="13"/>
                <w:color w:val="auto"/>
              </w:rPr>
            </w:pPr>
          </w:p>
        </w:tc>
        <w:tc>
          <w:tcPr>
            <w:tcW w:w="180" w:type="dxa"/>
            <w:vAlign w:val="bottom"/>
          </w:tcPr>
          <w:p>
            <w:pPr>
              <w:jc w:val="right"/>
              <w:ind w:right="35"/>
              <w:spacing w:after="0"/>
              <w:rPr>
                <w:sz w:val="20"/>
                <w:szCs w:val="20"/>
                <w:color w:val="auto"/>
              </w:rPr>
            </w:pPr>
            <w:r>
              <w:rPr>
                <w:rFonts w:ascii="Times New Roman" w:cs="Times New Roman" w:eastAsia="Times New Roman" w:hAnsi="Times New Roman"/>
                <w:sz w:val="13"/>
                <w:szCs w:val="13"/>
                <w:color w:val="auto"/>
                <w:w w:val="91"/>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2,005</w:t>
            </w:r>
          </w:p>
        </w:tc>
        <w:tc>
          <w:tcPr>
            <w:tcW w:w="120" w:type="dxa"/>
            <w:vAlign w:val="bottom"/>
          </w:tcPr>
          <w:p>
            <w:pPr>
              <w:spacing w:after="0"/>
              <w:rPr>
                <w:sz w:val="13"/>
                <w:szCs w:val="13"/>
                <w:color w:val="auto"/>
              </w:rPr>
            </w:pPr>
          </w:p>
        </w:tc>
        <w:tc>
          <w:tcPr>
            <w:tcW w:w="160" w:type="dxa"/>
            <w:vAlign w:val="bottom"/>
          </w:tcPr>
          <w:p>
            <w:pPr>
              <w:jc w:val="right"/>
              <w:ind w:right="15"/>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506</w:t>
            </w:r>
          </w:p>
        </w:tc>
        <w:tc>
          <w:tcPr>
            <w:tcW w:w="100" w:type="dxa"/>
            <w:vAlign w:val="bottom"/>
          </w:tcPr>
          <w:p>
            <w:pPr>
              <w:spacing w:after="0"/>
              <w:rPr>
                <w:sz w:val="13"/>
                <w:szCs w:val="13"/>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jc w:val="right"/>
              <w:ind w:right="15"/>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18,810</w:t>
            </w:r>
          </w:p>
        </w:tc>
        <w:tc>
          <w:tcPr>
            <w:tcW w:w="0" w:type="dxa"/>
            <w:vAlign w:val="bottom"/>
          </w:tcPr>
          <w:p>
            <w:pPr>
              <w:spacing w:after="0"/>
              <w:rPr>
                <w:sz w:val="1"/>
                <w:szCs w:val="1"/>
                <w:color w:val="auto"/>
              </w:rPr>
            </w:pPr>
          </w:p>
        </w:tc>
      </w:tr>
      <w:tr>
        <w:trPr>
          <w:trHeight w:val="197"/>
        </w:trPr>
        <w:tc>
          <w:tcPr>
            <w:tcW w:w="30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Residential mortgage</w:t>
            </w: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3040" w:type="dxa"/>
            <w:vAlign w:val="bottom"/>
            <w:gridSpan w:val="2"/>
          </w:tcPr>
          <w:p>
            <w:pPr>
              <w:ind w:left="140"/>
              <w:spacing w:after="0"/>
              <w:rPr>
                <w:sz w:val="20"/>
                <w:szCs w:val="20"/>
                <w:color w:val="auto"/>
              </w:rPr>
            </w:pPr>
            <w:r>
              <w:rPr>
                <w:rFonts w:ascii="Times New Roman" w:cs="Times New Roman" w:eastAsia="Times New Roman" w:hAnsi="Times New Roman"/>
                <w:sz w:val="13"/>
                <w:szCs w:val="13"/>
                <w:color w:val="auto"/>
              </w:rPr>
              <w:t>Pass</w:t>
            </w:r>
          </w:p>
        </w:tc>
        <w:tc>
          <w:tcPr>
            <w:tcW w:w="180" w:type="dxa"/>
            <w:vAlign w:val="bottom"/>
          </w:tcPr>
          <w:p>
            <w:pPr>
              <w:jc w:val="right"/>
              <w:ind w:right="35"/>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165,117</w:t>
            </w:r>
          </w:p>
        </w:tc>
        <w:tc>
          <w:tcPr>
            <w:tcW w:w="100" w:type="dxa"/>
            <w:vAlign w:val="bottom"/>
          </w:tcPr>
          <w:p>
            <w:pPr>
              <w:spacing w:after="0"/>
              <w:rPr>
                <w:sz w:val="15"/>
                <w:szCs w:val="15"/>
                <w:color w:val="auto"/>
              </w:rPr>
            </w:pPr>
          </w:p>
        </w:tc>
        <w:tc>
          <w:tcPr>
            <w:tcW w:w="180" w:type="dxa"/>
            <w:vAlign w:val="bottom"/>
          </w:tcPr>
          <w:p>
            <w:pPr>
              <w:jc w:val="right"/>
              <w:ind w:right="35"/>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115,280</w:t>
            </w:r>
          </w:p>
        </w:tc>
        <w:tc>
          <w:tcPr>
            <w:tcW w:w="280" w:type="dxa"/>
            <w:vAlign w:val="bottom"/>
            <w:gridSpan w:val="2"/>
          </w:tcPr>
          <w:p>
            <w:pPr>
              <w:jc w:val="right"/>
              <w:ind w:right="35"/>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320,497</w:t>
            </w:r>
          </w:p>
        </w:tc>
        <w:tc>
          <w:tcPr>
            <w:tcW w:w="100" w:type="dxa"/>
            <w:vAlign w:val="bottom"/>
          </w:tcPr>
          <w:p>
            <w:pPr>
              <w:spacing w:after="0"/>
              <w:rPr>
                <w:sz w:val="15"/>
                <w:szCs w:val="15"/>
                <w:color w:val="auto"/>
              </w:rPr>
            </w:pPr>
          </w:p>
        </w:tc>
        <w:tc>
          <w:tcPr>
            <w:tcW w:w="180" w:type="dxa"/>
            <w:vAlign w:val="bottom"/>
          </w:tcPr>
          <w:p>
            <w:pPr>
              <w:jc w:val="right"/>
              <w:ind w:right="35"/>
              <w:spacing w:after="0"/>
              <w:rPr>
                <w:sz w:val="20"/>
                <w:szCs w:val="20"/>
                <w:color w:val="auto"/>
              </w:rPr>
            </w:pPr>
            <w:r>
              <w:rPr>
                <w:rFonts w:ascii="Times New Roman" w:cs="Times New Roman" w:eastAsia="Times New Roman" w:hAnsi="Times New Roman"/>
                <w:sz w:val="13"/>
                <w:szCs w:val="13"/>
                <w:color w:val="auto"/>
                <w:w w:val="91"/>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946,069</w:t>
            </w:r>
          </w:p>
        </w:tc>
        <w:tc>
          <w:tcPr>
            <w:tcW w:w="120" w:type="dxa"/>
            <w:vAlign w:val="bottom"/>
          </w:tcPr>
          <w:p>
            <w:pPr>
              <w:spacing w:after="0"/>
              <w:rPr>
                <w:sz w:val="15"/>
                <w:szCs w:val="15"/>
                <w:color w:val="auto"/>
              </w:rPr>
            </w:pPr>
          </w:p>
        </w:tc>
        <w:tc>
          <w:tcPr>
            <w:tcW w:w="180" w:type="dxa"/>
            <w:vAlign w:val="bottom"/>
          </w:tcPr>
          <w:p>
            <w:pPr>
              <w:jc w:val="right"/>
              <w:ind w:right="35"/>
              <w:spacing w:after="0"/>
              <w:rPr>
                <w:sz w:val="20"/>
                <w:szCs w:val="20"/>
                <w:color w:val="auto"/>
              </w:rPr>
            </w:pPr>
            <w:r>
              <w:rPr>
                <w:rFonts w:ascii="Times New Roman" w:cs="Times New Roman" w:eastAsia="Times New Roman" w:hAnsi="Times New Roman"/>
                <w:sz w:val="13"/>
                <w:szCs w:val="13"/>
                <w:color w:val="auto"/>
                <w:w w:val="91"/>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929,101</w:t>
            </w:r>
          </w:p>
        </w:tc>
        <w:tc>
          <w:tcPr>
            <w:tcW w:w="120" w:type="dxa"/>
            <w:vAlign w:val="bottom"/>
          </w:tcPr>
          <w:p>
            <w:pPr>
              <w:spacing w:after="0"/>
              <w:rPr>
                <w:sz w:val="15"/>
                <w:szCs w:val="15"/>
                <w:color w:val="auto"/>
              </w:rPr>
            </w:pPr>
          </w:p>
        </w:tc>
        <w:tc>
          <w:tcPr>
            <w:tcW w:w="160" w:type="dxa"/>
            <w:vAlign w:val="bottom"/>
          </w:tcPr>
          <w:p>
            <w:pPr>
              <w:jc w:val="right"/>
              <w:ind w:right="15"/>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685,317</w:t>
            </w:r>
          </w:p>
        </w:tc>
        <w:tc>
          <w:tcPr>
            <w:tcW w:w="10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2,589</w:t>
            </w:r>
          </w:p>
        </w:tc>
        <w:tc>
          <w:tcPr>
            <w:tcW w:w="120" w:type="dxa"/>
            <w:vAlign w:val="bottom"/>
          </w:tcPr>
          <w:p>
            <w:pPr>
              <w:spacing w:after="0"/>
              <w:rPr>
                <w:sz w:val="15"/>
                <w:szCs w:val="15"/>
                <w:color w:val="auto"/>
              </w:rPr>
            </w:pPr>
          </w:p>
        </w:tc>
        <w:tc>
          <w:tcPr>
            <w:tcW w:w="160" w:type="dxa"/>
            <w:vAlign w:val="bottom"/>
          </w:tcPr>
          <w:p>
            <w:pPr>
              <w:jc w:val="right"/>
              <w:ind w:right="15"/>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3,163,970</w:t>
            </w:r>
          </w:p>
        </w:tc>
        <w:tc>
          <w:tcPr>
            <w:tcW w:w="0" w:type="dxa"/>
            <w:vAlign w:val="bottom"/>
          </w:tcPr>
          <w:p>
            <w:pPr>
              <w:spacing w:after="0"/>
              <w:rPr>
                <w:sz w:val="1"/>
                <w:szCs w:val="1"/>
                <w:color w:val="auto"/>
              </w:rPr>
            </w:pPr>
          </w:p>
        </w:tc>
      </w:tr>
      <w:tr>
        <w:trPr>
          <w:trHeight w:val="190"/>
        </w:trPr>
        <w:tc>
          <w:tcPr>
            <w:tcW w:w="30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Substandard</w:t>
            </w:r>
          </w:p>
        </w:tc>
        <w:tc>
          <w:tcPr>
            <w:tcW w:w="180" w:type="dxa"/>
            <w:vAlign w:val="bottom"/>
            <w:tcBorders>
              <w:bottom w:val="single" w:sz="8" w:color="auto"/>
            </w:tcBorders>
            <w:shd w:val="clear" w:color="auto" w:fill="CCEEFF"/>
          </w:tcPr>
          <w:p>
            <w:pPr>
              <w:spacing w:after="0"/>
              <w:rPr>
                <w:sz w:val="16"/>
                <w:szCs w:val="16"/>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2,704</w:t>
            </w:r>
          </w:p>
        </w:tc>
        <w:tc>
          <w:tcPr>
            <w:tcW w:w="10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5,525</w:t>
            </w:r>
          </w:p>
        </w:tc>
        <w:tc>
          <w:tcPr>
            <w:tcW w:w="10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10,767</w:t>
            </w:r>
          </w:p>
        </w:tc>
        <w:tc>
          <w:tcPr>
            <w:tcW w:w="12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3,937</w:t>
            </w:r>
          </w:p>
        </w:tc>
        <w:tc>
          <w:tcPr>
            <w:tcW w:w="12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10,875</w:t>
            </w:r>
          </w:p>
        </w:tc>
        <w:tc>
          <w:tcPr>
            <w:tcW w:w="10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79</w:t>
            </w:r>
          </w:p>
        </w:tc>
        <w:tc>
          <w:tcPr>
            <w:tcW w:w="12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33,887</w:t>
            </w:r>
          </w:p>
        </w:tc>
        <w:tc>
          <w:tcPr>
            <w:tcW w:w="0" w:type="dxa"/>
            <w:vAlign w:val="bottom"/>
          </w:tcPr>
          <w:p>
            <w:pPr>
              <w:spacing w:after="0"/>
              <w:rPr>
                <w:sz w:val="1"/>
                <w:szCs w:val="1"/>
                <w:color w:val="auto"/>
              </w:rPr>
            </w:pPr>
          </w:p>
        </w:tc>
      </w:tr>
      <w:tr>
        <w:trPr>
          <w:trHeight w:val="189"/>
        </w:trPr>
        <w:tc>
          <w:tcPr>
            <w:tcW w:w="3040" w:type="dxa"/>
            <w:vAlign w:val="bottom"/>
            <w:gridSpan w:val="2"/>
          </w:tcPr>
          <w:p>
            <w:pPr>
              <w:ind w:left="220"/>
              <w:spacing w:after="0"/>
              <w:rPr>
                <w:sz w:val="20"/>
                <w:szCs w:val="20"/>
                <w:color w:val="auto"/>
              </w:rPr>
            </w:pPr>
            <w:r>
              <w:rPr>
                <w:rFonts w:ascii="Times New Roman" w:cs="Times New Roman" w:eastAsia="Times New Roman" w:hAnsi="Times New Roman"/>
                <w:sz w:val="13"/>
                <w:szCs w:val="13"/>
                <w:color w:val="auto"/>
              </w:rPr>
              <w:t>Total residential mortgage</w:t>
            </w:r>
          </w:p>
        </w:tc>
        <w:tc>
          <w:tcPr>
            <w:tcW w:w="180" w:type="dxa"/>
            <w:vAlign w:val="bottom"/>
          </w:tcPr>
          <w:p>
            <w:pPr>
              <w:jc w:val="right"/>
              <w:ind w:right="35"/>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165,117</w:t>
            </w:r>
          </w:p>
        </w:tc>
        <w:tc>
          <w:tcPr>
            <w:tcW w:w="100" w:type="dxa"/>
            <w:vAlign w:val="bottom"/>
          </w:tcPr>
          <w:p>
            <w:pPr>
              <w:spacing w:after="0"/>
              <w:rPr>
                <w:sz w:val="16"/>
                <w:szCs w:val="16"/>
                <w:color w:val="auto"/>
              </w:rPr>
            </w:pPr>
          </w:p>
        </w:tc>
        <w:tc>
          <w:tcPr>
            <w:tcW w:w="180" w:type="dxa"/>
            <w:vAlign w:val="bottom"/>
          </w:tcPr>
          <w:p>
            <w:pPr>
              <w:jc w:val="right"/>
              <w:ind w:right="35"/>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117,984</w:t>
            </w:r>
          </w:p>
        </w:tc>
        <w:tc>
          <w:tcPr>
            <w:tcW w:w="280" w:type="dxa"/>
            <w:vAlign w:val="bottom"/>
            <w:gridSpan w:val="2"/>
          </w:tcPr>
          <w:p>
            <w:pPr>
              <w:jc w:val="right"/>
              <w:ind w:right="35"/>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326,022</w:t>
            </w:r>
          </w:p>
        </w:tc>
        <w:tc>
          <w:tcPr>
            <w:tcW w:w="100" w:type="dxa"/>
            <w:vAlign w:val="bottom"/>
          </w:tcPr>
          <w:p>
            <w:pPr>
              <w:spacing w:after="0"/>
              <w:rPr>
                <w:sz w:val="16"/>
                <w:szCs w:val="16"/>
                <w:color w:val="auto"/>
              </w:rPr>
            </w:pPr>
          </w:p>
        </w:tc>
        <w:tc>
          <w:tcPr>
            <w:tcW w:w="180" w:type="dxa"/>
            <w:vAlign w:val="bottom"/>
          </w:tcPr>
          <w:p>
            <w:pPr>
              <w:jc w:val="right"/>
              <w:ind w:right="35"/>
              <w:spacing w:after="0"/>
              <w:rPr>
                <w:sz w:val="20"/>
                <w:szCs w:val="20"/>
                <w:color w:val="auto"/>
              </w:rPr>
            </w:pPr>
            <w:r>
              <w:rPr>
                <w:rFonts w:ascii="Times New Roman" w:cs="Times New Roman" w:eastAsia="Times New Roman" w:hAnsi="Times New Roman"/>
                <w:sz w:val="13"/>
                <w:szCs w:val="13"/>
                <w:color w:val="auto"/>
                <w:w w:val="91"/>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956,836</w:t>
            </w:r>
          </w:p>
        </w:tc>
        <w:tc>
          <w:tcPr>
            <w:tcW w:w="120" w:type="dxa"/>
            <w:vAlign w:val="bottom"/>
          </w:tcPr>
          <w:p>
            <w:pPr>
              <w:spacing w:after="0"/>
              <w:rPr>
                <w:sz w:val="16"/>
                <w:szCs w:val="16"/>
                <w:color w:val="auto"/>
              </w:rPr>
            </w:pPr>
          </w:p>
        </w:tc>
        <w:tc>
          <w:tcPr>
            <w:tcW w:w="180" w:type="dxa"/>
            <w:vAlign w:val="bottom"/>
          </w:tcPr>
          <w:p>
            <w:pPr>
              <w:jc w:val="right"/>
              <w:ind w:right="35"/>
              <w:spacing w:after="0"/>
              <w:rPr>
                <w:sz w:val="20"/>
                <w:szCs w:val="20"/>
                <w:color w:val="auto"/>
              </w:rPr>
            </w:pPr>
            <w:r>
              <w:rPr>
                <w:rFonts w:ascii="Times New Roman" w:cs="Times New Roman" w:eastAsia="Times New Roman" w:hAnsi="Times New Roman"/>
                <w:sz w:val="13"/>
                <w:szCs w:val="13"/>
                <w:color w:val="auto"/>
                <w:w w:val="91"/>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933,038</w:t>
            </w:r>
          </w:p>
        </w:tc>
        <w:tc>
          <w:tcPr>
            <w:tcW w:w="120" w:type="dxa"/>
            <w:vAlign w:val="bottom"/>
          </w:tcPr>
          <w:p>
            <w:pPr>
              <w:spacing w:after="0"/>
              <w:rPr>
                <w:sz w:val="16"/>
                <w:szCs w:val="16"/>
                <w:color w:val="auto"/>
              </w:rPr>
            </w:pPr>
          </w:p>
        </w:tc>
        <w:tc>
          <w:tcPr>
            <w:tcW w:w="160" w:type="dxa"/>
            <w:vAlign w:val="bottom"/>
          </w:tcPr>
          <w:p>
            <w:pPr>
              <w:jc w:val="right"/>
              <w:ind w:right="15"/>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696,192</w:t>
            </w:r>
          </w:p>
        </w:tc>
        <w:tc>
          <w:tcPr>
            <w:tcW w:w="10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2,668</w:t>
            </w:r>
          </w:p>
        </w:tc>
        <w:tc>
          <w:tcPr>
            <w:tcW w:w="120" w:type="dxa"/>
            <w:vAlign w:val="bottom"/>
          </w:tcPr>
          <w:p>
            <w:pPr>
              <w:spacing w:after="0"/>
              <w:rPr>
                <w:sz w:val="16"/>
                <w:szCs w:val="16"/>
                <w:color w:val="auto"/>
              </w:rPr>
            </w:pPr>
          </w:p>
        </w:tc>
        <w:tc>
          <w:tcPr>
            <w:tcW w:w="160" w:type="dxa"/>
            <w:vAlign w:val="bottom"/>
          </w:tcPr>
          <w:p>
            <w:pPr>
              <w:jc w:val="right"/>
              <w:ind w:right="15"/>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3,197,857</w:t>
            </w:r>
          </w:p>
        </w:tc>
        <w:tc>
          <w:tcPr>
            <w:tcW w:w="0" w:type="dxa"/>
            <w:vAlign w:val="bottom"/>
          </w:tcPr>
          <w:p>
            <w:pPr>
              <w:spacing w:after="0"/>
              <w:rPr>
                <w:sz w:val="1"/>
                <w:szCs w:val="1"/>
                <w:color w:val="auto"/>
              </w:rPr>
            </w:pPr>
          </w:p>
        </w:tc>
      </w:tr>
      <w:tr>
        <w:trPr>
          <w:trHeight w:val="20"/>
        </w:trPr>
        <w:tc>
          <w:tcPr>
            <w:tcW w:w="29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3040" w:type="dxa"/>
            <w:vAlign w:val="bottom"/>
            <w:gridSpan w:val="2"/>
            <w:shd w:val="clear" w:color="auto" w:fill="CCEEFF"/>
          </w:tcPr>
          <w:p>
            <w:pPr>
              <w:jc w:val="right"/>
              <w:ind w:right="1220"/>
              <w:spacing w:after="0"/>
              <w:rPr>
                <w:sz w:val="20"/>
                <w:szCs w:val="20"/>
                <w:color w:val="auto"/>
              </w:rPr>
            </w:pPr>
            <w:r>
              <w:rPr>
                <w:rFonts w:ascii="Times New Roman" w:cs="Times New Roman" w:eastAsia="Times New Roman" w:hAnsi="Times New Roman"/>
                <w:sz w:val="13"/>
                <w:szCs w:val="13"/>
                <w:color w:val="auto"/>
              </w:rPr>
              <w:t>Current period gross charge-offs</w:t>
            </w:r>
          </w:p>
        </w:tc>
        <w:tc>
          <w:tcPr>
            <w:tcW w:w="18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w:t>
            </w:r>
          </w:p>
        </w:tc>
        <w:tc>
          <w:tcPr>
            <w:tcW w:w="280" w:type="dxa"/>
            <w:vAlign w:val="bottom"/>
            <w:gridSpan w:val="2"/>
            <w:shd w:val="clear" w:color="auto" w:fill="CCEEFF"/>
          </w:tcPr>
          <w:p>
            <w:pPr>
              <w:jc w:val="right"/>
              <w:ind w:right="35"/>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373</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3"/>
                <w:szCs w:val="13"/>
                <w:color w:val="auto"/>
                <w:w w:val="91"/>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76</w:t>
            </w: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w:t>
            </w: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458</w:t>
            </w:r>
          </w:p>
        </w:tc>
        <w:tc>
          <w:tcPr>
            <w:tcW w:w="0" w:type="dxa"/>
            <w:vAlign w:val="bottom"/>
          </w:tcPr>
          <w:p>
            <w:pPr>
              <w:spacing w:after="0"/>
              <w:rPr>
                <w:sz w:val="1"/>
                <w:szCs w:val="1"/>
                <w:color w:val="auto"/>
              </w:rPr>
            </w:pPr>
          </w:p>
        </w:tc>
      </w:tr>
      <w:tr>
        <w:trPr>
          <w:trHeight w:val="181"/>
        </w:trPr>
        <w:tc>
          <w:tcPr>
            <w:tcW w:w="304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Home equity</w:t>
            </w:r>
          </w:p>
        </w:tc>
        <w:tc>
          <w:tcPr>
            <w:tcW w:w="1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7"/>
        </w:trPr>
        <w:tc>
          <w:tcPr>
            <w:tcW w:w="30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Pass</w:t>
            </w:r>
          </w:p>
        </w:tc>
        <w:tc>
          <w:tcPr>
            <w:tcW w:w="18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gridSpan w:val="2"/>
            <w:shd w:val="clear" w:color="auto" w:fill="CCEEFF"/>
          </w:tcPr>
          <w:p>
            <w:pPr>
              <w:jc w:val="right"/>
              <w:ind w:right="35"/>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1,213,079</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33,048</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1,246,127</w:t>
            </w:r>
          </w:p>
        </w:tc>
        <w:tc>
          <w:tcPr>
            <w:tcW w:w="0" w:type="dxa"/>
            <w:vAlign w:val="bottom"/>
          </w:tcPr>
          <w:p>
            <w:pPr>
              <w:spacing w:after="0"/>
              <w:rPr>
                <w:sz w:val="1"/>
                <w:szCs w:val="1"/>
                <w:color w:val="auto"/>
              </w:rPr>
            </w:pPr>
          </w:p>
        </w:tc>
      </w:tr>
      <w:tr>
        <w:trPr>
          <w:trHeight w:val="183"/>
        </w:trPr>
        <w:tc>
          <w:tcPr>
            <w:tcW w:w="3040" w:type="dxa"/>
            <w:vAlign w:val="bottom"/>
            <w:tcBorders>
              <w:bottom w:val="single" w:sz="8" w:color="CCEEFF"/>
            </w:tcBorders>
            <w:gridSpan w:val="2"/>
          </w:tcPr>
          <w:p>
            <w:pPr>
              <w:ind w:left="140"/>
              <w:spacing w:after="0"/>
              <w:rPr>
                <w:sz w:val="20"/>
                <w:szCs w:val="20"/>
                <w:color w:val="auto"/>
              </w:rPr>
            </w:pPr>
            <w:r>
              <w:rPr>
                <w:rFonts w:ascii="Times New Roman" w:cs="Times New Roman" w:eastAsia="Times New Roman" w:hAnsi="Times New Roman"/>
                <w:sz w:val="13"/>
                <w:szCs w:val="13"/>
                <w:color w:val="auto"/>
              </w:rPr>
              <w:t>Substandard</w:t>
            </w:r>
          </w:p>
        </w:tc>
        <w:tc>
          <w:tcPr>
            <w:tcW w:w="18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5,960</w:t>
            </w:r>
          </w:p>
        </w:tc>
        <w:tc>
          <w:tcPr>
            <w:tcW w:w="12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5,960</w:t>
            </w:r>
          </w:p>
        </w:tc>
        <w:tc>
          <w:tcPr>
            <w:tcW w:w="0" w:type="dxa"/>
            <w:vAlign w:val="bottom"/>
          </w:tcPr>
          <w:p>
            <w:pPr>
              <w:spacing w:after="0"/>
              <w:rPr>
                <w:sz w:val="1"/>
                <w:szCs w:val="1"/>
                <w:color w:val="auto"/>
              </w:rPr>
            </w:pPr>
          </w:p>
        </w:tc>
      </w:tr>
      <w:tr>
        <w:trPr>
          <w:trHeight w:val="209"/>
        </w:trPr>
        <w:tc>
          <w:tcPr>
            <w:tcW w:w="3040" w:type="dxa"/>
            <w:vAlign w:val="bottom"/>
            <w:tcBorders>
              <w:bottom w:val="single" w:sz="8" w:color="CCEEFF"/>
            </w:tcBorders>
            <w:gridSpan w:val="2"/>
            <w:shd w:val="clear" w:color="auto" w:fill="CCEEFF"/>
          </w:tcPr>
          <w:p>
            <w:pPr>
              <w:ind w:left="220"/>
              <w:spacing w:after="0"/>
              <w:rPr>
                <w:sz w:val="20"/>
                <w:szCs w:val="20"/>
                <w:color w:val="auto"/>
              </w:rPr>
            </w:pPr>
            <w:r>
              <w:rPr>
                <w:rFonts w:ascii="Times New Roman" w:cs="Times New Roman" w:eastAsia="Times New Roman" w:hAnsi="Times New Roman"/>
                <w:sz w:val="13"/>
                <w:szCs w:val="13"/>
                <w:color w:val="auto"/>
              </w:rPr>
              <w:t>Total home equity</w:t>
            </w:r>
          </w:p>
        </w:tc>
        <w:tc>
          <w:tcPr>
            <w:tcW w:w="180" w:type="dxa"/>
            <w:vAlign w:val="bottom"/>
            <w:tcBorders>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3"/>
                <w:szCs w:val="13"/>
                <w:color w:val="auto"/>
                <w:w w:val="91"/>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3"/>
                <w:szCs w:val="13"/>
                <w:color w:val="auto"/>
                <w:w w:val="91"/>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1,213,079</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39,008</w:t>
            </w:r>
          </w:p>
        </w:tc>
        <w:tc>
          <w:tcPr>
            <w:tcW w:w="1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1,252,087</w:t>
            </w:r>
          </w:p>
        </w:tc>
        <w:tc>
          <w:tcPr>
            <w:tcW w:w="0" w:type="dxa"/>
            <w:vAlign w:val="bottom"/>
          </w:tcPr>
          <w:p>
            <w:pPr>
              <w:spacing w:after="0"/>
              <w:rPr>
                <w:sz w:val="1"/>
                <w:szCs w:val="1"/>
                <w:color w:val="auto"/>
              </w:rPr>
            </w:pPr>
          </w:p>
        </w:tc>
      </w:tr>
      <w:tr>
        <w:trPr>
          <w:trHeight w:val="20"/>
        </w:trPr>
        <w:tc>
          <w:tcPr>
            <w:tcW w:w="2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3040" w:type="dxa"/>
            <w:vAlign w:val="bottom"/>
            <w:gridSpan w:val="2"/>
          </w:tcPr>
          <w:p>
            <w:pPr>
              <w:jc w:val="right"/>
              <w:ind w:right="1220"/>
              <w:spacing w:after="0"/>
              <w:rPr>
                <w:sz w:val="20"/>
                <w:szCs w:val="20"/>
                <w:color w:val="auto"/>
              </w:rPr>
            </w:pPr>
            <w:r>
              <w:rPr>
                <w:rFonts w:ascii="Times New Roman" w:cs="Times New Roman" w:eastAsia="Times New Roman" w:hAnsi="Times New Roman"/>
                <w:sz w:val="13"/>
                <w:szCs w:val="13"/>
                <w:color w:val="auto"/>
              </w:rPr>
              <w:t>Current period gross charge-offs</w:t>
            </w:r>
          </w:p>
        </w:tc>
        <w:tc>
          <w:tcPr>
            <w:tcW w:w="180" w:type="dxa"/>
            <w:vAlign w:val="bottom"/>
          </w:tcPr>
          <w:p>
            <w:pPr>
              <w:jc w:val="right"/>
              <w:ind w:right="35"/>
              <w:spacing w:after="0"/>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jc w:val="right"/>
              <w:ind w:right="35"/>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gridSpan w:val="2"/>
          </w:tcPr>
          <w:p>
            <w:pPr>
              <w:jc w:val="right"/>
              <w:ind w:right="35"/>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jc w:val="right"/>
              <w:ind w:right="35"/>
              <w:spacing w:after="0"/>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jc w:val="right"/>
              <w:ind w:right="35"/>
              <w:spacing w:after="0"/>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jc w:val="right"/>
              <w:ind w:right="15"/>
              <w:spacing w:after="0"/>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169</w:t>
            </w:r>
          </w:p>
        </w:tc>
        <w:tc>
          <w:tcPr>
            <w:tcW w:w="120" w:type="dxa"/>
            <w:vAlign w:val="bottom"/>
          </w:tcPr>
          <w:p>
            <w:pPr>
              <w:spacing w:after="0"/>
              <w:rPr>
                <w:sz w:val="13"/>
                <w:szCs w:val="13"/>
                <w:color w:val="auto"/>
              </w:rPr>
            </w:pPr>
          </w:p>
        </w:tc>
        <w:tc>
          <w:tcPr>
            <w:tcW w:w="160" w:type="dxa"/>
            <w:vAlign w:val="bottom"/>
          </w:tcPr>
          <w:p>
            <w:pPr>
              <w:jc w:val="right"/>
              <w:ind w:right="15"/>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169</w:t>
            </w:r>
          </w:p>
        </w:tc>
        <w:tc>
          <w:tcPr>
            <w:tcW w:w="0" w:type="dxa"/>
            <w:vAlign w:val="bottom"/>
          </w:tcPr>
          <w:p>
            <w:pPr>
              <w:spacing w:after="0"/>
              <w:rPr>
                <w:sz w:val="1"/>
                <w:szCs w:val="1"/>
                <w:color w:val="auto"/>
              </w:rPr>
            </w:pPr>
          </w:p>
        </w:tc>
      </w:tr>
      <w:tr>
        <w:trPr>
          <w:trHeight w:val="197"/>
        </w:trPr>
        <w:tc>
          <w:tcPr>
            <w:tcW w:w="30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Residential construction</w:t>
            </w: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3040" w:type="dxa"/>
            <w:vAlign w:val="bottom"/>
            <w:gridSpan w:val="2"/>
          </w:tcPr>
          <w:p>
            <w:pPr>
              <w:ind w:left="140"/>
              <w:spacing w:after="0"/>
              <w:rPr>
                <w:sz w:val="20"/>
                <w:szCs w:val="20"/>
                <w:color w:val="auto"/>
              </w:rPr>
            </w:pPr>
            <w:r>
              <w:rPr>
                <w:rFonts w:ascii="Times New Roman" w:cs="Times New Roman" w:eastAsia="Times New Roman" w:hAnsi="Times New Roman"/>
                <w:sz w:val="13"/>
                <w:szCs w:val="13"/>
                <w:color w:val="auto"/>
              </w:rPr>
              <w:t>Pass</w:t>
            </w:r>
          </w:p>
        </w:tc>
        <w:tc>
          <w:tcPr>
            <w:tcW w:w="180" w:type="dxa"/>
            <w:vAlign w:val="bottom"/>
          </w:tcPr>
          <w:p>
            <w:pPr>
              <w:jc w:val="right"/>
              <w:ind w:right="35"/>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64,643</w:t>
            </w:r>
          </w:p>
        </w:tc>
        <w:tc>
          <w:tcPr>
            <w:tcW w:w="100" w:type="dxa"/>
            <w:vAlign w:val="bottom"/>
          </w:tcPr>
          <w:p>
            <w:pPr>
              <w:spacing w:after="0"/>
              <w:rPr>
                <w:sz w:val="15"/>
                <w:szCs w:val="15"/>
                <w:color w:val="auto"/>
              </w:rPr>
            </w:pPr>
          </w:p>
        </w:tc>
        <w:tc>
          <w:tcPr>
            <w:tcW w:w="180" w:type="dxa"/>
            <w:vAlign w:val="bottom"/>
          </w:tcPr>
          <w:p>
            <w:pPr>
              <w:jc w:val="right"/>
              <w:ind w:right="35"/>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72,871</w:t>
            </w:r>
          </w:p>
        </w:tc>
        <w:tc>
          <w:tcPr>
            <w:tcW w:w="280" w:type="dxa"/>
            <w:vAlign w:val="bottom"/>
            <w:gridSpan w:val="2"/>
          </w:tcPr>
          <w:p>
            <w:pPr>
              <w:jc w:val="right"/>
              <w:ind w:right="35"/>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15,611</w:t>
            </w:r>
          </w:p>
        </w:tc>
        <w:tc>
          <w:tcPr>
            <w:tcW w:w="100" w:type="dxa"/>
            <w:vAlign w:val="bottom"/>
          </w:tcPr>
          <w:p>
            <w:pPr>
              <w:spacing w:after="0"/>
              <w:rPr>
                <w:sz w:val="15"/>
                <w:szCs w:val="15"/>
                <w:color w:val="auto"/>
              </w:rPr>
            </w:pPr>
          </w:p>
        </w:tc>
        <w:tc>
          <w:tcPr>
            <w:tcW w:w="180" w:type="dxa"/>
            <w:vAlign w:val="bottom"/>
          </w:tcPr>
          <w:p>
            <w:pPr>
              <w:jc w:val="right"/>
              <w:ind w:right="35"/>
              <w:spacing w:after="0"/>
              <w:rPr>
                <w:sz w:val="20"/>
                <w:szCs w:val="20"/>
                <w:color w:val="auto"/>
              </w:rPr>
            </w:pPr>
            <w:r>
              <w:rPr>
                <w:rFonts w:ascii="Times New Roman" w:cs="Times New Roman" w:eastAsia="Times New Roman" w:hAnsi="Times New Roman"/>
                <w:sz w:val="13"/>
                <w:szCs w:val="13"/>
                <w:color w:val="auto"/>
                <w:w w:val="91"/>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13,039</w:t>
            </w:r>
          </w:p>
        </w:tc>
        <w:tc>
          <w:tcPr>
            <w:tcW w:w="120" w:type="dxa"/>
            <w:vAlign w:val="bottom"/>
          </w:tcPr>
          <w:p>
            <w:pPr>
              <w:spacing w:after="0"/>
              <w:rPr>
                <w:sz w:val="15"/>
                <w:szCs w:val="15"/>
                <w:color w:val="auto"/>
              </w:rPr>
            </w:pPr>
          </w:p>
        </w:tc>
        <w:tc>
          <w:tcPr>
            <w:tcW w:w="180" w:type="dxa"/>
            <w:vAlign w:val="bottom"/>
          </w:tcPr>
          <w:p>
            <w:pPr>
              <w:jc w:val="right"/>
              <w:ind w:right="35"/>
              <w:spacing w:after="0"/>
              <w:rPr>
                <w:sz w:val="20"/>
                <w:szCs w:val="20"/>
                <w:color w:val="auto"/>
              </w:rPr>
            </w:pPr>
            <w:r>
              <w:rPr>
                <w:rFonts w:ascii="Times New Roman" w:cs="Times New Roman" w:eastAsia="Times New Roman" w:hAnsi="Times New Roman"/>
                <w:sz w:val="13"/>
                <w:szCs w:val="13"/>
                <w:color w:val="auto"/>
                <w:w w:val="91"/>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3,786</w:t>
            </w:r>
          </w:p>
        </w:tc>
        <w:tc>
          <w:tcPr>
            <w:tcW w:w="120" w:type="dxa"/>
            <w:vAlign w:val="bottom"/>
          </w:tcPr>
          <w:p>
            <w:pPr>
              <w:spacing w:after="0"/>
              <w:rPr>
                <w:sz w:val="15"/>
                <w:szCs w:val="15"/>
                <w:color w:val="auto"/>
              </w:rPr>
            </w:pPr>
          </w:p>
        </w:tc>
        <w:tc>
          <w:tcPr>
            <w:tcW w:w="160" w:type="dxa"/>
            <w:vAlign w:val="bottom"/>
          </w:tcPr>
          <w:p>
            <w:pPr>
              <w:jc w:val="right"/>
              <w:ind w:right="15"/>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7,189</w:t>
            </w:r>
          </w:p>
        </w:tc>
        <w:tc>
          <w:tcPr>
            <w:tcW w:w="10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87</w:t>
            </w:r>
          </w:p>
        </w:tc>
        <w:tc>
          <w:tcPr>
            <w:tcW w:w="120" w:type="dxa"/>
            <w:vAlign w:val="bottom"/>
          </w:tcPr>
          <w:p>
            <w:pPr>
              <w:spacing w:after="0"/>
              <w:rPr>
                <w:sz w:val="15"/>
                <w:szCs w:val="15"/>
                <w:color w:val="auto"/>
              </w:rPr>
            </w:pPr>
          </w:p>
        </w:tc>
        <w:tc>
          <w:tcPr>
            <w:tcW w:w="160" w:type="dxa"/>
            <w:vAlign w:val="bottom"/>
          </w:tcPr>
          <w:p>
            <w:pPr>
              <w:jc w:val="right"/>
              <w:ind w:right="15"/>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177,226</w:t>
            </w:r>
          </w:p>
        </w:tc>
        <w:tc>
          <w:tcPr>
            <w:tcW w:w="0" w:type="dxa"/>
            <w:vAlign w:val="bottom"/>
          </w:tcPr>
          <w:p>
            <w:pPr>
              <w:spacing w:after="0"/>
              <w:rPr>
                <w:sz w:val="1"/>
                <w:szCs w:val="1"/>
                <w:color w:val="auto"/>
              </w:rPr>
            </w:pPr>
          </w:p>
        </w:tc>
      </w:tr>
      <w:tr>
        <w:trPr>
          <w:trHeight w:val="191"/>
        </w:trPr>
        <w:tc>
          <w:tcPr>
            <w:tcW w:w="30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Substandard</w:t>
            </w:r>
          </w:p>
        </w:tc>
        <w:tc>
          <w:tcPr>
            <w:tcW w:w="180" w:type="dxa"/>
            <w:vAlign w:val="bottom"/>
            <w:tcBorders>
              <w:bottom w:val="single" w:sz="8" w:color="auto"/>
            </w:tcBorders>
            <w:shd w:val="clear" w:color="auto" w:fill="CCEEFF"/>
          </w:tcPr>
          <w:p>
            <w:pPr>
              <w:spacing w:after="0"/>
              <w:rPr>
                <w:sz w:val="16"/>
                <w:szCs w:val="16"/>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166</w:t>
            </w:r>
          </w:p>
        </w:tc>
        <w:tc>
          <w:tcPr>
            <w:tcW w:w="10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912</w:t>
            </w:r>
          </w:p>
        </w:tc>
        <w:tc>
          <w:tcPr>
            <w:tcW w:w="10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72</w:t>
            </w:r>
          </w:p>
        </w:tc>
        <w:tc>
          <w:tcPr>
            <w:tcW w:w="12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w:t>
            </w:r>
          </w:p>
        </w:tc>
        <w:tc>
          <w:tcPr>
            <w:tcW w:w="12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84</w:t>
            </w:r>
          </w:p>
        </w:tc>
        <w:tc>
          <w:tcPr>
            <w:tcW w:w="10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1,242</w:t>
            </w:r>
          </w:p>
        </w:tc>
        <w:tc>
          <w:tcPr>
            <w:tcW w:w="0" w:type="dxa"/>
            <w:vAlign w:val="bottom"/>
          </w:tcPr>
          <w:p>
            <w:pPr>
              <w:spacing w:after="0"/>
              <w:rPr>
                <w:sz w:val="1"/>
                <w:szCs w:val="1"/>
                <w:color w:val="auto"/>
              </w:rPr>
            </w:pPr>
          </w:p>
        </w:tc>
      </w:tr>
      <w:tr>
        <w:trPr>
          <w:trHeight w:val="189"/>
        </w:trPr>
        <w:tc>
          <w:tcPr>
            <w:tcW w:w="3040" w:type="dxa"/>
            <w:vAlign w:val="bottom"/>
            <w:gridSpan w:val="2"/>
          </w:tcPr>
          <w:p>
            <w:pPr>
              <w:ind w:left="220"/>
              <w:spacing w:after="0"/>
              <w:rPr>
                <w:sz w:val="20"/>
                <w:szCs w:val="20"/>
                <w:color w:val="auto"/>
              </w:rPr>
            </w:pPr>
            <w:r>
              <w:rPr>
                <w:rFonts w:ascii="Times New Roman" w:cs="Times New Roman" w:eastAsia="Times New Roman" w:hAnsi="Times New Roman"/>
                <w:sz w:val="13"/>
                <w:szCs w:val="13"/>
                <w:color w:val="auto"/>
              </w:rPr>
              <w:t>Total residential construction</w:t>
            </w:r>
          </w:p>
        </w:tc>
        <w:tc>
          <w:tcPr>
            <w:tcW w:w="180" w:type="dxa"/>
            <w:vAlign w:val="bottom"/>
          </w:tcPr>
          <w:p>
            <w:pPr>
              <w:jc w:val="right"/>
              <w:ind w:right="35"/>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64,643</w:t>
            </w:r>
          </w:p>
        </w:tc>
        <w:tc>
          <w:tcPr>
            <w:tcW w:w="100" w:type="dxa"/>
            <w:vAlign w:val="bottom"/>
          </w:tcPr>
          <w:p>
            <w:pPr>
              <w:spacing w:after="0"/>
              <w:rPr>
                <w:sz w:val="16"/>
                <w:szCs w:val="16"/>
                <w:color w:val="auto"/>
              </w:rPr>
            </w:pPr>
          </w:p>
        </w:tc>
        <w:tc>
          <w:tcPr>
            <w:tcW w:w="180" w:type="dxa"/>
            <w:vAlign w:val="bottom"/>
          </w:tcPr>
          <w:p>
            <w:pPr>
              <w:jc w:val="right"/>
              <w:ind w:right="35"/>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73,037</w:t>
            </w:r>
          </w:p>
        </w:tc>
        <w:tc>
          <w:tcPr>
            <w:tcW w:w="280" w:type="dxa"/>
            <w:vAlign w:val="bottom"/>
            <w:gridSpan w:val="2"/>
          </w:tcPr>
          <w:p>
            <w:pPr>
              <w:jc w:val="right"/>
              <w:ind w:right="35"/>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16,523</w:t>
            </w:r>
          </w:p>
        </w:tc>
        <w:tc>
          <w:tcPr>
            <w:tcW w:w="100" w:type="dxa"/>
            <w:vAlign w:val="bottom"/>
          </w:tcPr>
          <w:p>
            <w:pPr>
              <w:spacing w:after="0"/>
              <w:rPr>
                <w:sz w:val="16"/>
                <w:szCs w:val="16"/>
                <w:color w:val="auto"/>
              </w:rPr>
            </w:pPr>
          </w:p>
        </w:tc>
        <w:tc>
          <w:tcPr>
            <w:tcW w:w="180" w:type="dxa"/>
            <w:vAlign w:val="bottom"/>
          </w:tcPr>
          <w:p>
            <w:pPr>
              <w:jc w:val="right"/>
              <w:ind w:right="35"/>
              <w:spacing w:after="0"/>
              <w:rPr>
                <w:sz w:val="20"/>
                <w:szCs w:val="20"/>
                <w:color w:val="auto"/>
              </w:rPr>
            </w:pPr>
            <w:r>
              <w:rPr>
                <w:rFonts w:ascii="Times New Roman" w:cs="Times New Roman" w:eastAsia="Times New Roman" w:hAnsi="Times New Roman"/>
                <w:sz w:val="13"/>
                <w:szCs w:val="13"/>
                <w:color w:val="auto"/>
                <w:w w:val="91"/>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13,111</w:t>
            </w:r>
          </w:p>
        </w:tc>
        <w:tc>
          <w:tcPr>
            <w:tcW w:w="120" w:type="dxa"/>
            <w:vAlign w:val="bottom"/>
          </w:tcPr>
          <w:p>
            <w:pPr>
              <w:spacing w:after="0"/>
              <w:rPr>
                <w:sz w:val="16"/>
                <w:szCs w:val="16"/>
                <w:color w:val="auto"/>
              </w:rPr>
            </w:pPr>
          </w:p>
        </w:tc>
        <w:tc>
          <w:tcPr>
            <w:tcW w:w="180" w:type="dxa"/>
            <w:vAlign w:val="bottom"/>
          </w:tcPr>
          <w:p>
            <w:pPr>
              <w:jc w:val="right"/>
              <w:ind w:right="35"/>
              <w:spacing w:after="0"/>
              <w:rPr>
                <w:sz w:val="20"/>
                <w:szCs w:val="20"/>
                <w:color w:val="auto"/>
              </w:rPr>
            </w:pPr>
            <w:r>
              <w:rPr>
                <w:rFonts w:ascii="Times New Roman" w:cs="Times New Roman" w:eastAsia="Times New Roman" w:hAnsi="Times New Roman"/>
                <w:sz w:val="13"/>
                <w:szCs w:val="13"/>
                <w:color w:val="auto"/>
                <w:w w:val="91"/>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3,794</w:t>
            </w:r>
          </w:p>
        </w:tc>
        <w:tc>
          <w:tcPr>
            <w:tcW w:w="120" w:type="dxa"/>
            <w:vAlign w:val="bottom"/>
          </w:tcPr>
          <w:p>
            <w:pPr>
              <w:spacing w:after="0"/>
              <w:rPr>
                <w:sz w:val="16"/>
                <w:szCs w:val="16"/>
                <w:color w:val="auto"/>
              </w:rPr>
            </w:pPr>
          </w:p>
        </w:tc>
        <w:tc>
          <w:tcPr>
            <w:tcW w:w="160" w:type="dxa"/>
            <w:vAlign w:val="bottom"/>
          </w:tcPr>
          <w:p>
            <w:pPr>
              <w:jc w:val="right"/>
              <w:ind w:right="15"/>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7,273</w:t>
            </w:r>
          </w:p>
        </w:tc>
        <w:tc>
          <w:tcPr>
            <w:tcW w:w="10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87</w:t>
            </w:r>
          </w:p>
        </w:tc>
        <w:tc>
          <w:tcPr>
            <w:tcW w:w="120" w:type="dxa"/>
            <w:vAlign w:val="bottom"/>
          </w:tcPr>
          <w:p>
            <w:pPr>
              <w:spacing w:after="0"/>
              <w:rPr>
                <w:sz w:val="16"/>
                <w:szCs w:val="16"/>
                <w:color w:val="auto"/>
              </w:rPr>
            </w:pPr>
          </w:p>
        </w:tc>
        <w:tc>
          <w:tcPr>
            <w:tcW w:w="160" w:type="dxa"/>
            <w:vAlign w:val="bottom"/>
          </w:tcPr>
          <w:p>
            <w:pPr>
              <w:jc w:val="right"/>
              <w:ind w:right="15"/>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178,468</w:t>
            </w:r>
          </w:p>
        </w:tc>
        <w:tc>
          <w:tcPr>
            <w:tcW w:w="0" w:type="dxa"/>
            <w:vAlign w:val="bottom"/>
          </w:tcPr>
          <w:p>
            <w:pPr>
              <w:spacing w:after="0"/>
              <w:rPr>
                <w:sz w:val="1"/>
                <w:szCs w:val="1"/>
                <w:color w:val="auto"/>
              </w:rPr>
            </w:pPr>
          </w:p>
        </w:tc>
      </w:tr>
      <w:tr>
        <w:trPr>
          <w:trHeight w:val="20"/>
        </w:trPr>
        <w:tc>
          <w:tcPr>
            <w:tcW w:w="29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3040" w:type="dxa"/>
            <w:vAlign w:val="bottom"/>
            <w:gridSpan w:val="2"/>
            <w:shd w:val="clear" w:color="auto" w:fill="CCEEFF"/>
          </w:tcPr>
          <w:p>
            <w:pPr>
              <w:jc w:val="right"/>
              <w:ind w:right="1220"/>
              <w:spacing w:after="0"/>
              <w:rPr>
                <w:sz w:val="20"/>
                <w:szCs w:val="20"/>
                <w:color w:val="auto"/>
              </w:rPr>
            </w:pPr>
            <w:r>
              <w:rPr>
                <w:rFonts w:ascii="Times New Roman" w:cs="Times New Roman" w:eastAsia="Times New Roman" w:hAnsi="Times New Roman"/>
                <w:sz w:val="13"/>
                <w:szCs w:val="13"/>
                <w:color w:val="auto"/>
              </w:rPr>
              <w:t>Current period gross charge-offs</w:t>
            </w:r>
          </w:p>
        </w:tc>
        <w:tc>
          <w:tcPr>
            <w:tcW w:w="18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gridSpan w:val="2"/>
            <w:shd w:val="clear" w:color="auto" w:fill="CCEEFF"/>
          </w:tcPr>
          <w:p>
            <w:pPr>
              <w:jc w:val="right"/>
              <w:ind w:right="35"/>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118</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3"/>
                <w:szCs w:val="13"/>
                <w:color w:val="auto"/>
                <w:w w:val="91"/>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124</w:t>
            </w: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249</w:t>
            </w:r>
          </w:p>
        </w:tc>
        <w:tc>
          <w:tcPr>
            <w:tcW w:w="0" w:type="dxa"/>
            <w:vAlign w:val="bottom"/>
          </w:tcPr>
          <w:p>
            <w:pPr>
              <w:spacing w:after="0"/>
              <w:rPr>
                <w:sz w:val="1"/>
                <w:szCs w:val="1"/>
                <w:color w:val="auto"/>
              </w:rPr>
            </w:pPr>
          </w:p>
        </w:tc>
      </w:tr>
      <w:tr>
        <w:trPr>
          <w:trHeight w:val="181"/>
        </w:trPr>
        <w:tc>
          <w:tcPr>
            <w:tcW w:w="304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Consumer</w:t>
            </w:r>
          </w:p>
        </w:tc>
        <w:tc>
          <w:tcPr>
            <w:tcW w:w="1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7"/>
        </w:trPr>
        <w:tc>
          <w:tcPr>
            <w:tcW w:w="30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Pass</w:t>
            </w:r>
          </w:p>
        </w:tc>
        <w:tc>
          <w:tcPr>
            <w:tcW w:w="18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76,370</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48,211</w:t>
            </w:r>
          </w:p>
        </w:tc>
        <w:tc>
          <w:tcPr>
            <w:tcW w:w="280" w:type="dxa"/>
            <w:vAlign w:val="bottom"/>
            <w:gridSpan w:val="2"/>
            <w:shd w:val="clear" w:color="auto" w:fill="CCEEFF"/>
          </w:tcPr>
          <w:p>
            <w:pPr>
              <w:jc w:val="right"/>
              <w:ind w:right="35"/>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26,726</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3"/>
                <w:szCs w:val="13"/>
                <w:color w:val="auto"/>
                <w:w w:val="91"/>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14,907</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3"/>
                <w:szCs w:val="13"/>
                <w:color w:val="auto"/>
                <w:w w:val="91"/>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3,518</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1,104</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19,354</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126</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190,316</w:t>
            </w:r>
          </w:p>
        </w:tc>
        <w:tc>
          <w:tcPr>
            <w:tcW w:w="0" w:type="dxa"/>
            <w:vAlign w:val="bottom"/>
          </w:tcPr>
          <w:p>
            <w:pPr>
              <w:spacing w:after="0"/>
              <w:rPr>
                <w:sz w:val="1"/>
                <w:szCs w:val="1"/>
                <w:color w:val="auto"/>
              </w:rPr>
            </w:pPr>
          </w:p>
        </w:tc>
      </w:tr>
      <w:tr>
        <w:trPr>
          <w:trHeight w:val="183"/>
        </w:trPr>
        <w:tc>
          <w:tcPr>
            <w:tcW w:w="3040" w:type="dxa"/>
            <w:vAlign w:val="bottom"/>
            <w:tcBorders>
              <w:bottom w:val="single" w:sz="8" w:color="CCEEFF"/>
            </w:tcBorders>
            <w:gridSpan w:val="2"/>
          </w:tcPr>
          <w:p>
            <w:pPr>
              <w:ind w:left="140"/>
              <w:spacing w:after="0"/>
              <w:rPr>
                <w:sz w:val="20"/>
                <w:szCs w:val="20"/>
                <w:color w:val="auto"/>
              </w:rPr>
            </w:pPr>
            <w:r>
              <w:rPr>
                <w:rFonts w:ascii="Times New Roman" w:cs="Times New Roman" w:eastAsia="Times New Roman" w:hAnsi="Times New Roman"/>
                <w:sz w:val="13"/>
                <w:szCs w:val="13"/>
                <w:color w:val="auto"/>
              </w:rPr>
              <w:t>Substandard</w:t>
            </w:r>
          </w:p>
        </w:tc>
        <w:tc>
          <w:tcPr>
            <w:tcW w:w="18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239</w:t>
            </w:r>
          </w:p>
        </w:tc>
        <w:tc>
          <w:tcPr>
            <w:tcW w:w="10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484</w:t>
            </w:r>
          </w:p>
        </w:tc>
        <w:tc>
          <w:tcPr>
            <w:tcW w:w="10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169</w:t>
            </w:r>
          </w:p>
        </w:tc>
        <w:tc>
          <w:tcPr>
            <w:tcW w:w="12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84</w:t>
            </w:r>
          </w:p>
        </w:tc>
        <w:tc>
          <w:tcPr>
            <w:tcW w:w="12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215</w:t>
            </w:r>
          </w:p>
        </w:tc>
        <w:tc>
          <w:tcPr>
            <w:tcW w:w="1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12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1,193</w:t>
            </w:r>
          </w:p>
        </w:tc>
        <w:tc>
          <w:tcPr>
            <w:tcW w:w="0" w:type="dxa"/>
            <w:vAlign w:val="bottom"/>
          </w:tcPr>
          <w:p>
            <w:pPr>
              <w:spacing w:after="0"/>
              <w:rPr>
                <w:sz w:val="1"/>
                <w:szCs w:val="1"/>
                <w:color w:val="auto"/>
              </w:rPr>
            </w:pPr>
          </w:p>
        </w:tc>
      </w:tr>
      <w:tr>
        <w:trPr>
          <w:trHeight w:val="209"/>
        </w:trPr>
        <w:tc>
          <w:tcPr>
            <w:tcW w:w="30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3"/>
                <w:szCs w:val="13"/>
                <w:color w:val="auto"/>
              </w:rPr>
              <w:t>Total consumer</w:t>
            </w:r>
          </w:p>
        </w:tc>
        <w:tc>
          <w:tcPr>
            <w:tcW w:w="18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76,370</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48,450</w:t>
            </w:r>
          </w:p>
        </w:tc>
        <w:tc>
          <w:tcPr>
            <w:tcW w:w="280" w:type="dxa"/>
            <w:vAlign w:val="bottom"/>
            <w:gridSpan w:val="2"/>
            <w:shd w:val="clear" w:color="auto" w:fill="CCEEFF"/>
          </w:tcPr>
          <w:p>
            <w:pPr>
              <w:jc w:val="right"/>
              <w:ind w:right="35"/>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27,210</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3"/>
                <w:szCs w:val="13"/>
                <w:color w:val="auto"/>
                <w:w w:val="91"/>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15,076</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3"/>
                <w:szCs w:val="13"/>
                <w:color w:val="auto"/>
                <w:w w:val="91"/>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3,602</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1,319</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19,354</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128</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191,509</w:t>
            </w:r>
          </w:p>
        </w:tc>
        <w:tc>
          <w:tcPr>
            <w:tcW w:w="0" w:type="dxa"/>
            <w:vAlign w:val="bottom"/>
          </w:tcPr>
          <w:p>
            <w:pPr>
              <w:spacing w:after="0"/>
              <w:rPr>
                <w:sz w:val="1"/>
                <w:szCs w:val="1"/>
                <w:color w:val="auto"/>
              </w:rPr>
            </w:pPr>
          </w:p>
        </w:tc>
      </w:tr>
      <w:tr>
        <w:trPr>
          <w:trHeight w:val="20"/>
        </w:trPr>
        <w:tc>
          <w:tcPr>
            <w:tcW w:w="29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7"/>
        </w:trPr>
        <w:tc>
          <w:tcPr>
            <w:tcW w:w="3040" w:type="dxa"/>
            <w:vAlign w:val="bottom"/>
            <w:gridSpan w:val="2"/>
          </w:tcPr>
          <w:p>
            <w:pPr>
              <w:jc w:val="right"/>
              <w:ind w:right="1220"/>
              <w:spacing w:after="0" w:line="147" w:lineRule="exact"/>
              <w:rPr>
                <w:sz w:val="20"/>
                <w:szCs w:val="20"/>
                <w:color w:val="auto"/>
              </w:rPr>
            </w:pPr>
            <w:r>
              <w:rPr>
                <w:rFonts w:ascii="Times New Roman" w:cs="Times New Roman" w:eastAsia="Times New Roman" w:hAnsi="Times New Roman"/>
                <w:sz w:val="13"/>
                <w:szCs w:val="13"/>
                <w:color w:val="auto"/>
              </w:rPr>
              <w:t>Current period gross charge-offs</w:t>
            </w:r>
          </w:p>
        </w:tc>
        <w:tc>
          <w:tcPr>
            <w:tcW w:w="180" w:type="dxa"/>
            <w:vAlign w:val="bottom"/>
          </w:tcPr>
          <w:p>
            <w:pPr>
              <w:jc w:val="right"/>
              <w:ind w:right="35"/>
              <w:spacing w:after="0" w:line="147" w:lineRule="exact"/>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tcPr>
          <w:p>
            <w:pPr>
              <w:jc w:val="right"/>
              <w:spacing w:after="0" w:line="147" w:lineRule="exact"/>
              <w:rPr>
                <w:sz w:val="20"/>
                <w:szCs w:val="20"/>
                <w:color w:val="auto"/>
              </w:rPr>
            </w:pPr>
            <w:r>
              <w:rPr>
                <w:rFonts w:ascii="Times New Roman" w:cs="Times New Roman" w:eastAsia="Times New Roman" w:hAnsi="Times New Roman"/>
                <w:sz w:val="13"/>
                <w:szCs w:val="13"/>
                <w:color w:val="auto"/>
              </w:rPr>
              <w:t>2,593</w:t>
            </w:r>
          </w:p>
        </w:tc>
        <w:tc>
          <w:tcPr>
            <w:tcW w:w="100" w:type="dxa"/>
            <w:vAlign w:val="bottom"/>
          </w:tcPr>
          <w:p>
            <w:pPr>
              <w:spacing w:after="0"/>
              <w:rPr>
                <w:sz w:val="12"/>
                <w:szCs w:val="12"/>
                <w:color w:val="auto"/>
              </w:rPr>
            </w:pPr>
          </w:p>
        </w:tc>
        <w:tc>
          <w:tcPr>
            <w:tcW w:w="180" w:type="dxa"/>
            <w:vAlign w:val="bottom"/>
          </w:tcPr>
          <w:p>
            <w:pPr>
              <w:jc w:val="right"/>
              <w:ind w:right="35"/>
              <w:spacing w:after="0" w:line="147" w:lineRule="exact"/>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tcPr>
          <w:p>
            <w:pPr>
              <w:jc w:val="right"/>
              <w:spacing w:after="0" w:line="147" w:lineRule="exact"/>
              <w:rPr>
                <w:sz w:val="20"/>
                <w:szCs w:val="20"/>
                <w:color w:val="auto"/>
              </w:rPr>
            </w:pPr>
            <w:r>
              <w:rPr>
                <w:rFonts w:ascii="Times New Roman" w:cs="Times New Roman" w:eastAsia="Times New Roman" w:hAnsi="Times New Roman"/>
                <w:sz w:val="13"/>
                <w:szCs w:val="13"/>
                <w:color w:val="auto"/>
              </w:rPr>
              <w:t>351</w:t>
            </w:r>
          </w:p>
        </w:tc>
        <w:tc>
          <w:tcPr>
            <w:tcW w:w="280" w:type="dxa"/>
            <w:vAlign w:val="bottom"/>
            <w:gridSpan w:val="2"/>
          </w:tcPr>
          <w:p>
            <w:pPr>
              <w:jc w:val="right"/>
              <w:ind w:right="35"/>
              <w:spacing w:after="0" w:line="147" w:lineRule="exact"/>
              <w:rPr>
                <w:sz w:val="20"/>
                <w:szCs w:val="20"/>
                <w:color w:val="auto"/>
              </w:rPr>
            </w:pPr>
            <w:r>
              <w:rPr>
                <w:rFonts w:ascii="Times New Roman" w:cs="Times New Roman" w:eastAsia="Times New Roman" w:hAnsi="Times New Roman"/>
                <w:sz w:val="13"/>
                <w:szCs w:val="13"/>
                <w:color w:val="auto"/>
              </w:rPr>
              <w:t>$</w:t>
            </w:r>
          </w:p>
        </w:tc>
        <w:tc>
          <w:tcPr>
            <w:tcW w:w="640" w:type="dxa"/>
            <w:vAlign w:val="bottom"/>
          </w:tcPr>
          <w:p>
            <w:pPr>
              <w:jc w:val="right"/>
              <w:spacing w:after="0" w:line="147" w:lineRule="exact"/>
              <w:rPr>
                <w:sz w:val="20"/>
                <w:szCs w:val="20"/>
                <w:color w:val="auto"/>
              </w:rPr>
            </w:pPr>
            <w:r>
              <w:rPr>
                <w:rFonts w:ascii="Times New Roman" w:cs="Times New Roman" w:eastAsia="Times New Roman" w:hAnsi="Times New Roman"/>
                <w:sz w:val="13"/>
                <w:szCs w:val="13"/>
                <w:color w:val="auto"/>
              </w:rPr>
              <w:t>184</w:t>
            </w:r>
          </w:p>
        </w:tc>
        <w:tc>
          <w:tcPr>
            <w:tcW w:w="100" w:type="dxa"/>
            <w:vAlign w:val="bottom"/>
          </w:tcPr>
          <w:p>
            <w:pPr>
              <w:spacing w:after="0"/>
              <w:rPr>
                <w:sz w:val="12"/>
                <w:szCs w:val="12"/>
                <w:color w:val="auto"/>
              </w:rPr>
            </w:pPr>
          </w:p>
        </w:tc>
        <w:tc>
          <w:tcPr>
            <w:tcW w:w="180" w:type="dxa"/>
            <w:vAlign w:val="bottom"/>
          </w:tcPr>
          <w:p>
            <w:pPr>
              <w:jc w:val="right"/>
              <w:ind w:right="35"/>
              <w:spacing w:after="0" w:line="147" w:lineRule="exact"/>
              <w:rPr>
                <w:sz w:val="20"/>
                <w:szCs w:val="20"/>
                <w:color w:val="auto"/>
              </w:rPr>
            </w:pPr>
            <w:r>
              <w:rPr>
                <w:rFonts w:ascii="Times New Roman" w:cs="Times New Roman" w:eastAsia="Times New Roman" w:hAnsi="Times New Roman"/>
                <w:sz w:val="13"/>
                <w:szCs w:val="13"/>
                <w:color w:val="auto"/>
                <w:w w:val="91"/>
              </w:rPr>
              <w:t>$</w:t>
            </w:r>
          </w:p>
        </w:tc>
        <w:tc>
          <w:tcPr>
            <w:tcW w:w="620" w:type="dxa"/>
            <w:vAlign w:val="bottom"/>
          </w:tcPr>
          <w:p>
            <w:pPr>
              <w:jc w:val="right"/>
              <w:spacing w:after="0" w:line="147" w:lineRule="exact"/>
              <w:rPr>
                <w:sz w:val="20"/>
                <w:szCs w:val="20"/>
                <w:color w:val="auto"/>
              </w:rPr>
            </w:pPr>
            <w:r>
              <w:rPr>
                <w:rFonts w:ascii="Times New Roman" w:cs="Times New Roman" w:eastAsia="Times New Roman" w:hAnsi="Times New Roman"/>
                <w:sz w:val="13"/>
                <w:szCs w:val="13"/>
                <w:color w:val="auto"/>
              </w:rPr>
              <w:t>87</w:t>
            </w:r>
          </w:p>
        </w:tc>
        <w:tc>
          <w:tcPr>
            <w:tcW w:w="120" w:type="dxa"/>
            <w:vAlign w:val="bottom"/>
          </w:tcPr>
          <w:p>
            <w:pPr>
              <w:spacing w:after="0"/>
              <w:rPr>
                <w:sz w:val="12"/>
                <w:szCs w:val="12"/>
                <w:color w:val="auto"/>
              </w:rPr>
            </w:pPr>
          </w:p>
        </w:tc>
        <w:tc>
          <w:tcPr>
            <w:tcW w:w="180" w:type="dxa"/>
            <w:vAlign w:val="bottom"/>
          </w:tcPr>
          <w:p>
            <w:pPr>
              <w:jc w:val="right"/>
              <w:ind w:right="35"/>
              <w:spacing w:after="0" w:line="147" w:lineRule="exact"/>
              <w:rPr>
                <w:sz w:val="20"/>
                <w:szCs w:val="20"/>
                <w:color w:val="auto"/>
              </w:rPr>
            </w:pPr>
            <w:r>
              <w:rPr>
                <w:rFonts w:ascii="Times New Roman" w:cs="Times New Roman" w:eastAsia="Times New Roman" w:hAnsi="Times New Roman"/>
                <w:sz w:val="13"/>
                <w:szCs w:val="13"/>
                <w:color w:val="auto"/>
                <w:w w:val="91"/>
              </w:rPr>
              <w:t>$</w:t>
            </w:r>
          </w:p>
        </w:tc>
        <w:tc>
          <w:tcPr>
            <w:tcW w:w="620" w:type="dxa"/>
            <w:vAlign w:val="bottom"/>
          </w:tcPr>
          <w:p>
            <w:pPr>
              <w:jc w:val="right"/>
              <w:spacing w:after="0" w:line="147" w:lineRule="exact"/>
              <w:rPr>
                <w:sz w:val="20"/>
                <w:szCs w:val="20"/>
                <w:color w:val="auto"/>
              </w:rPr>
            </w:pPr>
            <w:r>
              <w:rPr>
                <w:rFonts w:ascii="Times New Roman" w:cs="Times New Roman" w:eastAsia="Times New Roman" w:hAnsi="Times New Roman"/>
                <w:sz w:val="13"/>
                <w:szCs w:val="13"/>
                <w:color w:val="auto"/>
              </w:rPr>
              <w:t>72</w:t>
            </w:r>
          </w:p>
        </w:tc>
        <w:tc>
          <w:tcPr>
            <w:tcW w:w="120" w:type="dxa"/>
            <w:vAlign w:val="bottom"/>
          </w:tcPr>
          <w:p>
            <w:pPr>
              <w:spacing w:after="0"/>
              <w:rPr>
                <w:sz w:val="12"/>
                <w:szCs w:val="12"/>
                <w:color w:val="auto"/>
              </w:rPr>
            </w:pPr>
          </w:p>
        </w:tc>
        <w:tc>
          <w:tcPr>
            <w:tcW w:w="160" w:type="dxa"/>
            <w:vAlign w:val="bottom"/>
          </w:tcPr>
          <w:p>
            <w:pPr>
              <w:jc w:val="right"/>
              <w:ind w:right="15"/>
              <w:spacing w:after="0" w:line="147" w:lineRule="exact"/>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Pr>
          <w:p>
            <w:pPr>
              <w:jc w:val="right"/>
              <w:spacing w:after="0" w:line="147" w:lineRule="exact"/>
              <w:rPr>
                <w:sz w:val="20"/>
                <w:szCs w:val="20"/>
                <w:color w:val="auto"/>
              </w:rPr>
            </w:pPr>
            <w:r>
              <w:rPr>
                <w:rFonts w:ascii="Times New Roman" w:cs="Times New Roman" w:eastAsia="Times New Roman" w:hAnsi="Times New Roman"/>
                <w:sz w:val="13"/>
                <w:szCs w:val="13"/>
                <w:color w:val="auto"/>
              </w:rPr>
              <w:t>16</w:t>
            </w:r>
          </w:p>
        </w:tc>
        <w:tc>
          <w:tcPr>
            <w:tcW w:w="100" w:type="dxa"/>
            <w:vAlign w:val="bottom"/>
          </w:tcPr>
          <w:p>
            <w:pPr>
              <w:spacing w:after="0"/>
              <w:rPr>
                <w:sz w:val="12"/>
                <w:szCs w:val="12"/>
                <w:color w:val="auto"/>
              </w:rPr>
            </w:pPr>
          </w:p>
        </w:tc>
        <w:tc>
          <w:tcPr>
            <w:tcW w:w="120" w:type="dxa"/>
            <w:vAlign w:val="bottom"/>
          </w:tcPr>
          <w:p>
            <w:pPr>
              <w:jc w:val="right"/>
              <w:spacing w:after="0" w:line="147" w:lineRule="exact"/>
              <w:rPr>
                <w:sz w:val="20"/>
                <w:szCs w:val="20"/>
                <w:color w:val="auto"/>
              </w:rPr>
            </w:pPr>
            <w:r>
              <w:rPr>
                <w:rFonts w:ascii="Times New Roman" w:cs="Times New Roman" w:eastAsia="Times New Roman" w:hAnsi="Times New Roman"/>
                <w:sz w:val="13"/>
                <w:szCs w:val="13"/>
                <w:color w:val="auto"/>
              </w:rPr>
              <w:t>$</w:t>
            </w:r>
          </w:p>
        </w:tc>
        <w:tc>
          <w:tcPr>
            <w:tcW w:w="820" w:type="dxa"/>
            <w:vAlign w:val="bottom"/>
            <w:gridSpan w:val="2"/>
          </w:tcPr>
          <w:p>
            <w:pPr>
              <w:jc w:val="right"/>
              <w:ind w:right="160"/>
              <w:spacing w:after="0" w:line="147"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jc w:val="right"/>
              <w:spacing w:after="0" w:line="147" w:lineRule="exact"/>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tcPr>
          <w:p>
            <w:pPr>
              <w:jc w:val="right"/>
              <w:spacing w:after="0" w:line="147" w:lineRule="exact"/>
              <w:rPr>
                <w:sz w:val="20"/>
                <w:szCs w:val="20"/>
                <w:color w:val="auto"/>
              </w:rPr>
            </w:pPr>
            <w:r>
              <w:rPr>
                <w:rFonts w:ascii="Times New Roman" w:cs="Times New Roman" w:eastAsia="Times New Roman" w:hAnsi="Times New Roman"/>
                <w:sz w:val="13"/>
                <w:szCs w:val="13"/>
                <w:color w:val="auto"/>
              </w:rPr>
              <w:t>98</w:t>
            </w:r>
          </w:p>
        </w:tc>
        <w:tc>
          <w:tcPr>
            <w:tcW w:w="120" w:type="dxa"/>
            <w:vAlign w:val="bottom"/>
          </w:tcPr>
          <w:p>
            <w:pPr>
              <w:spacing w:after="0"/>
              <w:rPr>
                <w:sz w:val="12"/>
                <w:szCs w:val="12"/>
                <w:color w:val="auto"/>
              </w:rPr>
            </w:pPr>
          </w:p>
        </w:tc>
        <w:tc>
          <w:tcPr>
            <w:tcW w:w="160" w:type="dxa"/>
            <w:vAlign w:val="bottom"/>
          </w:tcPr>
          <w:p>
            <w:pPr>
              <w:jc w:val="right"/>
              <w:ind w:right="15"/>
              <w:spacing w:after="0" w:line="147" w:lineRule="exact"/>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Pr>
          <w:p>
            <w:pPr>
              <w:jc w:val="right"/>
              <w:spacing w:after="0" w:line="147" w:lineRule="exact"/>
              <w:rPr>
                <w:sz w:val="20"/>
                <w:szCs w:val="20"/>
                <w:color w:val="auto"/>
              </w:rPr>
            </w:pPr>
            <w:r>
              <w:rPr>
                <w:rFonts w:ascii="Times New Roman" w:cs="Times New Roman" w:eastAsia="Times New Roman" w:hAnsi="Times New Roman"/>
                <w:sz w:val="13"/>
                <w:szCs w:val="13"/>
                <w:color w:val="auto"/>
              </w:rPr>
              <w:t>3,401</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9" w:name="page20"/>
    <w:bookmarkEnd w:id="19"/>
    <w:p>
      <w:pPr>
        <w:jc w:val="center"/>
        <w:spacing w:after="0"/>
        <w:rPr>
          <w:sz w:val="20"/>
          <w:szCs w:val="20"/>
          <w:color w:val="auto"/>
        </w:rPr>
      </w:pPr>
      <w:r>
        <w:rPr>
          <w:rFonts w:ascii="Times New Roman" w:cs="Times New Roman" w:eastAsia="Times New Roman" w:hAnsi="Times New Roman"/>
          <w:sz w:val="18"/>
          <w:szCs w:val="18"/>
          <w:b w:val="1"/>
          <w:bCs w:val="1"/>
          <w:color w:val="auto"/>
        </w:rPr>
        <w:t>UNITED COMMUNITY BANKS,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(Unaudited)</w:t>
      </w:r>
    </w:p>
    <w:p>
      <w:pPr>
        <w:spacing w:after="0" w:line="200" w:lineRule="exact"/>
        <w:rPr>
          <w:sz w:val="20"/>
          <w:szCs w:val="20"/>
          <w:color w:val="auto"/>
        </w:rPr>
      </w:pPr>
    </w:p>
    <w:p>
      <w:pPr>
        <w:spacing w:after="0" w:line="378"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2980" w:type="dxa"/>
            <w:vAlign w:val="bottom"/>
            <w:gridSpan w:val="2"/>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20" w:type="dxa"/>
            <w:vAlign w:val="bottom"/>
            <w:gridSpan w:val="5"/>
          </w:tcPr>
          <w:p>
            <w:pPr>
              <w:ind w:left="340"/>
              <w:spacing w:after="0"/>
              <w:rPr>
                <w:sz w:val="20"/>
                <w:szCs w:val="20"/>
                <w:color w:val="auto"/>
              </w:rPr>
            </w:pPr>
            <w:r>
              <w:rPr>
                <w:rFonts w:ascii="Times New Roman" w:cs="Times New Roman" w:eastAsia="Times New Roman" w:hAnsi="Times New Roman"/>
                <w:sz w:val="13"/>
                <w:szCs w:val="13"/>
                <w:b w:val="1"/>
                <w:bCs w:val="1"/>
                <w:color w:val="auto"/>
              </w:rPr>
              <w:t>Term Loans</w:t>
            </w:r>
          </w:p>
        </w:tc>
        <w:tc>
          <w:tcPr>
            <w:tcW w:w="1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w w:val="98"/>
              </w:rPr>
              <w:t>Revolvers</w:t>
            </w:r>
          </w:p>
        </w:tc>
        <w:tc>
          <w:tcPr>
            <w:tcW w:w="2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8"/>
        </w:trPr>
        <w:tc>
          <w:tcPr>
            <w:tcW w:w="28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820" w:type="dxa"/>
            <w:vAlign w:val="bottom"/>
          </w:tcPr>
          <w:p>
            <w:pPr>
              <w:spacing w:after="0"/>
              <w:rPr>
                <w:sz w:val="3"/>
                <w:szCs w:val="3"/>
                <w:color w:val="auto"/>
              </w:rPr>
            </w:pPr>
          </w:p>
        </w:tc>
        <w:tc>
          <w:tcPr>
            <w:tcW w:w="100" w:type="dxa"/>
            <w:vAlign w:val="bottom"/>
          </w:tcPr>
          <w:p>
            <w:pPr>
              <w:spacing w:after="0"/>
              <w:rPr>
                <w:sz w:val="3"/>
                <w:szCs w:val="3"/>
                <w:color w:val="auto"/>
              </w:rPr>
            </w:pPr>
          </w:p>
        </w:tc>
        <w:tc>
          <w:tcPr>
            <w:tcW w:w="880" w:type="dxa"/>
            <w:vAlign w:val="bottom"/>
            <w:gridSpan w:val="3"/>
            <w:vMerge w:val="restart"/>
          </w:tcPr>
          <w:p>
            <w:pPr>
              <w:jc w:val="center"/>
              <w:ind w:right="100"/>
              <w:spacing w:after="0" w:line="133" w:lineRule="exact"/>
              <w:rPr>
                <w:sz w:val="20"/>
                <w:szCs w:val="20"/>
                <w:color w:val="auto"/>
              </w:rPr>
            </w:pPr>
            <w:r>
              <w:rPr>
                <w:rFonts w:ascii="Times New Roman" w:cs="Times New Roman" w:eastAsia="Times New Roman" w:hAnsi="Times New Roman"/>
                <w:sz w:val="13"/>
                <w:szCs w:val="13"/>
                <w:b w:val="1"/>
                <w:bCs w:val="1"/>
                <w:color w:val="auto"/>
              </w:rPr>
              <w:t>converted to</w:t>
            </w:r>
          </w:p>
        </w:tc>
        <w:tc>
          <w:tcPr>
            <w:tcW w:w="240" w:type="dxa"/>
            <w:vAlign w:val="bottom"/>
          </w:tcPr>
          <w:p>
            <w:pPr>
              <w:spacing w:after="0"/>
              <w:rPr>
                <w:sz w:val="3"/>
                <w:szCs w:val="3"/>
                <w:color w:val="auto"/>
              </w:rPr>
            </w:pPr>
          </w:p>
        </w:tc>
        <w:tc>
          <w:tcPr>
            <w:tcW w:w="8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74"/>
        </w:trPr>
        <w:tc>
          <w:tcPr>
            <w:tcW w:w="2880" w:type="dxa"/>
            <w:vAlign w:val="bottom"/>
            <w:vMerge w:val="restart"/>
          </w:tcPr>
          <w:p>
            <w:pPr>
              <w:ind w:left="20"/>
              <w:spacing w:after="0"/>
              <w:rPr>
                <w:sz w:val="20"/>
                <w:szCs w:val="20"/>
                <w:color w:val="auto"/>
              </w:rPr>
            </w:pPr>
            <w:r>
              <w:rPr>
                <w:rFonts w:ascii="Times New Roman" w:cs="Times New Roman" w:eastAsia="Times New Roman" w:hAnsi="Times New Roman"/>
                <w:sz w:val="13"/>
                <w:szCs w:val="13"/>
                <w:b w:val="1"/>
                <w:bCs w:val="1"/>
                <w:color w:val="auto"/>
              </w:rPr>
              <w:t>As of December 31, 2024</w:t>
            </w:r>
          </w:p>
        </w:tc>
        <w:tc>
          <w:tcPr>
            <w:tcW w:w="100" w:type="dxa"/>
            <w:vAlign w:val="bottom"/>
            <w:vMerge w:val="restart"/>
          </w:tcPr>
          <w:p>
            <w:pPr>
              <w:spacing w:after="0"/>
              <w:rPr>
                <w:sz w:val="6"/>
                <w:szCs w:val="6"/>
                <w:color w:val="auto"/>
              </w:rPr>
            </w:pPr>
          </w:p>
        </w:tc>
        <w:tc>
          <w:tcPr>
            <w:tcW w:w="180" w:type="dxa"/>
            <w:vAlign w:val="bottom"/>
          </w:tcPr>
          <w:p>
            <w:pPr>
              <w:spacing w:after="0"/>
              <w:rPr>
                <w:sz w:val="6"/>
                <w:szCs w:val="6"/>
                <w:color w:val="auto"/>
              </w:rPr>
            </w:pPr>
          </w:p>
        </w:tc>
        <w:tc>
          <w:tcPr>
            <w:tcW w:w="580" w:type="dxa"/>
            <w:vAlign w:val="bottom"/>
            <w:vMerge w:val="restart"/>
          </w:tcPr>
          <w:p>
            <w:pPr>
              <w:jc w:val="right"/>
              <w:ind w:right="175"/>
              <w:spacing w:after="0"/>
              <w:rPr>
                <w:sz w:val="20"/>
                <w:szCs w:val="20"/>
                <w:color w:val="auto"/>
              </w:rPr>
            </w:pPr>
            <w:r>
              <w:rPr>
                <w:rFonts w:ascii="Times New Roman" w:cs="Times New Roman" w:eastAsia="Times New Roman" w:hAnsi="Times New Roman"/>
                <w:sz w:val="13"/>
                <w:szCs w:val="13"/>
                <w:b w:val="1"/>
                <w:bCs w:val="1"/>
                <w:color w:val="auto"/>
              </w:rPr>
              <w:t>2024</w:t>
            </w:r>
          </w:p>
        </w:tc>
        <w:tc>
          <w:tcPr>
            <w:tcW w:w="100" w:type="dxa"/>
            <w:vAlign w:val="bottom"/>
          </w:tcPr>
          <w:p>
            <w:pPr>
              <w:spacing w:after="0"/>
              <w:rPr>
                <w:sz w:val="6"/>
                <w:szCs w:val="6"/>
                <w:color w:val="auto"/>
              </w:rPr>
            </w:pPr>
          </w:p>
        </w:tc>
        <w:tc>
          <w:tcPr>
            <w:tcW w:w="180" w:type="dxa"/>
            <w:vAlign w:val="bottom"/>
          </w:tcPr>
          <w:p>
            <w:pPr>
              <w:spacing w:after="0"/>
              <w:rPr>
                <w:sz w:val="6"/>
                <w:szCs w:val="6"/>
                <w:color w:val="auto"/>
              </w:rPr>
            </w:pPr>
          </w:p>
        </w:tc>
        <w:tc>
          <w:tcPr>
            <w:tcW w:w="580" w:type="dxa"/>
            <w:vAlign w:val="bottom"/>
            <w:vMerge w:val="restart"/>
          </w:tcPr>
          <w:p>
            <w:pPr>
              <w:jc w:val="right"/>
              <w:ind w:right="175"/>
              <w:spacing w:after="0"/>
              <w:rPr>
                <w:sz w:val="20"/>
                <w:szCs w:val="20"/>
                <w:color w:val="auto"/>
              </w:rPr>
            </w:pPr>
            <w:r>
              <w:rPr>
                <w:rFonts w:ascii="Times New Roman" w:cs="Times New Roman" w:eastAsia="Times New Roman" w:hAnsi="Times New Roman"/>
                <w:sz w:val="13"/>
                <w:szCs w:val="13"/>
                <w:b w:val="1"/>
                <w:bCs w:val="1"/>
                <w:color w:val="auto"/>
              </w:rPr>
              <w:t>2023</w:t>
            </w:r>
          </w:p>
        </w:tc>
        <w:tc>
          <w:tcPr>
            <w:tcW w:w="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640" w:type="dxa"/>
            <w:vAlign w:val="bottom"/>
            <w:vMerge w:val="restart"/>
          </w:tcPr>
          <w:p>
            <w:pPr>
              <w:jc w:val="right"/>
              <w:ind w:right="195"/>
              <w:spacing w:after="0"/>
              <w:rPr>
                <w:sz w:val="20"/>
                <w:szCs w:val="20"/>
                <w:color w:val="auto"/>
              </w:rPr>
            </w:pPr>
            <w:r>
              <w:rPr>
                <w:rFonts w:ascii="Times New Roman" w:cs="Times New Roman" w:eastAsia="Times New Roman" w:hAnsi="Times New Roman"/>
                <w:sz w:val="13"/>
                <w:szCs w:val="13"/>
                <w:b w:val="1"/>
                <w:bCs w:val="1"/>
                <w:color w:val="auto"/>
              </w:rPr>
              <w:t>2022</w:t>
            </w:r>
          </w:p>
        </w:tc>
        <w:tc>
          <w:tcPr>
            <w:tcW w:w="120" w:type="dxa"/>
            <w:vAlign w:val="bottom"/>
          </w:tcPr>
          <w:p>
            <w:pPr>
              <w:spacing w:after="0"/>
              <w:rPr>
                <w:sz w:val="6"/>
                <w:szCs w:val="6"/>
                <w:color w:val="auto"/>
              </w:rPr>
            </w:pPr>
          </w:p>
        </w:tc>
        <w:tc>
          <w:tcPr>
            <w:tcW w:w="160" w:type="dxa"/>
            <w:vAlign w:val="bottom"/>
          </w:tcPr>
          <w:p>
            <w:pPr>
              <w:spacing w:after="0"/>
              <w:rPr>
                <w:sz w:val="6"/>
                <w:szCs w:val="6"/>
                <w:color w:val="auto"/>
              </w:rPr>
            </w:pPr>
          </w:p>
        </w:tc>
        <w:tc>
          <w:tcPr>
            <w:tcW w:w="600" w:type="dxa"/>
            <w:vAlign w:val="bottom"/>
            <w:vMerge w:val="restart"/>
          </w:tcPr>
          <w:p>
            <w:pPr>
              <w:jc w:val="right"/>
              <w:ind w:right="195"/>
              <w:spacing w:after="0"/>
              <w:rPr>
                <w:sz w:val="20"/>
                <w:szCs w:val="20"/>
                <w:color w:val="auto"/>
              </w:rPr>
            </w:pPr>
            <w:r>
              <w:rPr>
                <w:rFonts w:ascii="Times New Roman" w:cs="Times New Roman" w:eastAsia="Times New Roman" w:hAnsi="Times New Roman"/>
                <w:sz w:val="13"/>
                <w:szCs w:val="13"/>
                <w:b w:val="1"/>
                <w:bCs w:val="1"/>
                <w:color w:val="auto"/>
              </w:rPr>
              <w:t>2021</w:t>
            </w:r>
          </w:p>
        </w:tc>
        <w:tc>
          <w:tcPr>
            <w:tcW w:w="100" w:type="dxa"/>
            <w:vAlign w:val="bottom"/>
          </w:tcPr>
          <w:p>
            <w:pPr>
              <w:spacing w:after="0"/>
              <w:rPr>
                <w:sz w:val="6"/>
                <w:szCs w:val="6"/>
                <w:color w:val="auto"/>
              </w:rPr>
            </w:pPr>
          </w:p>
        </w:tc>
        <w:tc>
          <w:tcPr>
            <w:tcW w:w="160" w:type="dxa"/>
            <w:vAlign w:val="bottom"/>
          </w:tcPr>
          <w:p>
            <w:pPr>
              <w:spacing w:after="0"/>
              <w:rPr>
                <w:sz w:val="6"/>
                <w:szCs w:val="6"/>
                <w:color w:val="auto"/>
              </w:rPr>
            </w:pPr>
          </w:p>
        </w:tc>
        <w:tc>
          <w:tcPr>
            <w:tcW w:w="600" w:type="dxa"/>
            <w:vAlign w:val="bottom"/>
            <w:vMerge w:val="restart"/>
          </w:tcPr>
          <w:p>
            <w:pPr>
              <w:jc w:val="right"/>
              <w:ind w:right="195"/>
              <w:spacing w:after="0"/>
              <w:rPr>
                <w:sz w:val="20"/>
                <w:szCs w:val="20"/>
                <w:color w:val="auto"/>
              </w:rPr>
            </w:pPr>
            <w:r>
              <w:rPr>
                <w:rFonts w:ascii="Times New Roman" w:cs="Times New Roman" w:eastAsia="Times New Roman" w:hAnsi="Times New Roman"/>
                <w:sz w:val="13"/>
                <w:szCs w:val="13"/>
                <w:b w:val="1"/>
                <w:bCs w:val="1"/>
                <w:color w:val="auto"/>
              </w:rPr>
              <w:t>2020</w:t>
            </w:r>
          </w:p>
        </w:tc>
        <w:tc>
          <w:tcPr>
            <w:tcW w:w="100" w:type="dxa"/>
            <w:vAlign w:val="bottom"/>
          </w:tcPr>
          <w:p>
            <w:pPr>
              <w:spacing w:after="0"/>
              <w:rPr>
                <w:sz w:val="6"/>
                <w:szCs w:val="6"/>
                <w:color w:val="auto"/>
              </w:rPr>
            </w:pPr>
          </w:p>
        </w:tc>
        <w:tc>
          <w:tcPr>
            <w:tcW w:w="160" w:type="dxa"/>
            <w:vAlign w:val="bottom"/>
          </w:tcPr>
          <w:p>
            <w:pPr>
              <w:spacing w:after="0"/>
              <w:rPr>
                <w:sz w:val="6"/>
                <w:szCs w:val="6"/>
                <w:color w:val="auto"/>
              </w:rPr>
            </w:pPr>
          </w:p>
        </w:tc>
        <w:tc>
          <w:tcPr>
            <w:tcW w:w="600" w:type="dxa"/>
            <w:vAlign w:val="bottom"/>
            <w:vMerge w:val="restart"/>
          </w:tcPr>
          <w:p>
            <w:pPr>
              <w:jc w:val="right"/>
              <w:ind w:right="155"/>
              <w:spacing w:after="0"/>
              <w:rPr>
                <w:sz w:val="20"/>
                <w:szCs w:val="20"/>
                <w:color w:val="auto"/>
              </w:rPr>
            </w:pPr>
            <w:r>
              <w:rPr>
                <w:rFonts w:ascii="Times New Roman" w:cs="Times New Roman" w:eastAsia="Times New Roman" w:hAnsi="Times New Roman"/>
                <w:sz w:val="13"/>
                <w:szCs w:val="13"/>
                <w:b w:val="1"/>
                <w:bCs w:val="1"/>
                <w:color w:val="auto"/>
              </w:rPr>
              <w:t>Prior</w:t>
            </w:r>
          </w:p>
        </w:tc>
        <w:tc>
          <w:tcPr>
            <w:tcW w:w="100" w:type="dxa"/>
            <w:vAlign w:val="bottom"/>
            <w:vMerge w:val="restart"/>
          </w:tcPr>
          <w:p>
            <w:pPr>
              <w:spacing w:after="0"/>
              <w:rPr>
                <w:sz w:val="6"/>
                <w:szCs w:val="6"/>
                <w:color w:val="auto"/>
              </w:rPr>
            </w:pPr>
          </w:p>
        </w:tc>
        <w:tc>
          <w:tcPr>
            <w:tcW w:w="160" w:type="dxa"/>
            <w:vAlign w:val="bottom"/>
          </w:tcPr>
          <w:p>
            <w:pPr>
              <w:spacing w:after="0"/>
              <w:rPr>
                <w:sz w:val="6"/>
                <w:szCs w:val="6"/>
                <w:color w:val="auto"/>
              </w:rPr>
            </w:pPr>
          </w:p>
        </w:tc>
        <w:tc>
          <w:tcPr>
            <w:tcW w:w="820" w:type="dxa"/>
            <w:vAlign w:val="bottom"/>
            <w:vMerge w:val="restart"/>
          </w:tcPr>
          <w:p>
            <w:pPr>
              <w:jc w:val="right"/>
              <w:ind w:right="135"/>
              <w:spacing w:after="0"/>
              <w:rPr>
                <w:sz w:val="20"/>
                <w:szCs w:val="20"/>
                <w:color w:val="auto"/>
              </w:rPr>
            </w:pPr>
            <w:r>
              <w:rPr>
                <w:rFonts w:ascii="Times New Roman" w:cs="Times New Roman" w:eastAsia="Times New Roman" w:hAnsi="Times New Roman"/>
                <w:sz w:val="13"/>
                <w:szCs w:val="13"/>
                <w:b w:val="1"/>
                <w:bCs w:val="1"/>
                <w:color w:val="auto"/>
              </w:rPr>
              <w:t>Revolvers</w:t>
            </w:r>
          </w:p>
        </w:tc>
        <w:tc>
          <w:tcPr>
            <w:tcW w:w="100" w:type="dxa"/>
            <w:vAlign w:val="bottom"/>
            <w:vMerge w:val="restart"/>
          </w:tcPr>
          <w:p>
            <w:pPr>
              <w:spacing w:after="0"/>
              <w:rPr>
                <w:sz w:val="6"/>
                <w:szCs w:val="6"/>
                <w:color w:val="auto"/>
              </w:rPr>
            </w:pPr>
          </w:p>
        </w:tc>
        <w:tc>
          <w:tcPr>
            <w:tcW w:w="880" w:type="dxa"/>
            <w:vAlign w:val="bottom"/>
            <w:gridSpan w:val="3"/>
            <w:vMerge w:val="continue"/>
          </w:tcPr>
          <w:p>
            <w:pPr>
              <w:spacing w:after="0"/>
              <w:rPr>
                <w:sz w:val="6"/>
                <w:szCs w:val="6"/>
                <w:color w:val="auto"/>
              </w:rPr>
            </w:pPr>
          </w:p>
        </w:tc>
        <w:tc>
          <w:tcPr>
            <w:tcW w:w="240" w:type="dxa"/>
            <w:vAlign w:val="bottom"/>
          </w:tcPr>
          <w:p>
            <w:pPr>
              <w:spacing w:after="0"/>
              <w:rPr>
                <w:sz w:val="6"/>
                <w:szCs w:val="6"/>
                <w:color w:val="auto"/>
              </w:rPr>
            </w:pPr>
          </w:p>
        </w:tc>
        <w:tc>
          <w:tcPr>
            <w:tcW w:w="800" w:type="dxa"/>
            <w:vAlign w:val="bottom"/>
            <w:vMerge w:val="restart"/>
          </w:tcPr>
          <w:p>
            <w:pPr>
              <w:jc w:val="right"/>
              <w:ind w:right="315"/>
              <w:spacing w:after="0"/>
              <w:rPr>
                <w:sz w:val="20"/>
                <w:szCs w:val="20"/>
                <w:color w:val="auto"/>
              </w:rPr>
            </w:pPr>
            <w:r>
              <w:rPr>
                <w:rFonts w:ascii="Times New Roman" w:cs="Times New Roman" w:eastAsia="Times New Roman" w:hAnsi="Times New Roman"/>
                <w:sz w:val="13"/>
                <w:szCs w:val="13"/>
                <w:b w:val="1"/>
                <w:bCs w:val="1"/>
                <w:color w:val="auto"/>
              </w:rPr>
              <w:t>Total</w:t>
            </w:r>
          </w:p>
        </w:tc>
        <w:tc>
          <w:tcPr>
            <w:tcW w:w="0" w:type="dxa"/>
            <w:vAlign w:val="bottom"/>
          </w:tcPr>
          <w:p>
            <w:pPr>
              <w:spacing w:after="0"/>
              <w:rPr>
                <w:sz w:val="1"/>
                <w:szCs w:val="1"/>
                <w:color w:val="auto"/>
              </w:rPr>
            </w:pPr>
          </w:p>
        </w:tc>
      </w:tr>
      <w:tr>
        <w:trPr>
          <w:trHeight w:val="173"/>
        </w:trPr>
        <w:tc>
          <w:tcPr>
            <w:tcW w:w="288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CCEEFF"/>
            </w:tcBorders>
            <w:vMerge w:val="continue"/>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vMerge w:val="continue"/>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vMerge w:val="continue"/>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CCEEFF"/>
            </w:tcBorders>
            <w:vMerge w:val="continue"/>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CCEEFF"/>
            </w:tcBorders>
            <w:vMerge w:val="continue"/>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center"/>
              <w:ind w:right="35"/>
              <w:spacing w:after="0"/>
              <w:rPr>
                <w:sz w:val="20"/>
                <w:szCs w:val="20"/>
                <w:color w:val="auto"/>
              </w:rPr>
            </w:pPr>
            <w:r>
              <w:rPr>
                <w:rFonts w:ascii="Times New Roman" w:cs="Times New Roman" w:eastAsia="Times New Roman" w:hAnsi="Times New Roman"/>
                <w:sz w:val="13"/>
                <w:szCs w:val="13"/>
                <w:b w:val="1"/>
                <w:bCs w:val="1"/>
                <w:color w:val="auto"/>
                <w:w w:val="98"/>
              </w:rPr>
              <w:t>term loans</w:t>
            </w:r>
          </w:p>
        </w:tc>
        <w:tc>
          <w:tcPr>
            <w:tcW w:w="10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29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Owner occupied CRE</w:t>
            </w:r>
          </w:p>
        </w:tc>
        <w:tc>
          <w:tcPr>
            <w:tcW w:w="18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1"/>
        </w:trPr>
        <w:tc>
          <w:tcPr>
            <w:tcW w:w="2980" w:type="dxa"/>
            <w:vAlign w:val="bottom"/>
            <w:gridSpan w:val="2"/>
          </w:tcPr>
          <w:p>
            <w:pPr>
              <w:ind w:left="140"/>
              <w:spacing w:after="0"/>
              <w:rPr>
                <w:sz w:val="20"/>
                <w:szCs w:val="20"/>
                <w:color w:val="auto"/>
              </w:rPr>
            </w:pPr>
            <w:r>
              <w:rPr>
                <w:rFonts w:ascii="Times New Roman" w:cs="Times New Roman" w:eastAsia="Times New Roman" w:hAnsi="Times New Roman"/>
                <w:sz w:val="13"/>
                <w:szCs w:val="13"/>
                <w:color w:val="auto"/>
              </w:rPr>
              <w:t>Pass</w:t>
            </w:r>
          </w:p>
        </w:tc>
        <w:tc>
          <w:tcPr>
            <w:tcW w:w="180" w:type="dxa"/>
            <w:vAlign w:val="bottom"/>
          </w:tcPr>
          <w:p>
            <w:pPr>
              <w:jc w:val="right"/>
              <w:ind w:right="35"/>
              <w:spacing w:after="0"/>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455,248</w:t>
            </w:r>
          </w:p>
        </w:tc>
        <w:tc>
          <w:tcPr>
            <w:tcW w:w="100" w:type="dxa"/>
            <w:vAlign w:val="bottom"/>
          </w:tcPr>
          <w:p>
            <w:pPr>
              <w:spacing w:after="0"/>
              <w:rPr>
                <w:sz w:val="15"/>
                <w:szCs w:val="15"/>
                <w:color w:val="auto"/>
              </w:rPr>
            </w:pPr>
          </w:p>
        </w:tc>
        <w:tc>
          <w:tcPr>
            <w:tcW w:w="180" w:type="dxa"/>
            <w:vAlign w:val="bottom"/>
          </w:tcPr>
          <w:p>
            <w:pPr>
              <w:jc w:val="right"/>
              <w:ind w:right="15"/>
              <w:spacing w:after="0"/>
              <w:rPr>
                <w:sz w:val="20"/>
                <w:szCs w:val="20"/>
                <w:color w:val="auto"/>
              </w:rPr>
            </w:pPr>
            <w:r>
              <w:rPr>
                <w:rFonts w:ascii="Times New Roman" w:cs="Times New Roman" w:eastAsia="Times New Roman" w:hAnsi="Times New Roman"/>
                <w:sz w:val="13"/>
                <w:szCs w:val="13"/>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540,913</w:t>
            </w:r>
          </w:p>
        </w:tc>
        <w:tc>
          <w:tcPr>
            <w:tcW w:w="12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621,020</w:t>
            </w:r>
          </w:p>
        </w:tc>
        <w:tc>
          <w:tcPr>
            <w:tcW w:w="120" w:type="dxa"/>
            <w:vAlign w:val="bottom"/>
          </w:tcPr>
          <w:p>
            <w:pPr>
              <w:spacing w:after="0"/>
              <w:rPr>
                <w:sz w:val="15"/>
                <w:szCs w:val="15"/>
                <w:color w:val="auto"/>
              </w:rPr>
            </w:pPr>
          </w:p>
        </w:tc>
        <w:tc>
          <w:tcPr>
            <w:tcW w:w="160" w:type="dxa"/>
            <w:vAlign w:val="bottom"/>
          </w:tcPr>
          <w:p>
            <w:pPr>
              <w:jc w:val="right"/>
              <w:ind w:right="15"/>
              <w:spacing w:after="0"/>
              <w:rPr>
                <w:sz w:val="20"/>
                <w:szCs w:val="20"/>
                <w:color w:val="auto"/>
              </w:rPr>
            </w:pPr>
            <w:r>
              <w:rPr>
                <w:rFonts w:ascii="Times New Roman" w:cs="Times New Roman" w:eastAsia="Times New Roman" w:hAnsi="Times New Roman"/>
                <w:sz w:val="13"/>
                <w:szCs w:val="13"/>
                <w:color w:val="auto"/>
                <w:w w:val="91"/>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555,846</w:t>
            </w:r>
          </w:p>
        </w:tc>
        <w:tc>
          <w:tcPr>
            <w:tcW w:w="100" w:type="dxa"/>
            <w:vAlign w:val="bottom"/>
          </w:tcPr>
          <w:p>
            <w:pPr>
              <w:spacing w:after="0"/>
              <w:rPr>
                <w:sz w:val="15"/>
                <w:szCs w:val="15"/>
                <w:color w:val="auto"/>
              </w:rPr>
            </w:pPr>
          </w:p>
        </w:tc>
        <w:tc>
          <w:tcPr>
            <w:tcW w:w="160" w:type="dxa"/>
            <w:vAlign w:val="bottom"/>
          </w:tcPr>
          <w:p>
            <w:pPr>
              <w:jc w:val="right"/>
              <w:ind w:right="15"/>
              <w:spacing w:after="0"/>
              <w:rPr>
                <w:sz w:val="20"/>
                <w:szCs w:val="20"/>
                <w:color w:val="auto"/>
              </w:rPr>
            </w:pPr>
            <w:r>
              <w:rPr>
                <w:rFonts w:ascii="Times New Roman" w:cs="Times New Roman" w:eastAsia="Times New Roman" w:hAnsi="Times New Roman"/>
                <w:sz w:val="13"/>
                <w:szCs w:val="13"/>
                <w:color w:val="auto"/>
                <w:w w:val="91"/>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507,121</w:t>
            </w:r>
          </w:p>
        </w:tc>
        <w:tc>
          <w:tcPr>
            <w:tcW w:w="100" w:type="dxa"/>
            <w:vAlign w:val="bottom"/>
          </w:tcPr>
          <w:p>
            <w:pPr>
              <w:spacing w:after="0"/>
              <w:rPr>
                <w:sz w:val="15"/>
                <w:szCs w:val="15"/>
                <w:color w:val="auto"/>
              </w:rPr>
            </w:pPr>
          </w:p>
        </w:tc>
        <w:tc>
          <w:tcPr>
            <w:tcW w:w="160" w:type="dxa"/>
            <w:vAlign w:val="bottom"/>
          </w:tcPr>
          <w:p>
            <w:pPr>
              <w:jc w:val="right"/>
              <w:ind w:right="15"/>
              <w:spacing w:after="0"/>
              <w:rPr>
                <w:sz w:val="20"/>
                <w:szCs w:val="20"/>
                <w:color w:val="auto"/>
              </w:rPr>
            </w:pPr>
            <w:r>
              <w:rPr>
                <w:rFonts w:ascii="Times New Roman" w:cs="Times New Roman" w:eastAsia="Times New Roman" w:hAnsi="Times New Roman"/>
                <w:sz w:val="13"/>
                <w:szCs w:val="13"/>
                <w:color w:val="auto"/>
                <w:w w:val="91"/>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425,932</w:t>
            </w:r>
          </w:p>
        </w:tc>
        <w:tc>
          <w:tcPr>
            <w:tcW w:w="100" w:type="dxa"/>
            <w:vAlign w:val="bottom"/>
          </w:tcPr>
          <w:p>
            <w:pPr>
              <w:spacing w:after="0"/>
              <w:rPr>
                <w:sz w:val="15"/>
                <w:szCs w:val="15"/>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120,574</w:t>
            </w:r>
          </w:p>
        </w:tc>
        <w:tc>
          <w:tcPr>
            <w:tcW w:w="10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21,867</w:t>
            </w:r>
          </w:p>
        </w:tc>
        <w:tc>
          <w:tcPr>
            <w:tcW w:w="100" w:type="dxa"/>
            <w:vAlign w:val="bottom"/>
          </w:tcPr>
          <w:p>
            <w:pPr>
              <w:spacing w:after="0"/>
              <w:rPr>
                <w:sz w:val="15"/>
                <w:szCs w:val="15"/>
                <w:color w:val="auto"/>
              </w:rPr>
            </w:pPr>
          </w:p>
        </w:tc>
        <w:tc>
          <w:tcPr>
            <w:tcW w:w="240" w:type="dxa"/>
            <w:vAlign w:val="bottom"/>
          </w:tcPr>
          <w:p>
            <w:pPr>
              <w:jc w:val="right"/>
              <w:ind w:right="75"/>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3,248,521</w:t>
            </w:r>
          </w:p>
        </w:tc>
        <w:tc>
          <w:tcPr>
            <w:tcW w:w="0" w:type="dxa"/>
            <w:vAlign w:val="bottom"/>
          </w:tcPr>
          <w:p>
            <w:pPr>
              <w:spacing w:after="0"/>
              <w:rPr>
                <w:sz w:val="1"/>
                <w:szCs w:val="1"/>
                <w:color w:val="auto"/>
              </w:rPr>
            </w:pPr>
          </w:p>
        </w:tc>
      </w:tr>
      <w:tr>
        <w:trPr>
          <w:trHeight w:val="197"/>
        </w:trPr>
        <w:tc>
          <w:tcPr>
            <w:tcW w:w="29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Special Mention</w:t>
            </w:r>
          </w:p>
        </w:tc>
        <w:tc>
          <w:tcPr>
            <w:tcW w:w="18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1,093</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13,414</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13,653</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14,735</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6,520</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6,496</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4,995</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393</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61,299</w:t>
            </w:r>
          </w:p>
        </w:tc>
        <w:tc>
          <w:tcPr>
            <w:tcW w:w="0" w:type="dxa"/>
            <w:vAlign w:val="bottom"/>
          </w:tcPr>
          <w:p>
            <w:pPr>
              <w:spacing w:after="0"/>
              <w:rPr>
                <w:sz w:val="1"/>
                <w:szCs w:val="1"/>
                <w:color w:val="auto"/>
              </w:rPr>
            </w:pPr>
          </w:p>
        </w:tc>
      </w:tr>
      <w:tr>
        <w:trPr>
          <w:trHeight w:val="183"/>
        </w:trPr>
        <w:tc>
          <w:tcPr>
            <w:tcW w:w="2980" w:type="dxa"/>
            <w:vAlign w:val="bottom"/>
            <w:gridSpan w:val="2"/>
          </w:tcPr>
          <w:p>
            <w:pPr>
              <w:ind w:left="140"/>
              <w:spacing w:after="0"/>
              <w:rPr>
                <w:sz w:val="20"/>
                <w:szCs w:val="20"/>
                <w:color w:val="auto"/>
              </w:rPr>
            </w:pPr>
            <w:r>
              <w:rPr>
                <w:rFonts w:ascii="Times New Roman" w:cs="Times New Roman" w:eastAsia="Times New Roman" w:hAnsi="Times New Roman"/>
                <w:sz w:val="13"/>
                <w:szCs w:val="13"/>
                <w:color w:val="auto"/>
              </w:rPr>
              <w:t>Substandard</w:t>
            </w:r>
          </w:p>
        </w:tc>
        <w:tc>
          <w:tcPr>
            <w:tcW w:w="18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3,285</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5,365</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37,791</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9,647</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8,519</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22,319</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1,471</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88,397</w:t>
            </w:r>
          </w:p>
        </w:tc>
        <w:tc>
          <w:tcPr>
            <w:tcW w:w="0" w:type="dxa"/>
            <w:vAlign w:val="bottom"/>
          </w:tcPr>
          <w:p>
            <w:pPr>
              <w:spacing w:after="0"/>
              <w:rPr>
                <w:sz w:val="1"/>
                <w:szCs w:val="1"/>
                <w:color w:val="auto"/>
              </w:rPr>
            </w:pPr>
          </w:p>
        </w:tc>
      </w:tr>
      <w:tr>
        <w:trPr>
          <w:trHeight w:val="214"/>
        </w:trPr>
        <w:tc>
          <w:tcPr>
            <w:tcW w:w="2980" w:type="dxa"/>
            <w:vAlign w:val="bottom"/>
            <w:tcBorders>
              <w:top w:val="single" w:sz="8" w:color="CCEEFF"/>
              <w:bottom w:val="single" w:sz="8" w:color="CCEEFF"/>
            </w:tcBorders>
            <w:gridSpan w:val="2"/>
            <w:shd w:val="clear" w:color="auto" w:fill="CCEEFF"/>
          </w:tcPr>
          <w:p>
            <w:pPr>
              <w:ind w:left="220"/>
              <w:spacing w:after="0"/>
              <w:rPr>
                <w:sz w:val="20"/>
                <w:szCs w:val="20"/>
                <w:color w:val="auto"/>
              </w:rPr>
            </w:pPr>
            <w:r>
              <w:rPr>
                <w:rFonts w:ascii="Times New Roman" w:cs="Times New Roman" w:eastAsia="Times New Roman" w:hAnsi="Times New Roman"/>
                <w:sz w:val="13"/>
                <w:szCs w:val="13"/>
                <w:color w:val="auto"/>
              </w:rPr>
              <w:t>Total owner occupied CRE</w:t>
            </w:r>
          </w:p>
        </w:tc>
        <w:tc>
          <w:tcPr>
            <w:tcW w:w="180" w:type="dxa"/>
            <w:vAlign w:val="bottom"/>
            <w:tcBorders>
              <w:top w:val="single" w:sz="8" w:color="auto"/>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459,626</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3"/>
                <w:szCs w:val="13"/>
                <w:color w:val="auto"/>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559,692</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672,464</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3"/>
                <w:szCs w:val="13"/>
                <w:color w:val="auto"/>
                <w:w w:val="91"/>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580,228</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3"/>
                <w:szCs w:val="13"/>
                <w:color w:val="auto"/>
                <w:w w:val="91"/>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522,160</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3"/>
                <w:szCs w:val="13"/>
                <w:color w:val="auto"/>
                <w:w w:val="91"/>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454,747</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127,040</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22,260</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75"/>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3,398,217</w:t>
            </w:r>
          </w:p>
        </w:tc>
        <w:tc>
          <w:tcPr>
            <w:tcW w:w="0" w:type="dxa"/>
            <w:vAlign w:val="bottom"/>
          </w:tcPr>
          <w:p>
            <w:pPr>
              <w:spacing w:after="0"/>
              <w:rPr>
                <w:sz w:val="1"/>
                <w:szCs w:val="1"/>
                <w:color w:val="auto"/>
              </w:rPr>
            </w:pPr>
          </w:p>
        </w:tc>
      </w:tr>
      <w:tr>
        <w:trPr>
          <w:trHeight w:val="20"/>
        </w:trPr>
        <w:tc>
          <w:tcPr>
            <w:tcW w:w="28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2980" w:type="dxa"/>
            <w:vAlign w:val="bottom"/>
            <w:gridSpan w:val="2"/>
          </w:tcPr>
          <w:p>
            <w:pPr>
              <w:ind w:left="240"/>
              <w:spacing w:after="0"/>
              <w:rPr>
                <w:sz w:val="20"/>
                <w:szCs w:val="20"/>
                <w:color w:val="auto"/>
              </w:rPr>
            </w:pPr>
            <w:r>
              <w:rPr>
                <w:rFonts w:ascii="Times New Roman" w:cs="Times New Roman" w:eastAsia="Times New Roman" w:hAnsi="Times New Roman"/>
                <w:sz w:val="13"/>
                <w:szCs w:val="13"/>
                <w:color w:val="auto"/>
              </w:rPr>
              <w:t>Current period gross charge-offs</w:t>
            </w:r>
          </w:p>
        </w:tc>
        <w:tc>
          <w:tcPr>
            <w:tcW w:w="180" w:type="dxa"/>
            <w:vAlign w:val="bottom"/>
          </w:tcPr>
          <w:p>
            <w:pPr>
              <w:jc w:val="right"/>
              <w:ind w:right="35"/>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jc w:val="right"/>
              <w:ind w:right="15"/>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221</w:t>
            </w:r>
          </w:p>
        </w:tc>
        <w:tc>
          <w:tcPr>
            <w:tcW w:w="120" w:type="dxa"/>
            <w:vAlign w:val="bottom"/>
          </w:tcPr>
          <w:p>
            <w:pPr>
              <w:spacing w:after="0"/>
              <w:rPr>
                <w:sz w:val="13"/>
                <w:szCs w:val="13"/>
                <w:color w:val="auto"/>
              </w:rPr>
            </w:pPr>
          </w:p>
        </w:tc>
        <w:tc>
          <w:tcPr>
            <w:tcW w:w="160" w:type="dxa"/>
            <w:vAlign w:val="bottom"/>
          </w:tcPr>
          <w:p>
            <w:pPr>
              <w:jc w:val="right"/>
              <w:ind w:right="15"/>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jc w:val="right"/>
              <w:ind w:right="15"/>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jc w:val="right"/>
              <w:ind w:right="15"/>
              <w:spacing w:after="0"/>
              <w:rPr>
                <w:sz w:val="20"/>
                <w:szCs w:val="20"/>
                <w:color w:val="auto"/>
              </w:rPr>
            </w:pPr>
            <w:r>
              <w:rPr>
                <w:rFonts w:ascii="Times New Roman" w:cs="Times New Roman" w:eastAsia="Times New Roman" w:hAnsi="Times New Roman"/>
                <w:sz w:val="13"/>
                <w:szCs w:val="13"/>
                <w:color w:val="auto"/>
                <w:w w:val="91"/>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707</w:t>
            </w:r>
          </w:p>
        </w:tc>
        <w:tc>
          <w:tcPr>
            <w:tcW w:w="100" w:type="dxa"/>
            <w:vAlign w:val="bottom"/>
          </w:tcPr>
          <w:p>
            <w:pPr>
              <w:spacing w:after="0"/>
              <w:rPr>
                <w:sz w:val="13"/>
                <w:szCs w:val="13"/>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jc w:val="right"/>
              <w:ind w:right="75"/>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928</w:t>
            </w:r>
          </w:p>
        </w:tc>
        <w:tc>
          <w:tcPr>
            <w:tcW w:w="0" w:type="dxa"/>
            <w:vAlign w:val="bottom"/>
          </w:tcPr>
          <w:p>
            <w:pPr>
              <w:spacing w:after="0"/>
              <w:rPr>
                <w:sz w:val="1"/>
                <w:szCs w:val="1"/>
                <w:color w:val="auto"/>
              </w:rPr>
            </w:pPr>
          </w:p>
        </w:tc>
      </w:tr>
      <w:tr>
        <w:trPr>
          <w:trHeight w:val="197"/>
        </w:trPr>
        <w:tc>
          <w:tcPr>
            <w:tcW w:w="29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Income producing CRE</w:t>
            </w:r>
          </w:p>
        </w:tc>
        <w:tc>
          <w:tcPr>
            <w:tcW w:w="1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2980" w:type="dxa"/>
            <w:vAlign w:val="bottom"/>
            <w:gridSpan w:val="2"/>
          </w:tcPr>
          <w:p>
            <w:pPr>
              <w:ind w:left="140"/>
              <w:spacing w:after="0"/>
              <w:rPr>
                <w:sz w:val="20"/>
                <w:szCs w:val="20"/>
                <w:color w:val="auto"/>
              </w:rPr>
            </w:pPr>
            <w:r>
              <w:rPr>
                <w:rFonts w:ascii="Times New Roman" w:cs="Times New Roman" w:eastAsia="Times New Roman" w:hAnsi="Times New Roman"/>
                <w:sz w:val="13"/>
                <w:szCs w:val="13"/>
                <w:color w:val="auto"/>
              </w:rPr>
              <w:t>Pass</w:t>
            </w:r>
          </w:p>
        </w:tc>
        <w:tc>
          <w:tcPr>
            <w:tcW w:w="180" w:type="dxa"/>
            <w:vAlign w:val="bottom"/>
          </w:tcPr>
          <w:p>
            <w:pPr>
              <w:jc w:val="right"/>
              <w:ind w:right="35"/>
              <w:spacing w:after="0"/>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468,247</w:t>
            </w:r>
          </w:p>
        </w:tc>
        <w:tc>
          <w:tcPr>
            <w:tcW w:w="100" w:type="dxa"/>
            <w:vAlign w:val="bottom"/>
          </w:tcPr>
          <w:p>
            <w:pPr>
              <w:spacing w:after="0"/>
              <w:rPr>
                <w:sz w:val="15"/>
                <w:szCs w:val="15"/>
                <w:color w:val="auto"/>
              </w:rPr>
            </w:pPr>
          </w:p>
        </w:tc>
        <w:tc>
          <w:tcPr>
            <w:tcW w:w="180" w:type="dxa"/>
            <w:vAlign w:val="bottom"/>
          </w:tcPr>
          <w:p>
            <w:pPr>
              <w:jc w:val="right"/>
              <w:ind w:right="15"/>
              <w:spacing w:after="0"/>
              <w:rPr>
                <w:sz w:val="20"/>
                <w:szCs w:val="20"/>
                <w:color w:val="auto"/>
              </w:rPr>
            </w:pPr>
            <w:r>
              <w:rPr>
                <w:rFonts w:ascii="Times New Roman" w:cs="Times New Roman" w:eastAsia="Times New Roman" w:hAnsi="Times New Roman"/>
                <w:sz w:val="13"/>
                <w:szCs w:val="13"/>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477,887</w:t>
            </w:r>
          </w:p>
        </w:tc>
        <w:tc>
          <w:tcPr>
            <w:tcW w:w="12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977,090</w:t>
            </w:r>
          </w:p>
        </w:tc>
        <w:tc>
          <w:tcPr>
            <w:tcW w:w="120" w:type="dxa"/>
            <w:vAlign w:val="bottom"/>
          </w:tcPr>
          <w:p>
            <w:pPr>
              <w:spacing w:after="0"/>
              <w:rPr>
                <w:sz w:val="15"/>
                <w:szCs w:val="15"/>
                <w:color w:val="auto"/>
              </w:rPr>
            </w:pPr>
          </w:p>
        </w:tc>
        <w:tc>
          <w:tcPr>
            <w:tcW w:w="160" w:type="dxa"/>
            <w:vAlign w:val="bottom"/>
          </w:tcPr>
          <w:p>
            <w:pPr>
              <w:jc w:val="right"/>
              <w:ind w:right="15"/>
              <w:spacing w:after="0"/>
              <w:rPr>
                <w:sz w:val="20"/>
                <w:szCs w:val="20"/>
                <w:color w:val="auto"/>
              </w:rPr>
            </w:pPr>
            <w:r>
              <w:rPr>
                <w:rFonts w:ascii="Times New Roman" w:cs="Times New Roman" w:eastAsia="Times New Roman" w:hAnsi="Times New Roman"/>
                <w:sz w:val="13"/>
                <w:szCs w:val="13"/>
                <w:color w:val="auto"/>
                <w:w w:val="91"/>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896,096</w:t>
            </w:r>
          </w:p>
        </w:tc>
        <w:tc>
          <w:tcPr>
            <w:tcW w:w="100" w:type="dxa"/>
            <w:vAlign w:val="bottom"/>
          </w:tcPr>
          <w:p>
            <w:pPr>
              <w:spacing w:after="0"/>
              <w:rPr>
                <w:sz w:val="15"/>
                <w:szCs w:val="15"/>
                <w:color w:val="auto"/>
              </w:rPr>
            </w:pPr>
          </w:p>
        </w:tc>
        <w:tc>
          <w:tcPr>
            <w:tcW w:w="160" w:type="dxa"/>
            <w:vAlign w:val="bottom"/>
          </w:tcPr>
          <w:p>
            <w:pPr>
              <w:jc w:val="right"/>
              <w:ind w:right="15"/>
              <w:spacing w:after="0"/>
              <w:rPr>
                <w:sz w:val="20"/>
                <w:szCs w:val="20"/>
                <w:color w:val="auto"/>
              </w:rPr>
            </w:pPr>
            <w:r>
              <w:rPr>
                <w:rFonts w:ascii="Times New Roman" w:cs="Times New Roman" w:eastAsia="Times New Roman" w:hAnsi="Times New Roman"/>
                <w:sz w:val="13"/>
                <w:szCs w:val="13"/>
                <w:color w:val="auto"/>
                <w:w w:val="91"/>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614,584</w:t>
            </w:r>
          </w:p>
        </w:tc>
        <w:tc>
          <w:tcPr>
            <w:tcW w:w="100" w:type="dxa"/>
            <w:vAlign w:val="bottom"/>
          </w:tcPr>
          <w:p>
            <w:pPr>
              <w:spacing w:after="0"/>
              <w:rPr>
                <w:sz w:val="15"/>
                <w:szCs w:val="15"/>
                <w:color w:val="auto"/>
              </w:rPr>
            </w:pPr>
          </w:p>
        </w:tc>
        <w:tc>
          <w:tcPr>
            <w:tcW w:w="160" w:type="dxa"/>
            <w:vAlign w:val="bottom"/>
          </w:tcPr>
          <w:p>
            <w:pPr>
              <w:jc w:val="right"/>
              <w:ind w:right="15"/>
              <w:spacing w:after="0"/>
              <w:rPr>
                <w:sz w:val="20"/>
                <w:szCs w:val="20"/>
                <w:color w:val="auto"/>
              </w:rPr>
            </w:pPr>
            <w:r>
              <w:rPr>
                <w:rFonts w:ascii="Times New Roman" w:cs="Times New Roman" w:eastAsia="Times New Roman" w:hAnsi="Times New Roman"/>
                <w:sz w:val="13"/>
                <w:szCs w:val="13"/>
                <w:color w:val="auto"/>
                <w:w w:val="91"/>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606,395</w:t>
            </w:r>
          </w:p>
        </w:tc>
        <w:tc>
          <w:tcPr>
            <w:tcW w:w="100" w:type="dxa"/>
            <w:vAlign w:val="bottom"/>
          </w:tcPr>
          <w:p>
            <w:pPr>
              <w:spacing w:after="0"/>
              <w:rPr>
                <w:sz w:val="15"/>
                <w:szCs w:val="15"/>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50,955</w:t>
            </w:r>
          </w:p>
        </w:tc>
        <w:tc>
          <w:tcPr>
            <w:tcW w:w="10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15,025</w:t>
            </w:r>
          </w:p>
        </w:tc>
        <w:tc>
          <w:tcPr>
            <w:tcW w:w="100" w:type="dxa"/>
            <w:vAlign w:val="bottom"/>
          </w:tcPr>
          <w:p>
            <w:pPr>
              <w:spacing w:after="0"/>
              <w:rPr>
                <w:sz w:val="15"/>
                <w:szCs w:val="15"/>
                <w:color w:val="auto"/>
              </w:rPr>
            </w:pPr>
          </w:p>
        </w:tc>
        <w:tc>
          <w:tcPr>
            <w:tcW w:w="240" w:type="dxa"/>
            <w:vAlign w:val="bottom"/>
          </w:tcPr>
          <w:p>
            <w:pPr>
              <w:jc w:val="right"/>
              <w:ind w:right="75"/>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4,106,279</w:t>
            </w:r>
          </w:p>
        </w:tc>
        <w:tc>
          <w:tcPr>
            <w:tcW w:w="0" w:type="dxa"/>
            <w:vAlign w:val="bottom"/>
          </w:tcPr>
          <w:p>
            <w:pPr>
              <w:spacing w:after="0"/>
              <w:rPr>
                <w:sz w:val="1"/>
                <w:szCs w:val="1"/>
                <w:color w:val="auto"/>
              </w:rPr>
            </w:pPr>
          </w:p>
        </w:tc>
      </w:tr>
      <w:tr>
        <w:trPr>
          <w:trHeight w:val="197"/>
        </w:trPr>
        <w:tc>
          <w:tcPr>
            <w:tcW w:w="29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Special Mention</w:t>
            </w:r>
          </w:p>
        </w:tc>
        <w:tc>
          <w:tcPr>
            <w:tcW w:w="18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16,852</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2,145</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21,007</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2,724</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3,538</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10,465</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50</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56,781</w:t>
            </w:r>
          </w:p>
        </w:tc>
        <w:tc>
          <w:tcPr>
            <w:tcW w:w="0" w:type="dxa"/>
            <w:vAlign w:val="bottom"/>
          </w:tcPr>
          <w:p>
            <w:pPr>
              <w:spacing w:after="0"/>
              <w:rPr>
                <w:sz w:val="1"/>
                <w:szCs w:val="1"/>
                <w:color w:val="auto"/>
              </w:rPr>
            </w:pPr>
          </w:p>
        </w:tc>
      </w:tr>
      <w:tr>
        <w:trPr>
          <w:trHeight w:val="183"/>
        </w:trPr>
        <w:tc>
          <w:tcPr>
            <w:tcW w:w="2980" w:type="dxa"/>
            <w:vAlign w:val="bottom"/>
            <w:gridSpan w:val="2"/>
          </w:tcPr>
          <w:p>
            <w:pPr>
              <w:ind w:left="140"/>
              <w:spacing w:after="0"/>
              <w:rPr>
                <w:sz w:val="20"/>
                <w:szCs w:val="20"/>
                <w:color w:val="auto"/>
              </w:rPr>
            </w:pPr>
            <w:r>
              <w:rPr>
                <w:rFonts w:ascii="Times New Roman" w:cs="Times New Roman" w:eastAsia="Times New Roman" w:hAnsi="Times New Roman"/>
                <w:sz w:val="13"/>
                <w:szCs w:val="13"/>
                <w:color w:val="auto"/>
              </w:rPr>
              <w:t>Substandard</w:t>
            </w:r>
          </w:p>
        </w:tc>
        <w:tc>
          <w:tcPr>
            <w:tcW w:w="18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59,437</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36,259</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16,758</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3,411</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39,085</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42,910</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197,860</w:t>
            </w:r>
          </w:p>
        </w:tc>
        <w:tc>
          <w:tcPr>
            <w:tcW w:w="0" w:type="dxa"/>
            <w:vAlign w:val="bottom"/>
          </w:tcPr>
          <w:p>
            <w:pPr>
              <w:spacing w:after="0"/>
              <w:rPr>
                <w:sz w:val="1"/>
                <w:szCs w:val="1"/>
                <w:color w:val="auto"/>
              </w:rPr>
            </w:pPr>
          </w:p>
        </w:tc>
      </w:tr>
      <w:tr>
        <w:trPr>
          <w:trHeight w:val="214"/>
        </w:trPr>
        <w:tc>
          <w:tcPr>
            <w:tcW w:w="2980" w:type="dxa"/>
            <w:vAlign w:val="bottom"/>
            <w:tcBorders>
              <w:top w:val="single" w:sz="8" w:color="CCEEFF"/>
              <w:bottom w:val="single" w:sz="8" w:color="CCEEFF"/>
            </w:tcBorders>
            <w:gridSpan w:val="2"/>
            <w:shd w:val="clear" w:color="auto" w:fill="CCEEFF"/>
          </w:tcPr>
          <w:p>
            <w:pPr>
              <w:ind w:left="220"/>
              <w:spacing w:after="0"/>
              <w:rPr>
                <w:sz w:val="20"/>
                <w:szCs w:val="20"/>
                <w:color w:val="auto"/>
              </w:rPr>
            </w:pPr>
            <w:r>
              <w:rPr>
                <w:rFonts w:ascii="Times New Roman" w:cs="Times New Roman" w:eastAsia="Times New Roman" w:hAnsi="Times New Roman"/>
                <w:sz w:val="13"/>
                <w:szCs w:val="13"/>
                <w:color w:val="auto"/>
              </w:rPr>
              <w:t>Total income producing CRE</w:t>
            </w:r>
          </w:p>
        </w:tc>
        <w:tc>
          <w:tcPr>
            <w:tcW w:w="180" w:type="dxa"/>
            <w:vAlign w:val="bottom"/>
            <w:tcBorders>
              <w:top w:val="single" w:sz="8" w:color="auto"/>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544,536</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3"/>
                <w:szCs w:val="13"/>
                <w:color w:val="auto"/>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516,291</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1,014,855</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3"/>
                <w:szCs w:val="13"/>
                <w:color w:val="auto"/>
                <w:w w:val="91"/>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902,231</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3"/>
                <w:szCs w:val="13"/>
                <w:color w:val="auto"/>
                <w:w w:val="91"/>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657,207</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3"/>
                <w:szCs w:val="13"/>
                <w:color w:val="auto"/>
                <w:w w:val="91"/>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659,770</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51,005</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15,025</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75"/>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4,360,920</w:t>
            </w:r>
          </w:p>
        </w:tc>
        <w:tc>
          <w:tcPr>
            <w:tcW w:w="0" w:type="dxa"/>
            <w:vAlign w:val="bottom"/>
          </w:tcPr>
          <w:p>
            <w:pPr>
              <w:spacing w:after="0"/>
              <w:rPr>
                <w:sz w:val="1"/>
                <w:szCs w:val="1"/>
                <w:color w:val="auto"/>
              </w:rPr>
            </w:pPr>
          </w:p>
        </w:tc>
      </w:tr>
      <w:tr>
        <w:trPr>
          <w:trHeight w:val="20"/>
        </w:trPr>
        <w:tc>
          <w:tcPr>
            <w:tcW w:w="28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2980" w:type="dxa"/>
            <w:vAlign w:val="bottom"/>
            <w:gridSpan w:val="2"/>
          </w:tcPr>
          <w:p>
            <w:pPr>
              <w:ind w:left="240"/>
              <w:spacing w:after="0"/>
              <w:rPr>
                <w:sz w:val="20"/>
                <w:szCs w:val="20"/>
                <w:color w:val="auto"/>
              </w:rPr>
            </w:pPr>
            <w:r>
              <w:rPr>
                <w:rFonts w:ascii="Times New Roman" w:cs="Times New Roman" w:eastAsia="Times New Roman" w:hAnsi="Times New Roman"/>
                <w:sz w:val="13"/>
                <w:szCs w:val="13"/>
                <w:color w:val="auto"/>
              </w:rPr>
              <w:t>Current period gross charge-offs</w:t>
            </w:r>
          </w:p>
        </w:tc>
        <w:tc>
          <w:tcPr>
            <w:tcW w:w="180" w:type="dxa"/>
            <w:vAlign w:val="bottom"/>
          </w:tcPr>
          <w:p>
            <w:pPr>
              <w:jc w:val="right"/>
              <w:ind w:right="35"/>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jc w:val="right"/>
              <w:ind w:right="15"/>
              <w:spacing w:after="0"/>
              <w:rPr>
                <w:sz w:val="20"/>
                <w:szCs w:val="20"/>
                <w:color w:val="auto"/>
              </w:rPr>
            </w:pPr>
            <w:r>
              <w:rPr>
                <w:rFonts w:ascii="Times New Roman" w:cs="Times New Roman" w:eastAsia="Times New Roman" w:hAnsi="Times New Roman"/>
                <w:sz w:val="13"/>
                <w:szCs w:val="13"/>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3,128</w:t>
            </w:r>
          </w:p>
        </w:tc>
        <w:tc>
          <w:tcPr>
            <w:tcW w:w="120" w:type="dxa"/>
            <w:vAlign w:val="bottom"/>
          </w:tcPr>
          <w:p>
            <w:pPr>
              <w:spacing w:after="0"/>
              <w:rPr>
                <w:sz w:val="13"/>
                <w:szCs w:val="13"/>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jc w:val="right"/>
              <w:ind w:right="15"/>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jc w:val="right"/>
              <w:ind w:right="15"/>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jc w:val="right"/>
              <w:ind w:right="15"/>
              <w:spacing w:after="0"/>
              <w:rPr>
                <w:sz w:val="20"/>
                <w:szCs w:val="20"/>
                <w:color w:val="auto"/>
              </w:rPr>
            </w:pPr>
            <w:r>
              <w:rPr>
                <w:rFonts w:ascii="Times New Roman" w:cs="Times New Roman" w:eastAsia="Times New Roman" w:hAnsi="Times New Roman"/>
                <w:sz w:val="13"/>
                <w:szCs w:val="13"/>
                <w:color w:val="auto"/>
                <w:w w:val="91"/>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1,691</w:t>
            </w:r>
          </w:p>
        </w:tc>
        <w:tc>
          <w:tcPr>
            <w:tcW w:w="100" w:type="dxa"/>
            <w:vAlign w:val="bottom"/>
          </w:tcPr>
          <w:p>
            <w:pPr>
              <w:spacing w:after="0"/>
              <w:rPr>
                <w:sz w:val="13"/>
                <w:szCs w:val="13"/>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jc w:val="right"/>
              <w:ind w:right="75"/>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4,819</w:t>
            </w:r>
          </w:p>
        </w:tc>
        <w:tc>
          <w:tcPr>
            <w:tcW w:w="0" w:type="dxa"/>
            <w:vAlign w:val="bottom"/>
          </w:tcPr>
          <w:p>
            <w:pPr>
              <w:spacing w:after="0"/>
              <w:rPr>
                <w:sz w:val="1"/>
                <w:szCs w:val="1"/>
                <w:color w:val="auto"/>
              </w:rPr>
            </w:pPr>
          </w:p>
        </w:tc>
      </w:tr>
      <w:tr>
        <w:trPr>
          <w:trHeight w:val="197"/>
        </w:trPr>
        <w:tc>
          <w:tcPr>
            <w:tcW w:w="29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Commercial &amp; industrial</w:t>
            </w:r>
          </w:p>
        </w:tc>
        <w:tc>
          <w:tcPr>
            <w:tcW w:w="1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2980" w:type="dxa"/>
            <w:vAlign w:val="bottom"/>
            <w:gridSpan w:val="2"/>
          </w:tcPr>
          <w:p>
            <w:pPr>
              <w:ind w:left="140"/>
              <w:spacing w:after="0"/>
              <w:rPr>
                <w:sz w:val="20"/>
                <w:szCs w:val="20"/>
                <w:color w:val="auto"/>
              </w:rPr>
            </w:pPr>
            <w:r>
              <w:rPr>
                <w:rFonts w:ascii="Times New Roman" w:cs="Times New Roman" w:eastAsia="Times New Roman" w:hAnsi="Times New Roman"/>
                <w:sz w:val="13"/>
                <w:szCs w:val="13"/>
                <w:color w:val="auto"/>
              </w:rPr>
              <w:t>Pass</w:t>
            </w:r>
          </w:p>
        </w:tc>
        <w:tc>
          <w:tcPr>
            <w:tcW w:w="180" w:type="dxa"/>
            <w:vAlign w:val="bottom"/>
          </w:tcPr>
          <w:p>
            <w:pPr>
              <w:jc w:val="right"/>
              <w:ind w:right="35"/>
              <w:spacing w:after="0"/>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464,843</w:t>
            </w:r>
          </w:p>
        </w:tc>
        <w:tc>
          <w:tcPr>
            <w:tcW w:w="100" w:type="dxa"/>
            <w:vAlign w:val="bottom"/>
          </w:tcPr>
          <w:p>
            <w:pPr>
              <w:spacing w:after="0"/>
              <w:rPr>
                <w:sz w:val="15"/>
                <w:szCs w:val="15"/>
                <w:color w:val="auto"/>
              </w:rPr>
            </w:pPr>
          </w:p>
        </w:tc>
        <w:tc>
          <w:tcPr>
            <w:tcW w:w="180" w:type="dxa"/>
            <w:vAlign w:val="bottom"/>
          </w:tcPr>
          <w:p>
            <w:pPr>
              <w:jc w:val="right"/>
              <w:ind w:right="15"/>
              <w:spacing w:after="0"/>
              <w:rPr>
                <w:sz w:val="20"/>
                <w:szCs w:val="20"/>
                <w:color w:val="auto"/>
              </w:rPr>
            </w:pPr>
            <w:r>
              <w:rPr>
                <w:rFonts w:ascii="Times New Roman" w:cs="Times New Roman" w:eastAsia="Times New Roman" w:hAnsi="Times New Roman"/>
                <w:sz w:val="13"/>
                <w:szCs w:val="13"/>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440,557</w:t>
            </w:r>
          </w:p>
        </w:tc>
        <w:tc>
          <w:tcPr>
            <w:tcW w:w="12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270,459</w:t>
            </w:r>
          </w:p>
        </w:tc>
        <w:tc>
          <w:tcPr>
            <w:tcW w:w="120" w:type="dxa"/>
            <w:vAlign w:val="bottom"/>
          </w:tcPr>
          <w:p>
            <w:pPr>
              <w:spacing w:after="0"/>
              <w:rPr>
                <w:sz w:val="15"/>
                <w:szCs w:val="15"/>
                <w:color w:val="auto"/>
              </w:rPr>
            </w:pPr>
          </w:p>
        </w:tc>
        <w:tc>
          <w:tcPr>
            <w:tcW w:w="160" w:type="dxa"/>
            <w:vAlign w:val="bottom"/>
          </w:tcPr>
          <w:p>
            <w:pPr>
              <w:jc w:val="right"/>
              <w:ind w:right="15"/>
              <w:spacing w:after="0"/>
              <w:rPr>
                <w:sz w:val="20"/>
                <w:szCs w:val="20"/>
                <w:color w:val="auto"/>
              </w:rPr>
            </w:pPr>
            <w:r>
              <w:rPr>
                <w:rFonts w:ascii="Times New Roman" w:cs="Times New Roman" w:eastAsia="Times New Roman" w:hAnsi="Times New Roman"/>
                <w:sz w:val="13"/>
                <w:szCs w:val="13"/>
                <w:color w:val="auto"/>
                <w:w w:val="91"/>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198,320</w:t>
            </w:r>
          </w:p>
        </w:tc>
        <w:tc>
          <w:tcPr>
            <w:tcW w:w="100" w:type="dxa"/>
            <w:vAlign w:val="bottom"/>
          </w:tcPr>
          <w:p>
            <w:pPr>
              <w:spacing w:after="0"/>
              <w:rPr>
                <w:sz w:val="15"/>
                <w:szCs w:val="15"/>
                <w:color w:val="auto"/>
              </w:rPr>
            </w:pPr>
          </w:p>
        </w:tc>
        <w:tc>
          <w:tcPr>
            <w:tcW w:w="160" w:type="dxa"/>
            <w:vAlign w:val="bottom"/>
          </w:tcPr>
          <w:p>
            <w:pPr>
              <w:jc w:val="right"/>
              <w:ind w:right="15"/>
              <w:spacing w:after="0"/>
              <w:rPr>
                <w:sz w:val="20"/>
                <w:szCs w:val="20"/>
                <w:color w:val="auto"/>
              </w:rPr>
            </w:pPr>
            <w:r>
              <w:rPr>
                <w:rFonts w:ascii="Times New Roman" w:cs="Times New Roman" w:eastAsia="Times New Roman" w:hAnsi="Times New Roman"/>
                <w:sz w:val="13"/>
                <w:szCs w:val="13"/>
                <w:color w:val="auto"/>
                <w:w w:val="91"/>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125,964</w:t>
            </w:r>
          </w:p>
        </w:tc>
        <w:tc>
          <w:tcPr>
            <w:tcW w:w="100" w:type="dxa"/>
            <w:vAlign w:val="bottom"/>
          </w:tcPr>
          <w:p>
            <w:pPr>
              <w:spacing w:after="0"/>
              <w:rPr>
                <w:sz w:val="15"/>
                <w:szCs w:val="15"/>
                <w:color w:val="auto"/>
              </w:rPr>
            </w:pPr>
          </w:p>
        </w:tc>
        <w:tc>
          <w:tcPr>
            <w:tcW w:w="160" w:type="dxa"/>
            <w:vAlign w:val="bottom"/>
          </w:tcPr>
          <w:p>
            <w:pPr>
              <w:jc w:val="right"/>
              <w:ind w:right="15"/>
              <w:spacing w:after="0"/>
              <w:rPr>
                <w:sz w:val="20"/>
                <w:szCs w:val="20"/>
                <w:color w:val="auto"/>
              </w:rPr>
            </w:pPr>
            <w:r>
              <w:rPr>
                <w:rFonts w:ascii="Times New Roman" w:cs="Times New Roman" w:eastAsia="Times New Roman" w:hAnsi="Times New Roman"/>
                <w:sz w:val="13"/>
                <w:szCs w:val="13"/>
                <w:color w:val="auto"/>
                <w:w w:val="91"/>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180,262</w:t>
            </w:r>
          </w:p>
        </w:tc>
        <w:tc>
          <w:tcPr>
            <w:tcW w:w="100" w:type="dxa"/>
            <w:vAlign w:val="bottom"/>
          </w:tcPr>
          <w:p>
            <w:pPr>
              <w:spacing w:after="0"/>
              <w:rPr>
                <w:sz w:val="15"/>
                <w:szCs w:val="15"/>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583,147</w:t>
            </w:r>
          </w:p>
        </w:tc>
        <w:tc>
          <w:tcPr>
            <w:tcW w:w="10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8,480</w:t>
            </w:r>
          </w:p>
        </w:tc>
        <w:tc>
          <w:tcPr>
            <w:tcW w:w="100" w:type="dxa"/>
            <w:vAlign w:val="bottom"/>
          </w:tcPr>
          <w:p>
            <w:pPr>
              <w:spacing w:after="0"/>
              <w:rPr>
                <w:sz w:val="15"/>
                <w:szCs w:val="15"/>
                <w:color w:val="auto"/>
              </w:rPr>
            </w:pPr>
          </w:p>
        </w:tc>
        <w:tc>
          <w:tcPr>
            <w:tcW w:w="240" w:type="dxa"/>
            <w:vAlign w:val="bottom"/>
          </w:tcPr>
          <w:p>
            <w:pPr>
              <w:jc w:val="right"/>
              <w:ind w:right="75"/>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2,272,032</w:t>
            </w:r>
          </w:p>
        </w:tc>
        <w:tc>
          <w:tcPr>
            <w:tcW w:w="0" w:type="dxa"/>
            <w:vAlign w:val="bottom"/>
          </w:tcPr>
          <w:p>
            <w:pPr>
              <w:spacing w:after="0"/>
              <w:rPr>
                <w:sz w:val="1"/>
                <w:szCs w:val="1"/>
                <w:color w:val="auto"/>
              </w:rPr>
            </w:pPr>
          </w:p>
        </w:tc>
      </w:tr>
      <w:tr>
        <w:trPr>
          <w:trHeight w:val="197"/>
        </w:trPr>
        <w:tc>
          <w:tcPr>
            <w:tcW w:w="29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Special Mention</w:t>
            </w:r>
          </w:p>
        </w:tc>
        <w:tc>
          <w:tcPr>
            <w:tcW w:w="18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8,630</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12,438</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18,832</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2,794</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1,238</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3,794</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24,286</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1,806</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73,818</w:t>
            </w:r>
          </w:p>
        </w:tc>
        <w:tc>
          <w:tcPr>
            <w:tcW w:w="0" w:type="dxa"/>
            <w:vAlign w:val="bottom"/>
          </w:tcPr>
          <w:p>
            <w:pPr>
              <w:spacing w:after="0"/>
              <w:rPr>
                <w:sz w:val="1"/>
                <w:szCs w:val="1"/>
                <w:color w:val="auto"/>
              </w:rPr>
            </w:pPr>
          </w:p>
        </w:tc>
      </w:tr>
      <w:tr>
        <w:trPr>
          <w:trHeight w:val="183"/>
        </w:trPr>
        <w:tc>
          <w:tcPr>
            <w:tcW w:w="2980" w:type="dxa"/>
            <w:vAlign w:val="bottom"/>
            <w:tcBorders>
              <w:bottom w:val="single" w:sz="8" w:color="CCEEFF"/>
            </w:tcBorders>
            <w:gridSpan w:val="2"/>
          </w:tcPr>
          <w:p>
            <w:pPr>
              <w:ind w:left="140"/>
              <w:spacing w:after="0"/>
              <w:rPr>
                <w:sz w:val="20"/>
                <w:szCs w:val="20"/>
                <w:color w:val="auto"/>
              </w:rPr>
            </w:pPr>
            <w:r>
              <w:rPr>
                <w:rFonts w:ascii="Times New Roman" w:cs="Times New Roman" w:eastAsia="Times New Roman" w:hAnsi="Times New Roman"/>
                <w:sz w:val="13"/>
                <w:szCs w:val="13"/>
                <w:color w:val="auto"/>
              </w:rPr>
              <w:t>Substandard</w:t>
            </w:r>
          </w:p>
        </w:tc>
        <w:tc>
          <w:tcPr>
            <w:tcW w:w="18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2,428</w:t>
            </w:r>
          </w:p>
        </w:tc>
        <w:tc>
          <w:tcPr>
            <w:tcW w:w="10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22,877</w:t>
            </w:r>
          </w:p>
        </w:tc>
        <w:tc>
          <w:tcPr>
            <w:tcW w:w="12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9,773</w:t>
            </w:r>
          </w:p>
        </w:tc>
        <w:tc>
          <w:tcPr>
            <w:tcW w:w="12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12,133</w:t>
            </w:r>
          </w:p>
        </w:tc>
        <w:tc>
          <w:tcPr>
            <w:tcW w:w="10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3,986</w:t>
            </w:r>
          </w:p>
        </w:tc>
        <w:tc>
          <w:tcPr>
            <w:tcW w:w="10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7,081</w:t>
            </w:r>
          </w:p>
        </w:tc>
        <w:tc>
          <w:tcPr>
            <w:tcW w:w="10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16,078</w:t>
            </w:r>
          </w:p>
        </w:tc>
        <w:tc>
          <w:tcPr>
            <w:tcW w:w="10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8,170</w:t>
            </w:r>
          </w:p>
        </w:tc>
        <w:tc>
          <w:tcPr>
            <w:tcW w:w="10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82,526</w:t>
            </w:r>
          </w:p>
        </w:tc>
        <w:tc>
          <w:tcPr>
            <w:tcW w:w="0" w:type="dxa"/>
            <w:vAlign w:val="bottom"/>
          </w:tcPr>
          <w:p>
            <w:pPr>
              <w:spacing w:after="0"/>
              <w:rPr>
                <w:sz w:val="1"/>
                <w:szCs w:val="1"/>
                <w:color w:val="auto"/>
              </w:rPr>
            </w:pPr>
          </w:p>
        </w:tc>
      </w:tr>
      <w:tr>
        <w:trPr>
          <w:trHeight w:val="214"/>
        </w:trPr>
        <w:tc>
          <w:tcPr>
            <w:tcW w:w="2980" w:type="dxa"/>
            <w:vAlign w:val="bottom"/>
            <w:tcBorders>
              <w:bottom w:val="single" w:sz="8" w:color="CCEEFF"/>
            </w:tcBorders>
            <w:gridSpan w:val="2"/>
            <w:shd w:val="clear" w:color="auto" w:fill="CCEEFF"/>
          </w:tcPr>
          <w:p>
            <w:pPr>
              <w:ind w:left="220"/>
              <w:spacing w:after="0"/>
              <w:rPr>
                <w:sz w:val="20"/>
                <w:szCs w:val="20"/>
                <w:color w:val="auto"/>
              </w:rPr>
            </w:pPr>
            <w:r>
              <w:rPr>
                <w:rFonts w:ascii="Times New Roman" w:cs="Times New Roman" w:eastAsia="Times New Roman" w:hAnsi="Times New Roman"/>
                <w:sz w:val="13"/>
                <w:szCs w:val="13"/>
                <w:color w:val="auto"/>
              </w:rPr>
              <w:t>Total commercial &amp; industrial</w:t>
            </w:r>
          </w:p>
        </w:tc>
        <w:tc>
          <w:tcPr>
            <w:tcW w:w="180" w:type="dxa"/>
            <w:vAlign w:val="bottom"/>
            <w:tcBorders>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475,901</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3"/>
                <w:szCs w:val="13"/>
                <w:color w:val="auto"/>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475,872</w:t>
            </w:r>
          </w:p>
        </w:tc>
        <w:tc>
          <w:tcPr>
            <w:tcW w:w="1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299,064</w:t>
            </w:r>
          </w:p>
        </w:tc>
        <w:tc>
          <w:tcPr>
            <w:tcW w:w="1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3"/>
                <w:szCs w:val="13"/>
                <w:color w:val="auto"/>
                <w:w w:val="91"/>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213,247</w:t>
            </w: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3"/>
                <w:szCs w:val="13"/>
                <w:color w:val="auto"/>
                <w:w w:val="91"/>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131,188</w:t>
            </w: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3"/>
                <w:szCs w:val="13"/>
                <w:color w:val="auto"/>
                <w:w w:val="91"/>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191,137</w:t>
            </w: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623,511</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18,456</w:t>
            </w: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75"/>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2,428,376</w:t>
            </w:r>
          </w:p>
        </w:tc>
        <w:tc>
          <w:tcPr>
            <w:tcW w:w="0" w:type="dxa"/>
            <w:vAlign w:val="bottom"/>
          </w:tcPr>
          <w:p>
            <w:pPr>
              <w:spacing w:after="0"/>
              <w:rPr>
                <w:sz w:val="1"/>
                <w:szCs w:val="1"/>
                <w:color w:val="auto"/>
              </w:rPr>
            </w:pPr>
          </w:p>
        </w:tc>
      </w:tr>
      <w:tr>
        <w:trPr>
          <w:trHeight w:val="20"/>
        </w:trPr>
        <w:tc>
          <w:tcPr>
            <w:tcW w:w="28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2980" w:type="dxa"/>
            <w:vAlign w:val="bottom"/>
            <w:gridSpan w:val="2"/>
          </w:tcPr>
          <w:p>
            <w:pPr>
              <w:ind w:left="240"/>
              <w:spacing w:after="0"/>
              <w:rPr>
                <w:sz w:val="20"/>
                <w:szCs w:val="20"/>
                <w:color w:val="auto"/>
              </w:rPr>
            </w:pPr>
            <w:r>
              <w:rPr>
                <w:rFonts w:ascii="Times New Roman" w:cs="Times New Roman" w:eastAsia="Times New Roman" w:hAnsi="Times New Roman"/>
                <w:sz w:val="13"/>
                <w:szCs w:val="13"/>
                <w:color w:val="auto"/>
              </w:rPr>
              <w:t>Current period gross charge-offs</w:t>
            </w:r>
          </w:p>
        </w:tc>
        <w:tc>
          <w:tcPr>
            <w:tcW w:w="180" w:type="dxa"/>
            <w:vAlign w:val="bottom"/>
          </w:tcPr>
          <w:p>
            <w:pPr>
              <w:jc w:val="right"/>
              <w:ind w:right="35"/>
              <w:spacing w:after="0"/>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842</w:t>
            </w:r>
          </w:p>
        </w:tc>
        <w:tc>
          <w:tcPr>
            <w:tcW w:w="100" w:type="dxa"/>
            <w:vAlign w:val="bottom"/>
          </w:tcPr>
          <w:p>
            <w:pPr>
              <w:spacing w:after="0"/>
              <w:rPr>
                <w:sz w:val="13"/>
                <w:szCs w:val="13"/>
                <w:color w:val="auto"/>
              </w:rPr>
            </w:pPr>
          </w:p>
        </w:tc>
        <w:tc>
          <w:tcPr>
            <w:tcW w:w="180" w:type="dxa"/>
            <w:vAlign w:val="bottom"/>
          </w:tcPr>
          <w:p>
            <w:pPr>
              <w:jc w:val="right"/>
              <w:ind w:right="15"/>
              <w:spacing w:after="0"/>
              <w:rPr>
                <w:sz w:val="20"/>
                <w:szCs w:val="20"/>
                <w:color w:val="auto"/>
              </w:rPr>
            </w:pPr>
            <w:r>
              <w:rPr>
                <w:rFonts w:ascii="Times New Roman" w:cs="Times New Roman" w:eastAsia="Times New Roman" w:hAnsi="Times New Roman"/>
                <w:sz w:val="13"/>
                <w:szCs w:val="13"/>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2,908</w:t>
            </w:r>
          </w:p>
        </w:tc>
        <w:tc>
          <w:tcPr>
            <w:tcW w:w="120" w:type="dxa"/>
            <w:vAlign w:val="bottom"/>
          </w:tcPr>
          <w:p>
            <w:pPr>
              <w:spacing w:after="0"/>
              <w:rPr>
                <w:sz w:val="13"/>
                <w:szCs w:val="13"/>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6,826</w:t>
            </w:r>
          </w:p>
        </w:tc>
        <w:tc>
          <w:tcPr>
            <w:tcW w:w="120" w:type="dxa"/>
            <w:vAlign w:val="bottom"/>
          </w:tcPr>
          <w:p>
            <w:pPr>
              <w:spacing w:after="0"/>
              <w:rPr>
                <w:sz w:val="13"/>
                <w:szCs w:val="13"/>
                <w:color w:val="auto"/>
              </w:rPr>
            </w:pPr>
          </w:p>
        </w:tc>
        <w:tc>
          <w:tcPr>
            <w:tcW w:w="160" w:type="dxa"/>
            <w:vAlign w:val="bottom"/>
          </w:tcPr>
          <w:p>
            <w:pPr>
              <w:jc w:val="right"/>
              <w:ind w:right="15"/>
              <w:spacing w:after="0"/>
              <w:rPr>
                <w:sz w:val="20"/>
                <w:szCs w:val="20"/>
                <w:color w:val="auto"/>
              </w:rPr>
            </w:pPr>
            <w:r>
              <w:rPr>
                <w:rFonts w:ascii="Times New Roman" w:cs="Times New Roman" w:eastAsia="Times New Roman" w:hAnsi="Times New Roman"/>
                <w:sz w:val="13"/>
                <w:szCs w:val="13"/>
                <w:color w:val="auto"/>
                <w:w w:val="91"/>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1,994</w:t>
            </w:r>
          </w:p>
        </w:tc>
        <w:tc>
          <w:tcPr>
            <w:tcW w:w="100" w:type="dxa"/>
            <w:vAlign w:val="bottom"/>
          </w:tcPr>
          <w:p>
            <w:pPr>
              <w:spacing w:after="0"/>
              <w:rPr>
                <w:sz w:val="13"/>
                <w:szCs w:val="13"/>
                <w:color w:val="auto"/>
              </w:rPr>
            </w:pPr>
          </w:p>
        </w:tc>
        <w:tc>
          <w:tcPr>
            <w:tcW w:w="160" w:type="dxa"/>
            <w:vAlign w:val="bottom"/>
          </w:tcPr>
          <w:p>
            <w:pPr>
              <w:jc w:val="right"/>
              <w:ind w:right="15"/>
              <w:spacing w:after="0"/>
              <w:rPr>
                <w:sz w:val="20"/>
                <w:szCs w:val="20"/>
                <w:color w:val="auto"/>
              </w:rPr>
            </w:pPr>
            <w:r>
              <w:rPr>
                <w:rFonts w:ascii="Times New Roman" w:cs="Times New Roman" w:eastAsia="Times New Roman" w:hAnsi="Times New Roman"/>
                <w:sz w:val="13"/>
                <w:szCs w:val="13"/>
                <w:color w:val="auto"/>
                <w:w w:val="91"/>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2,282</w:t>
            </w:r>
          </w:p>
        </w:tc>
        <w:tc>
          <w:tcPr>
            <w:tcW w:w="100" w:type="dxa"/>
            <w:vAlign w:val="bottom"/>
          </w:tcPr>
          <w:p>
            <w:pPr>
              <w:spacing w:after="0"/>
              <w:rPr>
                <w:sz w:val="13"/>
                <w:szCs w:val="13"/>
                <w:color w:val="auto"/>
              </w:rPr>
            </w:pPr>
          </w:p>
        </w:tc>
        <w:tc>
          <w:tcPr>
            <w:tcW w:w="160" w:type="dxa"/>
            <w:vAlign w:val="bottom"/>
          </w:tcPr>
          <w:p>
            <w:pPr>
              <w:jc w:val="right"/>
              <w:ind w:right="15"/>
              <w:spacing w:after="0"/>
              <w:rPr>
                <w:sz w:val="20"/>
                <w:szCs w:val="20"/>
                <w:color w:val="auto"/>
              </w:rPr>
            </w:pPr>
            <w:r>
              <w:rPr>
                <w:rFonts w:ascii="Times New Roman" w:cs="Times New Roman" w:eastAsia="Times New Roman" w:hAnsi="Times New Roman"/>
                <w:sz w:val="13"/>
                <w:szCs w:val="13"/>
                <w:color w:val="auto"/>
                <w:w w:val="91"/>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1,236</w:t>
            </w:r>
          </w:p>
        </w:tc>
        <w:tc>
          <w:tcPr>
            <w:tcW w:w="100" w:type="dxa"/>
            <w:vAlign w:val="bottom"/>
          </w:tcPr>
          <w:p>
            <w:pPr>
              <w:spacing w:after="0"/>
              <w:rPr>
                <w:sz w:val="13"/>
                <w:szCs w:val="13"/>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3,270</w:t>
            </w:r>
          </w:p>
        </w:tc>
        <w:tc>
          <w:tcPr>
            <w:tcW w:w="100" w:type="dxa"/>
            <w:vAlign w:val="bottom"/>
          </w:tcPr>
          <w:p>
            <w:pPr>
              <w:spacing w:after="0"/>
              <w:rPr>
                <w:sz w:val="13"/>
                <w:szCs w:val="13"/>
                <w:color w:val="auto"/>
              </w:rPr>
            </w:pPr>
          </w:p>
        </w:tc>
        <w:tc>
          <w:tcPr>
            <w:tcW w:w="240" w:type="dxa"/>
            <w:vAlign w:val="bottom"/>
          </w:tcPr>
          <w:p>
            <w:pPr>
              <w:jc w:val="right"/>
              <w:ind w:right="75"/>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19,358</w:t>
            </w:r>
          </w:p>
        </w:tc>
        <w:tc>
          <w:tcPr>
            <w:tcW w:w="0" w:type="dxa"/>
            <w:vAlign w:val="bottom"/>
          </w:tcPr>
          <w:p>
            <w:pPr>
              <w:spacing w:after="0"/>
              <w:rPr>
                <w:sz w:val="1"/>
                <w:szCs w:val="1"/>
                <w:color w:val="auto"/>
              </w:rPr>
            </w:pPr>
          </w:p>
        </w:tc>
      </w:tr>
      <w:tr>
        <w:trPr>
          <w:trHeight w:val="197"/>
        </w:trPr>
        <w:tc>
          <w:tcPr>
            <w:tcW w:w="29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Commercial construction</w:t>
            </w:r>
          </w:p>
        </w:tc>
        <w:tc>
          <w:tcPr>
            <w:tcW w:w="1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2980" w:type="dxa"/>
            <w:vAlign w:val="bottom"/>
            <w:gridSpan w:val="2"/>
          </w:tcPr>
          <w:p>
            <w:pPr>
              <w:ind w:left="140"/>
              <w:spacing w:after="0"/>
              <w:rPr>
                <w:sz w:val="20"/>
                <w:szCs w:val="20"/>
                <w:color w:val="auto"/>
              </w:rPr>
            </w:pPr>
            <w:r>
              <w:rPr>
                <w:rFonts w:ascii="Times New Roman" w:cs="Times New Roman" w:eastAsia="Times New Roman" w:hAnsi="Times New Roman"/>
                <w:sz w:val="13"/>
                <w:szCs w:val="13"/>
                <w:color w:val="auto"/>
              </w:rPr>
              <w:t>Pass</w:t>
            </w:r>
          </w:p>
        </w:tc>
        <w:tc>
          <w:tcPr>
            <w:tcW w:w="180" w:type="dxa"/>
            <w:vAlign w:val="bottom"/>
          </w:tcPr>
          <w:p>
            <w:pPr>
              <w:jc w:val="right"/>
              <w:ind w:right="35"/>
              <w:spacing w:after="0"/>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448,497</w:t>
            </w:r>
          </w:p>
        </w:tc>
        <w:tc>
          <w:tcPr>
            <w:tcW w:w="100" w:type="dxa"/>
            <w:vAlign w:val="bottom"/>
          </w:tcPr>
          <w:p>
            <w:pPr>
              <w:spacing w:after="0"/>
              <w:rPr>
                <w:sz w:val="15"/>
                <w:szCs w:val="15"/>
                <w:color w:val="auto"/>
              </w:rPr>
            </w:pPr>
          </w:p>
        </w:tc>
        <w:tc>
          <w:tcPr>
            <w:tcW w:w="180" w:type="dxa"/>
            <w:vAlign w:val="bottom"/>
          </w:tcPr>
          <w:p>
            <w:pPr>
              <w:jc w:val="right"/>
              <w:ind w:right="15"/>
              <w:spacing w:after="0"/>
              <w:rPr>
                <w:sz w:val="20"/>
                <w:szCs w:val="20"/>
                <w:color w:val="auto"/>
              </w:rPr>
            </w:pPr>
            <w:r>
              <w:rPr>
                <w:rFonts w:ascii="Times New Roman" w:cs="Times New Roman" w:eastAsia="Times New Roman" w:hAnsi="Times New Roman"/>
                <w:sz w:val="13"/>
                <w:szCs w:val="13"/>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348,179</w:t>
            </w:r>
          </w:p>
        </w:tc>
        <w:tc>
          <w:tcPr>
            <w:tcW w:w="12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495,712</w:t>
            </w:r>
          </w:p>
        </w:tc>
        <w:tc>
          <w:tcPr>
            <w:tcW w:w="120" w:type="dxa"/>
            <w:vAlign w:val="bottom"/>
          </w:tcPr>
          <w:p>
            <w:pPr>
              <w:spacing w:after="0"/>
              <w:rPr>
                <w:sz w:val="15"/>
                <w:szCs w:val="15"/>
                <w:color w:val="auto"/>
              </w:rPr>
            </w:pPr>
          </w:p>
        </w:tc>
        <w:tc>
          <w:tcPr>
            <w:tcW w:w="160" w:type="dxa"/>
            <w:vAlign w:val="bottom"/>
          </w:tcPr>
          <w:p>
            <w:pPr>
              <w:jc w:val="right"/>
              <w:ind w:right="15"/>
              <w:spacing w:after="0"/>
              <w:rPr>
                <w:sz w:val="20"/>
                <w:szCs w:val="20"/>
                <w:color w:val="auto"/>
              </w:rPr>
            </w:pPr>
            <w:r>
              <w:rPr>
                <w:rFonts w:ascii="Times New Roman" w:cs="Times New Roman" w:eastAsia="Times New Roman" w:hAnsi="Times New Roman"/>
                <w:sz w:val="13"/>
                <w:szCs w:val="13"/>
                <w:color w:val="auto"/>
                <w:w w:val="91"/>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153,303</w:t>
            </w:r>
          </w:p>
        </w:tc>
        <w:tc>
          <w:tcPr>
            <w:tcW w:w="100" w:type="dxa"/>
            <w:vAlign w:val="bottom"/>
          </w:tcPr>
          <w:p>
            <w:pPr>
              <w:spacing w:after="0"/>
              <w:rPr>
                <w:sz w:val="15"/>
                <w:szCs w:val="15"/>
                <w:color w:val="auto"/>
              </w:rPr>
            </w:pPr>
          </w:p>
        </w:tc>
        <w:tc>
          <w:tcPr>
            <w:tcW w:w="160" w:type="dxa"/>
            <w:vAlign w:val="bottom"/>
          </w:tcPr>
          <w:p>
            <w:pPr>
              <w:jc w:val="right"/>
              <w:ind w:right="15"/>
              <w:spacing w:after="0"/>
              <w:rPr>
                <w:sz w:val="20"/>
                <w:szCs w:val="20"/>
                <w:color w:val="auto"/>
              </w:rPr>
            </w:pPr>
            <w:r>
              <w:rPr>
                <w:rFonts w:ascii="Times New Roman" w:cs="Times New Roman" w:eastAsia="Times New Roman" w:hAnsi="Times New Roman"/>
                <w:sz w:val="13"/>
                <w:szCs w:val="13"/>
                <w:color w:val="auto"/>
                <w:w w:val="91"/>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40,254</w:t>
            </w:r>
          </w:p>
        </w:tc>
        <w:tc>
          <w:tcPr>
            <w:tcW w:w="100" w:type="dxa"/>
            <w:vAlign w:val="bottom"/>
          </w:tcPr>
          <w:p>
            <w:pPr>
              <w:spacing w:after="0"/>
              <w:rPr>
                <w:sz w:val="15"/>
                <w:szCs w:val="15"/>
                <w:color w:val="auto"/>
              </w:rPr>
            </w:pPr>
          </w:p>
        </w:tc>
        <w:tc>
          <w:tcPr>
            <w:tcW w:w="160" w:type="dxa"/>
            <w:vAlign w:val="bottom"/>
          </w:tcPr>
          <w:p>
            <w:pPr>
              <w:jc w:val="right"/>
              <w:ind w:right="15"/>
              <w:spacing w:after="0"/>
              <w:rPr>
                <w:sz w:val="20"/>
                <w:szCs w:val="20"/>
                <w:color w:val="auto"/>
              </w:rPr>
            </w:pPr>
            <w:r>
              <w:rPr>
                <w:rFonts w:ascii="Times New Roman" w:cs="Times New Roman" w:eastAsia="Times New Roman" w:hAnsi="Times New Roman"/>
                <w:sz w:val="13"/>
                <w:szCs w:val="13"/>
                <w:color w:val="auto"/>
                <w:w w:val="91"/>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40,004</w:t>
            </w:r>
          </w:p>
        </w:tc>
        <w:tc>
          <w:tcPr>
            <w:tcW w:w="100" w:type="dxa"/>
            <w:vAlign w:val="bottom"/>
          </w:tcPr>
          <w:p>
            <w:pPr>
              <w:spacing w:after="0"/>
              <w:rPr>
                <w:sz w:val="15"/>
                <w:szCs w:val="15"/>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46,863</w:t>
            </w:r>
          </w:p>
        </w:tc>
        <w:tc>
          <w:tcPr>
            <w:tcW w:w="10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1,196</w:t>
            </w:r>
          </w:p>
        </w:tc>
        <w:tc>
          <w:tcPr>
            <w:tcW w:w="100" w:type="dxa"/>
            <w:vAlign w:val="bottom"/>
          </w:tcPr>
          <w:p>
            <w:pPr>
              <w:spacing w:after="0"/>
              <w:rPr>
                <w:sz w:val="15"/>
                <w:szCs w:val="15"/>
                <w:color w:val="auto"/>
              </w:rPr>
            </w:pPr>
          </w:p>
        </w:tc>
        <w:tc>
          <w:tcPr>
            <w:tcW w:w="240" w:type="dxa"/>
            <w:vAlign w:val="bottom"/>
          </w:tcPr>
          <w:p>
            <w:pPr>
              <w:jc w:val="right"/>
              <w:ind w:right="75"/>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1,574,008</w:t>
            </w:r>
          </w:p>
        </w:tc>
        <w:tc>
          <w:tcPr>
            <w:tcW w:w="0" w:type="dxa"/>
            <w:vAlign w:val="bottom"/>
          </w:tcPr>
          <w:p>
            <w:pPr>
              <w:spacing w:after="0"/>
              <w:rPr>
                <w:sz w:val="1"/>
                <w:szCs w:val="1"/>
                <w:color w:val="auto"/>
              </w:rPr>
            </w:pPr>
          </w:p>
        </w:tc>
      </w:tr>
      <w:tr>
        <w:trPr>
          <w:trHeight w:val="197"/>
        </w:trPr>
        <w:tc>
          <w:tcPr>
            <w:tcW w:w="29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Special Mention</w:t>
            </w:r>
          </w:p>
        </w:tc>
        <w:tc>
          <w:tcPr>
            <w:tcW w:w="18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5,005</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462</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44,152</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5,253</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100</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6,040</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61,012</w:t>
            </w:r>
          </w:p>
        </w:tc>
        <w:tc>
          <w:tcPr>
            <w:tcW w:w="0" w:type="dxa"/>
            <w:vAlign w:val="bottom"/>
          </w:tcPr>
          <w:p>
            <w:pPr>
              <w:spacing w:after="0"/>
              <w:rPr>
                <w:sz w:val="1"/>
                <w:szCs w:val="1"/>
                <w:color w:val="auto"/>
              </w:rPr>
            </w:pPr>
          </w:p>
        </w:tc>
      </w:tr>
      <w:tr>
        <w:trPr>
          <w:trHeight w:val="183"/>
        </w:trPr>
        <w:tc>
          <w:tcPr>
            <w:tcW w:w="2980" w:type="dxa"/>
            <w:vAlign w:val="bottom"/>
            <w:gridSpan w:val="2"/>
          </w:tcPr>
          <w:p>
            <w:pPr>
              <w:ind w:left="140"/>
              <w:spacing w:after="0"/>
              <w:rPr>
                <w:sz w:val="20"/>
                <w:szCs w:val="20"/>
                <w:color w:val="auto"/>
              </w:rPr>
            </w:pPr>
            <w:r>
              <w:rPr>
                <w:rFonts w:ascii="Times New Roman" w:cs="Times New Roman" w:eastAsia="Times New Roman" w:hAnsi="Times New Roman"/>
                <w:sz w:val="13"/>
                <w:szCs w:val="13"/>
                <w:color w:val="auto"/>
              </w:rPr>
              <w:t>Substandard</w:t>
            </w:r>
          </w:p>
        </w:tc>
        <w:tc>
          <w:tcPr>
            <w:tcW w:w="18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1,900</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3,956</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1,491</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6,549</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6,621</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173</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20,690</w:t>
            </w:r>
          </w:p>
        </w:tc>
        <w:tc>
          <w:tcPr>
            <w:tcW w:w="0" w:type="dxa"/>
            <w:vAlign w:val="bottom"/>
          </w:tcPr>
          <w:p>
            <w:pPr>
              <w:spacing w:after="0"/>
              <w:rPr>
                <w:sz w:val="1"/>
                <w:szCs w:val="1"/>
                <w:color w:val="auto"/>
              </w:rPr>
            </w:pPr>
          </w:p>
        </w:tc>
      </w:tr>
      <w:tr>
        <w:trPr>
          <w:trHeight w:val="214"/>
        </w:trPr>
        <w:tc>
          <w:tcPr>
            <w:tcW w:w="2980" w:type="dxa"/>
            <w:vAlign w:val="bottom"/>
            <w:tcBorders>
              <w:top w:val="single" w:sz="8" w:color="CCEEFF"/>
              <w:bottom w:val="single" w:sz="8" w:color="CCEEFF"/>
            </w:tcBorders>
            <w:gridSpan w:val="2"/>
            <w:shd w:val="clear" w:color="auto" w:fill="CCEEFF"/>
          </w:tcPr>
          <w:p>
            <w:pPr>
              <w:ind w:left="220"/>
              <w:spacing w:after="0"/>
              <w:rPr>
                <w:sz w:val="20"/>
                <w:szCs w:val="20"/>
                <w:color w:val="auto"/>
              </w:rPr>
            </w:pPr>
            <w:r>
              <w:rPr>
                <w:rFonts w:ascii="Times New Roman" w:cs="Times New Roman" w:eastAsia="Times New Roman" w:hAnsi="Times New Roman"/>
                <w:sz w:val="13"/>
                <w:szCs w:val="13"/>
                <w:color w:val="auto"/>
              </w:rPr>
              <w:t>Total commercial construction</w:t>
            </w:r>
          </w:p>
        </w:tc>
        <w:tc>
          <w:tcPr>
            <w:tcW w:w="180" w:type="dxa"/>
            <w:vAlign w:val="bottom"/>
            <w:tcBorders>
              <w:top w:val="single" w:sz="8" w:color="auto"/>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455,402</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3"/>
                <w:szCs w:val="13"/>
                <w:color w:val="auto"/>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352,597</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541,355</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3"/>
                <w:szCs w:val="13"/>
                <w:color w:val="auto"/>
                <w:w w:val="91"/>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165,105</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3"/>
                <w:szCs w:val="13"/>
                <w:color w:val="auto"/>
                <w:w w:val="91"/>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46,875</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3"/>
                <w:szCs w:val="13"/>
                <w:color w:val="auto"/>
                <w:w w:val="91"/>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40,277</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52,903</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1,196</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75"/>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1,655,710</w:t>
            </w:r>
          </w:p>
        </w:tc>
        <w:tc>
          <w:tcPr>
            <w:tcW w:w="0" w:type="dxa"/>
            <w:vAlign w:val="bottom"/>
          </w:tcPr>
          <w:p>
            <w:pPr>
              <w:spacing w:after="0"/>
              <w:rPr>
                <w:sz w:val="1"/>
                <w:szCs w:val="1"/>
                <w:color w:val="auto"/>
              </w:rPr>
            </w:pPr>
          </w:p>
        </w:tc>
      </w:tr>
      <w:tr>
        <w:trPr>
          <w:trHeight w:val="20"/>
        </w:trPr>
        <w:tc>
          <w:tcPr>
            <w:tcW w:w="28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2980" w:type="dxa"/>
            <w:vAlign w:val="bottom"/>
            <w:gridSpan w:val="2"/>
          </w:tcPr>
          <w:p>
            <w:pPr>
              <w:ind w:left="240"/>
              <w:spacing w:after="0"/>
              <w:rPr>
                <w:sz w:val="20"/>
                <w:szCs w:val="20"/>
                <w:color w:val="auto"/>
              </w:rPr>
            </w:pPr>
            <w:r>
              <w:rPr>
                <w:rFonts w:ascii="Times New Roman" w:cs="Times New Roman" w:eastAsia="Times New Roman" w:hAnsi="Times New Roman"/>
                <w:sz w:val="13"/>
                <w:szCs w:val="13"/>
                <w:color w:val="auto"/>
              </w:rPr>
              <w:t>Current period gross charge-offs</w:t>
            </w:r>
          </w:p>
        </w:tc>
        <w:tc>
          <w:tcPr>
            <w:tcW w:w="180" w:type="dxa"/>
            <w:vAlign w:val="bottom"/>
          </w:tcPr>
          <w:p>
            <w:pPr>
              <w:jc w:val="right"/>
              <w:ind w:right="35"/>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jc w:val="right"/>
              <w:ind w:right="15"/>
              <w:spacing w:after="0"/>
              <w:rPr>
                <w:sz w:val="20"/>
                <w:szCs w:val="20"/>
                <w:color w:val="auto"/>
              </w:rPr>
            </w:pPr>
            <w:r>
              <w:rPr>
                <w:rFonts w:ascii="Times New Roman" w:cs="Times New Roman" w:eastAsia="Times New Roman" w:hAnsi="Times New Roman"/>
                <w:sz w:val="13"/>
                <w:szCs w:val="13"/>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69</w:t>
            </w:r>
          </w:p>
        </w:tc>
        <w:tc>
          <w:tcPr>
            <w:tcW w:w="120" w:type="dxa"/>
            <w:vAlign w:val="bottom"/>
          </w:tcPr>
          <w:p>
            <w:pPr>
              <w:spacing w:after="0"/>
              <w:rPr>
                <w:sz w:val="13"/>
                <w:szCs w:val="13"/>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53</w:t>
            </w:r>
          </w:p>
        </w:tc>
        <w:tc>
          <w:tcPr>
            <w:tcW w:w="120" w:type="dxa"/>
            <w:vAlign w:val="bottom"/>
          </w:tcPr>
          <w:p>
            <w:pPr>
              <w:spacing w:after="0"/>
              <w:rPr>
                <w:sz w:val="13"/>
                <w:szCs w:val="13"/>
                <w:color w:val="auto"/>
              </w:rPr>
            </w:pPr>
          </w:p>
        </w:tc>
        <w:tc>
          <w:tcPr>
            <w:tcW w:w="160" w:type="dxa"/>
            <w:vAlign w:val="bottom"/>
          </w:tcPr>
          <w:p>
            <w:pPr>
              <w:jc w:val="right"/>
              <w:ind w:right="15"/>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jc w:val="right"/>
              <w:ind w:right="15"/>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jc w:val="right"/>
              <w:ind w:right="15"/>
              <w:spacing w:after="0"/>
              <w:rPr>
                <w:sz w:val="20"/>
                <w:szCs w:val="20"/>
                <w:color w:val="auto"/>
              </w:rPr>
            </w:pPr>
            <w:r>
              <w:rPr>
                <w:rFonts w:ascii="Times New Roman" w:cs="Times New Roman" w:eastAsia="Times New Roman" w:hAnsi="Times New Roman"/>
                <w:sz w:val="13"/>
                <w:szCs w:val="13"/>
                <w:color w:val="auto"/>
                <w:w w:val="91"/>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w:t>
            </w:r>
          </w:p>
        </w:tc>
        <w:tc>
          <w:tcPr>
            <w:tcW w:w="100" w:type="dxa"/>
            <w:vAlign w:val="bottom"/>
          </w:tcPr>
          <w:p>
            <w:pPr>
              <w:spacing w:after="0"/>
              <w:rPr>
                <w:sz w:val="13"/>
                <w:szCs w:val="13"/>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jc w:val="right"/>
              <w:ind w:right="75"/>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145</w:t>
            </w:r>
          </w:p>
        </w:tc>
        <w:tc>
          <w:tcPr>
            <w:tcW w:w="0" w:type="dxa"/>
            <w:vAlign w:val="bottom"/>
          </w:tcPr>
          <w:p>
            <w:pPr>
              <w:spacing w:after="0"/>
              <w:rPr>
                <w:sz w:val="1"/>
                <w:szCs w:val="1"/>
                <w:color w:val="auto"/>
              </w:rPr>
            </w:pPr>
          </w:p>
        </w:tc>
      </w:tr>
      <w:tr>
        <w:trPr>
          <w:trHeight w:val="197"/>
        </w:trPr>
        <w:tc>
          <w:tcPr>
            <w:tcW w:w="29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Equipment financing</w:t>
            </w:r>
          </w:p>
        </w:tc>
        <w:tc>
          <w:tcPr>
            <w:tcW w:w="1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2980" w:type="dxa"/>
            <w:vAlign w:val="bottom"/>
            <w:gridSpan w:val="2"/>
          </w:tcPr>
          <w:p>
            <w:pPr>
              <w:ind w:left="140"/>
              <w:spacing w:after="0"/>
              <w:rPr>
                <w:sz w:val="20"/>
                <w:szCs w:val="20"/>
                <w:color w:val="auto"/>
              </w:rPr>
            </w:pPr>
            <w:r>
              <w:rPr>
                <w:rFonts w:ascii="Times New Roman" w:cs="Times New Roman" w:eastAsia="Times New Roman" w:hAnsi="Times New Roman"/>
                <w:sz w:val="13"/>
                <w:szCs w:val="13"/>
                <w:color w:val="auto"/>
              </w:rPr>
              <w:t>Pass</w:t>
            </w:r>
          </w:p>
        </w:tc>
        <w:tc>
          <w:tcPr>
            <w:tcW w:w="180" w:type="dxa"/>
            <w:vAlign w:val="bottom"/>
          </w:tcPr>
          <w:p>
            <w:pPr>
              <w:jc w:val="right"/>
              <w:ind w:right="35"/>
              <w:spacing w:after="0"/>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693,205</w:t>
            </w:r>
          </w:p>
        </w:tc>
        <w:tc>
          <w:tcPr>
            <w:tcW w:w="100" w:type="dxa"/>
            <w:vAlign w:val="bottom"/>
          </w:tcPr>
          <w:p>
            <w:pPr>
              <w:spacing w:after="0"/>
              <w:rPr>
                <w:sz w:val="15"/>
                <w:szCs w:val="15"/>
                <w:color w:val="auto"/>
              </w:rPr>
            </w:pPr>
          </w:p>
        </w:tc>
        <w:tc>
          <w:tcPr>
            <w:tcW w:w="180" w:type="dxa"/>
            <w:vAlign w:val="bottom"/>
          </w:tcPr>
          <w:p>
            <w:pPr>
              <w:jc w:val="right"/>
              <w:ind w:right="15"/>
              <w:spacing w:after="0"/>
              <w:rPr>
                <w:sz w:val="20"/>
                <w:szCs w:val="20"/>
                <w:color w:val="auto"/>
              </w:rPr>
            </w:pPr>
            <w:r>
              <w:rPr>
                <w:rFonts w:ascii="Times New Roman" w:cs="Times New Roman" w:eastAsia="Times New Roman" w:hAnsi="Times New Roman"/>
                <w:sz w:val="13"/>
                <w:szCs w:val="13"/>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454,501</w:t>
            </w:r>
          </w:p>
        </w:tc>
        <w:tc>
          <w:tcPr>
            <w:tcW w:w="12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328,490</w:t>
            </w:r>
          </w:p>
        </w:tc>
        <w:tc>
          <w:tcPr>
            <w:tcW w:w="120" w:type="dxa"/>
            <w:vAlign w:val="bottom"/>
          </w:tcPr>
          <w:p>
            <w:pPr>
              <w:spacing w:after="0"/>
              <w:rPr>
                <w:sz w:val="15"/>
                <w:szCs w:val="15"/>
                <w:color w:val="auto"/>
              </w:rPr>
            </w:pPr>
          </w:p>
        </w:tc>
        <w:tc>
          <w:tcPr>
            <w:tcW w:w="160" w:type="dxa"/>
            <w:vAlign w:val="bottom"/>
          </w:tcPr>
          <w:p>
            <w:pPr>
              <w:jc w:val="right"/>
              <w:ind w:right="15"/>
              <w:spacing w:after="0"/>
              <w:rPr>
                <w:sz w:val="20"/>
                <w:szCs w:val="20"/>
                <w:color w:val="auto"/>
              </w:rPr>
            </w:pPr>
            <w:r>
              <w:rPr>
                <w:rFonts w:ascii="Times New Roman" w:cs="Times New Roman" w:eastAsia="Times New Roman" w:hAnsi="Times New Roman"/>
                <w:sz w:val="13"/>
                <w:szCs w:val="13"/>
                <w:color w:val="auto"/>
                <w:w w:val="91"/>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122,920</w:t>
            </w:r>
          </w:p>
        </w:tc>
        <w:tc>
          <w:tcPr>
            <w:tcW w:w="100" w:type="dxa"/>
            <w:vAlign w:val="bottom"/>
          </w:tcPr>
          <w:p>
            <w:pPr>
              <w:spacing w:after="0"/>
              <w:rPr>
                <w:sz w:val="15"/>
                <w:szCs w:val="15"/>
                <w:color w:val="auto"/>
              </w:rPr>
            </w:pPr>
          </w:p>
        </w:tc>
        <w:tc>
          <w:tcPr>
            <w:tcW w:w="160" w:type="dxa"/>
            <w:vAlign w:val="bottom"/>
          </w:tcPr>
          <w:p>
            <w:pPr>
              <w:jc w:val="right"/>
              <w:ind w:right="15"/>
              <w:spacing w:after="0"/>
              <w:rPr>
                <w:sz w:val="20"/>
                <w:szCs w:val="20"/>
                <w:color w:val="auto"/>
              </w:rPr>
            </w:pPr>
            <w:r>
              <w:rPr>
                <w:rFonts w:ascii="Times New Roman" w:cs="Times New Roman" w:eastAsia="Times New Roman" w:hAnsi="Times New Roman"/>
                <w:sz w:val="13"/>
                <w:szCs w:val="13"/>
                <w:color w:val="auto"/>
                <w:w w:val="91"/>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33,870</w:t>
            </w:r>
          </w:p>
        </w:tc>
        <w:tc>
          <w:tcPr>
            <w:tcW w:w="100" w:type="dxa"/>
            <w:vAlign w:val="bottom"/>
          </w:tcPr>
          <w:p>
            <w:pPr>
              <w:spacing w:after="0"/>
              <w:rPr>
                <w:sz w:val="15"/>
                <w:szCs w:val="15"/>
                <w:color w:val="auto"/>
              </w:rPr>
            </w:pPr>
          </w:p>
        </w:tc>
        <w:tc>
          <w:tcPr>
            <w:tcW w:w="160" w:type="dxa"/>
            <w:vAlign w:val="bottom"/>
          </w:tcPr>
          <w:p>
            <w:pPr>
              <w:jc w:val="right"/>
              <w:ind w:right="15"/>
              <w:spacing w:after="0"/>
              <w:rPr>
                <w:sz w:val="20"/>
                <w:szCs w:val="20"/>
                <w:color w:val="auto"/>
              </w:rPr>
            </w:pPr>
            <w:r>
              <w:rPr>
                <w:rFonts w:ascii="Times New Roman" w:cs="Times New Roman" w:eastAsia="Times New Roman" w:hAnsi="Times New Roman"/>
                <w:sz w:val="13"/>
                <w:szCs w:val="13"/>
                <w:color w:val="auto"/>
                <w:w w:val="91"/>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15,788</w:t>
            </w:r>
          </w:p>
        </w:tc>
        <w:tc>
          <w:tcPr>
            <w:tcW w:w="100" w:type="dxa"/>
            <w:vAlign w:val="bottom"/>
          </w:tcPr>
          <w:p>
            <w:pPr>
              <w:spacing w:after="0"/>
              <w:rPr>
                <w:sz w:val="15"/>
                <w:szCs w:val="15"/>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jc w:val="right"/>
              <w:ind w:right="75"/>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1,648,774</w:t>
            </w:r>
          </w:p>
        </w:tc>
        <w:tc>
          <w:tcPr>
            <w:tcW w:w="0" w:type="dxa"/>
            <w:vAlign w:val="bottom"/>
          </w:tcPr>
          <w:p>
            <w:pPr>
              <w:spacing w:after="0"/>
              <w:rPr>
                <w:sz w:val="1"/>
                <w:szCs w:val="1"/>
                <w:color w:val="auto"/>
              </w:rPr>
            </w:pPr>
          </w:p>
        </w:tc>
      </w:tr>
      <w:tr>
        <w:trPr>
          <w:trHeight w:val="197"/>
        </w:trPr>
        <w:tc>
          <w:tcPr>
            <w:tcW w:w="29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Special Mention</w:t>
            </w:r>
          </w:p>
        </w:tc>
        <w:tc>
          <w:tcPr>
            <w:tcW w:w="18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659</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1,989</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708</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496</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3,852</w:t>
            </w:r>
          </w:p>
        </w:tc>
        <w:tc>
          <w:tcPr>
            <w:tcW w:w="0" w:type="dxa"/>
            <w:vAlign w:val="bottom"/>
          </w:tcPr>
          <w:p>
            <w:pPr>
              <w:spacing w:after="0"/>
              <w:rPr>
                <w:sz w:val="1"/>
                <w:szCs w:val="1"/>
                <w:color w:val="auto"/>
              </w:rPr>
            </w:pPr>
          </w:p>
        </w:tc>
      </w:tr>
      <w:tr>
        <w:trPr>
          <w:trHeight w:val="183"/>
        </w:trPr>
        <w:tc>
          <w:tcPr>
            <w:tcW w:w="2980" w:type="dxa"/>
            <w:vAlign w:val="bottom"/>
            <w:tcBorders>
              <w:bottom w:val="single" w:sz="8" w:color="CCEEFF"/>
            </w:tcBorders>
            <w:gridSpan w:val="2"/>
          </w:tcPr>
          <w:p>
            <w:pPr>
              <w:ind w:left="140"/>
              <w:spacing w:after="0"/>
              <w:rPr>
                <w:sz w:val="20"/>
                <w:szCs w:val="20"/>
                <w:color w:val="auto"/>
              </w:rPr>
            </w:pPr>
            <w:r>
              <w:rPr>
                <w:rFonts w:ascii="Times New Roman" w:cs="Times New Roman" w:eastAsia="Times New Roman" w:hAnsi="Times New Roman"/>
                <w:sz w:val="13"/>
                <w:szCs w:val="13"/>
                <w:color w:val="auto"/>
              </w:rPr>
              <w:t>Substandard</w:t>
            </w:r>
          </w:p>
        </w:tc>
        <w:tc>
          <w:tcPr>
            <w:tcW w:w="18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653</w:t>
            </w:r>
          </w:p>
        </w:tc>
        <w:tc>
          <w:tcPr>
            <w:tcW w:w="10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2,784</w:t>
            </w:r>
          </w:p>
        </w:tc>
        <w:tc>
          <w:tcPr>
            <w:tcW w:w="12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3,453</w:t>
            </w:r>
          </w:p>
        </w:tc>
        <w:tc>
          <w:tcPr>
            <w:tcW w:w="12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1,828</w:t>
            </w:r>
          </w:p>
        </w:tc>
        <w:tc>
          <w:tcPr>
            <w:tcW w:w="10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527</w:t>
            </w:r>
          </w:p>
        </w:tc>
        <w:tc>
          <w:tcPr>
            <w:tcW w:w="10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630</w:t>
            </w:r>
          </w:p>
        </w:tc>
        <w:tc>
          <w:tcPr>
            <w:tcW w:w="10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9,875</w:t>
            </w:r>
          </w:p>
        </w:tc>
        <w:tc>
          <w:tcPr>
            <w:tcW w:w="0" w:type="dxa"/>
            <w:vAlign w:val="bottom"/>
          </w:tcPr>
          <w:p>
            <w:pPr>
              <w:spacing w:after="0"/>
              <w:rPr>
                <w:sz w:val="1"/>
                <w:szCs w:val="1"/>
                <w:color w:val="auto"/>
              </w:rPr>
            </w:pPr>
          </w:p>
        </w:tc>
      </w:tr>
      <w:tr>
        <w:trPr>
          <w:trHeight w:val="209"/>
        </w:trPr>
        <w:tc>
          <w:tcPr>
            <w:tcW w:w="2980" w:type="dxa"/>
            <w:vAlign w:val="bottom"/>
            <w:tcBorders>
              <w:bottom w:val="single" w:sz="8" w:color="CCEEFF"/>
            </w:tcBorders>
            <w:gridSpan w:val="2"/>
            <w:shd w:val="clear" w:color="auto" w:fill="CCEEFF"/>
          </w:tcPr>
          <w:p>
            <w:pPr>
              <w:ind w:left="220"/>
              <w:spacing w:after="0"/>
              <w:rPr>
                <w:sz w:val="20"/>
                <w:szCs w:val="20"/>
                <w:color w:val="auto"/>
              </w:rPr>
            </w:pPr>
            <w:r>
              <w:rPr>
                <w:rFonts w:ascii="Times New Roman" w:cs="Times New Roman" w:eastAsia="Times New Roman" w:hAnsi="Times New Roman"/>
                <w:sz w:val="13"/>
                <w:szCs w:val="13"/>
                <w:color w:val="auto"/>
              </w:rPr>
              <w:t>Total equipment financing</w:t>
            </w:r>
          </w:p>
        </w:tc>
        <w:tc>
          <w:tcPr>
            <w:tcW w:w="180" w:type="dxa"/>
            <w:vAlign w:val="bottom"/>
            <w:tcBorders>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693,858</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3"/>
                <w:szCs w:val="13"/>
                <w:color w:val="auto"/>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457,285</w:t>
            </w:r>
          </w:p>
        </w:tc>
        <w:tc>
          <w:tcPr>
            <w:tcW w:w="1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332,602</w:t>
            </w:r>
          </w:p>
        </w:tc>
        <w:tc>
          <w:tcPr>
            <w:tcW w:w="1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3"/>
                <w:szCs w:val="13"/>
                <w:color w:val="auto"/>
                <w:w w:val="91"/>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126,737</w:t>
            </w: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3"/>
                <w:szCs w:val="13"/>
                <w:color w:val="auto"/>
                <w:w w:val="91"/>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35,105</w:t>
            </w: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3"/>
                <w:szCs w:val="13"/>
                <w:color w:val="auto"/>
                <w:w w:val="91"/>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16,914</w:t>
            </w: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75"/>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1,662,501</w:t>
            </w:r>
          </w:p>
        </w:tc>
        <w:tc>
          <w:tcPr>
            <w:tcW w:w="0" w:type="dxa"/>
            <w:vAlign w:val="bottom"/>
          </w:tcPr>
          <w:p>
            <w:pPr>
              <w:spacing w:after="0"/>
              <w:rPr>
                <w:sz w:val="1"/>
                <w:szCs w:val="1"/>
                <w:color w:val="auto"/>
              </w:rPr>
            </w:pPr>
          </w:p>
        </w:tc>
      </w:tr>
      <w:tr>
        <w:trPr>
          <w:trHeight w:val="20"/>
        </w:trPr>
        <w:tc>
          <w:tcPr>
            <w:tcW w:w="2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2980" w:type="dxa"/>
            <w:vAlign w:val="bottom"/>
            <w:gridSpan w:val="2"/>
          </w:tcPr>
          <w:p>
            <w:pPr>
              <w:ind w:left="240"/>
              <w:spacing w:after="0"/>
              <w:rPr>
                <w:sz w:val="20"/>
                <w:szCs w:val="20"/>
                <w:color w:val="auto"/>
              </w:rPr>
            </w:pPr>
            <w:r>
              <w:rPr>
                <w:rFonts w:ascii="Times New Roman" w:cs="Times New Roman" w:eastAsia="Times New Roman" w:hAnsi="Times New Roman"/>
                <w:sz w:val="13"/>
                <w:szCs w:val="13"/>
                <w:color w:val="auto"/>
              </w:rPr>
              <w:t>Current period gross charge-offs</w:t>
            </w:r>
          </w:p>
        </w:tc>
        <w:tc>
          <w:tcPr>
            <w:tcW w:w="180" w:type="dxa"/>
            <w:vAlign w:val="bottom"/>
          </w:tcPr>
          <w:p>
            <w:pPr>
              <w:jc w:val="right"/>
              <w:ind w:right="35"/>
              <w:spacing w:after="0"/>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261</w:t>
            </w:r>
          </w:p>
        </w:tc>
        <w:tc>
          <w:tcPr>
            <w:tcW w:w="100" w:type="dxa"/>
            <w:vAlign w:val="bottom"/>
          </w:tcPr>
          <w:p>
            <w:pPr>
              <w:spacing w:after="0"/>
              <w:rPr>
                <w:sz w:val="13"/>
                <w:szCs w:val="13"/>
                <w:color w:val="auto"/>
              </w:rPr>
            </w:pPr>
          </w:p>
        </w:tc>
        <w:tc>
          <w:tcPr>
            <w:tcW w:w="180" w:type="dxa"/>
            <w:vAlign w:val="bottom"/>
          </w:tcPr>
          <w:p>
            <w:pPr>
              <w:jc w:val="right"/>
              <w:ind w:right="15"/>
              <w:spacing w:after="0"/>
              <w:rPr>
                <w:sz w:val="20"/>
                <w:szCs w:val="20"/>
                <w:color w:val="auto"/>
              </w:rPr>
            </w:pPr>
            <w:r>
              <w:rPr>
                <w:rFonts w:ascii="Times New Roman" w:cs="Times New Roman" w:eastAsia="Times New Roman" w:hAnsi="Times New Roman"/>
                <w:sz w:val="13"/>
                <w:szCs w:val="13"/>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5,489</w:t>
            </w:r>
          </w:p>
        </w:tc>
        <w:tc>
          <w:tcPr>
            <w:tcW w:w="120" w:type="dxa"/>
            <w:vAlign w:val="bottom"/>
          </w:tcPr>
          <w:p>
            <w:pPr>
              <w:spacing w:after="0"/>
              <w:rPr>
                <w:sz w:val="13"/>
                <w:szCs w:val="13"/>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13,359</w:t>
            </w:r>
          </w:p>
        </w:tc>
        <w:tc>
          <w:tcPr>
            <w:tcW w:w="120" w:type="dxa"/>
            <w:vAlign w:val="bottom"/>
          </w:tcPr>
          <w:p>
            <w:pPr>
              <w:spacing w:after="0"/>
              <w:rPr>
                <w:sz w:val="13"/>
                <w:szCs w:val="13"/>
                <w:color w:val="auto"/>
              </w:rPr>
            </w:pPr>
          </w:p>
        </w:tc>
        <w:tc>
          <w:tcPr>
            <w:tcW w:w="160" w:type="dxa"/>
            <w:vAlign w:val="bottom"/>
          </w:tcPr>
          <w:p>
            <w:pPr>
              <w:jc w:val="right"/>
              <w:ind w:right="15"/>
              <w:spacing w:after="0"/>
              <w:rPr>
                <w:sz w:val="20"/>
                <w:szCs w:val="20"/>
                <w:color w:val="auto"/>
              </w:rPr>
            </w:pPr>
            <w:r>
              <w:rPr>
                <w:rFonts w:ascii="Times New Roman" w:cs="Times New Roman" w:eastAsia="Times New Roman" w:hAnsi="Times New Roman"/>
                <w:sz w:val="13"/>
                <w:szCs w:val="13"/>
                <w:color w:val="auto"/>
                <w:w w:val="91"/>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6,418</w:t>
            </w:r>
          </w:p>
        </w:tc>
        <w:tc>
          <w:tcPr>
            <w:tcW w:w="100" w:type="dxa"/>
            <w:vAlign w:val="bottom"/>
          </w:tcPr>
          <w:p>
            <w:pPr>
              <w:spacing w:after="0"/>
              <w:rPr>
                <w:sz w:val="13"/>
                <w:szCs w:val="13"/>
                <w:color w:val="auto"/>
              </w:rPr>
            </w:pPr>
          </w:p>
        </w:tc>
        <w:tc>
          <w:tcPr>
            <w:tcW w:w="160" w:type="dxa"/>
            <w:vAlign w:val="bottom"/>
          </w:tcPr>
          <w:p>
            <w:pPr>
              <w:jc w:val="right"/>
              <w:ind w:right="15"/>
              <w:spacing w:after="0"/>
              <w:rPr>
                <w:sz w:val="20"/>
                <w:szCs w:val="20"/>
                <w:color w:val="auto"/>
              </w:rPr>
            </w:pPr>
            <w:r>
              <w:rPr>
                <w:rFonts w:ascii="Times New Roman" w:cs="Times New Roman" w:eastAsia="Times New Roman" w:hAnsi="Times New Roman"/>
                <w:sz w:val="13"/>
                <w:szCs w:val="13"/>
                <w:color w:val="auto"/>
                <w:w w:val="91"/>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1,033</w:t>
            </w:r>
          </w:p>
        </w:tc>
        <w:tc>
          <w:tcPr>
            <w:tcW w:w="100" w:type="dxa"/>
            <w:vAlign w:val="bottom"/>
          </w:tcPr>
          <w:p>
            <w:pPr>
              <w:spacing w:after="0"/>
              <w:rPr>
                <w:sz w:val="13"/>
                <w:szCs w:val="13"/>
                <w:color w:val="auto"/>
              </w:rPr>
            </w:pPr>
          </w:p>
        </w:tc>
        <w:tc>
          <w:tcPr>
            <w:tcW w:w="160" w:type="dxa"/>
            <w:vAlign w:val="bottom"/>
          </w:tcPr>
          <w:p>
            <w:pPr>
              <w:jc w:val="right"/>
              <w:ind w:right="15"/>
              <w:spacing w:after="0"/>
              <w:rPr>
                <w:sz w:val="20"/>
                <w:szCs w:val="20"/>
                <w:color w:val="auto"/>
              </w:rPr>
            </w:pPr>
            <w:r>
              <w:rPr>
                <w:rFonts w:ascii="Times New Roman" w:cs="Times New Roman" w:eastAsia="Times New Roman" w:hAnsi="Times New Roman"/>
                <w:sz w:val="13"/>
                <w:szCs w:val="13"/>
                <w:color w:val="auto"/>
                <w:w w:val="91"/>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309</w:t>
            </w:r>
          </w:p>
        </w:tc>
        <w:tc>
          <w:tcPr>
            <w:tcW w:w="100" w:type="dxa"/>
            <w:vAlign w:val="bottom"/>
          </w:tcPr>
          <w:p>
            <w:pPr>
              <w:spacing w:after="0"/>
              <w:rPr>
                <w:sz w:val="13"/>
                <w:szCs w:val="13"/>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jc w:val="right"/>
              <w:ind w:right="75"/>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26,869</w:t>
            </w:r>
          </w:p>
        </w:tc>
        <w:tc>
          <w:tcPr>
            <w:tcW w:w="0" w:type="dxa"/>
            <w:vAlign w:val="bottom"/>
          </w:tcPr>
          <w:p>
            <w:pPr>
              <w:spacing w:after="0"/>
              <w:rPr>
                <w:sz w:val="1"/>
                <w:szCs w:val="1"/>
                <w:color w:val="auto"/>
              </w:rPr>
            </w:pPr>
          </w:p>
        </w:tc>
      </w:tr>
      <w:tr>
        <w:trPr>
          <w:trHeight w:val="197"/>
        </w:trPr>
        <w:tc>
          <w:tcPr>
            <w:tcW w:w="29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Residential mortgage</w:t>
            </w:r>
          </w:p>
        </w:tc>
        <w:tc>
          <w:tcPr>
            <w:tcW w:w="1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2980" w:type="dxa"/>
            <w:vAlign w:val="bottom"/>
            <w:gridSpan w:val="2"/>
          </w:tcPr>
          <w:p>
            <w:pPr>
              <w:ind w:left="140"/>
              <w:spacing w:after="0"/>
              <w:rPr>
                <w:sz w:val="20"/>
                <w:szCs w:val="20"/>
                <w:color w:val="auto"/>
              </w:rPr>
            </w:pPr>
            <w:r>
              <w:rPr>
                <w:rFonts w:ascii="Times New Roman" w:cs="Times New Roman" w:eastAsia="Times New Roman" w:hAnsi="Times New Roman"/>
                <w:sz w:val="13"/>
                <w:szCs w:val="13"/>
                <w:color w:val="auto"/>
              </w:rPr>
              <w:t>Pass</w:t>
            </w:r>
          </w:p>
        </w:tc>
        <w:tc>
          <w:tcPr>
            <w:tcW w:w="180" w:type="dxa"/>
            <w:vAlign w:val="bottom"/>
          </w:tcPr>
          <w:p>
            <w:pPr>
              <w:jc w:val="right"/>
              <w:ind w:right="35"/>
              <w:spacing w:after="0"/>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121,145</w:t>
            </w:r>
          </w:p>
        </w:tc>
        <w:tc>
          <w:tcPr>
            <w:tcW w:w="100" w:type="dxa"/>
            <w:vAlign w:val="bottom"/>
          </w:tcPr>
          <w:p>
            <w:pPr>
              <w:spacing w:after="0"/>
              <w:rPr>
                <w:sz w:val="15"/>
                <w:szCs w:val="15"/>
                <w:color w:val="auto"/>
              </w:rPr>
            </w:pPr>
          </w:p>
        </w:tc>
        <w:tc>
          <w:tcPr>
            <w:tcW w:w="180" w:type="dxa"/>
            <w:vAlign w:val="bottom"/>
          </w:tcPr>
          <w:p>
            <w:pPr>
              <w:jc w:val="right"/>
              <w:ind w:right="15"/>
              <w:spacing w:after="0"/>
              <w:rPr>
                <w:sz w:val="20"/>
                <w:szCs w:val="20"/>
                <w:color w:val="auto"/>
              </w:rPr>
            </w:pPr>
            <w:r>
              <w:rPr>
                <w:rFonts w:ascii="Times New Roman" w:cs="Times New Roman" w:eastAsia="Times New Roman" w:hAnsi="Times New Roman"/>
                <w:sz w:val="13"/>
                <w:szCs w:val="13"/>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321,804</w:t>
            </w:r>
          </w:p>
        </w:tc>
        <w:tc>
          <w:tcPr>
            <w:tcW w:w="12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1,015,693</w:t>
            </w:r>
          </w:p>
        </w:tc>
        <w:tc>
          <w:tcPr>
            <w:tcW w:w="120" w:type="dxa"/>
            <w:vAlign w:val="bottom"/>
          </w:tcPr>
          <w:p>
            <w:pPr>
              <w:spacing w:after="0"/>
              <w:rPr>
                <w:sz w:val="15"/>
                <w:szCs w:val="15"/>
                <w:color w:val="auto"/>
              </w:rPr>
            </w:pPr>
          </w:p>
        </w:tc>
        <w:tc>
          <w:tcPr>
            <w:tcW w:w="160" w:type="dxa"/>
            <w:vAlign w:val="bottom"/>
          </w:tcPr>
          <w:p>
            <w:pPr>
              <w:jc w:val="right"/>
              <w:ind w:right="15"/>
              <w:spacing w:after="0"/>
              <w:rPr>
                <w:sz w:val="20"/>
                <w:szCs w:val="20"/>
                <w:color w:val="auto"/>
              </w:rPr>
            </w:pPr>
            <w:r>
              <w:rPr>
                <w:rFonts w:ascii="Times New Roman" w:cs="Times New Roman" w:eastAsia="Times New Roman" w:hAnsi="Times New Roman"/>
                <w:sz w:val="13"/>
                <w:szCs w:val="13"/>
                <w:color w:val="auto"/>
                <w:w w:val="91"/>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989,673</w:t>
            </w:r>
          </w:p>
        </w:tc>
        <w:tc>
          <w:tcPr>
            <w:tcW w:w="100" w:type="dxa"/>
            <w:vAlign w:val="bottom"/>
          </w:tcPr>
          <w:p>
            <w:pPr>
              <w:spacing w:after="0"/>
              <w:rPr>
                <w:sz w:val="15"/>
                <w:szCs w:val="15"/>
                <w:color w:val="auto"/>
              </w:rPr>
            </w:pPr>
          </w:p>
        </w:tc>
        <w:tc>
          <w:tcPr>
            <w:tcW w:w="160" w:type="dxa"/>
            <w:vAlign w:val="bottom"/>
          </w:tcPr>
          <w:p>
            <w:pPr>
              <w:jc w:val="right"/>
              <w:ind w:right="15"/>
              <w:spacing w:after="0"/>
              <w:rPr>
                <w:sz w:val="20"/>
                <w:szCs w:val="20"/>
                <w:color w:val="auto"/>
              </w:rPr>
            </w:pPr>
            <w:r>
              <w:rPr>
                <w:rFonts w:ascii="Times New Roman" w:cs="Times New Roman" w:eastAsia="Times New Roman" w:hAnsi="Times New Roman"/>
                <w:sz w:val="13"/>
                <w:szCs w:val="13"/>
                <w:color w:val="auto"/>
                <w:w w:val="91"/>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402,894</w:t>
            </w:r>
          </w:p>
        </w:tc>
        <w:tc>
          <w:tcPr>
            <w:tcW w:w="100" w:type="dxa"/>
            <w:vAlign w:val="bottom"/>
          </w:tcPr>
          <w:p>
            <w:pPr>
              <w:spacing w:after="0"/>
              <w:rPr>
                <w:sz w:val="15"/>
                <w:szCs w:val="15"/>
                <w:color w:val="auto"/>
              </w:rPr>
            </w:pPr>
          </w:p>
        </w:tc>
        <w:tc>
          <w:tcPr>
            <w:tcW w:w="160" w:type="dxa"/>
            <w:vAlign w:val="bottom"/>
          </w:tcPr>
          <w:p>
            <w:pPr>
              <w:jc w:val="right"/>
              <w:ind w:right="15"/>
              <w:spacing w:after="0"/>
              <w:rPr>
                <w:sz w:val="20"/>
                <w:szCs w:val="20"/>
                <w:color w:val="auto"/>
              </w:rPr>
            </w:pPr>
            <w:r>
              <w:rPr>
                <w:rFonts w:ascii="Times New Roman" w:cs="Times New Roman" w:eastAsia="Times New Roman" w:hAnsi="Times New Roman"/>
                <w:sz w:val="13"/>
                <w:szCs w:val="13"/>
                <w:color w:val="auto"/>
                <w:w w:val="91"/>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347,249</w:t>
            </w:r>
          </w:p>
        </w:tc>
        <w:tc>
          <w:tcPr>
            <w:tcW w:w="100" w:type="dxa"/>
            <w:vAlign w:val="bottom"/>
          </w:tcPr>
          <w:p>
            <w:pPr>
              <w:spacing w:after="0"/>
              <w:rPr>
                <w:sz w:val="15"/>
                <w:szCs w:val="15"/>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2,971</w:t>
            </w:r>
          </w:p>
        </w:tc>
        <w:tc>
          <w:tcPr>
            <w:tcW w:w="100" w:type="dxa"/>
            <w:vAlign w:val="bottom"/>
          </w:tcPr>
          <w:p>
            <w:pPr>
              <w:spacing w:after="0"/>
              <w:rPr>
                <w:sz w:val="15"/>
                <w:szCs w:val="15"/>
                <w:color w:val="auto"/>
              </w:rPr>
            </w:pPr>
          </w:p>
        </w:tc>
        <w:tc>
          <w:tcPr>
            <w:tcW w:w="240" w:type="dxa"/>
            <w:vAlign w:val="bottom"/>
          </w:tcPr>
          <w:p>
            <w:pPr>
              <w:jc w:val="right"/>
              <w:ind w:right="75"/>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3,201,429</w:t>
            </w:r>
          </w:p>
        </w:tc>
        <w:tc>
          <w:tcPr>
            <w:tcW w:w="0" w:type="dxa"/>
            <w:vAlign w:val="bottom"/>
          </w:tcPr>
          <w:p>
            <w:pPr>
              <w:spacing w:after="0"/>
              <w:rPr>
                <w:sz w:val="1"/>
                <w:szCs w:val="1"/>
                <w:color w:val="auto"/>
              </w:rPr>
            </w:pPr>
          </w:p>
        </w:tc>
      </w:tr>
      <w:tr>
        <w:trPr>
          <w:trHeight w:val="190"/>
        </w:trPr>
        <w:tc>
          <w:tcPr>
            <w:tcW w:w="29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Substandard</w:t>
            </w:r>
          </w:p>
        </w:tc>
        <w:tc>
          <w:tcPr>
            <w:tcW w:w="180" w:type="dxa"/>
            <w:vAlign w:val="bottom"/>
            <w:tcBorders>
              <w:bottom w:val="single" w:sz="8" w:color="auto"/>
            </w:tcBorders>
            <w:shd w:val="clear" w:color="auto" w:fill="CCEEFF"/>
          </w:tcPr>
          <w:p>
            <w:pPr>
              <w:spacing w:after="0"/>
              <w:rPr>
                <w:sz w:val="16"/>
                <w:szCs w:val="16"/>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2,291</w:t>
            </w:r>
          </w:p>
        </w:tc>
        <w:tc>
          <w:tcPr>
            <w:tcW w:w="10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3,841</w:t>
            </w:r>
          </w:p>
        </w:tc>
        <w:tc>
          <w:tcPr>
            <w:tcW w:w="12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8,922</w:t>
            </w:r>
          </w:p>
        </w:tc>
        <w:tc>
          <w:tcPr>
            <w:tcW w:w="12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2,410</w:t>
            </w:r>
          </w:p>
        </w:tc>
        <w:tc>
          <w:tcPr>
            <w:tcW w:w="10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1,748</w:t>
            </w:r>
          </w:p>
        </w:tc>
        <w:tc>
          <w:tcPr>
            <w:tcW w:w="10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10,618</w:t>
            </w:r>
          </w:p>
        </w:tc>
        <w:tc>
          <w:tcPr>
            <w:tcW w:w="10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220</w:t>
            </w:r>
          </w:p>
        </w:tc>
        <w:tc>
          <w:tcPr>
            <w:tcW w:w="100" w:type="dxa"/>
            <w:vAlign w:val="bottom"/>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30,050</w:t>
            </w:r>
          </w:p>
        </w:tc>
        <w:tc>
          <w:tcPr>
            <w:tcW w:w="0" w:type="dxa"/>
            <w:vAlign w:val="bottom"/>
          </w:tcPr>
          <w:p>
            <w:pPr>
              <w:spacing w:after="0"/>
              <w:rPr>
                <w:sz w:val="1"/>
                <w:szCs w:val="1"/>
                <w:color w:val="auto"/>
              </w:rPr>
            </w:pPr>
          </w:p>
        </w:tc>
      </w:tr>
      <w:tr>
        <w:trPr>
          <w:trHeight w:val="189"/>
        </w:trPr>
        <w:tc>
          <w:tcPr>
            <w:tcW w:w="2980" w:type="dxa"/>
            <w:vAlign w:val="bottom"/>
            <w:gridSpan w:val="2"/>
          </w:tcPr>
          <w:p>
            <w:pPr>
              <w:ind w:left="220"/>
              <w:spacing w:after="0"/>
              <w:rPr>
                <w:sz w:val="20"/>
                <w:szCs w:val="20"/>
                <w:color w:val="auto"/>
              </w:rPr>
            </w:pPr>
            <w:r>
              <w:rPr>
                <w:rFonts w:ascii="Times New Roman" w:cs="Times New Roman" w:eastAsia="Times New Roman" w:hAnsi="Times New Roman"/>
                <w:sz w:val="13"/>
                <w:szCs w:val="13"/>
                <w:color w:val="auto"/>
              </w:rPr>
              <w:t>Total residential mortgage</w:t>
            </w:r>
          </w:p>
        </w:tc>
        <w:tc>
          <w:tcPr>
            <w:tcW w:w="180" w:type="dxa"/>
            <w:vAlign w:val="bottom"/>
          </w:tcPr>
          <w:p>
            <w:pPr>
              <w:jc w:val="right"/>
              <w:ind w:right="35"/>
              <w:spacing w:after="0"/>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123,436</w:t>
            </w:r>
          </w:p>
        </w:tc>
        <w:tc>
          <w:tcPr>
            <w:tcW w:w="100" w:type="dxa"/>
            <w:vAlign w:val="bottom"/>
          </w:tcPr>
          <w:p>
            <w:pPr>
              <w:spacing w:after="0"/>
              <w:rPr>
                <w:sz w:val="16"/>
                <w:szCs w:val="16"/>
                <w:color w:val="auto"/>
              </w:rPr>
            </w:pPr>
          </w:p>
        </w:tc>
        <w:tc>
          <w:tcPr>
            <w:tcW w:w="180" w:type="dxa"/>
            <w:vAlign w:val="bottom"/>
          </w:tcPr>
          <w:p>
            <w:pPr>
              <w:jc w:val="right"/>
              <w:ind w:right="15"/>
              <w:spacing w:after="0"/>
              <w:rPr>
                <w:sz w:val="20"/>
                <w:szCs w:val="20"/>
                <w:color w:val="auto"/>
              </w:rPr>
            </w:pPr>
            <w:r>
              <w:rPr>
                <w:rFonts w:ascii="Times New Roman" w:cs="Times New Roman" w:eastAsia="Times New Roman" w:hAnsi="Times New Roman"/>
                <w:sz w:val="13"/>
                <w:szCs w:val="13"/>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325,645</w:t>
            </w:r>
          </w:p>
        </w:tc>
        <w:tc>
          <w:tcPr>
            <w:tcW w:w="12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1,024,615</w:t>
            </w:r>
          </w:p>
        </w:tc>
        <w:tc>
          <w:tcPr>
            <w:tcW w:w="120" w:type="dxa"/>
            <w:vAlign w:val="bottom"/>
          </w:tcPr>
          <w:p>
            <w:pPr>
              <w:spacing w:after="0"/>
              <w:rPr>
                <w:sz w:val="16"/>
                <w:szCs w:val="16"/>
                <w:color w:val="auto"/>
              </w:rPr>
            </w:pPr>
          </w:p>
        </w:tc>
        <w:tc>
          <w:tcPr>
            <w:tcW w:w="160" w:type="dxa"/>
            <w:vAlign w:val="bottom"/>
          </w:tcPr>
          <w:p>
            <w:pPr>
              <w:jc w:val="right"/>
              <w:ind w:right="15"/>
              <w:spacing w:after="0"/>
              <w:rPr>
                <w:sz w:val="20"/>
                <w:szCs w:val="20"/>
                <w:color w:val="auto"/>
              </w:rPr>
            </w:pPr>
            <w:r>
              <w:rPr>
                <w:rFonts w:ascii="Times New Roman" w:cs="Times New Roman" w:eastAsia="Times New Roman" w:hAnsi="Times New Roman"/>
                <w:sz w:val="13"/>
                <w:szCs w:val="13"/>
                <w:color w:val="auto"/>
                <w:w w:val="91"/>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992,083</w:t>
            </w:r>
          </w:p>
        </w:tc>
        <w:tc>
          <w:tcPr>
            <w:tcW w:w="100" w:type="dxa"/>
            <w:vAlign w:val="bottom"/>
          </w:tcPr>
          <w:p>
            <w:pPr>
              <w:spacing w:after="0"/>
              <w:rPr>
                <w:sz w:val="16"/>
                <w:szCs w:val="16"/>
                <w:color w:val="auto"/>
              </w:rPr>
            </w:pPr>
          </w:p>
        </w:tc>
        <w:tc>
          <w:tcPr>
            <w:tcW w:w="160" w:type="dxa"/>
            <w:vAlign w:val="bottom"/>
          </w:tcPr>
          <w:p>
            <w:pPr>
              <w:jc w:val="right"/>
              <w:ind w:right="15"/>
              <w:spacing w:after="0"/>
              <w:rPr>
                <w:sz w:val="20"/>
                <w:szCs w:val="20"/>
                <w:color w:val="auto"/>
              </w:rPr>
            </w:pPr>
            <w:r>
              <w:rPr>
                <w:rFonts w:ascii="Times New Roman" w:cs="Times New Roman" w:eastAsia="Times New Roman" w:hAnsi="Times New Roman"/>
                <w:sz w:val="13"/>
                <w:szCs w:val="13"/>
                <w:color w:val="auto"/>
                <w:w w:val="91"/>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404,642</w:t>
            </w:r>
          </w:p>
        </w:tc>
        <w:tc>
          <w:tcPr>
            <w:tcW w:w="100" w:type="dxa"/>
            <w:vAlign w:val="bottom"/>
          </w:tcPr>
          <w:p>
            <w:pPr>
              <w:spacing w:after="0"/>
              <w:rPr>
                <w:sz w:val="16"/>
                <w:szCs w:val="16"/>
                <w:color w:val="auto"/>
              </w:rPr>
            </w:pPr>
          </w:p>
        </w:tc>
        <w:tc>
          <w:tcPr>
            <w:tcW w:w="160" w:type="dxa"/>
            <w:vAlign w:val="bottom"/>
          </w:tcPr>
          <w:p>
            <w:pPr>
              <w:jc w:val="right"/>
              <w:ind w:right="15"/>
              <w:spacing w:after="0"/>
              <w:rPr>
                <w:sz w:val="20"/>
                <w:szCs w:val="20"/>
                <w:color w:val="auto"/>
              </w:rPr>
            </w:pPr>
            <w:r>
              <w:rPr>
                <w:rFonts w:ascii="Times New Roman" w:cs="Times New Roman" w:eastAsia="Times New Roman" w:hAnsi="Times New Roman"/>
                <w:sz w:val="13"/>
                <w:szCs w:val="13"/>
                <w:color w:val="auto"/>
                <w:w w:val="91"/>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357,867</w:t>
            </w:r>
          </w:p>
        </w:tc>
        <w:tc>
          <w:tcPr>
            <w:tcW w:w="100" w:type="dxa"/>
            <w:vAlign w:val="bottom"/>
          </w:tcPr>
          <w:p>
            <w:pPr>
              <w:spacing w:after="0"/>
              <w:rPr>
                <w:sz w:val="16"/>
                <w:szCs w:val="16"/>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3,191</w:t>
            </w:r>
          </w:p>
        </w:tc>
        <w:tc>
          <w:tcPr>
            <w:tcW w:w="100" w:type="dxa"/>
            <w:vAlign w:val="bottom"/>
          </w:tcPr>
          <w:p>
            <w:pPr>
              <w:spacing w:after="0"/>
              <w:rPr>
                <w:sz w:val="16"/>
                <w:szCs w:val="16"/>
                <w:color w:val="auto"/>
              </w:rPr>
            </w:pPr>
          </w:p>
        </w:tc>
        <w:tc>
          <w:tcPr>
            <w:tcW w:w="240" w:type="dxa"/>
            <w:vAlign w:val="bottom"/>
          </w:tcPr>
          <w:p>
            <w:pPr>
              <w:jc w:val="right"/>
              <w:ind w:right="75"/>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3,231,479</w:t>
            </w:r>
          </w:p>
        </w:tc>
        <w:tc>
          <w:tcPr>
            <w:tcW w:w="0" w:type="dxa"/>
            <w:vAlign w:val="bottom"/>
          </w:tcPr>
          <w:p>
            <w:pPr>
              <w:spacing w:after="0"/>
              <w:rPr>
                <w:sz w:val="1"/>
                <w:szCs w:val="1"/>
                <w:color w:val="auto"/>
              </w:rPr>
            </w:pPr>
          </w:p>
        </w:tc>
      </w:tr>
      <w:tr>
        <w:trPr>
          <w:trHeight w:val="20"/>
        </w:trPr>
        <w:tc>
          <w:tcPr>
            <w:tcW w:w="28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98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3"/>
                <w:szCs w:val="13"/>
                <w:color w:val="auto"/>
              </w:rPr>
              <w:t>Current period gross charge-offs</w:t>
            </w:r>
          </w:p>
        </w:tc>
        <w:tc>
          <w:tcPr>
            <w:tcW w:w="18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87</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3"/>
                <w:szCs w:val="13"/>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124</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71</w:t>
            </w: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3"/>
                <w:szCs w:val="13"/>
                <w:color w:val="auto"/>
                <w:w w:val="91"/>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3"/>
                <w:szCs w:val="13"/>
                <w:color w:val="auto"/>
                <w:w w:val="91"/>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295</w:t>
            </w:r>
          </w:p>
        </w:tc>
        <w:tc>
          <w:tcPr>
            <w:tcW w:w="0" w:type="dxa"/>
            <w:vAlign w:val="bottom"/>
          </w:tcPr>
          <w:p>
            <w:pPr>
              <w:spacing w:after="0"/>
              <w:rPr>
                <w:sz w:val="1"/>
                <w:szCs w:val="1"/>
                <w:color w:val="auto"/>
              </w:rPr>
            </w:pPr>
          </w:p>
        </w:tc>
      </w:tr>
      <w:tr>
        <w:trPr>
          <w:trHeight w:val="181"/>
        </w:trPr>
        <w:tc>
          <w:tcPr>
            <w:tcW w:w="298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Home equity</w:t>
            </w:r>
          </w:p>
        </w:tc>
        <w:tc>
          <w:tcPr>
            <w:tcW w:w="1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7"/>
        </w:trPr>
        <w:tc>
          <w:tcPr>
            <w:tcW w:w="29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Pass</w:t>
            </w:r>
          </w:p>
        </w:tc>
        <w:tc>
          <w:tcPr>
            <w:tcW w:w="18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1,028,340</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31,291</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1,059,631</w:t>
            </w:r>
          </w:p>
        </w:tc>
        <w:tc>
          <w:tcPr>
            <w:tcW w:w="0" w:type="dxa"/>
            <w:vAlign w:val="bottom"/>
          </w:tcPr>
          <w:p>
            <w:pPr>
              <w:spacing w:after="0"/>
              <w:rPr>
                <w:sz w:val="1"/>
                <w:szCs w:val="1"/>
                <w:color w:val="auto"/>
              </w:rPr>
            </w:pPr>
          </w:p>
        </w:tc>
      </w:tr>
      <w:tr>
        <w:trPr>
          <w:trHeight w:val="183"/>
        </w:trPr>
        <w:tc>
          <w:tcPr>
            <w:tcW w:w="2980" w:type="dxa"/>
            <w:vAlign w:val="bottom"/>
            <w:tcBorders>
              <w:bottom w:val="single" w:sz="8" w:color="CCEEFF"/>
            </w:tcBorders>
            <w:gridSpan w:val="2"/>
          </w:tcPr>
          <w:p>
            <w:pPr>
              <w:ind w:left="140"/>
              <w:spacing w:after="0"/>
              <w:rPr>
                <w:sz w:val="20"/>
                <w:szCs w:val="20"/>
                <w:color w:val="auto"/>
              </w:rPr>
            </w:pPr>
            <w:r>
              <w:rPr>
                <w:rFonts w:ascii="Times New Roman" w:cs="Times New Roman" w:eastAsia="Times New Roman" w:hAnsi="Times New Roman"/>
                <w:sz w:val="13"/>
                <w:szCs w:val="13"/>
                <w:color w:val="auto"/>
              </w:rPr>
              <w:t>Substandard</w:t>
            </w:r>
          </w:p>
        </w:tc>
        <w:tc>
          <w:tcPr>
            <w:tcW w:w="18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5,243</w:t>
            </w:r>
          </w:p>
        </w:tc>
        <w:tc>
          <w:tcPr>
            <w:tcW w:w="10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5,243</w:t>
            </w:r>
          </w:p>
        </w:tc>
        <w:tc>
          <w:tcPr>
            <w:tcW w:w="0" w:type="dxa"/>
            <w:vAlign w:val="bottom"/>
          </w:tcPr>
          <w:p>
            <w:pPr>
              <w:spacing w:after="0"/>
              <w:rPr>
                <w:sz w:val="1"/>
                <w:szCs w:val="1"/>
                <w:color w:val="auto"/>
              </w:rPr>
            </w:pPr>
          </w:p>
        </w:tc>
      </w:tr>
      <w:tr>
        <w:trPr>
          <w:trHeight w:val="209"/>
        </w:trPr>
        <w:tc>
          <w:tcPr>
            <w:tcW w:w="2980" w:type="dxa"/>
            <w:vAlign w:val="bottom"/>
            <w:tcBorders>
              <w:bottom w:val="single" w:sz="8" w:color="CCEEFF"/>
            </w:tcBorders>
            <w:gridSpan w:val="2"/>
            <w:shd w:val="clear" w:color="auto" w:fill="CCEEFF"/>
          </w:tcPr>
          <w:p>
            <w:pPr>
              <w:ind w:left="220"/>
              <w:spacing w:after="0"/>
              <w:rPr>
                <w:sz w:val="20"/>
                <w:szCs w:val="20"/>
                <w:color w:val="auto"/>
              </w:rPr>
            </w:pPr>
            <w:r>
              <w:rPr>
                <w:rFonts w:ascii="Times New Roman" w:cs="Times New Roman" w:eastAsia="Times New Roman" w:hAnsi="Times New Roman"/>
                <w:sz w:val="13"/>
                <w:szCs w:val="13"/>
                <w:color w:val="auto"/>
              </w:rPr>
              <w:t>Total home equity</w:t>
            </w:r>
          </w:p>
        </w:tc>
        <w:tc>
          <w:tcPr>
            <w:tcW w:w="180" w:type="dxa"/>
            <w:vAlign w:val="bottom"/>
            <w:tcBorders>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3"/>
                <w:szCs w:val="13"/>
                <w:color w:val="auto"/>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3"/>
                <w:szCs w:val="13"/>
                <w:color w:val="auto"/>
                <w:w w:val="91"/>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3"/>
                <w:szCs w:val="13"/>
                <w:color w:val="auto"/>
                <w:w w:val="91"/>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3"/>
                <w:szCs w:val="13"/>
                <w:color w:val="auto"/>
                <w:w w:val="91"/>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1,028,340</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36,534</w:t>
            </w: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75"/>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1,064,874</w:t>
            </w:r>
          </w:p>
        </w:tc>
        <w:tc>
          <w:tcPr>
            <w:tcW w:w="0" w:type="dxa"/>
            <w:vAlign w:val="bottom"/>
          </w:tcPr>
          <w:p>
            <w:pPr>
              <w:spacing w:after="0"/>
              <w:rPr>
                <w:sz w:val="1"/>
                <w:szCs w:val="1"/>
                <w:color w:val="auto"/>
              </w:rPr>
            </w:pPr>
          </w:p>
        </w:tc>
      </w:tr>
      <w:tr>
        <w:trPr>
          <w:trHeight w:val="20"/>
        </w:trPr>
        <w:tc>
          <w:tcPr>
            <w:tcW w:w="2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2980" w:type="dxa"/>
            <w:vAlign w:val="bottom"/>
            <w:gridSpan w:val="2"/>
          </w:tcPr>
          <w:p>
            <w:pPr>
              <w:ind w:left="240"/>
              <w:spacing w:after="0"/>
              <w:rPr>
                <w:sz w:val="20"/>
                <w:szCs w:val="20"/>
                <w:color w:val="auto"/>
              </w:rPr>
            </w:pPr>
            <w:r>
              <w:rPr>
                <w:rFonts w:ascii="Times New Roman" w:cs="Times New Roman" w:eastAsia="Times New Roman" w:hAnsi="Times New Roman"/>
                <w:sz w:val="13"/>
                <w:szCs w:val="13"/>
                <w:color w:val="auto"/>
              </w:rPr>
              <w:t>Current period gross charge-offs</w:t>
            </w:r>
          </w:p>
        </w:tc>
        <w:tc>
          <w:tcPr>
            <w:tcW w:w="180" w:type="dxa"/>
            <w:vAlign w:val="bottom"/>
          </w:tcPr>
          <w:p>
            <w:pPr>
              <w:jc w:val="right"/>
              <w:ind w:right="35"/>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jc w:val="right"/>
              <w:ind w:right="15"/>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jc w:val="right"/>
              <w:ind w:right="15"/>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jc w:val="right"/>
              <w:ind w:right="15"/>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jc w:val="right"/>
              <w:ind w:right="15"/>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95</w:t>
            </w:r>
          </w:p>
        </w:tc>
        <w:tc>
          <w:tcPr>
            <w:tcW w:w="100" w:type="dxa"/>
            <w:vAlign w:val="bottom"/>
          </w:tcPr>
          <w:p>
            <w:pPr>
              <w:spacing w:after="0"/>
              <w:rPr>
                <w:sz w:val="13"/>
                <w:szCs w:val="13"/>
                <w:color w:val="auto"/>
              </w:rPr>
            </w:pPr>
          </w:p>
        </w:tc>
        <w:tc>
          <w:tcPr>
            <w:tcW w:w="240" w:type="dxa"/>
            <w:vAlign w:val="bottom"/>
          </w:tcPr>
          <w:p>
            <w:pPr>
              <w:jc w:val="right"/>
              <w:ind w:right="75"/>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95</w:t>
            </w:r>
          </w:p>
        </w:tc>
        <w:tc>
          <w:tcPr>
            <w:tcW w:w="0" w:type="dxa"/>
            <w:vAlign w:val="bottom"/>
          </w:tcPr>
          <w:p>
            <w:pPr>
              <w:spacing w:after="0"/>
              <w:rPr>
                <w:sz w:val="1"/>
                <w:szCs w:val="1"/>
                <w:color w:val="auto"/>
              </w:rPr>
            </w:pPr>
          </w:p>
        </w:tc>
      </w:tr>
      <w:tr>
        <w:trPr>
          <w:trHeight w:val="197"/>
        </w:trPr>
        <w:tc>
          <w:tcPr>
            <w:tcW w:w="29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Residential construction</w:t>
            </w:r>
          </w:p>
        </w:tc>
        <w:tc>
          <w:tcPr>
            <w:tcW w:w="1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2980" w:type="dxa"/>
            <w:vAlign w:val="bottom"/>
            <w:gridSpan w:val="2"/>
          </w:tcPr>
          <w:p>
            <w:pPr>
              <w:ind w:left="140"/>
              <w:spacing w:after="0"/>
              <w:rPr>
                <w:sz w:val="20"/>
                <w:szCs w:val="20"/>
                <w:color w:val="auto"/>
              </w:rPr>
            </w:pPr>
            <w:r>
              <w:rPr>
                <w:rFonts w:ascii="Times New Roman" w:cs="Times New Roman" w:eastAsia="Times New Roman" w:hAnsi="Times New Roman"/>
                <w:sz w:val="13"/>
                <w:szCs w:val="13"/>
                <w:color w:val="auto"/>
              </w:rPr>
              <w:t>Pass</w:t>
            </w:r>
          </w:p>
        </w:tc>
        <w:tc>
          <w:tcPr>
            <w:tcW w:w="180" w:type="dxa"/>
            <w:vAlign w:val="bottom"/>
          </w:tcPr>
          <w:p>
            <w:pPr>
              <w:jc w:val="right"/>
              <w:ind w:right="35"/>
              <w:spacing w:after="0"/>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74,854</w:t>
            </w:r>
          </w:p>
        </w:tc>
        <w:tc>
          <w:tcPr>
            <w:tcW w:w="100" w:type="dxa"/>
            <w:vAlign w:val="bottom"/>
          </w:tcPr>
          <w:p>
            <w:pPr>
              <w:spacing w:after="0"/>
              <w:rPr>
                <w:sz w:val="15"/>
                <w:szCs w:val="15"/>
                <w:color w:val="auto"/>
              </w:rPr>
            </w:pPr>
          </w:p>
        </w:tc>
        <w:tc>
          <w:tcPr>
            <w:tcW w:w="180" w:type="dxa"/>
            <w:vAlign w:val="bottom"/>
          </w:tcPr>
          <w:p>
            <w:pPr>
              <w:jc w:val="right"/>
              <w:ind w:right="15"/>
              <w:spacing w:after="0"/>
              <w:rPr>
                <w:sz w:val="20"/>
                <w:szCs w:val="20"/>
                <w:color w:val="auto"/>
              </w:rPr>
            </w:pPr>
            <w:r>
              <w:rPr>
                <w:rFonts w:ascii="Times New Roman" w:cs="Times New Roman" w:eastAsia="Times New Roman" w:hAnsi="Times New Roman"/>
                <w:sz w:val="13"/>
                <w:szCs w:val="13"/>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55,164</w:t>
            </w:r>
          </w:p>
        </w:tc>
        <w:tc>
          <w:tcPr>
            <w:tcW w:w="12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30,216</w:t>
            </w:r>
          </w:p>
        </w:tc>
        <w:tc>
          <w:tcPr>
            <w:tcW w:w="120" w:type="dxa"/>
            <w:vAlign w:val="bottom"/>
          </w:tcPr>
          <w:p>
            <w:pPr>
              <w:spacing w:after="0"/>
              <w:rPr>
                <w:sz w:val="15"/>
                <w:szCs w:val="15"/>
                <w:color w:val="auto"/>
              </w:rPr>
            </w:pPr>
          </w:p>
        </w:tc>
        <w:tc>
          <w:tcPr>
            <w:tcW w:w="160" w:type="dxa"/>
            <w:vAlign w:val="bottom"/>
          </w:tcPr>
          <w:p>
            <w:pPr>
              <w:jc w:val="right"/>
              <w:ind w:right="15"/>
              <w:spacing w:after="0"/>
              <w:rPr>
                <w:sz w:val="20"/>
                <w:szCs w:val="20"/>
                <w:color w:val="auto"/>
              </w:rPr>
            </w:pPr>
            <w:r>
              <w:rPr>
                <w:rFonts w:ascii="Times New Roman" w:cs="Times New Roman" w:eastAsia="Times New Roman" w:hAnsi="Times New Roman"/>
                <w:sz w:val="13"/>
                <w:szCs w:val="13"/>
                <w:color w:val="auto"/>
                <w:w w:val="91"/>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8,539</w:t>
            </w:r>
          </w:p>
        </w:tc>
        <w:tc>
          <w:tcPr>
            <w:tcW w:w="100" w:type="dxa"/>
            <w:vAlign w:val="bottom"/>
          </w:tcPr>
          <w:p>
            <w:pPr>
              <w:spacing w:after="0"/>
              <w:rPr>
                <w:sz w:val="15"/>
                <w:szCs w:val="15"/>
                <w:color w:val="auto"/>
              </w:rPr>
            </w:pPr>
          </w:p>
        </w:tc>
        <w:tc>
          <w:tcPr>
            <w:tcW w:w="160" w:type="dxa"/>
            <w:vAlign w:val="bottom"/>
          </w:tcPr>
          <w:p>
            <w:pPr>
              <w:jc w:val="right"/>
              <w:ind w:right="15"/>
              <w:spacing w:after="0"/>
              <w:rPr>
                <w:sz w:val="20"/>
                <w:szCs w:val="20"/>
                <w:color w:val="auto"/>
              </w:rPr>
            </w:pPr>
            <w:r>
              <w:rPr>
                <w:rFonts w:ascii="Times New Roman" w:cs="Times New Roman" w:eastAsia="Times New Roman" w:hAnsi="Times New Roman"/>
                <w:sz w:val="13"/>
                <w:szCs w:val="13"/>
                <w:color w:val="auto"/>
                <w:w w:val="91"/>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4,528</w:t>
            </w:r>
          </w:p>
        </w:tc>
        <w:tc>
          <w:tcPr>
            <w:tcW w:w="100" w:type="dxa"/>
            <w:vAlign w:val="bottom"/>
          </w:tcPr>
          <w:p>
            <w:pPr>
              <w:spacing w:after="0"/>
              <w:rPr>
                <w:sz w:val="15"/>
                <w:szCs w:val="15"/>
                <w:color w:val="auto"/>
              </w:rPr>
            </w:pPr>
          </w:p>
        </w:tc>
        <w:tc>
          <w:tcPr>
            <w:tcW w:w="160" w:type="dxa"/>
            <w:vAlign w:val="bottom"/>
          </w:tcPr>
          <w:p>
            <w:pPr>
              <w:jc w:val="right"/>
              <w:ind w:right="15"/>
              <w:spacing w:after="0"/>
              <w:rPr>
                <w:sz w:val="20"/>
                <w:szCs w:val="20"/>
                <w:color w:val="auto"/>
              </w:rPr>
            </w:pPr>
            <w:r>
              <w:rPr>
                <w:rFonts w:ascii="Times New Roman" w:cs="Times New Roman" w:eastAsia="Times New Roman" w:hAnsi="Times New Roman"/>
                <w:sz w:val="13"/>
                <w:szCs w:val="13"/>
                <w:color w:val="auto"/>
                <w:w w:val="91"/>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4,872</w:t>
            </w:r>
          </w:p>
        </w:tc>
        <w:tc>
          <w:tcPr>
            <w:tcW w:w="100" w:type="dxa"/>
            <w:vAlign w:val="bottom"/>
          </w:tcPr>
          <w:p>
            <w:pPr>
              <w:spacing w:after="0"/>
              <w:rPr>
                <w:sz w:val="15"/>
                <w:szCs w:val="15"/>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90</w:t>
            </w:r>
          </w:p>
        </w:tc>
        <w:tc>
          <w:tcPr>
            <w:tcW w:w="100" w:type="dxa"/>
            <w:vAlign w:val="bottom"/>
          </w:tcPr>
          <w:p>
            <w:pPr>
              <w:spacing w:after="0"/>
              <w:rPr>
                <w:sz w:val="15"/>
                <w:szCs w:val="15"/>
                <w:color w:val="auto"/>
              </w:rPr>
            </w:pPr>
          </w:p>
        </w:tc>
        <w:tc>
          <w:tcPr>
            <w:tcW w:w="240" w:type="dxa"/>
            <w:vAlign w:val="bottom"/>
          </w:tcPr>
          <w:p>
            <w:pPr>
              <w:jc w:val="right"/>
              <w:ind w:right="75"/>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178,263</w:t>
            </w:r>
          </w:p>
        </w:tc>
        <w:tc>
          <w:tcPr>
            <w:tcW w:w="0" w:type="dxa"/>
            <w:vAlign w:val="bottom"/>
          </w:tcPr>
          <w:p>
            <w:pPr>
              <w:spacing w:after="0"/>
              <w:rPr>
                <w:sz w:val="1"/>
                <w:szCs w:val="1"/>
                <w:color w:val="auto"/>
              </w:rPr>
            </w:pPr>
          </w:p>
        </w:tc>
      </w:tr>
      <w:tr>
        <w:trPr>
          <w:trHeight w:val="190"/>
        </w:trPr>
        <w:tc>
          <w:tcPr>
            <w:tcW w:w="29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Substandard</w:t>
            </w:r>
          </w:p>
        </w:tc>
        <w:tc>
          <w:tcPr>
            <w:tcW w:w="180" w:type="dxa"/>
            <w:vAlign w:val="bottom"/>
            <w:tcBorders>
              <w:bottom w:val="single" w:sz="8" w:color="auto"/>
            </w:tcBorders>
            <w:shd w:val="clear" w:color="auto" w:fill="CCEEFF"/>
          </w:tcPr>
          <w:p>
            <w:pPr>
              <w:spacing w:after="0"/>
              <w:rPr>
                <w:sz w:val="16"/>
                <w:szCs w:val="16"/>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49</w:t>
            </w:r>
          </w:p>
        </w:tc>
        <w:tc>
          <w:tcPr>
            <w:tcW w:w="12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10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90</w:t>
            </w:r>
          </w:p>
        </w:tc>
        <w:tc>
          <w:tcPr>
            <w:tcW w:w="10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142</w:t>
            </w:r>
          </w:p>
        </w:tc>
        <w:tc>
          <w:tcPr>
            <w:tcW w:w="0" w:type="dxa"/>
            <w:vAlign w:val="bottom"/>
          </w:tcPr>
          <w:p>
            <w:pPr>
              <w:spacing w:after="0"/>
              <w:rPr>
                <w:sz w:val="1"/>
                <w:szCs w:val="1"/>
                <w:color w:val="auto"/>
              </w:rPr>
            </w:pPr>
          </w:p>
        </w:tc>
      </w:tr>
      <w:tr>
        <w:trPr>
          <w:trHeight w:val="189"/>
        </w:trPr>
        <w:tc>
          <w:tcPr>
            <w:tcW w:w="2980" w:type="dxa"/>
            <w:vAlign w:val="bottom"/>
            <w:gridSpan w:val="2"/>
          </w:tcPr>
          <w:p>
            <w:pPr>
              <w:ind w:left="220"/>
              <w:spacing w:after="0"/>
              <w:rPr>
                <w:sz w:val="20"/>
                <w:szCs w:val="20"/>
                <w:color w:val="auto"/>
              </w:rPr>
            </w:pPr>
            <w:r>
              <w:rPr>
                <w:rFonts w:ascii="Times New Roman" w:cs="Times New Roman" w:eastAsia="Times New Roman" w:hAnsi="Times New Roman"/>
                <w:sz w:val="13"/>
                <w:szCs w:val="13"/>
                <w:color w:val="auto"/>
              </w:rPr>
              <w:t>Total residential construction</w:t>
            </w:r>
          </w:p>
        </w:tc>
        <w:tc>
          <w:tcPr>
            <w:tcW w:w="180" w:type="dxa"/>
            <w:vAlign w:val="bottom"/>
          </w:tcPr>
          <w:p>
            <w:pPr>
              <w:jc w:val="right"/>
              <w:ind w:right="35"/>
              <w:spacing w:after="0"/>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74,854</w:t>
            </w:r>
          </w:p>
        </w:tc>
        <w:tc>
          <w:tcPr>
            <w:tcW w:w="100" w:type="dxa"/>
            <w:vAlign w:val="bottom"/>
          </w:tcPr>
          <w:p>
            <w:pPr>
              <w:spacing w:after="0"/>
              <w:rPr>
                <w:sz w:val="16"/>
                <w:szCs w:val="16"/>
                <w:color w:val="auto"/>
              </w:rPr>
            </w:pPr>
          </w:p>
        </w:tc>
        <w:tc>
          <w:tcPr>
            <w:tcW w:w="180" w:type="dxa"/>
            <w:vAlign w:val="bottom"/>
          </w:tcPr>
          <w:p>
            <w:pPr>
              <w:jc w:val="right"/>
              <w:ind w:right="15"/>
              <w:spacing w:after="0"/>
              <w:rPr>
                <w:sz w:val="20"/>
                <w:szCs w:val="20"/>
                <w:color w:val="auto"/>
              </w:rPr>
            </w:pPr>
            <w:r>
              <w:rPr>
                <w:rFonts w:ascii="Times New Roman" w:cs="Times New Roman" w:eastAsia="Times New Roman" w:hAnsi="Times New Roman"/>
                <w:sz w:val="13"/>
                <w:szCs w:val="13"/>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55,164</w:t>
            </w:r>
          </w:p>
        </w:tc>
        <w:tc>
          <w:tcPr>
            <w:tcW w:w="12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30,265</w:t>
            </w:r>
          </w:p>
        </w:tc>
        <w:tc>
          <w:tcPr>
            <w:tcW w:w="120" w:type="dxa"/>
            <w:vAlign w:val="bottom"/>
          </w:tcPr>
          <w:p>
            <w:pPr>
              <w:spacing w:after="0"/>
              <w:rPr>
                <w:sz w:val="16"/>
                <w:szCs w:val="16"/>
                <w:color w:val="auto"/>
              </w:rPr>
            </w:pPr>
          </w:p>
        </w:tc>
        <w:tc>
          <w:tcPr>
            <w:tcW w:w="160" w:type="dxa"/>
            <w:vAlign w:val="bottom"/>
          </w:tcPr>
          <w:p>
            <w:pPr>
              <w:jc w:val="right"/>
              <w:ind w:right="15"/>
              <w:spacing w:after="0"/>
              <w:rPr>
                <w:sz w:val="20"/>
                <w:szCs w:val="20"/>
                <w:color w:val="auto"/>
              </w:rPr>
            </w:pPr>
            <w:r>
              <w:rPr>
                <w:rFonts w:ascii="Times New Roman" w:cs="Times New Roman" w:eastAsia="Times New Roman" w:hAnsi="Times New Roman"/>
                <w:sz w:val="13"/>
                <w:szCs w:val="13"/>
                <w:color w:val="auto"/>
                <w:w w:val="91"/>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8,539</w:t>
            </w:r>
          </w:p>
        </w:tc>
        <w:tc>
          <w:tcPr>
            <w:tcW w:w="100" w:type="dxa"/>
            <w:vAlign w:val="bottom"/>
          </w:tcPr>
          <w:p>
            <w:pPr>
              <w:spacing w:after="0"/>
              <w:rPr>
                <w:sz w:val="16"/>
                <w:szCs w:val="16"/>
                <w:color w:val="auto"/>
              </w:rPr>
            </w:pPr>
          </w:p>
        </w:tc>
        <w:tc>
          <w:tcPr>
            <w:tcW w:w="160" w:type="dxa"/>
            <w:vAlign w:val="bottom"/>
          </w:tcPr>
          <w:p>
            <w:pPr>
              <w:jc w:val="right"/>
              <w:ind w:right="15"/>
              <w:spacing w:after="0"/>
              <w:rPr>
                <w:sz w:val="20"/>
                <w:szCs w:val="20"/>
                <w:color w:val="auto"/>
              </w:rPr>
            </w:pPr>
            <w:r>
              <w:rPr>
                <w:rFonts w:ascii="Times New Roman" w:cs="Times New Roman" w:eastAsia="Times New Roman" w:hAnsi="Times New Roman"/>
                <w:sz w:val="13"/>
                <w:szCs w:val="13"/>
                <w:color w:val="auto"/>
                <w:w w:val="91"/>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4,531</w:t>
            </w:r>
          </w:p>
        </w:tc>
        <w:tc>
          <w:tcPr>
            <w:tcW w:w="100" w:type="dxa"/>
            <w:vAlign w:val="bottom"/>
          </w:tcPr>
          <w:p>
            <w:pPr>
              <w:spacing w:after="0"/>
              <w:rPr>
                <w:sz w:val="16"/>
                <w:szCs w:val="16"/>
                <w:color w:val="auto"/>
              </w:rPr>
            </w:pPr>
          </w:p>
        </w:tc>
        <w:tc>
          <w:tcPr>
            <w:tcW w:w="160" w:type="dxa"/>
            <w:vAlign w:val="bottom"/>
          </w:tcPr>
          <w:p>
            <w:pPr>
              <w:jc w:val="right"/>
              <w:ind w:right="15"/>
              <w:spacing w:after="0"/>
              <w:rPr>
                <w:sz w:val="20"/>
                <w:szCs w:val="20"/>
                <w:color w:val="auto"/>
              </w:rPr>
            </w:pPr>
            <w:r>
              <w:rPr>
                <w:rFonts w:ascii="Times New Roman" w:cs="Times New Roman" w:eastAsia="Times New Roman" w:hAnsi="Times New Roman"/>
                <w:sz w:val="13"/>
                <w:szCs w:val="13"/>
                <w:color w:val="auto"/>
                <w:w w:val="91"/>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4,962</w:t>
            </w:r>
          </w:p>
        </w:tc>
        <w:tc>
          <w:tcPr>
            <w:tcW w:w="100" w:type="dxa"/>
            <w:vAlign w:val="bottom"/>
          </w:tcPr>
          <w:p>
            <w:pPr>
              <w:spacing w:after="0"/>
              <w:rPr>
                <w:sz w:val="16"/>
                <w:szCs w:val="16"/>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90</w:t>
            </w:r>
          </w:p>
        </w:tc>
        <w:tc>
          <w:tcPr>
            <w:tcW w:w="100" w:type="dxa"/>
            <w:vAlign w:val="bottom"/>
          </w:tcPr>
          <w:p>
            <w:pPr>
              <w:spacing w:after="0"/>
              <w:rPr>
                <w:sz w:val="16"/>
                <w:szCs w:val="16"/>
                <w:color w:val="auto"/>
              </w:rPr>
            </w:pPr>
          </w:p>
        </w:tc>
        <w:tc>
          <w:tcPr>
            <w:tcW w:w="240" w:type="dxa"/>
            <w:vAlign w:val="bottom"/>
          </w:tcPr>
          <w:p>
            <w:pPr>
              <w:jc w:val="right"/>
              <w:ind w:right="75"/>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178,405</w:t>
            </w:r>
          </w:p>
        </w:tc>
        <w:tc>
          <w:tcPr>
            <w:tcW w:w="0" w:type="dxa"/>
            <w:vAlign w:val="bottom"/>
          </w:tcPr>
          <w:p>
            <w:pPr>
              <w:spacing w:after="0"/>
              <w:rPr>
                <w:sz w:val="1"/>
                <w:szCs w:val="1"/>
                <w:color w:val="auto"/>
              </w:rPr>
            </w:pPr>
          </w:p>
        </w:tc>
      </w:tr>
      <w:tr>
        <w:trPr>
          <w:trHeight w:val="20"/>
        </w:trPr>
        <w:tc>
          <w:tcPr>
            <w:tcW w:w="28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98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3"/>
                <w:szCs w:val="13"/>
                <w:color w:val="auto"/>
              </w:rPr>
              <w:t>Current period gross charge-offs</w:t>
            </w:r>
          </w:p>
        </w:tc>
        <w:tc>
          <w:tcPr>
            <w:tcW w:w="18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3"/>
                <w:szCs w:val="13"/>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221</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73</w:t>
            </w: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3"/>
                <w:szCs w:val="13"/>
                <w:color w:val="auto"/>
                <w:w w:val="91"/>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48</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342</w:t>
            </w:r>
          </w:p>
        </w:tc>
        <w:tc>
          <w:tcPr>
            <w:tcW w:w="0" w:type="dxa"/>
            <w:vAlign w:val="bottom"/>
          </w:tcPr>
          <w:p>
            <w:pPr>
              <w:spacing w:after="0"/>
              <w:rPr>
                <w:sz w:val="1"/>
                <w:szCs w:val="1"/>
                <w:color w:val="auto"/>
              </w:rPr>
            </w:pPr>
          </w:p>
        </w:tc>
      </w:tr>
      <w:tr>
        <w:trPr>
          <w:trHeight w:val="181"/>
        </w:trPr>
        <w:tc>
          <w:tcPr>
            <w:tcW w:w="298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Manufactured housing</w:t>
            </w:r>
          </w:p>
        </w:tc>
        <w:tc>
          <w:tcPr>
            <w:tcW w:w="1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7"/>
        </w:trPr>
        <w:tc>
          <w:tcPr>
            <w:tcW w:w="29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Pass</w:t>
            </w:r>
          </w:p>
        </w:tc>
        <w:tc>
          <w:tcPr>
            <w:tcW w:w="18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124</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3"/>
                <w:szCs w:val="13"/>
                <w:color w:val="auto"/>
                <w:w w:val="91"/>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150</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274</w:t>
            </w:r>
          </w:p>
        </w:tc>
        <w:tc>
          <w:tcPr>
            <w:tcW w:w="0" w:type="dxa"/>
            <w:vAlign w:val="bottom"/>
          </w:tcPr>
          <w:p>
            <w:pPr>
              <w:spacing w:after="0"/>
              <w:rPr>
                <w:sz w:val="1"/>
                <w:szCs w:val="1"/>
                <w:color w:val="auto"/>
              </w:rPr>
            </w:pPr>
          </w:p>
        </w:tc>
      </w:tr>
      <w:tr>
        <w:trPr>
          <w:trHeight w:val="183"/>
        </w:trPr>
        <w:tc>
          <w:tcPr>
            <w:tcW w:w="2980" w:type="dxa"/>
            <w:vAlign w:val="bottom"/>
            <w:tcBorders>
              <w:bottom w:val="single" w:sz="8" w:color="CCEEFF"/>
            </w:tcBorders>
            <w:gridSpan w:val="2"/>
          </w:tcPr>
          <w:p>
            <w:pPr>
              <w:ind w:left="140"/>
              <w:spacing w:after="0"/>
              <w:rPr>
                <w:sz w:val="20"/>
                <w:szCs w:val="20"/>
                <w:color w:val="auto"/>
              </w:rPr>
            </w:pPr>
            <w:r>
              <w:rPr>
                <w:rFonts w:ascii="Times New Roman" w:cs="Times New Roman" w:eastAsia="Times New Roman" w:hAnsi="Times New Roman"/>
                <w:sz w:val="13"/>
                <w:szCs w:val="13"/>
                <w:color w:val="auto"/>
              </w:rPr>
              <w:t>Substandard</w:t>
            </w:r>
          </w:p>
        </w:tc>
        <w:tc>
          <w:tcPr>
            <w:tcW w:w="18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285</w:t>
            </w:r>
          </w:p>
        </w:tc>
        <w:tc>
          <w:tcPr>
            <w:tcW w:w="10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506</w:t>
            </w:r>
          </w:p>
        </w:tc>
        <w:tc>
          <w:tcPr>
            <w:tcW w:w="12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178</w:t>
            </w:r>
          </w:p>
        </w:tc>
        <w:tc>
          <w:tcPr>
            <w:tcW w:w="12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112</w:t>
            </w:r>
          </w:p>
        </w:tc>
        <w:tc>
          <w:tcPr>
            <w:tcW w:w="10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169</w:t>
            </w:r>
          </w:p>
        </w:tc>
        <w:tc>
          <w:tcPr>
            <w:tcW w:w="10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199</w:t>
            </w:r>
          </w:p>
        </w:tc>
        <w:tc>
          <w:tcPr>
            <w:tcW w:w="10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1,449</w:t>
            </w:r>
          </w:p>
        </w:tc>
        <w:tc>
          <w:tcPr>
            <w:tcW w:w="0" w:type="dxa"/>
            <w:vAlign w:val="bottom"/>
          </w:tcPr>
          <w:p>
            <w:pPr>
              <w:spacing w:after="0"/>
              <w:rPr>
                <w:sz w:val="1"/>
                <w:szCs w:val="1"/>
                <w:color w:val="auto"/>
              </w:rPr>
            </w:pPr>
          </w:p>
        </w:tc>
      </w:tr>
      <w:tr>
        <w:trPr>
          <w:trHeight w:val="209"/>
        </w:trPr>
        <w:tc>
          <w:tcPr>
            <w:tcW w:w="2980" w:type="dxa"/>
            <w:vAlign w:val="bottom"/>
            <w:tcBorders>
              <w:bottom w:val="single" w:sz="8" w:color="CCEEFF"/>
            </w:tcBorders>
            <w:gridSpan w:val="2"/>
            <w:shd w:val="clear" w:color="auto" w:fill="CCEEFF"/>
          </w:tcPr>
          <w:p>
            <w:pPr>
              <w:ind w:left="220"/>
              <w:spacing w:after="0"/>
              <w:rPr>
                <w:sz w:val="20"/>
                <w:szCs w:val="20"/>
                <w:color w:val="auto"/>
              </w:rPr>
            </w:pPr>
            <w:r>
              <w:rPr>
                <w:rFonts w:ascii="Times New Roman" w:cs="Times New Roman" w:eastAsia="Times New Roman" w:hAnsi="Times New Roman"/>
                <w:sz w:val="13"/>
                <w:szCs w:val="13"/>
                <w:color w:val="auto"/>
              </w:rPr>
              <w:t>Total manufactured housing</w:t>
            </w:r>
          </w:p>
        </w:tc>
        <w:tc>
          <w:tcPr>
            <w:tcW w:w="180" w:type="dxa"/>
            <w:vAlign w:val="bottom"/>
            <w:tcBorders>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409</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3"/>
                <w:szCs w:val="13"/>
                <w:color w:val="auto"/>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506</w:t>
            </w:r>
          </w:p>
        </w:tc>
        <w:tc>
          <w:tcPr>
            <w:tcW w:w="1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178</w:t>
            </w:r>
          </w:p>
        </w:tc>
        <w:tc>
          <w:tcPr>
            <w:tcW w:w="1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3"/>
                <w:szCs w:val="13"/>
                <w:color w:val="auto"/>
                <w:w w:val="91"/>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112</w:t>
            </w: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3"/>
                <w:szCs w:val="13"/>
                <w:color w:val="auto"/>
                <w:w w:val="91"/>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169</w:t>
            </w: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3"/>
                <w:szCs w:val="13"/>
                <w:color w:val="auto"/>
                <w:w w:val="91"/>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349</w:t>
            </w: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75"/>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1,723</w:t>
            </w:r>
          </w:p>
        </w:tc>
        <w:tc>
          <w:tcPr>
            <w:tcW w:w="0" w:type="dxa"/>
            <w:vAlign w:val="bottom"/>
          </w:tcPr>
          <w:p>
            <w:pPr>
              <w:spacing w:after="0"/>
              <w:rPr>
                <w:sz w:val="1"/>
                <w:szCs w:val="1"/>
                <w:color w:val="auto"/>
              </w:rPr>
            </w:pPr>
          </w:p>
        </w:tc>
      </w:tr>
      <w:tr>
        <w:trPr>
          <w:trHeight w:val="20"/>
        </w:trPr>
        <w:tc>
          <w:tcPr>
            <w:tcW w:w="2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2980" w:type="dxa"/>
            <w:vAlign w:val="bottom"/>
            <w:gridSpan w:val="2"/>
          </w:tcPr>
          <w:p>
            <w:pPr>
              <w:ind w:left="240"/>
              <w:spacing w:after="0"/>
              <w:rPr>
                <w:sz w:val="20"/>
                <w:szCs w:val="20"/>
                <w:color w:val="auto"/>
              </w:rPr>
            </w:pPr>
            <w:r>
              <w:rPr>
                <w:rFonts w:ascii="Times New Roman" w:cs="Times New Roman" w:eastAsia="Times New Roman" w:hAnsi="Times New Roman"/>
                <w:sz w:val="13"/>
                <w:szCs w:val="13"/>
                <w:color w:val="auto"/>
              </w:rPr>
              <w:t>Current period gross charge-offs</w:t>
            </w:r>
          </w:p>
        </w:tc>
        <w:tc>
          <w:tcPr>
            <w:tcW w:w="180" w:type="dxa"/>
            <w:vAlign w:val="bottom"/>
          </w:tcPr>
          <w:p>
            <w:pPr>
              <w:jc w:val="right"/>
              <w:ind w:right="35"/>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jc w:val="right"/>
              <w:ind w:right="15"/>
              <w:spacing w:after="0"/>
              <w:rPr>
                <w:sz w:val="20"/>
                <w:szCs w:val="20"/>
                <w:color w:val="auto"/>
              </w:rPr>
            </w:pPr>
            <w:r>
              <w:rPr>
                <w:rFonts w:ascii="Times New Roman" w:cs="Times New Roman" w:eastAsia="Times New Roman" w:hAnsi="Times New Roman"/>
                <w:sz w:val="13"/>
                <w:szCs w:val="13"/>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1,679</w:t>
            </w:r>
          </w:p>
        </w:tc>
        <w:tc>
          <w:tcPr>
            <w:tcW w:w="120" w:type="dxa"/>
            <w:vAlign w:val="bottom"/>
          </w:tcPr>
          <w:p>
            <w:pPr>
              <w:spacing w:after="0"/>
              <w:rPr>
                <w:sz w:val="13"/>
                <w:szCs w:val="13"/>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3,570</w:t>
            </w:r>
          </w:p>
        </w:tc>
        <w:tc>
          <w:tcPr>
            <w:tcW w:w="120" w:type="dxa"/>
            <w:vAlign w:val="bottom"/>
          </w:tcPr>
          <w:p>
            <w:pPr>
              <w:spacing w:after="0"/>
              <w:rPr>
                <w:sz w:val="13"/>
                <w:szCs w:val="13"/>
                <w:color w:val="auto"/>
              </w:rPr>
            </w:pPr>
          </w:p>
        </w:tc>
        <w:tc>
          <w:tcPr>
            <w:tcW w:w="160" w:type="dxa"/>
            <w:vAlign w:val="bottom"/>
          </w:tcPr>
          <w:p>
            <w:pPr>
              <w:jc w:val="right"/>
              <w:ind w:right="15"/>
              <w:spacing w:after="0"/>
              <w:rPr>
                <w:sz w:val="20"/>
                <w:szCs w:val="20"/>
                <w:color w:val="auto"/>
              </w:rPr>
            </w:pPr>
            <w:r>
              <w:rPr>
                <w:rFonts w:ascii="Times New Roman" w:cs="Times New Roman" w:eastAsia="Times New Roman" w:hAnsi="Times New Roman"/>
                <w:sz w:val="13"/>
                <w:szCs w:val="13"/>
                <w:color w:val="auto"/>
                <w:w w:val="91"/>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2,518</w:t>
            </w:r>
          </w:p>
        </w:tc>
        <w:tc>
          <w:tcPr>
            <w:tcW w:w="100" w:type="dxa"/>
            <w:vAlign w:val="bottom"/>
          </w:tcPr>
          <w:p>
            <w:pPr>
              <w:spacing w:after="0"/>
              <w:rPr>
                <w:sz w:val="13"/>
                <w:szCs w:val="13"/>
                <w:color w:val="auto"/>
              </w:rPr>
            </w:pPr>
          </w:p>
        </w:tc>
        <w:tc>
          <w:tcPr>
            <w:tcW w:w="160" w:type="dxa"/>
            <w:vAlign w:val="bottom"/>
          </w:tcPr>
          <w:p>
            <w:pPr>
              <w:jc w:val="right"/>
              <w:ind w:right="15"/>
              <w:spacing w:after="0"/>
              <w:rPr>
                <w:sz w:val="20"/>
                <w:szCs w:val="20"/>
                <w:color w:val="auto"/>
              </w:rPr>
            </w:pPr>
            <w:r>
              <w:rPr>
                <w:rFonts w:ascii="Times New Roman" w:cs="Times New Roman" w:eastAsia="Times New Roman" w:hAnsi="Times New Roman"/>
                <w:sz w:val="13"/>
                <w:szCs w:val="13"/>
                <w:color w:val="auto"/>
                <w:w w:val="91"/>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2,518</w:t>
            </w:r>
          </w:p>
        </w:tc>
        <w:tc>
          <w:tcPr>
            <w:tcW w:w="100" w:type="dxa"/>
            <w:vAlign w:val="bottom"/>
          </w:tcPr>
          <w:p>
            <w:pPr>
              <w:spacing w:after="0"/>
              <w:rPr>
                <w:sz w:val="13"/>
                <w:szCs w:val="13"/>
                <w:color w:val="auto"/>
              </w:rPr>
            </w:pPr>
          </w:p>
        </w:tc>
        <w:tc>
          <w:tcPr>
            <w:tcW w:w="160" w:type="dxa"/>
            <w:vAlign w:val="bottom"/>
          </w:tcPr>
          <w:p>
            <w:pPr>
              <w:jc w:val="right"/>
              <w:ind w:right="15"/>
              <w:spacing w:after="0"/>
              <w:rPr>
                <w:sz w:val="20"/>
                <w:szCs w:val="20"/>
                <w:color w:val="auto"/>
              </w:rPr>
            </w:pPr>
            <w:r>
              <w:rPr>
                <w:rFonts w:ascii="Times New Roman" w:cs="Times New Roman" w:eastAsia="Times New Roman" w:hAnsi="Times New Roman"/>
                <w:sz w:val="13"/>
                <w:szCs w:val="13"/>
                <w:color w:val="auto"/>
                <w:w w:val="91"/>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4,304</w:t>
            </w:r>
          </w:p>
        </w:tc>
        <w:tc>
          <w:tcPr>
            <w:tcW w:w="100" w:type="dxa"/>
            <w:vAlign w:val="bottom"/>
          </w:tcPr>
          <w:p>
            <w:pPr>
              <w:spacing w:after="0"/>
              <w:rPr>
                <w:sz w:val="13"/>
                <w:szCs w:val="13"/>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jc w:val="right"/>
              <w:ind w:right="75"/>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14,589</w:t>
            </w:r>
          </w:p>
        </w:tc>
        <w:tc>
          <w:tcPr>
            <w:tcW w:w="0" w:type="dxa"/>
            <w:vAlign w:val="bottom"/>
          </w:tcPr>
          <w:p>
            <w:pPr>
              <w:spacing w:after="0"/>
              <w:rPr>
                <w:sz w:val="1"/>
                <w:szCs w:val="1"/>
                <w:color w:val="auto"/>
              </w:rPr>
            </w:pPr>
          </w:p>
        </w:tc>
      </w:tr>
      <w:tr>
        <w:trPr>
          <w:trHeight w:val="197"/>
        </w:trPr>
        <w:tc>
          <w:tcPr>
            <w:tcW w:w="29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Consumer</w:t>
            </w:r>
          </w:p>
        </w:tc>
        <w:tc>
          <w:tcPr>
            <w:tcW w:w="1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2980" w:type="dxa"/>
            <w:vAlign w:val="bottom"/>
            <w:gridSpan w:val="2"/>
          </w:tcPr>
          <w:p>
            <w:pPr>
              <w:ind w:left="140"/>
              <w:spacing w:after="0"/>
              <w:rPr>
                <w:sz w:val="20"/>
                <w:szCs w:val="20"/>
                <w:color w:val="auto"/>
              </w:rPr>
            </w:pPr>
            <w:r>
              <w:rPr>
                <w:rFonts w:ascii="Times New Roman" w:cs="Times New Roman" w:eastAsia="Times New Roman" w:hAnsi="Times New Roman"/>
                <w:sz w:val="13"/>
                <w:szCs w:val="13"/>
                <w:color w:val="auto"/>
              </w:rPr>
              <w:t>Pass</w:t>
            </w:r>
          </w:p>
        </w:tc>
        <w:tc>
          <w:tcPr>
            <w:tcW w:w="180" w:type="dxa"/>
            <w:vAlign w:val="bottom"/>
          </w:tcPr>
          <w:p>
            <w:pPr>
              <w:jc w:val="right"/>
              <w:ind w:right="35"/>
              <w:spacing w:after="0"/>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84,100</w:t>
            </w:r>
          </w:p>
        </w:tc>
        <w:tc>
          <w:tcPr>
            <w:tcW w:w="100" w:type="dxa"/>
            <w:vAlign w:val="bottom"/>
          </w:tcPr>
          <w:p>
            <w:pPr>
              <w:spacing w:after="0"/>
              <w:rPr>
                <w:sz w:val="15"/>
                <w:szCs w:val="15"/>
                <w:color w:val="auto"/>
              </w:rPr>
            </w:pPr>
          </w:p>
        </w:tc>
        <w:tc>
          <w:tcPr>
            <w:tcW w:w="180" w:type="dxa"/>
            <w:vAlign w:val="bottom"/>
          </w:tcPr>
          <w:p>
            <w:pPr>
              <w:jc w:val="right"/>
              <w:ind w:right="15"/>
              <w:spacing w:after="0"/>
              <w:rPr>
                <w:sz w:val="20"/>
                <w:szCs w:val="20"/>
                <w:color w:val="auto"/>
              </w:rPr>
            </w:pPr>
            <w:r>
              <w:rPr>
                <w:rFonts w:ascii="Times New Roman" w:cs="Times New Roman" w:eastAsia="Times New Roman" w:hAnsi="Times New Roman"/>
                <w:sz w:val="13"/>
                <w:szCs w:val="13"/>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43,889</w:t>
            </w:r>
          </w:p>
        </w:tc>
        <w:tc>
          <w:tcPr>
            <w:tcW w:w="12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20,332</w:t>
            </w:r>
          </w:p>
        </w:tc>
        <w:tc>
          <w:tcPr>
            <w:tcW w:w="120" w:type="dxa"/>
            <w:vAlign w:val="bottom"/>
          </w:tcPr>
          <w:p>
            <w:pPr>
              <w:spacing w:after="0"/>
              <w:rPr>
                <w:sz w:val="15"/>
                <w:szCs w:val="15"/>
                <w:color w:val="auto"/>
              </w:rPr>
            </w:pPr>
          </w:p>
        </w:tc>
        <w:tc>
          <w:tcPr>
            <w:tcW w:w="160" w:type="dxa"/>
            <w:vAlign w:val="bottom"/>
          </w:tcPr>
          <w:p>
            <w:pPr>
              <w:jc w:val="right"/>
              <w:ind w:right="15"/>
              <w:spacing w:after="0"/>
              <w:rPr>
                <w:sz w:val="20"/>
                <w:szCs w:val="20"/>
                <w:color w:val="auto"/>
              </w:rPr>
            </w:pPr>
            <w:r>
              <w:rPr>
                <w:rFonts w:ascii="Times New Roman" w:cs="Times New Roman" w:eastAsia="Times New Roman" w:hAnsi="Times New Roman"/>
                <w:sz w:val="13"/>
                <w:szCs w:val="13"/>
                <w:color w:val="auto"/>
                <w:w w:val="91"/>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7,103</w:t>
            </w:r>
          </w:p>
        </w:tc>
        <w:tc>
          <w:tcPr>
            <w:tcW w:w="100" w:type="dxa"/>
            <w:vAlign w:val="bottom"/>
          </w:tcPr>
          <w:p>
            <w:pPr>
              <w:spacing w:after="0"/>
              <w:rPr>
                <w:sz w:val="15"/>
                <w:szCs w:val="15"/>
                <w:color w:val="auto"/>
              </w:rPr>
            </w:pPr>
          </w:p>
        </w:tc>
        <w:tc>
          <w:tcPr>
            <w:tcW w:w="160" w:type="dxa"/>
            <w:vAlign w:val="bottom"/>
          </w:tcPr>
          <w:p>
            <w:pPr>
              <w:jc w:val="right"/>
              <w:ind w:right="15"/>
              <w:spacing w:after="0"/>
              <w:rPr>
                <w:sz w:val="20"/>
                <w:szCs w:val="20"/>
                <w:color w:val="auto"/>
              </w:rPr>
            </w:pPr>
            <w:r>
              <w:rPr>
                <w:rFonts w:ascii="Times New Roman" w:cs="Times New Roman" w:eastAsia="Times New Roman" w:hAnsi="Times New Roman"/>
                <w:sz w:val="13"/>
                <w:szCs w:val="13"/>
                <w:color w:val="auto"/>
                <w:w w:val="91"/>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7,625</w:t>
            </w:r>
          </w:p>
        </w:tc>
        <w:tc>
          <w:tcPr>
            <w:tcW w:w="100" w:type="dxa"/>
            <w:vAlign w:val="bottom"/>
          </w:tcPr>
          <w:p>
            <w:pPr>
              <w:spacing w:after="0"/>
              <w:rPr>
                <w:sz w:val="15"/>
                <w:szCs w:val="15"/>
                <w:color w:val="auto"/>
              </w:rPr>
            </w:pPr>
          </w:p>
        </w:tc>
        <w:tc>
          <w:tcPr>
            <w:tcW w:w="160" w:type="dxa"/>
            <w:vAlign w:val="bottom"/>
          </w:tcPr>
          <w:p>
            <w:pPr>
              <w:jc w:val="right"/>
              <w:ind w:right="15"/>
              <w:spacing w:after="0"/>
              <w:rPr>
                <w:sz w:val="20"/>
                <w:szCs w:val="20"/>
                <w:color w:val="auto"/>
              </w:rPr>
            </w:pPr>
            <w:r>
              <w:rPr>
                <w:rFonts w:ascii="Times New Roman" w:cs="Times New Roman" w:eastAsia="Times New Roman" w:hAnsi="Times New Roman"/>
                <w:sz w:val="13"/>
                <w:szCs w:val="13"/>
                <w:color w:val="auto"/>
                <w:w w:val="91"/>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563</w:t>
            </w:r>
          </w:p>
        </w:tc>
        <w:tc>
          <w:tcPr>
            <w:tcW w:w="100" w:type="dxa"/>
            <w:vAlign w:val="bottom"/>
          </w:tcPr>
          <w:p>
            <w:pPr>
              <w:spacing w:after="0"/>
              <w:rPr>
                <w:sz w:val="15"/>
                <w:szCs w:val="15"/>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22,508</w:t>
            </w:r>
          </w:p>
        </w:tc>
        <w:tc>
          <w:tcPr>
            <w:tcW w:w="10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100</w:t>
            </w:r>
          </w:p>
        </w:tc>
        <w:tc>
          <w:tcPr>
            <w:tcW w:w="100" w:type="dxa"/>
            <w:vAlign w:val="bottom"/>
          </w:tcPr>
          <w:p>
            <w:pPr>
              <w:spacing w:after="0"/>
              <w:rPr>
                <w:sz w:val="15"/>
                <w:szCs w:val="15"/>
                <w:color w:val="auto"/>
              </w:rPr>
            </w:pPr>
          </w:p>
        </w:tc>
        <w:tc>
          <w:tcPr>
            <w:tcW w:w="240" w:type="dxa"/>
            <w:vAlign w:val="bottom"/>
          </w:tcPr>
          <w:p>
            <w:pPr>
              <w:jc w:val="right"/>
              <w:ind w:right="75"/>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186,220</w:t>
            </w:r>
          </w:p>
        </w:tc>
        <w:tc>
          <w:tcPr>
            <w:tcW w:w="0" w:type="dxa"/>
            <w:vAlign w:val="bottom"/>
          </w:tcPr>
          <w:p>
            <w:pPr>
              <w:spacing w:after="0"/>
              <w:rPr>
                <w:sz w:val="1"/>
                <w:szCs w:val="1"/>
                <w:color w:val="auto"/>
              </w:rPr>
            </w:pPr>
          </w:p>
        </w:tc>
      </w:tr>
      <w:tr>
        <w:trPr>
          <w:trHeight w:val="191"/>
        </w:trPr>
        <w:tc>
          <w:tcPr>
            <w:tcW w:w="29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Substandard</w:t>
            </w:r>
          </w:p>
        </w:tc>
        <w:tc>
          <w:tcPr>
            <w:tcW w:w="18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118</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42</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36</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30</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228</w:t>
            </w:r>
          </w:p>
        </w:tc>
        <w:tc>
          <w:tcPr>
            <w:tcW w:w="0" w:type="dxa"/>
            <w:vAlign w:val="bottom"/>
          </w:tcPr>
          <w:p>
            <w:pPr>
              <w:spacing w:after="0"/>
              <w:rPr>
                <w:sz w:val="1"/>
                <w:szCs w:val="1"/>
                <w:color w:val="auto"/>
              </w:rPr>
            </w:pPr>
          </w:p>
        </w:tc>
      </w:tr>
      <w:tr>
        <w:trPr>
          <w:trHeight w:val="189"/>
        </w:trPr>
        <w:tc>
          <w:tcPr>
            <w:tcW w:w="2980" w:type="dxa"/>
            <w:vAlign w:val="bottom"/>
            <w:gridSpan w:val="2"/>
          </w:tcPr>
          <w:p>
            <w:pPr>
              <w:ind w:left="220"/>
              <w:spacing w:after="0"/>
              <w:rPr>
                <w:sz w:val="20"/>
                <w:szCs w:val="20"/>
                <w:color w:val="auto"/>
              </w:rPr>
            </w:pPr>
            <w:r>
              <w:rPr>
                <w:rFonts w:ascii="Times New Roman" w:cs="Times New Roman" w:eastAsia="Times New Roman" w:hAnsi="Times New Roman"/>
                <w:sz w:val="13"/>
                <w:szCs w:val="13"/>
                <w:color w:val="auto"/>
              </w:rPr>
              <w:t>Total consumer</w:t>
            </w:r>
          </w:p>
        </w:tc>
        <w:tc>
          <w:tcPr>
            <w:tcW w:w="180" w:type="dxa"/>
            <w:vAlign w:val="bottom"/>
            <w:tcBorders>
              <w:top w:val="single" w:sz="8" w:color="auto"/>
              <w:bottom w:val="single" w:sz="8" w:color="auto"/>
            </w:tcBorders>
          </w:tcPr>
          <w:p>
            <w:pPr>
              <w:jc w:val="right"/>
              <w:ind w:right="35"/>
              <w:spacing w:after="0"/>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84,101</w:t>
            </w:r>
          </w:p>
        </w:tc>
        <w:tc>
          <w:tcPr>
            <w:tcW w:w="100" w:type="dxa"/>
            <w:vAlign w:val="bottom"/>
          </w:tcPr>
          <w:p>
            <w:pPr>
              <w:spacing w:after="0"/>
              <w:rPr>
                <w:sz w:val="16"/>
                <w:szCs w:val="16"/>
                <w:color w:val="auto"/>
              </w:rPr>
            </w:pPr>
          </w:p>
        </w:tc>
        <w:tc>
          <w:tcPr>
            <w:tcW w:w="180" w:type="dxa"/>
            <w:vAlign w:val="bottom"/>
            <w:tcBorders>
              <w:top w:val="single" w:sz="8" w:color="auto"/>
              <w:bottom w:val="single" w:sz="8" w:color="auto"/>
            </w:tcBorders>
          </w:tcPr>
          <w:p>
            <w:pPr>
              <w:jc w:val="right"/>
              <w:ind w:right="15"/>
              <w:spacing w:after="0"/>
              <w:rPr>
                <w:sz w:val="20"/>
                <w:szCs w:val="20"/>
                <w:color w:val="auto"/>
              </w:rPr>
            </w:pPr>
            <w:r>
              <w:rPr>
                <w:rFonts w:ascii="Times New Roman" w:cs="Times New Roman" w:eastAsia="Times New Roman" w:hAnsi="Times New Roman"/>
                <w:sz w:val="13"/>
                <w:szCs w:val="13"/>
                <w:color w:val="auto"/>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44,007</w:t>
            </w:r>
          </w:p>
        </w:tc>
        <w:tc>
          <w:tcPr>
            <w:tcW w:w="120" w:type="dxa"/>
            <w:vAlign w:val="bottom"/>
          </w:tcPr>
          <w:p>
            <w:pPr>
              <w:spacing w:after="0"/>
              <w:rPr>
                <w:sz w:val="16"/>
                <w:szCs w:val="16"/>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20,374</w:t>
            </w:r>
          </w:p>
        </w:tc>
        <w:tc>
          <w:tcPr>
            <w:tcW w:w="120" w:type="dxa"/>
            <w:vAlign w:val="bottom"/>
          </w:tcPr>
          <w:p>
            <w:pPr>
              <w:spacing w:after="0"/>
              <w:rPr>
                <w:sz w:val="16"/>
                <w:szCs w:val="16"/>
                <w:color w:val="auto"/>
              </w:rPr>
            </w:pPr>
          </w:p>
        </w:tc>
        <w:tc>
          <w:tcPr>
            <w:tcW w:w="160" w:type="dxa"/>
            <w:vAlign w:val="bottom"/>
            <w:tcBorders>
              <w:top w:val="single" w:sz="8" w:color="auto"/>
              <w:bottom w:val="single" w:sz="8" w:color="auto"/>
            </w:tcBorders>
          </w:tcPr>
          <w:p>
            <w:pPr>
              <w:jc w:val="right"/>
              <w:ind w:right="15"/>
              <w:spacing w:after="0"/>
              <w:rPr>
                <w:sz w:val="20"/>
                <w:szCs w:val="20"/>
                <w:color w:val="auto"/>
              </w:rPr>
            </w:pPr>
            <w:r>
              <w:rPr>
                <w:rFonts w:ascii="Times New Roman" w:cs="Times New Roman" w:eastAsia="Times New Roman" w:hAnsi="Times New Roman"/>
                <w:sz w:val="13"/>
                <w:szCs w:val="13"/>
                <w:color w:val="auto"/>
                <w:w w:val="9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7,139</w:t>
            </w:r>
          </w:p>
        </w:tc>
        <w:tc>
          <w:tcPr>
            <w:tcW w:w="100" w:type="dxa"/>
            <w:vAlign w:val="bottom"/>
          </w:tcPr>
          <w:p>
            <w:pPr>
              <w:spacing w:after="0"/>
              <w:rPr>
                <w:sz w:val="16"/>
                <w:szCs w:val="16"/>
                <w:color w:val="auto"/>
              </w:rPr>
            </w:pPr>
          </w:p>
        </w:tc>
        <w:tc>
          <w:tcPr>
            <w:tcW w:w="160" w:type="dxa"/>
            <w:vAlign w:val="bottom"/>
            <w:tcBorders>
              <w:top w:val="single" w:sz="8" w:color="auto"/>
              <w:bottom w:val="single" w:sz="8" w:color="auto"/>
            </w:tcBorders>
          </w:tcPr>
          <w:p>
            <w:pPr>
              <w:jc w:val="right"/>
              <w:ind w:right="15"/>
              <w:spacing w:after="0"/>
              <w:rPr>
                <w:sz w:val="20"/>
                <w:szCs w:val="20"/>
                <w:color w:val="auto"/>
              </w:rPr>
            </w:pPr>
            <w:r>
              <w:rPr>
                <w:rFonts w:ascii="Times New Roman" w:cs="Times New Roman" w:eastAsia="Times New Roman" w:hAnsi="Times New Roman"/>
                <w:sz w:val="13"/>
                <w:szCs w:val="13"/>
                <w:color w:val="auto"/>
                <w:w w:val="9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7,655</w:t>
            </w:r>
          </w:p>
        </w:tc>
        <w:tc>
          <w:tcPr>
            <w:tcW w:w="100" w:type="dxa"/>
            <w:vAlign w:val="bottom"/>
          </w:tcPr>
          <w:p>
            <w:pPr>
              <w:spacing w:after="0"/>
              <w:rPr>
                <w:sz w:val="16"/>
                <w:szCs w:val="16"/>
                <w:color w:val="auto"/>
              </w:rPr>
            </w:pPr>
          </w:p>
        </w:tc>
        <w:tc>
          <w:tcPr>
            <w:tcW w:w="160" w:type="dxa"/>
            <w:vAlign w:val="bottom"/>
            <w:tcBorders>
              <w:top w:val="single" w:sz="8" w:color="auto"/>
              <w:bottom w:val="single" w:sz="8" w:color="auto"/>
            </w:tcBorders>
          </w:tcPr>
          <w:p>
            <w:pPr>
              <w:jc w:val="right"/>
              <w:ind w:right="15"/>
              <w:spacing w:after="0"/>
              <w:rPr>
                <w:sz w:val="20"/>
                <w:szCs w:val="20"/>
                <w:color w:val="auto"/>
              </w:rPr>
            </w:pPr>
            <w:r>
              <w:rPr>
                <w:rFonts w:ascii="Times New Roman" w:cs="Times New Roman" w:eastAsia="Times New Roman" w:hAnsi="Times New Roman"/>
                <w:sz w:val="13"/>
                <w:szCs w:val="13"/>
                <w:color w:val="auto"/>
                <w:w w:val="9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564</w:t>
            </w:r>
          </w:p>
        </w:tc>
        <w:tc>
          <w:tcPr>
            <w:tcW w:w="100" w:type="dxa"/>
            <w:vAlign w:val="bottom"/>
          </w:tcPr>
          <w:p>
            <w:pPr>
              <w:spacing w:after="0"/>
              <w:rPr>
                <w:sz w:val="16"/>
                <w:szCs w:val="16"/>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22,508</w:t>
            </w:r>
          </w:p>
        </w:tc>
        <w:tc>
          <w:tcPr>
            <w:tcW w:w="100" w:type="dxa"/>
            <w:vAlign w:val="bottom"/>
          </w:tcPr>
          <w:p>
            <w:pPr>
              <w:spacing w:after="0"/>
              <w:rPr>
                <w:sz w:val="16"/>
                <w:szCs w:val="16"/>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100</w:t>
            </w:r>
          </w:p>
        </w:tc>
        <w:tc>
          <w:tcPr>
            <w:tcW w:w="100" w:type="dxa"/>
            <w:vAlign w:val="bottom"/>
          </w:tcPr>
          <w:p>
            <w:pPr>
              <w:spacing w:after="0"/>
              <w:rPr>
                <w:sz w:val="16"/>
                <w:szCs w:val="16"/>
                <w:color w:val="auto"/>
              </w:rPr>
            </w:pPr>
          </w:p>
        </w:tc>
        <w:tc>
          <w:tcPr>
            <w:tcW w:w="240" w:type="dxa"/>
            <w:vAlign w:val="bottom"/>
            <w:tcBorders>
              <w:top w:val="single" w:sz="8" w:color="auto"/>
              <w:bottom w:val="single" w:sz="8" w:color="auto"/>
            </w:tcBorders>
          </w:tcPr>
          <w:p>
            <w:pPr>
              <w:jc w:val="right"/>
              <w:ind w:right="75"/>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186,448</w:t>
            </w:r>
          </w:p>
        </w:tc>
        <w:tc>
          <w:tcPr>
            <w:tcW w:w="0" w:type="dxa"/>
            <w:vAlign w:val="bottom"/>
          </w:tcPr>
          <w:p>
            <w:pPr>
              <w:spacing w:after="0"/>
              <w:rPr>
                <w:sz w:val="1"/>
                <w:szCs w:val="1"/>
                <w:color w:val="auto"/>
              </w:rPr>
            </w:pPr>
          </w:p>
        </w:tc>
      </w:tr>
      <w:tr>
        <w:trPr>
          <w:trHeight w:val="20"/>
        </w:trPr>
        <w:tc>
          <w:tcPr>
            <w:tcW w:w="28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98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3"/>
                <w:szCs w:val="13"/>
                <w:color w:val="auto"/>
              </w:rPr>
              <w:t>Current period gross charge-offs</w:t>
            </w:r>
          </w:p>
        </w:tc>
        <w:tc>
          <w:tcPr>
            <w:tcW w:w="18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3,082</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3"/>
                <w:szCs w:val="13"/>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281</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162</w:t>
            </w: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3"/>
                <w:szCs w:val="13"/>
                <w:color w:val="auto"/>
                <w:w w:val="91"/>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34</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3"/>
                <w:szCs w:val="13"/>
                <w:color w:val="auto"/>
                <w:w w:val="91"/>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3"/>
                <w:szCs w:val="13"/>
                <w:color w:val="auto"/>
                <w:w w:val="91"/>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152</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3,730</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00"/>
          </w:cols>
          <w:pgMar w:left="340" w:top="117"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73025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40" w:top="117" w:right="359" w:bottom="1440" w:gutter="0" w:footer="0" w:header="0"/>
          <w:type w:val="continuous"/>
        </w:sectPr>
      </w:pPr>
    </w:p>
    <w:bookmarkStart w:id="20" w:name="page21"/>
    <w:bookmarkEnd w:id="20"/>
    <w:p>
      <w:pPr>
        <w:jc w:val="center"/>
        <w:spacing w:after="0"/>
        <w:rPr>
          <w:sz w:val="20"/>
          <w:szCs w:val="20"/>
          <w:color w:val="auto"/>
        </w:rPr>
      </w:pPr>
      <w:r>
        <w:rPr>
          <w:rFonts w:ascii="Times New Roman" w:cs="Times New Roman" w:eastAsia="Times New Roman" w:hAnsi="Times New Roman"/>
          <w:sz w:val="18"/>
          <w:szCs w:val="18"/>
          <w:b w:val="1"/>
          <w:bCs w:val="1"/>
          <w:color w:val="auto"/>
        </w:rPr>
        <w:t>UNITED COMMUNITY BANKS,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Modifications to Borrowers Experiencing Financial Difficulty</w:t>
      </w:r>
    </w:p>
    <w:p>
      <w:pPr>
        <w:spacing w:after="0" w:line="31" w:lineRule="exact"/>
        <w:rPr>
          <w:sz w:val="20"/>
          <w:szCs w:val="20"/>
          <w:color w:val="auto"/>
        </w:rPr>
      </w:pPr>
    </w:p>
    <w:p>
      <w:pPr>
        <w:ind w:right="20"/>
        <w:spacing w:after="0" w:line="260" w:lineRule="auto"/>
        <w:rPr>
          <w:sz w:val="20"/>
          <w:szCs w:val="20"/>
          <w:color w:val="auto"/>
        </w:rPr>
      </w:pPr>
      <w:r>
        <w:rPr>
          <w:rFonts w:ascii="Times New Roman" w:cs="Times New Roman" w:eastAsia="Times New Roman" w:hAnsi="Times New Roman"/>
          <w:sz w:val="18"/>
          <w:szCs w:val="18"/>
          <w:color w:val="auto"/>
        </w:rPr>
        <w:t>The period-end amortized cost and additional information regarding loans modified under the terms of a FDM during the nine months ended September 30, 2025 and 2024 are presented in the following tables</w:t>
      </w:r>
      <w:r>
        <w:rPr>
          <w:rFonts w:ascii="Times New Roman" w:cs="Times New Roman" w:eastAsia="Times New Roman" w:hAnsi="Times New Roman"/>
          <w:sz w:val="18"/>
          <w:szCs w:val="18"/>
          <w:i w:val="1"/>
          <w:iCs w:val="1"/>
          <w:color w:val="auto"/>
        </w:rPr>
        <w:t>.</w:t>
      </w: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1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50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6"/>
                <w:szCs w:val="16"/>
                <w:b w:val="1"/>
                <w:bCs w:val="1"/>
                <w:color w:val="auto"/>
              </w:rPr>
              <w:t>Nine Months Ended September 30,</w:t>
            </w:r>
          </w:p>
        </w:tc>
        <w:tc>
          <w:tcPr>
            <w:tcW w:w="8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196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1940" w:type="dxa"/>
            <w:vAlign w:val="bottom"/>
            <w:tcBorders>
              <w:bottom w:val="single" w:sz="8" w:color="auto"/>
            </w:tcBorders>
            <w:gridSpan w:val="3"/>
          </w:tcPr>
          <w:p>
            <w:pPr>
              <w:jc w:val="right"/>
              <w:ind w:right="59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gridSpan w:val="2"/>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rPr>
              <w:t>2024</w:t>
            </w:r>
          </w:p>
        </w:tc>
        <w:tc>
          <w:tcPr>
            <w:tcW w:w="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5"/>
        </w:trPr>
        <w:tc>
          <w:tcPr>
            <w:tcW w:w="1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1940" w:type="dxa"/>
            <w:vAlign w:val="bottom"/>
            <w:tcBorders>
              <w:bottom w:val="single" w:sz="8" w:color="auto"/>
            </w:tcBorders>
            <w:gridSpan w:val="3"/>
          </w:tcPr>
          <w:p>
            <w:pPr>
              <w:jc w:val="right"/>
              <w:ind w:right="1079"/>
              <w:spacing w:after="0"/>
              <w:rPr>
                <w:sz w:val="20"/>
                <w:szCs w:val="20"/>
                <w:color w:val="auto"/>
              </w:rPr>
            </w:pPr>
            <w:r>
              <w:rPr>
                <w:rFonts w:ascii="Times New Roman" w:cs="Times New Roman" w:eastAsia="Times New Roman" w:hAnsi="Times New Roman"/>
                <w:sz w:val="16"/>
                <w:szCs w:val="16"/>
                <w:b w:val="1"/>
                <w:bCs w:val="1"/>
                <w:color w:val="auto"/>
                <w:w w:val="98"/>
              </w:rPr>
              <w:t>New FDMs</w:t>
            </w:r>
          </w:p>
        </w:tc>
        <w:tc>
          <w:tcPr>
            <w:tcW w:w="100" w:type="dxa"/>
            <w:vAlign w:val="bottom"/>
          </w:tcPr>
          <w:p>
            <w:pPr>
              <w:spacing w:after="0"/>
              <w:rPr>
                <w:sz w:val="20"/>
                <w:szCs w:val="20"/>
                <w:color w:val="auto"/>
              </w:rPr>
            </w:pPr>
          </w:p>
        </w:tc>
        <w:tc>
          <w:tcPr>
            <w:tcW w:w="1420" w:type="dxa"/>
            <w:vAlign w:val="bottom"/>
            <w:gridSpan w:val="3"/>
            <w:vMerge w:val="restart"/>
          </w:tcPr>
          <w:p>
            <w:pPr>
              <w:ind w:left="40"/>
              <w:spacing w:after="0"/>
              <w:rPr>
                <w:sz w:val="20"/>
                <w:szCs w:val="20"/>
                <w:color w:val="auto"/>
              </w:rPr>
            </w:pPr>
            <w:r>
              <w:rPr>
                <w:rFonts w:ascii="Times New Roman" w:cs="Times New Roman" w:eastAsia="Times New Roman" w:hAnsi="Times New Roman"/>
                <w:sz w:val="16"/>
                <w:szCs w:val="16"/>
                <w:b w:val="1"/>
                <w:bCs w:val="1"/>
                <w:color w:val="auto"/>
              </w:rPr>
              <w:t>Defaults within 12</w:t>
            </w:r>
          </w:p>
        </w:tc>
        <w:tc>
          <w:tcPr>
            <w:tcW w:w="400" w:type="dxa"/>
            <w:vAlign w:val="bottom"/>
            <w:tcBorders>
              <w:bottom w:val="single" w:sz="8" w:color="auto"/>
            </w:tcBorders>
          </w:tcPr>
          <w:p>
            <w:pPr>
              <w:spacing w:after="0"/>
              <w:rPr>
                <w:sz w:val="20"/>
                <w:szCs w:val="20"/>
                <w:color w:val="auto"/>
              </w:rPr>
            </w:pPr>
          </w:p>
        </w:tc>
        <w:tc>
          <w:tcPr>
            <w:tcW w:w="2540" w:type="dxa"/>
            <w:vAlign w:val="bottom"/>
            <w:tcBorders>
              <w:bottom w:val="single" w:sz="8" w:color="auto"/>
            </w:tcBorders>
            <w:gridSpan w:val="3"/>
          </w:tcPr>
          <w:p>
            <w:pPr>
              <w:jc w:val="right"/>
              <w:ind w:right="999"/>
              <w:spacing w:after="0"/>
              <w:rPr>
                <w:sz w:val="20"/>
                <w:szCs w:val="20"/>
                <w:color w:val="auto"/>
              </w:rPr>
            </w:pPr>
            <w:r>
              <w:rPr>
                <w:rFonts w:ascii="Times New Roman" w:cs="Times New Roman" w:eastAsia="Times New Roman" w:hAnsi="Times New Roman"/>
                <w:sz w:val="16"/>
                <w:szCs w:val="16"/>
                <w:b w:val="1"/>
                <w:bCs w:val="1"/>
                <w:color w:val="auto"/>
              </w:rPr>
              <w:t>New FDMs</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0" w:type="dxa"/>
            <w:vAlign w:val="bottom"/>
            <w:vMerge w:val="restart"/>
          </w:tcPr>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Defaults within 12</w:t>
            </w:r>
          </w:p>
        </w:tc>
        <w:tc>
          <w:tcPr>
            <w:tcW w:w="0" w:type="dxa"/>
            <w:vAlign w:val="bottom"/>
          </w:tcPr>
          <w:p>
            <w:pPr>
              <w:spacing w:after="0"/>
              <w:rPr>
                <w:sz w:val="1"/>
                <w:szCs w:val="1"/>
                <w:color w:val="auto"/>
              </w:rPr>
            </w:pPr>
          </w:p>
        </w:tc>
      </w:tr>
      <w:tr>
        <w:trPr>
          <w:trHeight w:val="23"/>
        </w:trPr>
        <w:tc>
          <w:tcPr>
            <w:tcW w:w="1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76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2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 of Total Class of</w:t>
            </w:r>
          </w:p>
        </w:tc>
        <w:tc>
          <w:tcPr>
            <w:tcW w:w="1420" w:type="dxa"/>
            <w:vAlign w:val="bottom"/>
            <w:gridSpan w:val="3"/>
            <w:vMerge w:val="continue"/>
          </w:tcPr>
          <w:p>
            <w:pPr>
              <w:spacing w:after="0"/>
              <w:rPr>
                <w:sz w:val="2"/>
                <w:szCs w:val="2"/>
                <w:color w:val="auto"/>
              </w:rPr>
            </w:pPr>
          </w:p>
        </w:tc>
        <w:tc>
          <w:tcPr>
            <w:tcW w:w="40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172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 of Total Class of</w:t>
            </w:r>
          </w:p>
        </w:tc>
        <w:tc>
          <w:tcPr>
            <w:tcW w:w="120" w:type="dxa"/>
            <w:vAlign w:val="bottom"/>
          </w:tcPr>
          <w:p>
            <w:pPr>
              <w:spacing w:after="0"/>
              <w:rPr>
                <w:sz w:val="2"/>
                <w:szCs w:val="2"/>
                <w:color w:val="auto"/>
              </w:rPr>
            </w:pPr>
          </w:p>
        </w:tc>
        <w:tc>
          <w:tcPr>
            <w:tcW w:w="140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2"/>
        </w:trPr>
        <w:tc>
          <w:tcPr>
            <w:tcW w:w="208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i w:val="1"/>
                <w:iCs w:val="1"/>
                <w:color w:val="auto"/>
              </w:rPr>
              <w:t>(dollars in thousands)</w:t>
            </w:r>
          </w:p>
        </w:tc>
        <w:tc>
          <w:tcPr>
            <w:tcW w:w="11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Amortized Cost</w:t>
            </w: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2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280" w:type="dxa"/>
            <w:vAlign w:val="bottom"/>
            <w:gridSpan w:val="2"/>
          </w:tcPr>
          <w:p>
            <w:pPr>
              <w:jc w:val="center"/>
              <w:ind w:right="220"/>
              <w:spacing w:after="0" w:line="162" w:lineRule="exact"/>
              <w:rPr>
                <w:sz w:val="20"/>
                <w:szCs w:val="20"/>
                <w:color w:val="auto"/>
              </w:rPr>
            </w:pPr>
            <w:r>
              <w:rPr>
                <w:rFonts w:ascii="Times New Roman" w:cs="Times New Roman" w:eastAsia="Times New Roman" w:hAnsi="Times New Roman"/>
                <w:sz w:val="16"/>
                <w:szCs w:val="16"/>
                <w:b w:val="1"/>
                <w:bCs w:val="1"/>
                <w:color w:val="auto"/>
              </w:rPr>
              <w:t>months of</w:t>
            </w:r>
          </w:p>
        </w:tc>
        <w:tc>
          <w:tcPr>
            <w:tcW w:w="12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Amortized Cost</w:t>
            </w:r>
          </w:p>
        </w:tc>
        <w:tc>
          <w:tcPr>
            <w:tcW w:w="80" w:type="dxa"/>
            <w:vAlign w:val="bottom"/>
          </w:tcPr>
          <w:p>
            <w:pPr>
              <w:spacing w:after="0"/>
              <w:rPr>
                <w:sz w:val="14"/>
                <w:szCs w:val="14"/>
                <w:color w:val="auto"/>
              </w:rPr>
            </w:pPr>
          </w:p>
        </w:tc>
        <w:tc>
          <w:tcPr>
            <w:tcW w:w="172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400" w:type="dxa"/>
            <w:vAlign w:val="bottom"/>
          </w:tcPr>
          <w:p>
            <w:pPr>
              <w:jc w:val="center"/>
              <w:ind w:right="39"/>
              <w:spacing w:after="0" w:line="162" w:lineRule="exact"/>
              <w:rPr>
                <w:sz w:val="20"/>
                <w:szCs w:val="20"/>
                <w:color w:val="auto"/>
              </w:rPr>
            </w:pPr>
            <w:r>
              <w:rPr>
                <w:rFonts w:ascii="Times New Roman" w:cs="Times New Roman" w:eastAsia="Times New Roman" w:hAnsi="Times New Roman"/>
                <w:sz w:val="16"/>
                <w:szCs w:val="16"/>
                <w:b w:val="1"/>
                <w:bCs w:val="1"/>
                <w:color w:val="auto"/>
                <w:w w:val="99"/>
              </w:rPr>
              <w:t>months of</w:t>
            </w:r>
          </w:p>
        </w:tc>
        <w:tc>
          <w:tcPr>
            <w:tcW w:w="0" w:type="dxa"/>
            <w:vAlign w:val="bottom"/>
          </w:tcPr>
          <w:p>
            <w:pPr>
              <w:spacing w:after="0"/>
              <w:rPr>
                <w:sz w:val="1"/>
                <w:szCs w:val="1"/>
                <w:color w:val="auto"/>
              </w:rPr>
            </w:pPr>
          </w:p>
        </w:tc>
      </w:tr>
      <w:tr>
        <w:trPr>
          <w:trHeight w:val="214"/>
        </w:trPr>
        <w:tc>
          <w:tcPr>
            <w:tcW w:w="2080" w:type="dxa"/>
            <w:vAlign w:val="bottom"/>
            <w:gridSpan w:val="2"/>
            <w:vMerge w:val="continue"/>
          </w:tcPr>
          <w:p>
            <w:pPr>
              <w:spacing w:after="0"/>
              <w:rPr>
                <w:sz w:val="18"/>
                <w:szCs w:val="18"/>
                <w:color w:val="auto"/>
              </w:rPr>
            </w:pPr>
          </w:p>
        </w:tc>
        <w:tc>
          <w:tcPr>
            <w:tcW w:w="1160" w:type="dxa"/>
            <w:vAlign w:val="bottom"/>
            <w:gridSpan w:val="2"/>
            <w:vMerge w:val="continue"/>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2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Receivable</w:t>
            </w:r>
          </w:p>
        </w:tc>
        <w:tc>
          <w:tcPr>
            <w:tcW w:w="140" w:type="dxa"/>
            <w:vAlign w:val="bottom"/>
          </w:tcPr>
          <w:p>
            <w:pPr>
              <w:spacing w:after="0"/>
              <w:rPr>
                <w:sz w:val="18"/>
                <w:szCs w:val="18"/>
                <w:color w:val="auto"/>
              </w:rPr>
            </w:pPr>
          </w:p>
        </w:tc>
        <w:tc>
          <w:tcPr>
            <w:tcW w:w="128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9"/>
              </w:rPr>
              <w:t>modification</w:t>
            </w:r>
          </w:p>
        </w:tc>
        <w:tc>
          <w:tcPr>
            <w:tcW w:w="1220" w:type="dxa"/>
            <w:vAlign w:val="bottom"/>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1720" w:type="dxa"/>
            <w:vAlign w:val="bottom"/>
            <w:gridSpan w:val="2"/>
          </w:tcPr>
          <w:p>
            <w:pPr>
              <w:jc w:val="center"/>
              <w:ind w:right="60"/>
              <w:spacing w:after="0"/>
              <w:rPr>
                <w:sz w:val="20"/>
                <w:szCs w:val="20"/>
                <w:color w:val="auto"/>
              </w:rPr>
            </w:pPr>
            <w:r>
              <w:rPr>
                <w:rFonts w:ascii="Times New Roman" w:cs="Times New Roman" w:eastAsia="Times New Roman" w:hAnsi="Times New Roman"/>
                <w:sz w:val="16"/>
                <w:szCs w:val="16"/>
                <w:b w:val="1"/>
                <w:bCs w:val="1"/>
                <w:color w:val="auto"/>
              </w:rPr>
              <w:t>Receivable</w:t>
            </w:r>
          </w:p>
        </w:tc>
        <w:tc>
          <w:tcPr>
            <w:tcW w:w="120" w:type="dxa"/>
            <w:vAlign w:val="bottom"/>
          </w:tcPr>
          <w:p>
            <w:pPr>
              <w:spacing w:after="0"/>
              <w:rPr>
                <w:sz w:val="18"/>
                <w:szCs w:val="18"/>
                <w:color w:val="auto"/>
              </w:rPr>
            </w:pPr>
          </w:p>
        </w:tc>
        <w:tc>
          <w:tcPr>
            <w:tcW w:w="1400" w:type="dxa"/>
            <w:vAlign w:val="bottom"/>
          </w:tcPr>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modification</w:t>
            </w:r>
          </w:p>
        </w:tc>
        <w:tc>
          <w:tcPr>
            <w:tcW w:w="0" w:type="dxa"/>
            <w:vAlign w:val="bottom"/>
          </w:tcPr>
          <w:p>
            <w:pPr>
              <w:spacing w:after="0"/>
              <w:rPr>
                <w:sz w:val="1"/>
                <w:szCs w:val="1"/>
                <w:color w:val="auto"/>
              </w:rPr>
            </w:pPr>
          </w:p>
        </w:tc>
      </w:tr>
      <w:tr>
        <w:trPr>
          <w:trHeight w:val="211"/>
        </w:trPr>
        <w:tc>
          <w:tcPr>
            <w:tcW w:w="19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Owner occupied CRE</w:t>
            </w:r>
          </w:p>
        </w:tc>
        <w:tc>
          <w:tcPr>
            <w:tcW w:w="12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894</w:t>
            </w:r>
          </w:p>
        </w:tc>
        <w:tc>
          <w:tcPr>
            <w:tcW w:w="6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3,425</w:t>
            </w:r>
          </w:p>
        </w:tc>
        <w:tc>
          <w:tcPr>
            <w:tcW w:w="80" w:type="dxa"/>
            <w:vAlign w:val="bottom"/>
            <w:tcBorders>
              <w:top w:val="single" w:sz="8" w:color="CCEEFF"/>
            </w:tcBorders>
            <w:shd w:val="clear" w:color="auto" w:fill="CCEEFF"/>
          </w:tcPr>
          <w:p>
            <w:pPr>
              <w:spacing w:after="0"/>
              <w:rPr>
                <w:sz w:val="18"/>
                <w:szCs w:val="18"/>
                <w:color w:val="auto"/>
              </w:rPr>
            </w:pPr>
          </w:p>
        </w:tc>
        <w:tc>
          <w:tcPr>
            <w:tcW w:w="1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0.1 %</w:t>
            </w: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1,781</w:t>
            </w:r>
          </w:p>
        </w:tc>
        <w:tc>
          <w:tcPr>
            <w:tcW w:w="0" w:type="dxa"/>
            <w:vAlign w:val="bottom"/>
          </w:tcPr>
          <w:p>
            <w:pPr>
              <w:spacing w:after="0"/>
              <w:rPr>
                <w:sz w:val="1"/>
                <w:szCs w:val="1"/>
                <w:color w:val="auto"/>
              </w:rPr>
            </w:pPr>
          </w:p>
        </w:tc>
      </w:tr>
      <w:tr>
        <w:trPr>
          <w:trHeight w:val="213"/>
        </w:trPr>
        <w:tc>
          <w:tcPr>
            <w:tcW w:w="20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Income producing CRE</w:t>
            </w:r>
          </w:p>
        </w:tc>
        <w:tc>
          <w:tcPr>
            <w:tcW w:w="4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2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21,471</w:t>
            </w:r>
          </w:p>
        </w:tc>
        <w:tc>
          <w:tcPr>
            <w:tcW w:w="1720" w:type="dxa"/>
            <w:vAlign w:val="bottom"/>
            <w:gridSpan w:val="2"/>
          </w:tcPr>
          <w:p>
            <w:pPr>
              <w:jc w:val="right"/>
              <w:ind w:right="119"/>
              <w:spacing w:after="0"/>
              <w:rPr>
                <w:sz w:val="20"/>
                <w:szCs w:val="20"/>
                <w:color w:val="auto"/>
              </w:rPr>
            </w:pPr>
            <w:r>
              <w:rPr>
                <w:rFonts w:ascii="Times New Roman" w:cs="Times New Roman" w:eastAsia="Times New Roman" w:hAnsi="Times New Roman"/>
                <w:sz w:val="16"/>
                <w:szCs w:val="16"/>
                <w:color w:val="auto"/>
              </w:rPr>
              <w:t>0.5</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9"/>
        </w:trPr>
        <w:tc>
          <w:tcPr>
            <w:tcW w:w="20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Commercial &amp; industrial</w:t>
            </w:r>
          </w:p>
        </w:tc>
        <w:tc>
          <w:tcPr>
            <w:tcW w:w="4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462</w:t>
            </w:r>
          </w:p>
        </w:tc>
        <w:tc>
          <w:tcPr>
            <w:tcW w:w="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8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107</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23,063</w:t>
            </w:r>
          </w:p>
        </w:tc>
        <w:tc>
          <w:tcPr>
            <w:tcW w:w="1720" w:type="dxa"/>
            <w:vAlign w:val="bottom"/>
            <w:gridSpan w:val="2"/>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1.0</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329</w:t>
            </w:r>
          </w:p>
        </w:tc>
        <w:tc>
          <w:tcPr>
            <w:tcW w:w="0" w:type="dxa"/>
            <w:vAlign w:val="bottom"/>
          </w:tcPr>
          <w:p>
            <w:pPr>
              <w:spacing w:after="0"/>
              <w:rPr>
                <w:sz w:val="1"/>
                <w:szCs w:val="1"/>
                <w:color w:val="auto"/>
              </w:rPr>
            </w:pPr>
          </w:p>
        </w:tc>
      </w:tr>
      <w:tr>
        <w:trPr>
          <w:trHeight w:val="213"/>
        </w:trPr>
        <w:tc>
          <w:tcPr>
            <w:tcW w:w="20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Equipment financing</w:t>
            </w:r>
          </w:p>
        </w:tc>
        <w:tc>
          <w:tcPr>
            <w:tcW w:w="4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11,953</w:t>
            </w:r>
          </w:p>
        </w:tc>
        <w:tc>
          <w:tcPr>
            <w:tcW w:w="1940" w:type="dxa"/>
            <w:vAlign w:val="bottom"/>
            <w:gridSpan w:val="3"/>
          </w:tcPr>
          <w:p>
            <w:pPr>
              <w:jc w:val="right"/>
              <w:ind w:right="119"/>
              <w:spacing w:after="0"/>
              <w:rPr>
                <w:sz w:val="20"/>
                <w:szCs w:val="20"/>
                <w:color w:val="auto"/>
              </w:rPr>
            </w:pPr>
            <w:r>
              <w:rPr>
                <w:rFonts w:ascii="Times New Roman" w:cs="Times New Roman" w:eastAsia="Times New Roman" w:hAnsi="Times New Roman"/>
                <w:sz w:val="16"/>
                <w:szCs w:val="16"/>
                <w:color w:val="auto"/>
              </w:rPr>
              <w:t>0.7</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83</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4,891</w:t>
            </w:r>
          </w:p>
        </w:tc>
        <w:tc>
          <w:tcPr>
            <w:tcW w:w="1720" w:type="dxa"/>
            <w:vAlign w:val="bottom"/>
            <w:gridSpan w:val="2"/>
          </w:tcPr>
          <w:p>
            <w:pPr>
              <w:jc w:val="right"/>
              <w:ind w:right="119"/>
              <w:spacing w:after="0"/>
              <w:rPr>
                <w:sz w:val="20"/>
                <w:szCs w:val="20"/>
                <w:color w:val="auto"/>
              </w:rPr>
            </w:pPr>
            <w:r>
              <w:rPr>
                <w:rFonts w:ascii="Times New Roman" w:cs="Times New Roman" w:eastAsia="Times New Roman" w:hAnsi="Times New Roman"/>
                <w:sz w:val="16"/>
                <w:szCs w:val="16"/>
                <w:color w:val="auto"/>
              </w:rPr>
              <w:t>0.3</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317</w:t>
            </w:r>
          </w:p>
        </w:tc>
        <w:tc>
          <w:tcPr>
            <w:tcW w:w="0" w:type="dxa"/>
            <w:vAlign w:val="bottom"/>
          </w:tcPr>
          <w:p>
            <w:pPr>
              <w:spacing w:after="0"/>
              <w:rPr>
                <w:sz w:val="1"/>
                <w:szCs w:val="1"/>
                <w:color w:val="auto"/>
              </w:rPr>
            </w:pPr>
          </w:p>
        </w:tc>
      </w:tr>
      <w:tr>
        <w:trPr>
          <w:trHeight w:val="219"/>
        </w:trPr>
        <w:tc>
          <w:tcPr>
            <w:tcW w:w="20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Residential mortgage</w:t>
            </w:r>
          </w:p>
        </w:tc>
        <w:tc>
          <w:tcPr>
            <w:tcW w:w="4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5,382</w:t>
            </w:r>
          </w:p>
        </w:tc>
        <w:tc>
          <w:tcPr>
            <w:tcW w:w="1940" w:type="dxa"/>
            <w:vAlign w:val="bottom"/>
            <w:gridSpan w:val="3"/>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0.2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654</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2,755</w:t>
            </w:r>
          </w:p>
        </w:tc>
        <w:tc>
          <w:tcPr>
            <w:tcW w:w="1720" w:type="dxa"/>
            <w:vAlign w:val="bottom"/>
            <w:gridSpan w:val="2"/>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0.1</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720</w:t>
            </w:r>
          </w:p>
        </w:tc>
        <w:tc>
          <w:tcPr>
            <w:tcW w:w="0" w:type="dxa"/>
            <w:vAlign w:val="bottom"/>
          </w:tcPr>
          <w:p>
            <w:pPr>
              <w:spacing w:after="0"/>
              <w:rPr>
                <w:sz w:val="1"/>
                <w:szCs w:val="1"/>
                <w:color w:val="auto"/>
              </w:rPr>
            </w:pPr>
          </w:p>
        </w:tc>
      </w:tr>
      <w:tr>
        <w:trPr>
          <w:trHeight w:val="213"/>
        </w:trPr>
        <w:tc>
          <w:tcPr>
            <w:tcW w:w="20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Home equity</w:t>
            </w:r>
          </w:p>
        </w:tc>
        <w:tc>
          <w:tcPr>
            <w:tcW w:w="4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568</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2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72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9"/>
        </w:trPr>
        <w:tc>
          <w:tcPr>
            <w:tcW w:w="20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Manufactured housing</w:t>
            </w:r>
          </w:p>
        </w:tc>
        <w:tc>
          <w:tcPr>
            <w:tcW w:w="4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8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305</w:t>
            </w:r>
          </w:p>
        </w:tc>
        <w:tc>
          <w:tcPr>
            <w:tcW w:w="1720" w:type="dxa"/>
            <w:vAlign w:val="bottom"/>
            <w:gridSpan w:val="2"/>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14.0</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20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6"/>
                <w:szCs w:val="16"/>
                <w:color w:val="auto"/>
              </w:rPr>
              <w:t>Consumer</w:t>
            </w:r>
          </w:p>
        </w:tc>
        <w:tc>
          <w:tcPr>
            <w:tcW w:w="4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96</w:t>
            </w:r>
          </w:p>
        </w:tc>
        <w:tc>
          <w:tcPr>
            <w:tcW w:w="60" w:type="dxa"/>
            <w:vAlign w:val="bottom"/>
            <w:tcBorders>
              <w:bottom w:val="single" w:sz="8" w:color="auto"/>
            </w:tcBorders>
          </w:tcPr>
          <w:p>
            <w:pPr>
              <w:spacing w:after="0"/>
              <w:rPr>
                <w:sz w:val="18"/>
                <w:szCs w:val="18"/>
                <w:color w:val="auto"/>
              </w:rPr>
            </w:pPr>
          </w:p>
        </w:tc>
        <w:tc>
          <w:tcPr>
            <w:tcW w:w="1880" w:type="dxa"/>
            <w:vAlign w:val="bottom"/>
            <w:tcBorders>
              <w:bottom w:val="single" w:sz="8" w:color="CCEEFF"/>
            </w:tcBorders>
            <w:gridSpan w:val="2"/>
          </w:tcPr>
          <w:p>
            <w:pPr>
              <w:jc w:val="right"/>
              <w:ind w:right="119"/>
              <w:spacing w:after="0"/>
              <w:rPr>
                <w:sz w:val="20"/>
                <w:szCs w:val="20"/>
                <w:color w:val="auto"/>
              </w:rPr>
            </w:pPr>
            <w:r>
              <w:rPr>
                <w:rFonts w:ascii="Times New Roman" w:cs="Times New Roman" w:eastAsia="Times New Roman" w:hAnsi="Times New Roman"/>
                <w:sz w:val="16"/>
                <w:szCs w:val="16"/>
                <w:color w:val="auto"/>
              </w:rPr>
              <w:t>0.1</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111</w:t>
            </w:r>
          </w:p>
        </w:tc>
        <w:tc>
          <w:tcPr>
            <w:tcW w:w="1720" w:type="dxa"/>
            <w:vAlign w:val="bottom"/>
            <w:tcBorders>
              <w:bottom w:val="single" w:sz="8" w:color="CCEEFF"/>
            </w:tcBorders>
            <w:gridSpan w:val="2"/>
          </w:tcPr>
          <w:p>
            <w:pPr>
              <w:jc w:val="right"/>
              <w:ind w:right="119"/>
              <w:spacing w:after="0"/>
              <w:rPr>
                <w:sz w:val="20"/>
                <w:szCs w:val="20"/>
                <w:color w:val="auto"/>
              </w:rPr>
            </w:pPr>
            <w:r>
              <w:rPr>
                <w:rFonts w:ascii="Times New Roman" w:cs="Times New Roman" w:eastAsia="Times New Roman" w:hAnsi="Times New Roman"/>
                <w:sz w:val="16"/>
                <w:szCs w:val="16"/>
                <w:color w:val="auto"/>
              </w:rPr>
              <w:t>0.1</w:t>
            </w: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32"/>
        </w:trPr>
        <w:tc>
          <w:tcPr>
            <w:tcW w:w="20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Total loans</w:t>
            </w:r>
          </w:p>
        </w:tc>
        <w:tc>
          <w:tcPr>
            <w:tcW w:w="400" w:type="dxa"/>
            <w:vAlign w:val="bottom"/>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19,355</w:t>
            </w:r>
          </w:p>
        </w:tc>
        <w:tc>
          <w:tcPr>
            <w:tcW w:w="1940" w:type="dxa"/>
            <w:vAlign w:val="bottom"/>
            <w:gridSpan w:val="3"/>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0.1</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844</w:t>
            </w:r>
          </w:p>
        </w:tc>
        <w:tc>
          <w:tcPr>
            <w:tcW w:w="100" w:type="dxa"/>
            <w:vAlign w:val="bottom"/>
            <w:shd w:val="clear" w:color="auto" w:fill="CCEEFF"/>
          </w:tcPr>
          <w:p>
            <w:pPr>
              <w:spacing w:after="0"/>
              <w:rPr>
                <w:sz w:val="20"/>
                <w:szCs w:val="20"/>
                <w:color w:val="auto"/>
              </w:rPr>
            </w:pPr>
          </w:p>
        </w:tc>
        <w:tc>
          <w:tcPr>
            <w:tcW w:w="400" w:type="dxa"/>
            <w:vAlign w:val="bottom"/>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56,021</w:t>
            </w:r>
          </w:p>
        </w:tc>
        <w:tc>
          <w:tcPr>
            <w:tcW w:w="1720" w:type="dxa"/>
            <w:vAlign w:val="bottom"/>
            <w:gridSpan w:val="2"/>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0.3</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3,147</w:t>
            </w:r>
          </w:p>
        </w:tc>
        <w:tc>
          <w:tcPr>
            <w:tcW w:w="0" w:type="dxa"/>
            <w:vAlign w:val="bottom"/>
          </w:tcPr>
          <w:p>
            <w:pPr>
              <w:spacing w:after="0"/>
              <w:rPr>
                <w:sz w:val="1"/>
                <w:szCs w:val="1"/>
                <w:color w:val="auto"/>
              </w:rPr>
            </w:pPr>
          </w:p>
        </w:tc>
      </w:tr>
      <w:tr>
        <w:trPr>
          <w:trHeight w:val="20"/>
        </w:trPr>
        <w:tc>
          <w:tcPr>
            <w:tcW w:w="19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7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ind w:right="560"/>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aging category and accrual status of loans modified under the terms of a FDM during the previous 12 months on an amortized cost basis as of September 30, 2025.</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38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360" w:type="dxa"/>
            <w:vAlign w:val="bottom"/>
            <w:tcBorders>
              <w:bottom w:val="single" w:sz="8" w:color="auto"/>
            </w:tcBorders>
            <w:gridSpan w:val="5"/>
          </w:tcPr>
          <w:p>
            <w:pPr>
              <w:ind w:left="760"/>
              <w:spacing w:after="0"/>
              <w:rPr>
                <w:sz w:val="20"/>
                <w:szCs w:val="20"/>
                <w:color w:val="auto"/>
              </w:rPr>
            </w:pPr>
            <w:r>
              <w:rPr>
                <w:rFonts w:ascii="Times New Roman" w:cs="Times New Roman" w:eastAsia="Times New Roman" w:hAnsi="Times New Roman"/>
                <w:sz w:val="16"/>
                <w:szCs w:val="16"/>
                <w:b w:val="1"/>
                <w:bCs w:val="1"/>
                <w:color w:val="auto"/>
              </w:rPr>
              <w:t>Accruing</w:t>
            </w:r>
          </w:p>
        </w:tc>
        <w:tc>
          <w:tcPr>
            <w:tcW w:w="1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09"/>
        </w:trPr>
        <w:tc>
          <w:tcPr>
            <w:tcW w:w="3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gridSpan w:val="3"/>
          </w:tcPr>
          <w:p>
            <w:pPr>
              <w:ind w:left="40"/>
              <w:spacing w:after="0"/>
              <w:rPr>
                <w:sz w:val="20"/>
                <w:szCs w:val="20"/>
                <w:color w:val="auto"/>
              </w:rPr>
            </w:pPr>
            <w:r>
              <w:rPr>
                <w:rFonts w:ascii="Times New Roman" w:cs="Times New Roman" w:eastAsia="Times New Roman" w:hAnsi="Times New Roman"/>
                <w:sz w:val="16"/>
                <w:szCs w:val="16"/>
                <w:b w:val="1"/>
                <w:bCs w:val="1"/>
                <w:color w:val="auto"/>
              </w:rPr>
              <w:t>Loans Past Due</w:t>
            </w:r>
          </w:p>
        </w:tc>
        <w:tc>
          <w:tcPr>
            <w:tcW w:w="1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11"/>
        </w:trPr>
        <w:tc>
          <w:tcPr>
            <w:tcW w:w="3880" w:type="dxa"/>
            <w:vAlign w:val="bottom"/>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200" w:type="dxa"/>
            <w:vAlign w:val="bottom"/>
          </w:tcPr>
          <w:p>
            <w:pPr>
              <w:spacing w:after="0"/>
              <w:rPr>
                <w:sz w:val="18"/>
                <w:szCs w:val="18"/>
                <w:color w:val="auto"/>
              </w:rPr>
            </w:pPr>
          </w:p>
        </w:tc>
        <w:tc>
          <w:tcPr>
            <w:tcW w:w="104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Current</w:t>
            </w:r>
          </w:p>
        </w:tc>
        <w:tc>
          <w:tcPr>
            <w:tcW w:w="120" w:type="dxa"/>
            <w:vAlign w:val="bottom"/>
          </w:tcPr>
          <w:p>
            <w:pPr>
              <w:spacing w:after="0"/>
              <w:rPr>
                <w:sz w:val="18"/>
                <w:szCs w:val="18"/>
                <w:color w:val="auto"/>
              </w:rPr>
            </w:pPr>
          </w:p>
        </w:tc>
        <w:tc>
          <w:tcPr>
            <w:tcW w:w="112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30 - 59 Days</w:t>
            </w:r>
          </w:p>
        </w:tc>
        <w:tc>
          <w:tcPr>
            <w:tcW w:w="120" w:type="dxa"/>
            <w:vAlign w:val="bottom"/>
          </w:tcPr>
          <w:p>
            <w:pPr>
              <w:spacing w:after="0"/>
              <w:rPr>
                <w:sz w:val="18"/>
                <w:szCs w:val="18"/>
                <w:color w:val="auto"/>
              </w:rPr>
            </w:pPr>
          </w:p>
        </w:tc>
        <w:tc>
          <w:tcPr>
            <w:tcW w:w="112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60 - 89 Days</w:t>
            </w:r>
          </w:p>
        </w:tc>
        <w:tc>
          <w:tcPr>
            <w:tcW w:w="180" w:type="dxa"/>
            <w:vAlign w:val="bottom"/>
          </w:tcPr>
          <w:p>
            <w:pPr>
              <w:spacing w:after="0"/>
              <w:rPr>
                <w:sz w:val="18"/>
                <w:szCs w:val="18"/>
                <w:color w:val="auto"/>
              </w:rPr>
            </w:pPr>
          </w:p>
        </w:tc>
        <w:tc>
          <w:tcPr>
            <w:tcW w:w="960" w:type="dxa"/>
            <w:vAlign w:val="bottom"/>
          </w:tcPr>
          <w:p>
            <w:pPr>
              <w:ind w:left="60"/>
              <w:spacing w:after="0"/>
              <w:rPr>
                <w:sz w:val="20"/>
                <w:szCs w:val="20"/>
                <w:color w:val="auto"/>
              </w:rPr>
            </w:pPr>
            <w:r>
              <w:rPr>
                <w:rFonts w:ascii="Times New Roman" w:cs="Times New Roman" w:eastAsia="Times New Roman" w:hAnsi="Times New Roman"/>
                <w:sz w:val="16"/>
                <w:szCs w:val="16"/>
                <w:b w:val="1"/>
                <w:bCs w:val="1"/>
                <w:color w:val="auto"/>
              </w:rPr>
              <w:t>&gt; 90 Days</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Nonaccrual</w:t>
            </w:r>
          </w:p>
        </w:tc>
        <w:tc>
          <w:tcPr>
            <w:tcW w:w="260" w:type="dxa"/>
            <w:vAlign w:val="bottom"/>
          </w:tcPr>
          <w:p>
            <w:pPr>
              <w:spacing w:after="0"/>
              <w:rPr>
                <w:sz w:val="18"/>
                <w:szCs w:val="18"/>
                <w:color w:val="auto"/>
              </w:rPr>
            </w:pPr>
          </w:p>
        </w:tc>
        <w:tc>
          <w:tcPr>
            <w:tcW w:w="880" w:type="dxa"/>
            <w:vAlign w:val="bottom"/>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198"/>
        </w:trPr>
        <w:tc>
          <w:tcPr>
            <w:tcW w:w="38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As of September 30, 2025</w:t>
            </w:r>
          </w:p>
        </w:tc>
        <w:tc>
          <w:tcPr>
            <w:tcW w:w="20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r>
      <w:tr>
        <w:trPr>
          <w:trHeight w:val="213"/>
        </w:trPr>
        <w:tc>
          <w:tcPr>
            <w:tcW w:w="38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Owner occupied CRE</w:t>
            </w: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1,185</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ind w:left="20"/>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gridSpan w:val="2"/>
          </w:tcPr>
          <w:p>
            <w:pPr>
              <w:ind w:left="7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1,185</w:t>
            </w:r>
          </w:p>
        </w:tc>
      </w:tr>
      <w:tr>
        <w:trPr>
          <w:trHeight w:val="219"/>
        </w:trPr>
        <w:tc>
          <w:tcPr>
            <w:tcW w:w="3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Commercial &amp; industrial</w:t>
            </w: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1,269</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ind w:left="7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1,807</w:t>
            </w:r>
          </w:p>
        </w:tc>
      </w:tr>
      <w:tr>
        <w:trPr>
          <w:trHeight w:val="213"/>
        </w:trPr>
        <w:tc>
          <w:tcPr>
            <w:tcW w:w="38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Equipment financing</w:t>
            </w: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11,268</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726</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gridSpan w:val="2"/>
          </w:tcPr>
          <w:p>
            <w:pPr>
              <w:ind w:left="7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969</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13,077</w:t>
            </w:r>
          </w:p>
        </w:tc>
      </w:tr>
      <w:tr>
        <w:trPr>
          <w:trHeight w:val="219"/>
        </w:trPr>
        <w:tc>
          <w:tcPr>
            <w:tcW w:w="3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Residential mortgage</w:t>
            </w: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2,368</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ind w:left="7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4,563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6,931</w:t>
            </w:r>
          </w:p>
        </w:tc>
      </w:tr>
      <w:tr>
        <w:trPr>
          <w:trHeight w:val="213"/>
        </w:trPr>
        <w:tc>
          <w:tcPr>
            <w:tcW w:w="38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Home equity</w:t>
            </w: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1080" w:type="dxa"/>
            <w:vAlign w:val="bottom"/>
            <w:gridSpan w:val="2"/>
          </w:tcPr>
          <w:p>
            <w:pPr>
              <w:ind w:left="7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497</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568</w:t>
            </w:r>
          </w:p>
        </w:tc>
      </w:tr>
      <w:tr>
        <w:trPr>
          <w:trHeight w:val="219"/>
        </w:trPr>
        <w:tc>
          <w:tcPr>
            <w:tcW w:w="3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Consumer</w:t>
            </w:r>
          </w:p>
        </w:tc>
        <w:tc>
          <w:tcPr>
            <w:tcW w:w="20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ind w:left="7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w:t>
            </w:r>
          </w:p>
        </w:tc>
      </w:tr>
      <w:tr>
        <w:trPr>
          <w:trHeight w:val="210"/>
        </w:trPr>
        <w:tc>
          <w:tcPr>
            <w:tcW w:w="38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Total</w:t>
            </w: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16,161</w:t>
            </w:r>
          </w:p>
        </w:tc>
        <w:tc>
          <w:tcPr>
            <w:tcW w:w="10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114</w:t>
            </w:r>
          </w:p>
        </w:tc>
        <w:tc>
          <w:tcPr>
            <w:tcW w:w="100" w:type="dxa"/>
            <w:vAlign w:val="bottom"/>
          </w:tcPr>
          <w:p>
            <w:pPr>
              <w:spacing w:after="0"/>
              <w:rPr>
                <w:sz w:val="18"/>
                <w:szCs w:val="18"/>
                <w:color w:val="auto"/>
              </w:rPr>
            </w:pPr>
          </w:p>
        </w:tc>
        <w:tc>
          <w:tcPr>
            <w:tcW w:w="12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1,019</w:t>
            </w:r>
          </w:p>
        </w:tc>
        <w:tc>
          <w:tcPr>
            <w:tcW w:w="10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top w:val="single" w:sz="8" w:color="auto"/>
              <w:bottom w:val="single" w:sz="8" w:color="auto"/>
            </w:tcBorders>
          </w:tcPr>
          <w:p>
            <w:pPr>
              <w:ind w:left="7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6,370</w:t>
            </w:r>
          </w:p>
        </w:tc>
        <w:tc>
          <w:tcPr>
            <w:tcW w:w="100" w:type="dxa"/>
            <w:vAlign w:val="bottom"/>
          </w:tcPr>
          <w:p>
            <w:pPr>
              <w:spacing w:after="0"/>
              <w:rPr>
                <w:sz w:val="18"/>
                <w:szCs w:val="18"/>
                <w:color w:val="auto"/>
              </w:rPr>
            </w:pPr>
          </w:p>
        </w:tc>
        <w:tc>
          <w:tcPr>
            <w:tcW w:w="260" w:type="dxa"/>
            <w:vAlign w:val="bottom"/>
            <w:tcBorders>
              <w:top w:val="single" w:sz="8" w:color="auto"/>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23,664</w:t>
            </w:r>
          </w:p>
        </w:tc>
      </w:tr>
      <w:tr>
        <w:trPr>
          <w:trHeight w:val="20"/>
        </w:trPr>
        <w:tc>
          <w:tcPr>
            <w:tcW w:w="38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1" w:name="page22"/>
    <w:bookmarkEnd w:id="21"/>
    <w:p>
      <w:pPr>
        <w:jc w:val="center"/>
        <w:spacing w:after="0"/>
        <w:rPr>
          <w:sz w:val="20"/>
          <w:szCs w:val="20"/>
          <w:color w:val="auto"/>
        </w:rPr>
      </w:pPr>
      <w:r>
        <w:rPr>
          <w:rFonts w:ascii="Times New Roman" w:cs="Times New Roman" w:eastAsia="Times New Roman" w:hAnsi="Times New Roman"/>
          <w:sz w:val="18"/>
          <w:szCs w:val="18"/>
          <w:b w:val="1"/>
          <w:bCs w:val="1"/>
          <w:color w:val="auto"/>
        </w:rPr>
        <w:t>UNITED COMMUNITY BANKS,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(Unaudited)</w:t>
      </w:r>
    </w:p>
    <w:p>
      <w:pPr>
        <w:spacing w:after="0" w:line="200" w:lineRule="exact"/>
        <w:rPr>
          <w:sz w:val="20"/>
          <w:szCs w:val="20"/>
          <w:color w:val="auto"/>
        </w:rPr>
      </w:pPr>
    </w:p>
    <w:p>
      <w:pPr>
        <w:spacing w:after="0" w:line="27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The following table presents the amortized cost by type of FDM and the applicable weighted-average impact of the modifications for the periods indicated.</w:t>
      </w:r>
    </w:p>
    <w:p>
      <w:pPr>
        <w:spacing w:after="0" w:line="1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New FDMs</w:t>
      </w:r>
    </w:p>
    <w:p>
      <w:pPr>
        <w:spacing w:after="0" w:line="30"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860" w:type="dxa"/>
            <w:vAlign w:val="bottom"/>
            <w:tcBorders>
              <w:top w:val="single" w:sz="8" w:color="auto"/>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860" w:type="dxa"/>
            <w:vAlign w:val="bottom"/>
            <w:tcBorders>
              <w:top w:val="single" w:sz="8" w:color="auto"/>
              <w:bottom w:val="single" w:sz="8" w:color="auto"/>
            </w:tcBorders>
          </w:tcPr>
          <w:p>
            <w:pPr>
              <w:spacing w:after="0"/>
              <w:rPr>
                <w:sz w:val="17"/>
                <w:szCs w:val="17"/>
                <w:color w:val="auto"/>
              </w:rPr>
            </w:pPr>
          </w:p>
        </w:tc>
        <w:tc>
          <w:tcPr>
            <w:tcW w:w="80" w:type="dxa"/>
            <w:vAlign w:val="bottom"/>
            <w:tcBorders>
              <w:top w:val="single" w:sz="8" w:color="auto"/>
              <w:bottom w:val="single" w:sz="8" w:color="auto"/>
            </w:tcBorders>
          </w:tcPr>
          <w:p>
            <w:pPr>
              <w:spacing w:after="0"/>
              <w:rPr>
                <w:sz w:val="17"/>
                <w:szCs w:val="17"/>
                <w:color w:val="auto"/>
              </w:rPr>
            </w:pPr>
          </w:p>
        </w:tc>
        <w:tc>
          <w:tcPr>
            <w:tcW w:w="1880" w:type="dxa"/>
            <w:vAlign w:val="bottom"/>
            <w:tcBorders>
              <w:top w:val="single" w:sz="8" w:color="auto"/>
              <w:bottom w:val="single" w:sz="8" w:color="auto"/>
            </w:tcBorders>
          </w:tcPr>
          <w:p>
            <w:pPr>
              <w:spacing w:after="0"/>
              <w:rPr>
                <w:sz w:val="17"/>
                <w:szCs w:val="17"/>
                <w:color w:val="auto"/>
              </w:rPr>
            </w:pPr>
          </w:p>
        </w:tc>
        <w:tc>
          <w:tcPr>
            <w:tcW w:w="2600" w:type="dxa"/>
            <w:vAlign w:val="bottom"/>
            <w:tcBorders>
              <w:top w:val="single" w:sz="8" w:color="auto"/>
              <w:bottom w:val="single" w:sz="8" w:color="auto"/>
            </w:tcBorders>
            <w:gridSpan w:val="6"/>
          </w:tcPr>
          <w:p>
            <w:pPr>
              <w:ind w:left="40"/>
              <w:spacing w:after="0"/>
              <w:rPr>
                <w:sz w:val="20"/>
                <w:szCs w:val="20"/>
                <w:color w:val="auto"/>
              </w:rPr>
            </w:pPr>
            <w:r>
              <w:rPr>
                <w:rFonts w:ascii="Times New Roman" w:cs="Times New Roman" w:eastAsia="Times New Roman" w:hAnsi="Times New Roman"/>
                <w:sz w:val="15"/>
                <w:szCs w:val="15"/>
                <w:b w:val="1"/>
                <w:bCs w:val="1"/>
                <w:color w:val="auto"/>
              </w:rPr>
              <w:t>Nine Months Ended September 30,</w:t>
            </w:r>
          </w:p>
        </w:tc>
        <w:tc>
          <w:tcPr>
            <w:tcW w:w="2720" w:type="dxa"/>
            <w:vAlign w:val="bottom"/>
            <w:tcBorders>
              <w:top w:val="single" w:sz="8" w:color="auto"/>
              <w:bottom w:val="single" w:sz="8" w:color="auto"/>
            </w:tcBorders>
          </w:tcPr>
          <w:p>
            <w:pPr>
              <w:spacing w:after="0"/>
              <w:rPr>
                <w:sz w:val="17"/>
                <w:szCs w:val="17"/>
                <w:color w:val="auto"/>
              </w:rPr>
            </w:pPr>
          </w:p>
        </w:tc>
      </w:tr>
      <w:tr>
        <w:trPr>
          <w:trHeight w:val="196"/>
        </w:trPr>
        <w:tc>
          <w:tcPr>
            <w:tcW w:w="2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1960" w:type="dxa"/>
            <w:vAlign w:val="bottom"/>
            <w:tcBorders>
              <w:bottom w:val="single" w:sz="8" w:color="auto"/>
            </w:tcBorders>
            <w:gridSpan w:val="2"/>
          </w:tcPr>
          <w:p>
            <w:pPr>
              <w:jc w:val="right"/>
              <w:ind w:right="924"/>
              <w:spacing w:after="0"/>
              <w:rPr>
                <w:sz w:val="20"/>
                <w:szCs w:val="20"/>
                <w:color w:val="auto"/>
              </w:rPr>
            </w:pPr>
            <w:r>
              <w:rPr>
                <w:rFonts w:ascii="Times New Roman" w:cs="Times New Roman" w:eastAsia="Times New Roman" w:hAnsi="Times New Roman"/>
                <w:sz w:val="15"/>
                <w:szCs w:val="15"/>
                <w:b w:val="1"/>
                <w:bCs w:val="1"/>
                <w:color w:val="auto"/>
              </w:rPr>
              <w:t>2025</w:t>
            </w:r>
          </w:p>
        </w:tc>
        <w:tc>
          <w:tcPr>
            <w:tcW w:w="64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c>
          <w:tcPr>
            <w:tcW w:w="2720" w:type="dxa"/>
            <w:vAlign w:val="bottom"/>
            <w:tcBorders>
              <w:bottom w:val="single" w:sz="8" w:color="auto"/>
            </w:tcBorders>
          </w:tcPr>
          <w:p>
            <w:pPr>
              <w:jc w:val="right"/>
              <w:ind w:right="2044"/>
              <w:spacing w:after="0"/>
              <w:rPr>
                <w:sz w:val="20"/>
                <w:szCs w:val="20"/>
                <w:color w:val="auto"/>
              </w:rPr>
            </w:pPr>
            <w:r>
              <w:rPr>
                <w:rFonts w:ascii="Times New Roman" w:cs="Times New Roman" w:eastAsia="Times New Roman" w:hAnsi="Times New Roman"/>
                <w:sz w:val="15"/>
                <w:szCs w:val="15"/>
                <w:b w:val="1"/>
                <w:bCs w:val="1"/>
                <w:color w:val="auto"/>
              </w:rPr>
              <w:t>2024</w:t>
            </w:r>
          </w:p>
        </w:tc>
      </w:tr>
      <w:tr>
        <w:trPr>
          <w:trHeight w:val="142"/>
        </w:trPr>
        <w:tc>
          <w:tcPr>
            <w:tcW w:w="2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jc w:val="right"/>
              <w:ind w:right="64"/>
              <w:spacing w:after="0" w:line="142" w:lineRule="exact"/>
              <w:rPr>
                <w:sz w:val="20"/>
                <w:szCs w:val="20"/>
                <w:color w:val="auto"/>
              </w:rPr>
            </w:pPr>
            <w:r>
              <w:rPr>
                <w:rFonts w:ascii="Times New Roman" w:cs="Times New Roman" w:eastAsia="Times New Roman" w:hAnsi="Times New Roman"/>
                <w:sz w:val="15"/>
                <w:szCs w:val="15"/>
                <w:b w:val="1"/>
                <w:bCs w:val="1"/>
                <w:color w:val="auto"/>
              </w:rPr>
              <w:t>Amortized</w:t>
            </w:r>
          </w:p>
        </w:tc>
        <w:tc>
          <w:tcPr>
            <w:tcW w:w="80" w:type="dxa"/>
            <w:vAlign w:val="bottom"/>
          </w:tcPr>
          <w:p>
            <w:pPr>
              <w:spacing w:after="0"/>
              <w:rPr>
                <w:sz w:val="12"/>
                <w:szCs w:val="12"/>
                <w:color w:val="auto"/>
              </w:rPr>
            </w:pPr>
          </w:p>
        </w:tc>
        <w:tc>
          <w:tcPr>
            <w:tcW w:w="1880" w:type="dxa"/>
            <w:vAlign w:val="bottom"/>
          </w:tcPr>
          <w:p>
            <w:pPr>
              <w:jc w:val="center"/>
              <w:ind w:left="544"/>
              <w:spacing w:after="0" w:line="142" w:lineRule="exact"/>
              <w:rPr>
                <w:sz w:val="20"/>
                <w:szCs w:val="20"/>
                <w:color w:val="auto"/>
              </w:rPr>
            </w:pPr>
            <w:r>
              <w:rPr>
                <w:rFonts w:ascii="Times New Roman" w:cs="Times New Roman" w:eastAsia="Times New Roman" w:hAnsi="Times New Roman"/>
                <w:sz w:val="15"/>
                <w:szCs w:val="15"/>
                <w:b w:val="1"/>
                <w:bCs w:val="1"/>
                <w:color w:val="auto"/>
                <w:w w:val="99"/>
              </w:rPr>
              <w:t>Weighted Average</w:t>
            </w: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720" w:type="dxa"/>
            <w:vAlign w:val="bottom"/>
            <w:gridSpan w:val="3"/>
          </w:tcPr>
          <w:p>
            <w:pPr>
              <w:jc w:val="center"/>
              <w:ind w:right="980"/>
              <w:spacing w:after="0" w:line="142" w:lineRule="exact"/>
              <w:rPr>
                <w:sz w:val="20"/>
                <w:szCs w:val="20"/>
                <w:color w:val="auto"/>
              </w:rPr>
            </w:pPr>
            <w:r>
              <w:rPr>
                <w:rFonts w:ascii="Times New Roman" w:cs="Times New Roman" w:eastAsia="Times New Roman" w:hAnsi="Times New Roman"/>
                <w:sz w:val="15"/>
                <w:szCs w:val="15"/>
                <w:b w:val="1"/>
                <w:bCs w:val="1"/>
                <w:color w:val="auto"/>
              </w:rPr>
              <w:t>Amortized</w:t>
            </w:r>
          </w:p>
        </w:tc>
        <w:tc>
          <w:tcPr>
            <w:tcW w:w="2720" w:type="dxa"/>
            <w:vAlign w:val="bottom"/>
          </w:tcPr>
          <w:p>
            <w:pPr>
              <w:jc w:val="center"/>
              <w:ind w:right="744"/>
              <w:spacing w:after="0" w:line="142" w:lineRule="exact"/>
              <w:rPr>
                <w:sz w:val="20"/>
                <w:szCs w:val="20"/>
                <w:color w:val="auto"/>
              </w:rPr>
            </w:pPr>
            <w:r>
              <w:rPr>
                <w:rFonts w:ascii="Times New Roman" w:cs="Times New Roman" w:eastAsia="Times New Roman" w:hAnsi="Times New Roman"/>
                <w:sz w:val="15"/>
                <w:szCs w:val="15"/>
                <w:b w:val="1"/>
                <w:bCs w:val="1"/>
                <w:color w:val="auto"/>
                <w:w w:val="99"/>
              </w:rPr>
              <w:t>Weighted Average</w:t>
            </w:r>
          </w:p>
        </w:tc>
      </w:tr>
      <w:tr>
        <w:trPr>
          <w:trHeight w:val="212"/>
        </w:trPr>
        <w:tc>
          <w:tcPr>
            <w:tcW w:w="2980" w:type="dxa"/>
            <w:vAlign w:val="bottom"/>
            <w:gridSpan w:val="2"/>
          </w:tcPr>
          <w:p>
            <w:pPr>
              <w:ind w:left="20"/>
              <w:spacing w:after="0"/>
              <w:rPr>
                <w:sz w:val="20"/>
                <w:szCs w:val="20"/>
                <w:color w:val="auto"/>
              </w:rPr>
            </w:pPr>
            <w:r>
              <w:rPr>
                <w:rFonts w:ascii="Times New Roman" w:cs="Times New Roman" w:eastAsia="Times New Roman" w:hAnsi="Times New Roman"/>
                <w:sz w:val="15"/>
                <w:szCs w:val="15"/>
                <w:i w:val="1"/>
                <w:iCs w:val="1"/>
                <w:color w:val="auto"/>
              </w:rPr>
              <w:t>(dollars in thousands)</w:t>
            </w:r>
          </w:p>
        </w:tc>
        <w:tc>
          <w:tcPr>
            <w:tcW w:w="120" w:type="dxa"/>
            <w:vAlign w:val="bottom"/>
          </w:tcPr>
          <w:p>
            <w:pPr>
              <w:spacing w:after="0"/>
              <w:rPr>
                <w:sz w:val="18"/>
                <w:szCs w:val="18"/>
                <w:color w:val="auto"/>
              </w:rPr>
            </w:pPr>
          </w:p>
        </w:tc>
        <w:tc>
          <w:tcPr>
            <w:tcW w:w="860" w:type="dxa"/>
            <w:vAlign w:val="bottom"/>
          </w:tcPr>
          <w:p>
            <w:pPr>
              <w:jc w:val="right"/>
              <w:ind w:right="264"/>
              <w:spacing w:after="0"/>
              <w:rPr>
                <w:sz w:val="20"/>
                <w:szCs w:val="20"/>
                <w:color w:val="auto"/>
              </w:rPr>
            </w:pPr>
            <w:r>
              <w:rPr>
                <w:rFonts w:ascii="Times New Roman" w:cs="Times New Roman" w:eastAsia="Times New Roman" w:hAnsi="Times New Roman"/>
                <w:sz w:val="15"/>
                <w:szCs w:val="15"/>
                <w:b w:val="1"/>
                <w:bCs w:val="1"/>
                <w:color w:val="auto"/>
              </w:rPr>
              <w:t>Cost</w:t>
            </w:r>
          </w:p>
        </w:tc>
        <w:tc>
          <w:tcPr>
            <w:tcW w:w="80" w:type="dxa"/>
            <w:vAlign w:val="bottom"/>
          </w:tcPr>
          <w:p>
            <w:pPr>
              <w:spacing w:after="0"/>
              <w:rPr>
                <w:sz w:val="18"/>
                <w:szCs w:val="18"/>
                <w:color w:val="auto"/>
              </w:rPr>
            </w:pPr>
          </w:p>
        </w:tc>
        <w:tc>
          <w:tcPr>
            <w:tcW w:w="1880" w:type="dxa"/>
            <w:vAlign w:val="bottom"/>
          </w:tcPr>
          <w:p>
            <w:pPr>
              <w:jc w:val="center"/>
              <w:ind w:left="564"/>
              <w:spacing w:after="0"/>
              <w:rPr>
                <w:sz w:val="20"/>
                <w:szCs w:val="20"/>
                <w:color w:val="auto"/>
              </w:rPr>
            </w:pPr>
            <w:r>
              <w:rPr>
                <w:rFonts w:ascii="Times New Roman" w:cs="Times New Roman" w:eastAsia="Times New Roman" w:hAnsi="Times New Roman"/>
                <w:sz w:val="15"/>
                <w:szCs w:val="15"/>
                <w:b w:val="1"/>
                <w:bCs w:val="1"/>
                <w:color w:val="auto"/>
              </w:rPr>
              <w:t>Modification</w:t>
            </w: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20" w:type="dxa"/>
            <w:vAlign w:val="bottom"/>
            <w:gridSpan w:val="3"/>
          </w:tcPr>
          <w:p>
            <w:pPr>
              <w:jc w:val="center"/>
              <w:ind w:right="980"/>
              <w:spacing w:after="0"/>
              <w:rPr>
                <w:sz w:val="20"/>
                <w:szCs w:val="20"/>
                <w:color w:val="auto"/>
              </w:rPr>
            </w:pPr>
            <w:r>
              <w:rPr>
                <w:rFonts w:ascii="Times New Roman" w:cs="Times New Roman" w:eastAsia="Times New Roman" w:hAnsi="Times New Roman"/>
                <w:sz w:val="15"/>
                <w:szCs w:val="15"/>
                <w:b w:val="1"/>
                <w:bCs w:val="1"/>
                <w:color w:val="auto"/>
              </w:rPr>
              <w:t>Cost</w:t>
            </w:r>
          </w:p>
        </w:tc>
        <w:tc>
          <w:tcPr>
            <w:tcW w:w="2720" w:type="dxa"/>
            <w:vAlign w:val="bottom"/>
          </w:tcPr>
          <w:p>
            <w:pPr>
              <w:jc w:val="center"/>
              <w:ind w:right="684"/>
              <w:spacing w:after="0"/>
              <w:rPr>
                <w:sz w:val="20"/>
                <w:szCs w:val="20"/>
                <w:color w:val="auto"/>
              </w:rPr>
            </w:pPr>
            <w:r>
              <w:rPr>
                <w:rFonts w:ascii="Times New Roman" w:cs="Times New Roman" w:eastAsia="Times New Roman" w:hAnsi="Times New Roman"/>
                <w:sz w:val="15"/>
                <w:szCs w:val="15"/>
                <w:b w:val="1"/>
                <w:bCs w:val="1"/>
                <w:color w:val="auto"/>
              </w:rPr>
              <w:t>Modification</w:t>
            </w:r>
          </w:p>
        </w:tc>
      </w:tr>
      <w:tr>
        <w:trPr>
          <w:trHeight w:val="187"/>
        </w:trPr>
        <w:tc>
          <w:tcPr>
            <w:tcW w:w="298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Extension</w:t>
            </w:r>
          </w:p>
        </w:tc>
        <w:tc>
          <w:tcPr>
            <w:tcW w:w="120" w:type="dxa"/>
            <w:vAlign w:val="bottom"/>
            <w:tcBorders>
              <w:top w:val="single" w:sz="8" w:color="auto"/>
            </w:tcBorders>
            <w:shd w:val="clear" w:color="auto" w:fill="CCEEFF"/>
          </w:tcPr>
          <w:p>
            <w:pPr>
              <w:spacing w:after="0"/>
              <w:rPr>
                <w:sz w:val="16"/>
                <w:szCs w:val="16"/>
                <w:color w:val="auto"/>
              </w:rPr>
            </w:pPr>
          </w:p>
        </w:tc>
        <w:tc>
          <w:tcPr>
            <w:tcW w:w="86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1880" w:type="dxa"/>
            <w:vAlign w:val="bottom"/>
            <w:tcBorders>
              <w:top w:val="single" w:sz="8" w:color="auto"/>
            </w:tcBorders>
            <w:shd w:val="clear" w:color="auto" w:fill="CCEEFF"/>
          </w:tcPr>
          <w:p>
            <w:pPr>
              <w:spacing w:after="0"/>
              <w:rPr>
                <w:sz w:val="16"/>
                <w:szCs w:val="16"/>
                <w:color w:val="auto"/>
              </w:rPr>
            </w:pPr>
          </w:p>
        </w:tc>
        <w:tc>
          <w:tcPr>
            <w:tcW w:w="64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86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spacing w:after="0"/>
              <w:rPr>
                <w:sz w:val="16"/>
                <w:szCs w:val="16"/>
                <w:color w:val="auto"/>
              </w:rPr>
            </w:pPr>
          </w:p>
        </w:tc>
        <w:tc>
          <w:tcPr>
            <w:tcW w:w="2720" w:type="dxa"/>
            <w:vAlign w:val="bottom"/>
            <w:tcBorders>
              <w:top w:val="single" w:sz="8" w:color="auto"/>
            </w:tcBorders>
            <w:shd w:val="clear" w:color="auto" w:fill="CCEEFF"/>
          </w:tcPr>
          <w:p>
            <w:pPr>
              <w:spacing w:after="0"/>
              <w:rPr>
                <w:sz w:val="16"/>
                <w:szCs w:val="16"/>
                <w:color w:val="auto"/>
              </w:rPr>
            </w:pPr>
          </w:p>
        </w:tc>
      </w:tr>
      <w:tr>
        <w:trPr>
          <w:trHeight w:val="200"/>
        </w:trPr>
        <w:tc>
          <w:tcPr>
            <w:tcW w:w="2980" w:type="dxa"/>
            <w:vAlign w:val="bottom"/>
            <w:gridSpan w:val="2"/>
          </w:tcPr>
          <w:p>
            <w:pPr>
              <w:ind w:left="240"/>
              <w:spacing w:after="0"/>
              <w:rPr>
                <w:sz w:val="20"/>
                <w:szCs w:val="20"/>
                <w:color w:val="auto"/>
              </w:rPr>
            </w:pPr>
            <w:r>
              <w:rPr>
                <w:rFonts w:ascii="Times New Roman" w:cs="Times New Roman" w:eastAsia="Times New Roman" w:hAnsi="Times New Roman"/>
                <w:sz w:val="15"/>
                <w:szCs w:val="15"/>
                <w:color w:val="auto"/>
              </w:rPr>
              <w:t>Owner occupied CRE</w:t>
            </w:r>
          </w:p>
        </w:tc>
        <w:tc>
          <w:tcPr>
            <w:tcW w:w="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880" w:type="dxa"/>
            <w:vAlign w:val="bottom"/>
            <w:gridSpan w:val="3"/>
          </w:tcPr>
          <w:p>
            <w:pPr>
              <w:jc w:val="right"/>
              <w:ind w:right="20"/>
              <w:spacing w:after="0"/>
              <w:rPr>
                <w:sz w:val="20"/>
                <w:szCs w:val="20"/>
                <w:color w:val="auto"/>
              </w:rPr>
            </w:pPr>
            <w:r>
              <w:rPr>
                <w:rFonts w:ascii="Times New Roman" w:cs="Times New Roman" w:eastAsia="Times New Roman" w:hAnsi="Times New Roman"/>
                <w:sz w:val="15"/>
                <w:szCs w:val="15"/>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197</w:t>
            </w: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720" w:type="dxa"/>
            <w:vAlign w:val="bottom"/>
          </w:tcPr>
          <w:p>
            <w:pPr>
              <w:jc w:val="center"/>
              <w:ind w:right="704"/>
              <w:spacing w:after="0"/>
              <w:rPr>
                <w:sz w:val="20"/>
                <w:szCs w:val="20"/>
                <w:color w:val="auto"/>
              </w:rPr>
            </w:pPr>
            <w:r>
              <w:rPr>
                <w:rFonts w:ascii="Times New Roman" w:cs="Times New Roman" w:eastAsia="Times New Roman" w:hAnsi="Times New Roman"/>
                <w:sz w:val="15"/>
                <w:szCs w:val="15"/>
                <w:color w:val="auto"/>
              </w:rPr>
              <w:t>6 months</w:t>
            </w:r>
          </w:p>
        </w:tc>
      </w:tr>
      <w:tr>
        <w:trPr>
          <w:trHeight w:val="205"/>
        </w:trPr>
        <w:tc>
          <w:tcPr>
            <w:tcW w:w="298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5"/>
                <w:szCs w:val="15"/>
                <w:color w:val="auto"/>
              </w:rPr>
              <w:t>Commercial &amp; industrial</w:t>
            </w: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78</w:t>
            </w:r>
          </w:p>
        </w:tc>
        <w:tc>
          <w:tcPr>
            <w:tcW w:w="80" w:type="dxa"/>
            <w:vAlign w:val="bottom"/>
            <w:shd w:val="clear" w:color="auto" w:fill="CCEEFF"/>
          </w:tcPr>
          <w:p>
            <w:pPr>
              <w:spacing w:after="0"/>
              <w:rPr>
                <w:sz w:val="17"/>
                <w:szCs w:val="17"/>
                <w:color w:val="auto"/>
              </w:rPr>
            </w:pPr>
          </w:p>
        </w:tc>
        <w:tc>
          <w:tcPr>
            <w:tcW w:w="1880" w:type="dxa"/>
            <w:vAlign w:val="bottom"/>
            <w:shd w:val="clear" w:color="auto" w:fill="CCEEFF"/>
          </w:tcPr>
          <w:p>
            <w:pPr>
              <w:jc w:val="center"/>
              <w:ind w:left="584"/>
              <w:spacing w:after="0"/>
              <w:rPr>
                <w:sz w:val="20"/>
                <w:szCs w:val="20"/>
                <w:color w:val="auto"/>
              </w:rPr>
            </w:pPr>
            <w:r>
              <w:rPr>
                <w:rFonts w:ascii="Times New Roman" w:cs="Times New Roman" w:eastAsia="Times New Roman" w:hAnsi="Times New Roman"/>
                <w:sz w:val="15"/>
                <w:szCs w:val="15"/>
                <w:color w:val="auto"/>
                <w:w w:val="99"/>
              </w:rPr>
              <w:t>2.0 years</w:t>
            </w:r>
          </w:p>
        </w:tc>
        <w:tc>
          <w:tcPr>
            <w:tcW w:w="6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19,445</w:t>
            </w: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720" w:type="dxa"/>
            <w:vAlign w:val="bottom"/>
            <w:shd w:val="clear" w:color="auto" w:fill="CCEEFF"/>
          </w:tcPr>
          <w:p>
            <w:pPr>
              <w:jc w:val="center"/>
              <w:ind w:right="704"/>
              <w:spacing w:after="0"/>
              <w:rPr>
                <w:sz w:val="20"/>
                <w:szCs w:val="20"/>
                <w:color w:val="auto"/>
              </w:rPr>
            </w:pPr>
            <w:r>
              <w:rPr>
                <w:rFonts w:ascii="Times New Roman" w:cs="Times New Roman" w:eastAsia="Times New Roman" w:hAnsi="Times New Roman"/>
                <w:sz w:val="15"/>
                <w:szCs w:val="15"/>
                <w:color w:val="auto"/>
                <w:w w:val="99"/>
              </w:rPr>
              <w:t>1.1 years</w:t>
            </w:r>
          </w:p>
        </w:tc>
      </w:tr>
      <w:tr>
        <w:trPr>
          <w:trHeight w:val="200"/>
        </w:trPr>
        <w:tc>
          <w:tcPr>
            <w:tcW w:w="2980" w:type="dxa"/>
            <w:vAlign w:val="bottom"/>
            <w:gridSpan w:val="2"/>
          </w:tcPr>
          <w:p>
            <w:pPr>
              <w:ind w:left="240"/>
              <w:spacing w:after="0"/>
              <w:rPr>
                <w:sz w:val="20"/>
                <w:szCs w:val="20"/>
                <w:color w:val="auto"/>
              </w:rPr>
            </w:pPr>
            <w:r>
              <w:rPr>
                <w:rFonts w:ascii="Times New Roman" w:cs="Times New Roman" w:eastAsia="Times New Roman" w:hAnsi="Times New Roman"/>
                <w:sz w:val="15"/>
                <w:szCs w:val="15"/>
                <w:color w:val="auto"/>
              </w:rPr>
              <w:t>Residential mortgage</w:t>
            </w:r>
          </w:p>
        </w:tc>
        <w:tc>
          <w:tcPr>
            <w:tcW w:w="12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242</w:t>
            </w:r>
          </w:p>
        </w:tc>
        <w:tc>
          <w:tcPr>
            <w:tcW w:w="80" w:type="dxa"/>
            <w:vAlign w:val="bottom"/>
          </w:tcPr>
          <w:p>
            <w:pPr>
              <w:spacing w:after="0"/>
              <w:rPr>
                <w:sz w:val="17"/>
                <w:szCs w:val="17"/>
                <w:color w:val="auto"/>
              </w:rPr>
            </w:pPr>
          </w:p>
        </w:tc>
        <w:tc>
          <w:tcPr>
            <w:tcW w:w="1880" w:type="dxa"/>
            <w:vAlign w:val="bottom"/>
          </w:tcPr>
          <w:p>
            <w:pPr>
              <w:jc w:val="center"/>
              <w:ind w:left="564"/>
              <w:spacing w:after="0"/>
              <w:rPr>
                <w:sz w:val="20"/>
                <w:szCs w:val="20"/>
                <w:color w:val="auto"/>
              </w:rPr>
            </w:pPr>
            <w:r>
              <w:rPr>
                <w:rFonts w:ascii="Times New Roman" w:cs="Times New Roman" w:eastAsia="Times New Roman" w:hAnsi="Times New Roman"/>
                <w:sz w:val="15"/>
                <w:szCs w:val="15"/>
                <w:color w:val="auto"/>
              </w:rPr>
              <w:t>6 months</w:t>
            </w: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225</w:t>
            </w: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720" w:type="dxa"/>
            <w:vAlign w:val="bottom"/>
          </w:tcPr>
          <w:p>
            <w:pPr>
              <w:jc w:val="center"/>
              <w:ind w:right="704"/>
              <w:spacing w:after="0"/>
              <w:rPr>
                <w:sz w:val="20"/>
                <w:szCs w:val="20"/>
                <w:color w:val="auto"/>
              </w:rPr>
            </w:pPr>
            <w:r>
              <w:rPr>
                <w:rFonts w:ascii="Times New Roman" w:cs="Times New Roman" w:eastAsia="Times New Roman" w:hAnsi="Times New Roman"/>
                <w:sz w:val="15"/>
                <w:szCs w:val="15"/>
                <w:color w:val="auto"/>
              </w:rPr>
              <w:t>10.2 years</w:t>
            </w:r>
          </w:p>
        </w:tc>
      </w:tr>
      <w:tr>
        <w:trPr>
          <w:trHeight w:val="205"/>
        </w:trPr>
        <w:tc>
          <w:tcPr>
            <w:tcW w:w="298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5"/>
                <w:szCs w:val="15"/>
                <w:color w:val="auto"/>
              </w:rPr>
              <w:t>Consumer</w:t>
            </w:r>
          </w:p>
        </w:tc>
        <w:tc>
          <w:tcPr>
            <w:tcW w:w="12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shd w:val="clear" w:color="auto" w:fill="CCEEFF"/>
          </w:tcPr>
          <w:p>
            <w:pPr>
              <w:spacing w:after="0"/>
              <w:rPr>
                <w:sz w:val="17"/>
                <w:szCs w:val="17"/>
                <w:color w:val="auto"/>
              </w:rPr>
            </w:pPr>
          </w:p>
        </w:tc>
        <w:tc>
          <w:tcPr>
            <w:tcW w:w="18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111</w:t>
            </w: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720" w:type="dxa"/>
            <w:vAlign w:val="bottom"/>
            <w:shd w:val="clear" w:color="auto" w:fill="CCEEFF"/>
          </w:tcPr>
          <w:p>
            <w:pPr>
              <w:jc w:val="center"/>
              <w:ind w:right="704"/>
              <w:spacing w:after="0"/>
              <w:rPr>
                <w:sz w:val="20"/>
                <w:szCs w:val="20"/>
                <w:color w:val="auto"/>
              </w:rPr>
            </w:pPr>
            <w:r>
              <w:rPr>
                <w:rFonts w:ascii="Times New Roman" w:cs="Times New Roman" w:eastAsia="Times New Roman" w:hAnsi="Times New Roman"/>
                <w:sz w:val="15"/>
                <w:szCs w:val="15"/>
                <w:color w:val="auto"/>
                <w:w w:val="99"/>
              </w:rPr>
              <w:t>2.1 years</w:t>
            </w:r>
          </w:p>
        </w:tc>
      </w:tr>
      <w:tr>
        <w:trPr>
          <w:trHeight w:val="194"/>
        </w:trPr>
        <w:tc>
          <w:tcPr>
            <w:tcW w:w="2980" w:type="dxa"/>
            <w:vAlign w:val="bottom"/>
            <w:tcBorders>
              <w:bottom w:val="single" w:sz="8" w:color="CCEEFF"/>
            </w:tcBorders>
            <w:gridSpan w:val="2"/>
          </w:tcPr>
          <w:p>
            <w:pPr>
              <w:ind w:left="360"/>
              <w:spacing w:after="0"/>
              <w:rPr>
                <w:sz w:val="20"/>
                <w:szCs w:val="20"/>
                <w:color w:val="auto"/>
              </w:rPr>
            </w:pPr>
            <w:r>
              <w:rPr>
                <w:rFonts w:ascii="Times New Roman" w:cs="Times New Roman" w:eastAsia="Times New Roman" w:hAnsi="Times New Roman"/>
                <w:sz w:val="15"/>
                <w:szCs w:val="15"/>
                <w:color w:val="auto"/>
              </w:rPr>
              <w:t>Total</w:t>
            </w:r>
          </w:p>
        </w:tc>
        <w:tc>
          <w:tcPr>
            <w:tcW w:w="1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320</w:t>
            </w:r>
          </w:p>
        </w:tc>
        <w:tc>
          <w:tcPr>
            <w:tcW w:w="80" w:type="dxa"/>
            <w:vAlign w:val="bottom"/>
            <w:tcBorders>
              <w:bottom w:val="single" w:sz="8" w:color="CCEEFF"/>
            </w:tcBorders>
          </w:tcPr>
          <w:p>
            <w:pPr>
              <w:spacing w:after="0"/>
              <w:rPr>
                <w:sz w:val="16"/>
                <w:szCs w:val="16"/>
                <w:color w:val="auto"/>
              </w:rPr>
            </w:pPr>
          </w:p>
        </w:tc>
        <w:tc>
          <w:tcPr>
            <w:tcW w:w="1880" w:type="dxa"/>
            <w:vAlign w:val="bottom"/>
            <w:tcBorders>
              <w:bottom w:val="single" w:sz="8" w:color="CCEEFF"/>
            </w:tcBorders>
          </w:tcPr>
          <w:p>
            <w:pPr>
              <w:spacing w:after="0"/>
              <w:rPr>
                <w:sz w:val="16"/>
                <w:szCs w:val="16"/>
                <w:color w:val="auto"/>
              </w:rPr>
            </w:pPr>
          </w:p>
        </w:tc>
        <w:tc>
          <w:tcPr>
            <w:tcW w:w="640" w:type="dxa"/>
            <w:vAlign w:val="bottom"/>
            <w:tcBorders>
              <w:bottom w:val="single" w:sz="8" w:color="CCEEFF"/>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19,978</w:t>
            </w:r>
          </w:p>
        </w:tc>
        <w:tc>
          <w:tcPr>
            <w:tcW w:w="80" w:type="dxa"/>
            <w:vAlign w:val="bottom"/>
            <w:tcBorders>
              <w:bottom w:val="single" w:sz="8" w:color="CCEEFF"/>
            </w:tcBorders>
          </w:tcPr>
          <w:p>
            <w:pPr>
              <w:spacing w:after="0"/>
              <w:rPr>
                <w:sz w:val="16"/>
                <w:szCs w:val="16"/>
                <w:color w:val="auto"/>
              </w:rPr>
            </w:pPr>
          </w:p>
        </w:tc>
        <w:tc>
          <w:tcPr>
            <w:tcW w:w="780" w:type="dxa"/>
            <w:vAlign w:val="bottom"/>
            <w:tcBorders>
              <w:bottom w:val="single" w:sz="8" w:color="CCEEFF"/>
            </w:tcBorders>
          </w:tcPr>
          <w:p>
            <w:pPr>
              <w:spacing w:after="0"/>
              <w:rPr>
                <w:sz w:val="16"/>
                <w:szCs w:val="16"/>
                <w:color w:val="auto"/>
              </w:rPr>
            </w:pPr>
          </w:p>
        </w:tc>
        <w:tc>
          <w:tcPr>
            <w:tcW w:w="2720" w:type="dxa"/>
            <w:vAlign w:val="bottom"/>
            <w:tcBorders>
              <w:bottom w:val="single" w:sz="8" w:color="CCEEFF"/>
            </w:tcBorders>
          </w:tcPr>
          <w:p>
            <w:pPr>
              <w:spacing w:after="0"/>
              <w:rPr>
                <w:sz w:val="16"/>
                <w:szCs w:val="16"/>
                <w:color w:val="auto"/>
              </w:rPr>
            </w:pPr>
          </w:p>
        </w:tc>
      </w:tr>
      <w:tr>
        <w:trPr>
          <w:trHeight w:val="131"/>
        </w:trPr>
        <w:tc>
          <w:tcPr>
            <w:tcW w:w="28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8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2720" w:type="dxa"/>
            <w:vAlign w:val="bottom"/>
            <w:shd w:val="clear" w:color="auto" w:fill="CCEEFF"/>
          </w:tcPr>
          <w:p>
            <w:pPr>
              <w:spacing w:after="0"/>
              <w:rPr>
                <w:sz w:val="11"/>
                <w:szCs w:val="11"/>
                <w:color w:val="auto"/>
              </w:rPr>
            </w:pPr>
          </w:p>
        </w:tc>
      </w:tr>
    </w:tbl>
    <w:p>
      <w:pPr>
        <w:ind w:left="20"/>
        <w:spacing w:after="0"/>
        <w:rPr>
          <w:sz w:val="20"/>
          <w:szCs w:val="20"/>
          <w:color w:val="auto"/>
        </w:rPr>
      </w:pPr>
      <w:r>
        <w:rPr>
          <w:rFonts w:ascii="Times New Roman" w:cs="Times New Roman" w:eastAsia="Times New Roman" w:hAnsi="Times New Roman"/>
          <w:sz w:val="15"/>
          <w:szCs w:val="15"/>
          <w:b w:val="1"/>
          <w:bCs w:val="1"/>
          <w:color w:val="auto"/>
        </w:rPr>
        <w:t>Payment Delay</w:t>
      </w:r>
    </w:p>
    <w:p>
      <w:pPr>
        <w:sectPr>
          <w:pgSz w:w="11900" w:h="16838" w:orient="portrait"/>
          <w:cols w:equalWidth="0" w:num="1">
            <w:col w:w="11240"/>
          </w:cols>
          <w:pgMar w:left="320" w:top="117" w:right="339" w:bottom="1440" w:gutter="0" w:footer="0" w:header="0"/>
        </w:sectPr>
      </w:pPr>
    </w:p>
    <w:p>
      <w:pPr>
        <w:spacing w:after="0" w:line="10" w:lineRule="exact"/>
        <w:rPr>
          <w:sz w:val="20"/>
          <w:szCs w:val="20"/>
          <w:color w:val="auto"/>
        </w:rPr>
      </w:pPr>
    </w:p>
    <w:tbl>
      <w:tblPr>
        <w:tblLayout w:type="fixed"/>
        <w:tblInd w:w="20" w:type="dxa"/>
        <w:tblCellMar>
          <w:top w:w="0" w:type="dxa"/>
          <w:left w:w="0" w:type="dxa"/>
          <w:bottom w:w="0" w:type="dxa"/>
          <w:right w:w="0" w:type="dxa"/>
        </w:tblCellMar>
      </w:tblPr>
      <w:tr>
        <w:trPr>
          <w:trHeight w:val="218"/>
        </w:trPr>
        <w:tc>
          <w:tcPr>
            <w:tcW w:w="2960" w:type="dxa"/>
            <w:vAlign w:val="bottom"/>
          </w:tcPr>
          <w:p>
            <w:pPr>
              <w:ind w:left="220"/>
              <w:spacing w:after="0"/>
              <w:rPr>
                <w:sz w:val="20"/>
                <w:szCs w:val="20"/>
                <w:color w:val="auto"/>
              </w:rPr>
            </w:pPr>
            <w:r>
              <w:rPr>
                <w:rFonts w:ascii="Times New Roman" w:cs="Times New Roman" w:eastAsia="Times New Roman" w:hAnsi="Times New Roman"/>
                <w:sz w:val="15"/>
                <w:szCs w:val="15"/>
                <w:color w:val="auto"/>
              </w:rPr>
              <w:t xml:space="preserve">Owner occupied CRE </w:t>
            </w:r>
            <w:r>
              <w:rPr>
                <w:rFonts w:ascii="Times New Roman" w:cs="Times New Roman" w:eastAsia="Times New Roman" w:hAnsi="Times New Roman"/>
                <w:sz w:val="19"/>
                <w:szCs w:val="19"/>
                <w:color w:val="auto"/>
                <w:vertAlign w:val="superscript"/>
              </w:rPr>
              <w:t>(1)</w:t>
            </w:r>
          </w:p>
        </w:tc>
        <w:tc>
          <w:tcPr>
            <w:tcW w:w="3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894</w:t>
            </w:r>
          </w:p>
        </w:tc>
        <w:tc>
          <w:tcPr>
            <w:tcW w:w="3020" w:type="dxa"/>
            <w:vAlign w:val="bottom"/>
            <w:gridSpan w:val="2"/>
          </w:tcPr>
          <w:p>
            <w:pPr>
              <w:jc w:val="center"/>
              <w:ind w:right="264"/>
              <w:spacing w:after="0"/>
              <w:rPr>
                <w:sz w:val="20"/>
                <w:szCs w:val="20"/>
                <w:color w:val="auto"/>
              </w:rPr>
            </w:pPr>
            <w:r>
              <w:rPr>
                <w:rFonts w:ascii="Times New Roman" w:cs="Times New Roman" w:eastAsia="Times New Roman" w:hAnsi="Times New Roman"/>
                <w:sz w:val="15"/>
                <w:szCs w:val="15"/>
                <w:color w:val="auto"/>
              </w:rPr>
              <w:t>8 months</w:t>
            </w: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1,631</w:t>
            </w:r>
          </w:p>
        </w:tc>
      </w:tr>
      <w:tr>
        <w:trPr>
          <w:trHeight w:val="203"/>
        </w:trPr>
        <w:tc>
          <w:tcPr>
            <w:tcW w:w="2960" w:type="dxa"/>
            <w:vAlign w:val="bottom"/>
          </w:tcPr>
          <w:p>
            <w:pPr>
              <w:ind w:left="220"/>
              <w:spacing w:after="0" w:line="203" w:lineRule="exact"/>
              <w:rPr>
                <w:sz w:val="20"/>
                <w:szCs w:val="20"/>
                <w:color w:val="auto"/>
              </w:rPr>
            </w:pPr>
            <w:r>
              <w:rPr>
                <w:rFonts w:ascii="Times New Roman" w:cs="Times New Roman" w:eastAsia="Times New Roman" w:hAnsi="Times New Roman"/>
                <w:sz w:val="15"/>
                <w:szCs w:val="15"/>
                <w:color w:val="auto"/>
              </w:rPr>
              <w:t xml:space="preserve">Income producing CRE </w:t>
            </w:r>
            <w:r>
              <w:rPr>
                <w:rFonts w:ascii="Times New Roman" w:cs="Times New Roman" w:eastAsia="Times New Roman" w:hAnsi="Times New Roman"/>
                <w:sz w:val="19"/>
                <w:szCs w:val="19"/>
                <w:color w:val="auto"/>
                <w:vertAlign w:val="superscript"/>
              </w:rPr>
              <w:t>(2)</w:t>
            </w:r>
          </w:p>
        </w:tc>
        <w:tc>
          <w:tcPr>
            <w:tcW w:w="30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7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12,976</w:t>
            </w:r>
          </w:p>
        </w:tc>
      </w:tr>
      <w:tr>
        <w:trPr>
          <w:trHeight w:val="203"/>
        </w:trPr>
        <w:tc>
          <w:tcPr>
            <w:tcW w:w="2960" w:type="dxa"/>
            <w:vAlign w:val="bottom"/>
          </w:tcPr>
          <w:p>
            <w:pPr>
              <w:ind w:left="220"/>
              <w:spacing w:after="0" w:line="203" w:lineRule="exact"/>
              <w:rPr>
                <w:sz w:val="20"/>
                <w:szCs w:val="20"/>
                <w:color w:val="auto"/>
              </w:rPr>
            </w:pPr>
            <w:r>
              <w:rPr>
                <w:rFonts w:ascii="Times New Roman" w:cs="Times New Roman" w:eastAsia="Times New Roman" w:hAnsi="Times New Roman"/>
                <w:sz w:val="15"/>
                <w:szCs w:val="15"/>
                <w:color w:val="auto"/>
              </w:rPr>
              <w:t xml:space="preserve">Commercial &amp; industrial </w:t>
            </w:r>
            <w:r>
              <w:rPr>
                <w:rFonts w:ascii="Times New Roman" w:cs="Times New Roman" w:eastAsia="Times New Roman" w:hAnsi="Times New Roman"/>
                <w:sz w:val="19"/>
                <w:szCs w:val="19"/>
                <w:color w:val="auto"/>
                <w:vertAlign w:val="superscript"/>
              </w:rPr>
              <w:t>(1)</w:t>
            </w:r>
          </w:p>
        </w:tc>
        <w:tc>
          <w:tcPr>
            <w:tcW w:w="30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222</w:t>
            </w:r>
          </w:p>
        </w:tc>
        <w:tc>
          <w:tcPr>
            <w:tcW w:w="3020" w:type="dxa"/>
            <w:vAlign w:val="bottom"/>
            <w:gridSpan w:val="2"/>
          </w:tcPr>
          <w:p>
            <w:pPr>
              <w:jc w:val="center"/>
              <w:ind w:right="264"/>
              <w:spacing w:after="0"/>
              <w:rPr>
                <w:sz w:val="20"/>
                <w:szCs w:val="20"/>
                <w:color w:val="auto"/>
              </w:rPr>
            </w:pPr>
            <w:r>
              <w:rPr>
                <w:rFonts w:ascii="Times New Roman" w:cs="Times New Roman" w:eastAsia="Times New Roman" w:hAnsi="Times New Roman"/>
                <w:sz w:val="15"/>
                <w:szCs w:val="15"/>
                <w:color w:val="auto"/>
              </w:rPr>
              <w:t>4 months</w:t>
            </w: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165</w:t>
            </w:r>
          </w:p>
        </w:tc>
      </w:tr>
      <w:tr>
        <w:trPr>
          <w:trHeight w:val="198"/>
        </w:trPr>
        <w:tc>
          <w:tcPr>
            <w:tcW w:w="2960" w:type="dxa"/>
            <w:vAlign w:val="bottom"/>
          </w:tcPr>
          <w:p>
            <w:pPr>
              <w:ind w:left="220"/>
              <w:spacing w:after="0"/>
              <w:rPr>
                <w:sz w:val="20"/>
                <w:szCs w:val="20"/>
                <w:color w:val="auto"/>
              </w:rPr>
            </w:pPr>
            <w:r>
              <w:rPr>
                <w:rFonts w:ascii="Times New Roman" w:cs="Times New Roman" w:eastAsia="Times New Roman" w:hAnsi="Times New Roman"/>
                <w:sz w:val="15"/>
                <w:szCs w:val="15"/>
                <w:color w:val="auto"/>
              </w:rPr>
              <w:t>Residential mortgage</w:t>
            </w:r>
          </w:p>
        </w:tc>
        <w:tc>
          <w:tcPr>
            <w:tcW w:w="30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2,589</w:t>
            </w:r>
          </w:p>
        </w:tc>
        <w:tc>
          <w:tcPr>
            <w:tcW w:w="3020" w:type="dxa"/>
            <w:vAlign w:val="bottom"/>
            <w:gridSpan w:val="2"/>
          </w:tcPr>
          <w:p>
            <w:pPr>
              <w:jc w:val="center"/>
              <w:ind w:right="264"/>
              <w:spacing w:after="0"/>
              <w:rPr>
                <w:sz w:val="20"/>
                <w:szCs w:val="20"/>
                <w:color w:val="auto"/>
              </w:rPr>
            </w:pPr>
            <w:r>
              <w:rPr>
                <w:rFonts w:ascii="Times New Roman" w:cs="Times New Roman" w:eastAsia="Times New Roman" w:hAnsi="Times New Roman"/>
                <w:sz w:val="15"/>
                <w:szCs w:val="15"/>
                <w:color w:val="auto"/>
              </w:rPr>
              <w:t>10 months</w:t>
            </w: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139</w:t>
            </w:r>
          </w:p>
        </w:tc>
      </w:tr>
      <w:tr>
        <w:trPr>
          <w:trHeight w:val="204"/>
        </w:trPr>
        <w:tc>
          <w:tcPr>
            <w:tcW w:w="2960" w:type="dxa"/>
            <w:vAlign w:val="bottom"/>
          </w:tcPr>
          <w:p>
            <w:pPr>
              <w:ind w:left="220"/>
              <w:spacing w:after="0"/>
              <w:rPr>
                <w:sz w:val="20"/>
                <w:szCs w:val="20"/>
                <w:color w:val="auto"/>
              </w:rPr>
            </w:pPr>
            <w:r>
              <w:rPr>
                <w:rFonts w:ascii="Times New Roman" w:cs="Times New Roman" w:eastAsia="Times New Roman" w:hAnsi="Times New Roman"/>
                <w:sz w:val="15"/>
                <w:szCs w:val="15"/>
                <w:color w:val="auto"/>
              </w:rPr>
              <w:t>HELOC</w:t>
            </w:r>
          </w:p>
        </w:tc>
        <w:tc>
          <w:tcPr>
            <w:tcW w:w="30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497</w:t>
            </w:r>
          </w:p>
        </w:tc>
        <w:tc>
          <w:tcPr>
            <w:tcW w:w="3020" w:type="dxa"/>
            <w:vAlign w:val="bottom"/>
            <w:gridSpan w:val="2"/>
          </w:tcPr>
          <w:p>
            <w:pPr>
              <w:jc w:val="center"/>
              <w:ind w:right="264"/>
              <w:spacing w:after="0"/>
              <w:rPr>
                <w:sz w:val="20"/>
                <w:szCs w:val="20"/>
                <w:color w:val="auto"/>
              </w:rPr>
            </w:pPr>
            <w:r>
              <w:rPr>
                <w:rFonts w:ascii="Times New Roman" w:cs="Times New Roman" w:eastAsia="Times New Roman" w:hAnsi="Times New Roman"/>
                <w:sz w:val="15"/>
                <w:szCs w:val="15"/>
                <w:color w:val="auto"/>
              </w:rPr>
              <w:t>6 months</w:t>
            </w: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198"/>
        </w:trPr>
        <w:tc>
          <w:tcPr>
            <w:tcW w:w="2960" w:type="dxa"/>
            <w:vAlign w:val="bottom"/>
          </w:tcPr>
          <w:p>
            <w:pPr>
              <w:ind w:left="340"/>
              <w:spacing w:after="0"/>
              <w:rPr>
                <w:sz w:val="20"/>
                <w:szCs w:val="20"/>
                <w:color w:val="auto"/>
              </w:rPr>
            </w:pPr>
            <w:r>
              <w:rPr>
                <w:rFonts w:ascii="Times New Roman" w:cs="Times New Roman" w:eastAsia="Times New Roman" w:hAnsi="Times New Roman"/>
                <w:sz w:val="15"/>
                <w:szCs w:val="15"/>
                <w:color w:val="auto"/>
              </w:rPr>
              <w:t>Total</w:t>
            </w:r>
          </w:p>
        </w:tc>
        <w:tc>
          <w:tcPr>
            <w:tcW w:w="300" w:type="dxa"/>
            <w:vAlign w:val="bottom"/>
            <w:tcBorders>
              <w:top w:val="single" w:sz="8" w:color="auto"/>
              <w:bottom w:val="single" w:sz="8" w:color="auto"/>
            </w:tcBorders>
          </w:tcPr>
          <w:p>
            <w:pPr>
              <w:spacing w:after="0"/>
              <w:rPr>
                <w:sz w:val="17"/>
                <w:szCs w:val="17"/>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4,202</w:t>
            </w:r>
          </w:p>
        </w:tc>
        <w:tc>
          <w:tcPr>
            <w:tcW w:w="2720" w:type="dxa"/>
            <w:vAlign w:val="bottom"/>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14,911</w:t>
            </w:r>
          </w:p>
        </w:tc>
      </w:tr>
      <w:tr>
        <w:trPr>
          <w:trHeight w:val="327"/>
        </w:trPr>
        <w:tc>
          <w:tcPr>
            <w:tcW w:w="2960" w:type="dxa"/>
            <w:vAlign w:val="bottom"/>
          </w:tcPr>
          <w:p>
            <w:pPr>
              <w:spacing w:after="0"/>
              <w:rPr>
                <w:sz w:val="20"/>
                <w:szCs w:val="20"/>
                <w:color w:val="auto"/>
              </w:rPr>
            </w:pPr>
            <w:r>
              <w:rPr>
                <w:rFonts w:ascii="Times New Roman" w:cs="Times New Roman" w:eastAsia="Times New Roman" w:hAnsi="Times New Roman"/>
                <w:sz w:val="15"/>
                <w:szCs w:val="15"/>
                <w:b w:val="1"/>
                <w:bCs w:val="1"/>
                <w:color w:val="auto"/>
              </w:rPr>
              <w:t>Rate Reduction</w:t>
            </w:r>
          </w:p>
        </w:tc>
        <w:tc>
          <w:tcPr>
            <w:tcW w:w="3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7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203"/>
        </w:trPr>
        <w:tc>
          <w:tcPr>
            <w:tcW w:w="2960" w:type="dxa"/>
            <w:vAlign w:val="bottom"/>
          </w:tcPr>
          <w:p>
            <w:pPr>
              <w:ind w:left="220"/>
              <w:spacing w:after="0"/>
              <w:rPr>
                <w:sz w:val="20"/>
                <w:szCs w:val="20"/>
                <w:color w:val="auto"/>
              </w:rPr>
            </w:pPr>
            <w:r>
              <w:rPr>
                <w:rFonts w:ascii="Times New Roman" w:cs="Times New Roman" w:eastAsia="Times New Roman" w:hAnsi="Times New Roman"/>
                <w:sz w:val="15"/>
                <w:szCs w:val="15"/>
                <w:color w:val="auto"/>
              </w:rPr>
              <w:t>Commercial &amp; industrial</w:t>
            </w:r>
          </w:p>
        </w:tc>
        <w:tc>
          <w:tcPr>
            <w:tcW w:w="30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7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488</w:t>
            </w:r>
          </w:p>
        </w:tc>
      </w:tr>
      <w:tr>
        <w:trPr>
          <w:trHeight w:val="203"/>
        </w:trPr>
        <w:tc>
          <w:tcPr>
            <w:tcW w:w="2960" w:type="dxa"/>
            <w:vAlign w:val="bottom"/>
          </w:tcPr>
          <w:p>
            <w:pPr>
              <w:ind w:left="220"/>
              <w:spacing w:after="0"/>
              <w:rPr>
                <w:sz w:val="20"/>
                <w:szCs w:val="20"/>
                <w:color w:val="auto"/>
              </w:rPr>
            </w:pPr>
            <w:r>
              <w:rPr>
                <w:rFonts w:ascii="Times New Roman" w:cs="Times New Roman" w:eastAsia="Times New Roman" w:hAnsi="Times New Roman"/>
                <w:sz w:val="15"/>
                <w:szCs w:val="15"/>
                <w:color w:val="auto"/>
              </w:rPr>
              <w:t>Residential mortgage</w:t>
            </w:r>
          </w:p>
        </w:tc>
        <w:tc>
          <w:tcPr>
            <w:tcW w:w="30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341</w:t>
            </w:r>
          </w:p>
        </w:tc>
        <w:tc>
          <w:tcPr>
            <w:tcW w:w="3020" w:type="dxa"/>
            <w:vAlign w:val="bottom"/>
            <w:gridSpan w:val="2"/>
          </w:tcPr>
          <w:p>
            <w:pPr>
              <w:jc w:val="center"/>
              <w:ind w:right="244"/>
              <w:spacing w:after="0"/>
              <w:rPr>
                <w:sz w:val="20"/>
                <w:szCs w:val="20"/>
                <w:color w:val="auto"/>
              </w:rPr>
            </w:pPr>
            <w:r>
              <w:rPr>
                <w:rFonts w:ascii="Times New Roman" w:cs="Times New Roman" w:eastAsia="Times New Roman" w:hAnsi="Times New Roman"/>
                <w:sz w:val="15"/>
                <w:szCs w:val="15"/>
                <w:color w:val="auto"/>
              </w:rPr>
              <w:t>242 basis points</w:t>
            </w: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204"/>
        </w:trPr>
        <w:tc>
          <w:tcPr>
            <w:tcW w:w="2960" w:type="dxa"/>
            <w:vAlign w:val="bottom"/>
          </w:tcPr>
          <w:p>
            <w:pPr>
              <w:ind w:left="220"/>
              <w:spacing w:after="0"/>
              <w:rPr>
                <w:sz w:val="20"/>
                <w:szCs w:val="20"/>
                <w:color w:val="auto"/>
              </w:rPr>
            </w:pPr>
            <w:r>
              <w:rPr>
                <w:rFonts w:ascii="Times New Roman" w:cs="Times New Roman" w:eastAsia="Times New Roman" w:hAnsi="Times New Roman"/>
                <w:sz w:val="15"/>
                <w:szCs w:val="15"/>
                <w:color w:val="auto"/>
              </w:rPr>
              <w:t>Home equity</w:t>
            </w:r>
          </w:p>
        </w:tc>
        <w:tc>
          <w:tcPr>
            <w:tcW w:w="30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71</w:t>
            </w:r>
          </w:p>
        </w:tc>
        <w:tc>
          <w:tcPr>
            <w:tcW w:w="3020" w:type="dxa"/>
            <w:vAlign w:val="bottom"/>
            <w:gridSpan w:val="2"/>
          </w:tcPr>
          <w:p>
            <w:pPr>
              <w:jc w:val="center"/>
              <w:ind w:right="244"/>
              <w:spacing w:after="0"/>
              <w:rPr>
                <w:sz w:val="20"/>
                <w:szCs w:val="20"/>
                <w:color w:val="auto"/>
              </w:rPr>
            </w:pPr>
            <w:r>
              <w:rPr>
                <w:rFonts w:ascii="Times New Roman" w:cs="Times New Roman" w:eastAsia="Times New Roman" w:hAnsi="Times New Roman"/>
                <w:sz w:val="15"/>
                <w:szCs w:val="15"/>
                <w:color w:val="auto"/>
              </w:rPr>
              <w:t>400 basis points</w:t>
            </w: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198"/>
        </w:trPr>
        <w:tc>
          <w:tcPr>
            <w:tcW w:w="2960" w:type="dxa"/>
            <w:vAlign w:val="bottom"/>
          </w:tcPr>
          <w:p>
            <w:pPr>
              <w:ind w:left="340"/>
              <w:spacing w:after="0"/>
              <w:rPr>
                <w:sz w:val="20"/>
                <w:szCs w:val="20"/>
                <w:color w:val="auto"/>
              </w:rPr>
            </w:pPr>
            <w:r>
              <w:rPr>
                <w:rFonts w:ascii="Times New Roman" w:cs="Times New Roman" w:eastAsia="Times New Roman" w:hAnsi="Times New Roman"/>
                <w:sz w:val="15"/>
                <w:szCs w:val="15"/>
                <w:color w:val="auto"/>
              </w:rPr>
              <w:t>Total</w:t>
            </w:r>
          </w:p>
        </w:tc>
        <w:tc>
          <w:tcPr>
            <w:tcW w:w="300" w:type="dxa"/>
            <w:vAlign w:val="bottom"/>
            <w:tcBorders>
              <w:top w:val="single" w:sz="8" w:color="auto"/>
              <w:bottom w:val="single" w:sz="8" w:color="auto"/>
            </w:tcBorders>
          </w:tcPr>
          <w:p>
            <w:pPr>
              <w:spacing w:after="0"/>
              <w:rPr>
                <w:sz w:val="17"/>
                <w:szCs w:val="17"/>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412</w:t>
            </w:r>
          </w:p>
        </w:tc>
        <w:tc>
          <w:tcPr>
            <w:tcW w:w="2720" w:type="dxa"/>
            <w:vAlign w:val="bottom"/>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488</w:t>
            </w:r>
          </w:p>
        </w:tc>
      </w:tr>
      <w:tr>
        <w:trPr>
          <w:trHeight w:val="327"/>
        </w:trPr>
        <w:tc>
          <w:tcPr>
            <w:tcW w:w="2960" w:type="dxa"/>
            <w:vAlign w:val="bottom"/>
          </w:tcPr>
          <w:p>
            <w:pPr>
              <w:spacing w:after="0"/>
              <w:rPr>
                <w:sz w:val="20"/>
                <w:szCs w:val="20"/>
                <w:color w:val="auto"/>
              </w:rPr>
            </w:pPr>
            <w:r>
              <w:rPr>
                <w:rFonts w:ascii="Times New Roman" w:cs="Times New Roman" w:eastAsia="Times New Roman" w:hAnsi="Times New Roman"/>
                <w:sz w:val="15"/>
                <w:szCs w:val="15"/>
                <w:b w:val="1"/>
                <w:bCs w:val="1"/>
                <w:color w:val="auto"/>
              </w:rPr>
              <w:t>Payment Delay and Extension</w:t>
            </w:r>
          </w:p>
        </w:tc>
        <w:tc>
          <w:tcPr>
            <w:tcW w:w="3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7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157"/>
        </w:trPr>
        <w:tc>
          <w:tcPr>
            <w:tcW w:w="29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3020" w:type="dxa"/>
            <w:vAlign w:val="bottom"/>
            <w:gridSpan w:val="2"/>
          </w:tcPr>
          <w:p>
            <w:pPr>
              <w:jc w:val="center"/>
              <w:ind w:right="244"/>
              <w:spacing w:after="0" w:line="156" w:lineRule="exact"/>
              <w:rPr>
                <w:sz w:val="20"/>
                <w:szCs w:val="20"/>
                <w:color w:val="auto"/>
              </w:rPr>
            </w:pPr>
            <w:r>
              <w:rPr>
                <w:rFonts w:ascii="Times New Roman" w:cs="Times New Roman" w:eastAsia="Times New Roman" w:hAnsi="Times New Roman"/>
                <w:sz w:val="15"/>
                <w:szCs w:val="15"/>
                <w:color w:val="auto"/>
              </w:rPr>
              <w:t>Payment delay: 6 months;</w:t>
            </w:r>
          </w:p>
        </w:tc>
        <w:tc>
          <w:tcPr>
            <w:tcW w:w="680" w:type="dxa"/>
            <w:vAlign w:val="bottom"/>
          </w:tcPr>
          <w:p>
            <w:pPr>
              <w:spacing w:after="0"/>
              <w:rPr>
                <w:sz w:val="13"/>
                <w:szCs w:val="13"/>
                <w:color w:val="auto"/>
              </w:rPr>
            </w:pPr>
          </w:p>
        </w:tc>
      </w:tr>
      <w:tr>
        <w:trPr>
          <w:trHeight w:val="208"/>
        </w:trPr>
        <w:tc>
          <w:tcPr>
            <w:tcW w:w="2960" w:type="dxa"/>
            <w:vAlign w:val="bottom"/>
          </w:tcPr>
          <w:p>
            <w:pPr>
              <w:ind w:left="220"/>
              <w:spacing w:after="0"/>
              <w:rPr>
                <w:sz w:val="20"/>
                <w:szCs w:val="20"/>
                <w:color w:val="auto"/>
              </w:rPr>
            </w:pPr>
            <w:r>
              <w:rPr>
                <w:rFonts w:ascii="Times New Roman" w:cs="Times New Roman" w:eastAsia="Times New Roman" w:hAnsi="Times New Roman"/>
                <w:sz w:val="15"/>
                <w:szCs w:val="15"/>
                <w:color w:val="auto"/>
              </w:rPr>
              <w:t>Commercial &amp; industrial</w:t>
            </w:r>
          </w:p>
        </w:tc>
        <w:tc>
          <w:tcPr>
            <w:tcW w:w="3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162</w:t>
            </w:r>
          </w:p>
        </w:tc>
        <w:tc>
          <w:tcPr>
            <w:tcW w:w="3020" w:type="dxa"/>
            <w:vAlign w:val="bottom"/>
            <w:gridSpan w:val="2"/>
          </w:tcPr>
          <w:p>
            <w:pPr>
              <w:jc w:val="center"/>
              <w:ind w:right="264"/>
              <w:spacing w:after="0"/>
              <w:rPr>
                <w:sz w:val="20"/>
                <w:szCs w:val="20"/>
                <w:color w:val="auto"/>
              </w:rPr>
            </w:pPr>
            <w:r>
              <w:rPr>
                <w:rFonts w:ascii="Times New Roman" w:cs="Times New Roman" w:eastAsia="Times New Roman" w:hAnsi="Times New Roman"/>
                <w:sz w:val="15"/>
                <w:szCs w:val="15"/>
                <w:color w:val="auto"/>
              </w:rPr>
              <w:t>Extension: 2.0 years</w:t>
            </w: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403</w:t>
            </w:r>
          </w:p>
        </w:tc>
      </w:tr>
      <w:tr>
        <w:trPr>
          <w:trHeight w:val="157"/>
        </w:trPr>
        <w:tc>
          <w:tcPr>
            <w:tcW w:w="29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3020" w:type="dxa"/>
            <w:vAlign w:val="bottom"/>
            <w:gridSpan w:val="2"/>
          </w:tcPr>
          <w:p>
            <w:pPr>
              <w:jc w:val="center"/>
              <w:ind w:right="244"/>
              <w:spacing w:after="0" w:line="156" w:lineRule="exact"/>
              <w:rPr>
                <w:sz w:val="20"/>
                <w:szCs w:val="20"/>
                <w:color w:val="auto"/>
              </w:rPr>
            </w:pPr>
            <w:r>
              <w:rPr>
                <w:rFonts w:ascii="Times New Roman" w:cs="Times New Roman" w:eastAsia="Times New Roman" w:hAnsi="Times New Roman"/>
                <w:sz w:val="15"/>
                <w:szCs w:val="15"/>
                <w:color w:val="auto"/>
              </w:rPr>
              <w:t>Extension and payment delay:</w:t>
            </w:r>
          </w:p>
        </w:tc>
        <w:tc>
          <w:tcPr>
            <w:tcW w:w="680" w:type="dxa"/>
            <w:vAlign w:val="bottom"/>
          </w:tcPr>
          <w:p>
            <w:pPr>
              <w:spacing w:after="0"/>
              <w:rPr>
                <w:sz w:val="13"/>
                <w:szCs w:val="13"/>
                <w:color w:val="auto"/>
              </w:rPr>
            </w:pPr>
          </w:p>
        </w:tc>
      </w:tr>
      <w:tr>
        <w:trPr>
          <w:trHeight w:val="210"/>
        </w:trPr>
        <w:tc>
          <w:tcPr>
            <w:tcW w:w="2960" w:type="dxa"/>
            <w:vAlign w:val="bottom"/>
          </w:tcPr>
          <w:p>
            <w:pPr>
              <w:ind w:left="220"/>
              <w:spacing w:after="0"/>
              <w:rPr>
                <w:sz w:val="20"/>
                <w:szCs w:val="20"/>
                <w:color w:val="auto"/>
              </w:rPr>
            </w:pPr>
            <w:r>
              <w:rPr>
                <w:rFonts w:ascii="Times New Roman" w:cs="Times New Roman" w:eastAsia="Times New Roman" w:hAnsi="Times New Roman"/>
                <w:sz w:val="15"/>
                <w:szCs w:val="15"/>
                <w:color w:val="auto"/>
              </w:rPr>
              <w:t>Equipment financing</w:t>
            </w:r>
          </w:p>
        </w:tc>
        <w:tc>
          <w:tcPr>
            <w:tcW w:w="3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11,953</w:t>
            </w:r>
          </w:p>
        </w:tc>
        <w:tc>
          <w:tcPr>
            <w:tcW w:w="3020" w:type="dxa"/>
            <w:vAlign w:val="bottom"/>
            <w:gridSpan w:val="2"/>
          </w:tcPr>
          <w:p>
            <w:pPr>
              <w:jc w:val="center"/>
              <w:ind w:right="264"/>
              <w:spacing w:after="0"/>
              <w:rPr>
                <w:sz w:val="20"/>
                <w:szCs w:val="20"/>
                <w:color w:val="auto"/>
              </w:rPr>
            </w:pPr>
            <w:r>
              <w:rPr>
                <w:rFonts w:ascii="Times New Roman" w:cs="Times New Roman" w:eastAsia="Times New Roman" w:hAnsi="Times New Roman"/>
                <w:sz w:val="15"/>
                <w:szCs w:val="15"/>
                <w:color w:val="auto"/>
              </w:rPr>
              <w:t>8 months</w:t>
            </w: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4,891</w:t>
            </w:r>
          </w:p>
        </w:tc>
      </w:tr>
      <w:tr>
        <w:trPr>
          <w:trHeight w:val="198"/>
        </w:trPr>
        <w:tc>
          <w:tcPr>
            <w:tcW w:w="2960" w:type="dxa"/>
            <w:vAlign w:val="bottom"/>
          </w:tcPr>
          <w:p>
            <w:pPr>
              <w:ind w:left="340"/>
              <w:spacing w:after="0"/>
              <w:rPr>
                <w:sz w:val="20"/>
                <w:szCs w:val="20"/>
                <w:color w:val="auto"/>
              </w:rPr>
            </w:pPr>
            <w:r>
              <w:rPr>
                <w:rFonts w:ascii="Times New Roman" w:cs="Times New Roman" w:eastAsia="Times New Roman" w:hAnsi="Times New Roman"/>
                <w:sz w:val="15"/>
                <w:szCs w:val="15"/>
                <w:color w:val="auto"/>
              </w:rPr>
              <w:t>Total</w:t>
            </w:r>
          </w:p>
        </w:tc>
        <w:tc>
          <w:tcPr>
            <w:tcW w:w="300" w:type="dxa"/>
            <w:vAlign w:val="bottom"/>
            <w:tcBorders>
              <w:top w:val="single" w:sz="8" w:color="auto"/>
              <w:bottom w:val="single" w:sz="8" w:color="auto"/>
            </w:tcBorders>
          </w:tcPr>
          <w:p>
            <w:pPr>
              <w:spacing w:after="0"/>
              <w:rPr>
                <w:sz w:val="17"/>
                <w:szCs w:val="17"/>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12,115</w:t>
            </w:r>
          </w:p>
        </w:tc>
        <w:tc>
          <w:tcPr>
            <w:tcW w:w="2720" w:type="dxa"/>
            <w:vAlign w:val="bottom"/>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5,294</w:t>
            </w:r>
          </w:p>
        </w:tc>
      </w:tr>
      <w:tr>
        <w:trPr>
          <w:trHeight w:val="327"/>
        </w:trPr>
        <w:tc>
          <w:tcPr>
            <w:tcW w:w="2960" w:type="dxa"/>
            <w:vAlign w:val="bottom"/>
          </w:tcPr>
          <w:p>
            <w:pPr>
              <w:spacing w:after="0"/>
              <w:rPr>
                <w:sz w:val="20"/>
                <w:szCs w:val="20"/>
                <w:color w:val="auto"/>
              </w:rPr>
            </w:pPr>
            <w:r>
              <w:rPr>
                <w:rFonts w:ascii="Times New Roman" w:cs="Times New Roman" w:eastAsia="Times New Roman" w:hAnsi="Times New Roman"/>
                <w:sz w:val="15"/>
                <w:szCs w:val="15"/>
                <w:b w:val="1"/>
                <w:bCs w:val="1"/>
                <w:color w:val="auto"/>
              </w:rPr>
              <w:t>Rate Reduction and Extension</w:t>
            </w:r>
          </w:p>
        </w:tc>
        <w:tc>
          <w:tcPr>
            <w:tcW w:w="3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7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365"/>
        </w:trPr>
        <w:tc>
          <w:tcPr>
            <w:tcW w:w="2960" w:type="dxa"/>
            <w:vAlign w:val="bottom"/>
          </w:tcPr>
          <w:p>
            <w:pPr>
              <w:ind w:left="220"/>
              <w:spacing w:after="0"/>
              <w:rPr>
                <w:sz w:val="20"/>
                <w:szCs w:val="20"/>
                <w:color w:val="auto"/>
              </w:rPr>
            </w:pPr>
            <w:r>
              <w:rPr>
                <w:rFonts w:ascii="Times New Roman" w:cs="Times New Roman" w:eastAsia="Times New Roman" w:hAnsi="Times New Roman"/>
                <w:sz w:val="15"/>
                <w:szCs w:val="15"/>
                <w:color w:val="auto"/>
              </w:rPr>
              <w:t>Income producing CRE</w:t>
            </w:r>
          </w:p>
        </w:tc>
        <w:tc>
          <w:tcPr>
            <w:tcW w:w="30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7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8,495</w:t>
            </w:r>
          </w:p>
        </w:tc>
      </w:tr>
      <w:tr>
        <w:trPr>
          <w:trHeight w:val="157"/>
        </w:trPr>
        <w:tc>
          <w:tcPr>
            <w:tcW w:w="29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3020" w:type="dxa"/>
            <w:vAlign w:val="bottom"/>
            <w:gridSpan w:val="2"/>
          </w:tcPr>
          <w:p>
            <w:pPr>
              <w:jc w:val="center"/>
              <w:ind w:right="264"/>
              <w:spacing w:after="0" w:line="156" w:lineRule="exact"/>
              <w:rPr>
                <w:sz w:val="20"/>
                <w:szCs w:val="20"/>
                <w:color w:val="auto"/>
              </w:rPr>
            </w:pPr>
            <w:r>
              <w:rPr>
                <w:rFonts w:ascii="Times New Roman" w:cs="Times New Roman" w:eastAsia="Times New Roman" w:hAnsi="Times New Roman"/>
                <w:sz w:val="15"/>
                <w:szCs w:val="15"/>
                <w:color w:val="auto"/>
              </w:rPr>
              <w:t>Rate reduction: 400 basis points;</w:t>
            </w:r>
          </w:p>
        </w:tc>
        <w:tc>
          <w:tcPr>
            <w:tcW w:w="680" w:type="dxa"/>
            <w:vAlign w:val="bottom"/>
          </w:tcPr>
          <w:p>
            <w:pPr>
              <w:spacing w:after="0"/>
              <w:rPr>
                <w:sz w:val="13"/>
                <w:szCs w:val="13"/>
                <w:color w:val="auto"/>
              </w:rPr>
            </w:pPr>
          </w:p>
        </w:tc>
      </w:tr>
      <w:tr>
        <w:trPr>
          <w:trHeight w:val="208"/>
        </w:trPr>
        <w:tc>
          <w:tcPr>
            <w:tcW w:w="2960" w:type="dxa"/>
            <w:vAlign w:val="bottom"/>
          </w:tcPr>
          <w:p>
            <w:pPr>
              <w:ind w:left="220"/>
              <w:spacing w:after="0"/>
              <w:rPr>
                <w:sz w:val="20"/>
                <w:szCs w:val="20"/>
                <w:color w:val="auto"/>
              </w:rPr>
            </w:pPr>
            <w:r>
              <w:rPr>
                <w:rFonts w:ascii="Times New Roman" w:cs="Times New Roman" w:eastAsia="Times New Roman" w:hAnsi="Times New Roman"/>
                <w:sz w:val="15"/>
                <w:szCs w:val="15"/>
                <w:color w:val="auto"/>
              </w:rPr>
              <w:t>Residential mortgage</w:t>
            </w:r>
          </w:p>
        </w:tc>
        <w:tc>
          <w:tcPr>
            <w:tcW w:w="3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1,851</w:t>
            </w:r>
          </w:p>
        </w:tc>
        <w:tc>
          <w:tcPr>
            <w:tcW w:w="3020" w:type="dxa"/>
            <w:vAlign w:val="bottom"/>
            <w:gridSpan w:val="2"/>
          </w:tcPr>
          <w:p>
            <w:pPr>
              <w:jc w:val="center"/>
              <w:ind w:right="264"/>
              <w:spacing w:after="0"/>
              <w:rPr>
                <w:sz w:val="20"/>
                <w:szCs w:val="20"/>
                <w:color w:val="auto"/>
              </w:rPr>
            </w:pPr>
            <w:r>
              <w:rPr>
                <w:rFonts w:ascii="Times New Roman" w:cs="Times New Roman" w:eastAsia="Times New Roman" w:hAnsi="Times New Roman"/>
                <w:sz w:val="15"/>
                <w:szCs w:val="15"/>
                <w:color w:val="auto"/>
              </w:rPr>
              <w:t>Extension: 6.3 years</w:t>
            </w: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2,391</w:t>
            </w:r>
          </w:p>
        </w:tc>
      </w:tr>
      <w:tr>
        <w:trPr>
          <w:trHeight w:val="365"/>
        </w:trPr>
        <w:tc>
          <w:tcPr>
            <w:tcW w:w="2960" w:type="dxa"/>
            <w:vAlign w:val="bottom"/>
          </w:tcPr>
          <w:p>
            <w:pPr>
              <w:ind w:left="220"/>
              <w:spacing w:after="0"/>
              <w:rPr>
                <w:sz w:val="20"/>
                <w:szCs w:val="20"/>
                <w:color w:val="auto"/>
              </w:rPr>
            </w:pPr>
            <w:r>
              <w:rPr>
                <w:rFonts w:ascii="Times New Roman" w:cs="Times New Roman" w:eastAsia="Times New Roman" w:hAnsi="Times New Roman"/>
                <w:sz w:val="15"/>
                <w:szCs w:val="15"/>
                <w:color w:val="auto"/>
              </w:rPr>
              <w:t>Manufactured housing</w:t>
            </w:r>
          </w:p>
        </w:tc>
        <w:tc>
          <w:tcPr>
            <w:tcW w:w="30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7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305</w:t>
            </w:r>
          </w:p>
        </w:tc>
      </w:tr>
      <w:tr>
        <w:trPr>
          <w:trHeight w:val="157"/>
        </w:trPr>
        <w:tc>
          <w:tcPr>
            <w:tcW w:w="29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3020" w:type="dxa"/>
            <w:vAlign w:val="bottom"/>
            <w:gridSpan w:val="2"/>
          </w:tcPr>
          <w:p>
            <w:pPr>
              <w:jc w:val="center"/>
              <w:ind w:right="264"/>
              <w:spacing w:after="0" w:line="156" w:lineRule="exact"/>
              <w:rPr>
                <w:sz w:val="20"/>
                <w:szCs w:val="20"/>
                <w:color w:val="auto"/>
              </w:rPr>
            </w:pPr>
            <w:r>
              <w:rPr>
                <w:rFonts w:ascii="Times New Roman" w:cs="Times New Roman" w:eastAsia="Times New Roman" w:hAnsi="Times New Roman"/>
                <w:sz w:val="15"/>
                <w:szCs w:val="15"/>
                <w:color w:val="auto"/>
              </w:rPr>
              <w:t>Rate reduction: 163 basis points;</w:t>
            </w:r>
          </w:p>
        </w:tc>
        <w:tc>
          <w:tcPr>
            <w:tcW w:w="680" w:type="dxa"/>
            <w:vAlign w:val="bottom"/>
          </w:tcPr>
          <w:p>
            <w:pPr>
              <w:spacing w:after="0"/>
              <w:rPr>
                <w:sz w:val="13"/>
                <w:szCs w:val="13"/>
                <w:color w:val="auto"/>
              </w:rPr>
            </w:pPr>
          </w:p>
        </w:tc>
      </w:tr>
      <w:tr>
        <w:trPr>
          <w:trHeight w:val="209"/>
        </w:trPr>
        <w:tc>
          <w:tcPr>
            <w:tcW w:w="2960" w:type="dxa"/>
            <w:vAlign w:val="bottom"/>
          </w:tcPr>
          <w:p>
            <w:pPr>
              <w:ind w:left="220"/>
              <w:spacing w:after="0"/>
              <w:rPr>
                <w:sz w:val="20"/>
                <w:szCs w:val="20"/>
                <w:color w:val="auto"/>
              </w:rPr>
            </w:pPr>
            <w:r>
              <w:rPr>
                <w:rFonts w:ascii="Times New Roman" w:cs="Times New Roman" w:eastAsia="Times New Roman" w:hAnsi="Times New Roman"/>
                <w:sz w:val="15"/>
                <w:szCs w:val="15"/>
                <w:color w:val="auto"/>
              </w:rPr>
              <w:t>Consumer</w:t>
            </w:r>
          </w:p>
        </w:tc>
        <w:tc>
          <w:tcPr>
            <w:tcW w:w="3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96</w:t>
            </w:r>
          </w:p>
        </w:tc>
        <w:tc>
          <w:tcPr>
            <w:tcW w:w="3020" w:type="dxa"/>
            <w:vAlign w:val="bottom"/>
            <w:gridSpan w:val="2"/>
          </w:tcPr>
          <w:p>
            <w:pPr>
              <w:jc w:val="center"/>
              <w:ind w:right="264"/>
              <w:spacing w:after="0"/>
              <w:rPr>
                <w:sz w:val="20"/>
                <w:szCs w:val="20"/>
                <w:color w:val="auto"/>
              </w:rPr>
            </w:pPr>
            <w:r>
              <w:rPr>
                <w:rFonts w:ascii="Times New Roman" w:cs="Times New Roman" w:eastAsia="Times New Roman" w:hAnsi="Times New Roman"/>
                <w:sz w:val="15"/>
                <w:szCs w:val="15"/>
                <w:color w:val="auto"/>
              </w:rPr>
              <w:t>Extension: 7.9 years</w:t>
            </w:r>
          </w:p>
        </w:tc>
        <w:tc>
          <w:tcPr>
            <w:tcW w:w="680" w:type="dxa"/>
            <w:vAlign w:val="bottom"/>
          </w:tcPr>
          <w:p>
            <w:pPr>
              <w:spacing w:after="0"/>
              <w:rPr>
                <w:sz w:val="18"/>
                <w:szCs w:val="18"/>
                <w:color w:val="auto"/>
              </w:rPr>
            </w:pPr>
          </w:p>
        </w:tc>
      </w:tr>
      <w:tr>
        <w:trPr>
          <w:trHeight w:val="198"/>
        </w:trPr>
        <w:tc>
          <w:tcPr>
            <w:tcW w:w="2960" w:type="dxa"/>
            <w:vAlign w:val="bottom"/>
          </w:tcPr>
          <w:p>
            <w:pPr>
              <w:ind w:left="340"/>
              <w:spacing w:after="0"/>
              <w:rPr>
                <w:sz w:val="20"/>
                <w:szCs w:val="20"/>
                <w:color w:val="auto"/>
              </w:rPr>
            </w:pPr>
            <w:r>
              <w:rPr>
                <w:rFonts w:ascii="Times New Roman" w:cs="Times New Roman" w:eastAsia="Times New Roman" w:hAnsi="Times New Roman"/>
                <w:sz w:val="15"/>
                <w:szCs w:val="15"/>
                <w:color w:val="auto"/>
              </w:rPr>
              <w:t>Total</w:t>
            </w:r>
          </w:p>
        </w:tc>
        <w:tc>
          <w:tcPr>
            <w:tcW w:w="300" w:type="dxa"/>
            <w:vAlign w:val="bottom"/>
            <w:tcBorders>
              <w:top w:val="single" w:sz="8" w:color="auto"/>
              <w:bottom w:val="single" w:sz="8" w:color="auto"/>
            </w:tcBorders>
          </w:tcPr>
          <w:p>
            <w:pPr>
              <w:spacing w:after="0"/>
              <w:rPr>
                <w:sz w:val="17"/>
                <w:szCs w:val="17"/>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1,947</w:t>
            </w:r>
          </w:p>
        </w:tc>
        <w:tc>
          <w:tcPr>
            <w:tcW w:w="2720" w:type="dxa"/>
            <w:vAlign w:val="bottom"/>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11,191</w:t>
            </w:r>
          </w:p>
        </w:tc>
      </w:tr>
      <w:tr>
        <w:trPr>
          <w:trHeight w:val="327"/>
        </w:trPr>
        <w:tc>
          <w:tcPr>
            <w:tcW w:w="2960" w:type="dxa"/>
            <w:vAlign w:val="bottom"/>
          </w:tcPr>
          <w:p>
            <w:pPr>
              <w:spacing w:after="0"/>
              <w:rPr>
                <w:sz w:val="20"/>
                <w:szCs w:val="20"/>
                <w:color w:val="auto"/>
              </w:rPr>
            </w:pPr>
            <w:r>
              <w:rPr>
                <w:rFonts w:ascii="Times New Roman" w:cs="Times New Roman" w:eastAsia="Times New Roman" w:hAnsi="Times New Roman"/>
                <w:sz w:val="15"/>
                <w:szCs w:val="15"/>
                <w:b w:val="1"/>
                <w:bCs w:val="1"/>
                <w:color w:val="auto"/>
              </w:rPr>
              <w:t>Rate Reduction and Payment Delay</w:t>
            </w:r>
          </w:p>
        </w:tc>
        <w:tc>
          <w:tcPr>
            <w:tcW w:w="3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7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365"/>
        </w:trPr>
        <w:tc>
          <w:tcPr>
            <w:tcW w:w="2960" w:type="dxa"/>
            <w:vAlign w:val="bottom"/>
          </w:tcPr>
          <w:p>
            <w:pPr>
              <w:ind w:left="220"/>
              <w:spacing w:after="0"/>
              <w:rPr>
                <w:sz w:val="20"/>
                <w:szCs w:val="20"/>
                <w:color w:val="auto"/>
              </w:rPr>
            </w:pPr>
            <w:r>
              <w:rPr>
                <w:rFonts w:ascii="Times New Roman" w:cs="Times New Roman" w:eastAsia="Times New Roman" w:hAnsi="Times New Roman"/>
                <w:sz w:val="15"/>
                <w:szCs w:val="15"/>
                <w:color w:val="auto"/>
              </w:rPr>
              <w:t>Owner occupied CRE</w:t>
            </w:r>
          </w:p>
        </w:tc>
        <w:tc>
          <w:tcPr>
            <w:tcW w:w="30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7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1,438</w:t>
            </w:r>
          </w:p>
        </w:tc>
      </w:tr>
      <w:tr>
        <w:trPr>
          <w:trHeight w:val="365"/>
        </w:trPr>
        <w:tc>
          <w:tcPr>
            <w:tcW w:w="2960" w:type="dxa"/>
            <w:vAlign w:val="bottom"/>
          </w:tcPr>
          <w:p>
            <w:pPr>
              <w:ind w:left="220"/>
              <w:spacing w:after="0"/>
              <w:rPr>
                <w:sz w:val="20"/>
                <w:szCs w:val="20"/>
                <w:color w:val="auto"/>
              </w:rPr>
            </w:pPr>
            <w:r>
              <w:rPr>
                <w:rFonts w:ascii="Times New Roman" w:cs="Times New Roman" w:eastAsia="Times New Roman" w:hAnsi="Times New Roman"/>
                <w:sz w:val="15"/>
                <w:szCs w:val="15"/>
                <w:color w:val="auto"/>
              </w:rPr>
              <w:t>Commercial &amp; industrial</w:t>
            </w:r>
          </w:p>
        </w:tc>
        <w:tc>
          <w:tcPr>
            <w:tcW w:w="30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7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106</w:t>
            </w:r>
          </w:p>
        </w:tc>
      </w:tr>
      <w:tr>
        <w:trPr>
          <w:trHeight w:val="156"/>
        </w:trPr>
        <w:tc>
          <w:tcPr>
            <w:tcW w:w="29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3020" w:type="dxa"/>
            <w:vAlign w:val="bottom"/>
            <w:gridSpan w:val="2"/>
          </w:tcPr>
          <w:p>
            <w:pPr>
              <w:jc w:val="center"/>
              <w:ind w:right="244"/>
              <w:spacing w:after="0" w:line="156" w:lineRule="exact"/>
              <w:rPr>
                <w:sz w:val="20"/>
                <w:szCs w:val="20"/>
                <w:color w:val="auto"/>
              </w:rPr>
            </w:pPr>
            <w:r>
              <w:rPr>
                <w:rFonts w:ascii="Times New Roman" w:cs="Times New Roman" w:eastAsia="Times New Roman" w:hAnsi="Times New Roman"/>
                <w:sz w:val="15"/>
                <w:szCs w:val="15"/>
                <w:color w:val="auto"/>
              </w:rPr>
              <w:t>Rate reduction: 50 basis points;</w:t>
            </w:r>
          </w:p>
        </w:tc>
        <w:tc>
          <w:tcPr>
            <w:tcW w:w="680" w:type="dxa"/>
            <w:vAlign w:val="bottom"/>
          </w:tcPr>
          <w:p>
            <w:pPr>
              <w:spacing w:after="0"/>
              <w:rPr>
                <w:sz w:val="13"/>
                <w:szCs w:val="13"/>
                <w:color w:val="auto"/>
              </w:rPr>
            </w:pPr>
          </w:p>
        </w:tc>
      </w:tr>
      <w:tr>
        <w:trPr>
          <w:trHeight w:val="210"/>
        </w:trPr>
        <w:tc>
          <w:tcPr>
            <w:tcW w:w="2960" w:type="dxa"/>
            <w:vAlign w:val="bottom"/>
          </w:tcPr>
          <w:p>
            <w:pPr>
              <w:ind w:left="220"/>
              <w:spacing w:after="0"/>
              <w:rPr>
                <w:sz w:val="20"/>
                <w:szCs w:val="20"/>
                <w:color w:val="auto"/>
              </w:rPr>
            </w:pPr>
            <w:r>
              <w:rPr>
                <w:rFonts w:ascii="Times New Roman" w:cs="Times New Roman" w:eastAsia="Times New Roman" w:hAnsi="Times New Roman"/>
                <w:sz w:val="15"/>
                <w:szCs w:val="15"/>
                <w:color w:val="auto"/>
              </w:rPr>
              <w:t>Residential mortgage</w:t>
            </w:r>
          </w:p>
        </w:tc>
        <w:tc>
          <w:tcPr>
            <w:tcW w:w="3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359</w:t>
            </w:r>
          </w:p>
        </w:tc>
        <w:tc>
          <w:tcPr>
            <w:tcW w:w="3020" w:type="dxa"/>
            <w:vAlign w:val="bottom"/>
            <w:gridSpan w:val="2"/>
          </w:tcPr>
          <w:p>
            <w:pPr>
              <w:jc w:val="center"/>
              <w:ind w:right="244"/>
              <w:spacing w:after="0"/>
              <w:rPr>
                <w:sz w:val="20"/>
                <w:szCs w:val="20"/>
                <w:color w:val="auto"/>
              </w:rPr>
            </w:pPr>
            <w:r>
              <w:rPr>
                <w:rFonts w:ascii="Times New Roman" w:cs="Times New Roman" w:eastAsia="Times New Roman" w:hAnsi="Times New Roman"/>
                <w:sz w:val="15"/>
                <w:szCs w:val="15"/>
                <w:color w:val="auto"/>
              </w:rPr>
              <w:t>Payment delay: 4 months</w:t>
            </w: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198"/>
        </w:trPr>
        <w:tc>
          <w:tcPr>
            <w:tcW w:w="2960" w:type="dxa"/>
            <w:vAlign w:val="bottom"/>
          </w:tcPr>
          <w:p>
            <w:pPr>
              <w:ind w:left="340"/>
              <w:spacing w:after="0"/>
              <w:rPr>
                <w:sz w:val="20"/>
                <w:szCs w:val="20"/>
                <w:color w:val="auto"/>
              </w:rPr>
            </w:pPr>
            <w:r>
              <w:rPr>
                <w:rFonts w:ascii="Times New Roman" w:cs="Times New Roman" w:eastAsia="Times New Roman" w:hAnsi="Times New Roman"/>
                <w:sz w:val="15"/>
                <w:szCs w:val="15"/>
                <w:color w:val="auto"/>
              </w:rPr>
              <w:t>Total</w:t>
            </w:r>
          </w:p>
        </w:tc>
        <w:tc>
          <w:tcPr>
            <w:tcW w:w="300" w:type="dxa"/>
            <w:vAlign w:val="bottom"/>
            <w:tcBorders>
              <w:top w:val="single" w:sz="8" w:color="auto"/>
              <w:bottom w:val="single" w:sz="8" w:color="auto"/>
            </w:tcBorders>
          </w:tcPr>
          <w:p>
            <w:pPr>
              <w:spacing w:after="0"/>
              <w:rPr>
                <w:sz w:val="17"/>
                <w:szCs w:val="17"/>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359</w:t>
            </w:r>
          </w:p>
        </w:tc>
        <w:tc>
          <w:tcPr>
            <w:tcW w:w="2720" w:type="dxa"/>
            <w:vAlign w:val="bottom"/>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1,544</w:t>
            </w:r>
          </w:p>
        </w:tc>
      </w:tr>
      <w:tr>
        <w:trPr>
          <w:trHeight w:val="327"/>
        </w:trPr>
        <w:tc>
          <w:tcPr>
            <w:tcW w:w="2960" w:type="dxa"/>
            <w:vAlign w:val="bottom"/>
          </w:tcPr>
          <w:p>
            <w:pPr>
              <w:spacing w:after="0"/>
              <w:rPr>
                <w:sz w:val="20"/>
                <w:szCs w:val="20"/>
                <w:color w:val="auto"/>
              </w:rPr>
            </w:pPr>
            <w:r>
              <w:rPr>
                <w:rFonts w:ascii="Times New Roman" w:cs="Times New Roman" w:eastAsia="Times New Roman" w:hAnsi="Times New Roman"/>
                <w:sz w:val="15"/>
                <w:szCs w:val="15"/>
                <w:b w:val="1"/>
                <w:bCs w:val="1"/>
                <w:color w:val="auto"/>
              </w:rPr>
              <w:t>Rate Reduction, Payment Delay &amp; Extension</w:t>
            </w:r>
          </w:p>
        </w:tc>
        <w:tc>
          <w:tcPr>
            <w:tcW w:w="3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7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365"/>
        </w:trPr>
        <w:tc>
          <w:tcPr>
            <w:tcW w:w="2960" w:type="dxa"/>
            <w:vAlign w:val="bottom"/>
          </w:tcPr>
          <w:p>
            <w:pPr>
              <w:ind w:left="220"/>
              <w:spacing w:after="0"/>
              <w:rPr>
                <w:sz w:val="20"/>
                <w:szCs w:val="20"/>
                <w:color w:val="auto"/>
              </w:rPr>
            </w:pPr>
            <w:r>
              <w:rPr>
                <w:rFonts w:ascii="Times New Roman" w:cs="Times New Roman" w:eastAsia="Times New Roman" w:hAnsi="Times New Roman"/>
                <w:sz w:val="15"/>
                <w:szCs w:val="15"/>
                <w:color w:val="auto"/>
              </w:rPr>
              <w:t>Owner occupied CRE</w:t>
            </w:r>
          </w:p>
        </w:tc>
        <w:tc>
          <w:tcPr>
            <w:tcW w:w="30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7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159</w:t>
            </w:r>
          </w:p>
        </w:tc>
      </w:tr>
      <w:tr>
        <w:trPr>
          <w:trHeight w:val="366"/>
        </w:trPr>
        <w:tc>
          <w:tcPr>
            <w:tcW w:w="2960" w:type="dxa"/>
            <w:vAlign w:val="bottom"/>
          </w:tcPr>
          <w:p>
            <w:pPr>
              <w:ind w:left="220"/>
              <w:spacing w:after="0"/>
              <w:rPr>
                <w:sz w:val="20"/>
                <w:szCs w:val="20"/>
                <w:color w:val="auto"/>
              </w:rPr>
            </w:pPr>
            <w:r>
              <w:rPr>
                <w:rFonts w:ascii="Times New Roman" w:cs="Times New Roman" w:eastAsia="Times New Roman" w:hAnsi="Times New Roman"/>
                <w:sz w:val="15"/>
                <w:szCs w:val="15"/>
                <w:color w:val="auto"/>
              </w:rPr>
              <w:t>Commercial &amp; industrial</w:t>
            </w:r>
          </w:p>
        </w:tc>
        <w:tc>
          <w:tcPr>
            <w:tcW w:w="30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72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2,456</w:t>
            </w:r>
          </w:p>
        </w:tc>
      </w:tr>
      <w:tr>
        <w:trPr>
          <w:trHeight w:val="200"/>
        </w:trPr>
        <w:tc>
          <w:tcPr>
            <w:tcW w:w="2960" w:type="dxa"/>
            <w:vAlign w:val="bottom"/>
          </w:tcPr>
          <w:p>
            <w:pPr>
              <w:ind w:left="340"/>
              <w:spacing w:after="0"/>
              <w:rPr>
                <w:sz w:val="20"/>
                <w:szCs w:val="20"/>
                <w:color w:val="auto"/>
              </w:rPr>
            </w:pPr>
            <w:r>
              <w:rPr>
                <w:rFonts w:ascii="Times New Roman" w:cs="Times New Roman" w:eastAsia="Times New Roman" w:hAnsi="Times New Roman"/>
                <w:sz w:val="15"/>
                <w:szCs w:val="15"/>
                <w:color w:val="auto"/>
              </w:rPr>
              <w:t>Total</w:t>
            </w:r>
          </w:p>
        </w:tc>
        <w:tc>
          <w:tcPr>
            <w:tcW w:w="30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72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2,615</w:t>
            </w:r>
          </w:p>
        </w:tc>
      </w:tr>
      <w:tr>
        <w:trPr>
          <w:trHeight w:val="198"/>
        </w:trPr>
        <w:tc>
          <w:tcPr>
            <w:tcW w:w="2960" w:type="dxa"/>
            <w:vAlign w:val="bottom"/>
          </w:tcPr>
          <w:p>
            <w:pPr>
              <w:spacing w:after="0"/>
              <w:rPr>
                <w:sz w:val="20"/>
                <w:szCs w:val="20"/>
                <w:color w:val="auto"/>
              </w:rPr>
            </w:pPr>
            <w:r>
              <w:rPr>
                <w:rFonts w:ascii="Times New Roman" w:cs="Times New Roman" w:eastAsia="Times New Roman" w:hAnsi="Times New Roman"/>
                <w:sz w:val="15"/>
                <w:szCs w:val="15"/>
                <w:b w:val="1"/>
                <w:bCs w:val="1"/>
                <w:color w:val="auto"/>
              </w:rPr>
              <w:t>Total</w:t>
            </w:r>
          </w:p>
        </w:tc>
        <w:tc>
          <w:tcPr>
            <w:tcW w:w="300" w:type="dxa"/>
            <w:vAlign w:val="bottom"/>
            <w:tcBorders>
              <w:bottom w:val="single" w:sz="8" w:color="auto"/>
            </w:tcBorders>
          </w:tcPr>
          <w:p>
            <w:pPr>
              <w:jc w:val="right"/>
              <w:ind w:right="124"/>
              <w:spacing w:after="0"/>
              <w:rPr>
                <w:sz w:val="20"/>
                <w:szCs w:val="20"/>
                <w:color w:val="auto"/>
              </w:rPr>
            </w:pPr>
            <w:r>
              <w:rPr>
                <w:rFonts w:ascii="Times New Roman" w:cs="Times New Roman" w:eastAsia="Times New Roman" w:hAnsi="Times New Roman"/>
                <w:sz w:val="15"/>
                <w:szCs w:val="15"/>
                <w:color w:val="auto"/>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19,355</w:t>
            </w:r>
          </w:p>
        </w:tc>
        <w:tc>
          <w:tcPr>
            <w:tcW w:w="2720" w:type="dxa"/>
            <w:vAlign w:val="bottom"/>
          </w:tcPr>
          <w:p>
            <w:pPr>
              <w:spacing w:after="0"/>
              <w:rPr>
                <w:sz w:val="17"/>
                <w:szCs w:val="17"/>
                <w:color w:val="auto"/>
              </w:rPr>
            </w:pPr>
          </w:p>
        </w:tc>
        <w:tc>
          <w:tcPr>
            <w:tcW w:w="300" w:type="dxa"/>
            <w:vAlign w:val="bottom"/>
            <w:tcBorders>
              <w:bottom w:val="single" w:sz="8" w:color="auto"/>
            </w:tcBorders>
          </w:tcPr>
          <w:p>
            <w:pPr>
              <w:jc w:val="right"/>
              <w:ind w:right="124"/>
              <w:spacing w:after="0"/>
              <w:rPr>
                <w:sz w:val="20"/>
                <w:szCs w:val="20"/>
                <w:color w:val="auto"/>
              </w:rPr>
            </w:pPr>
            <w:r>
              <w:rPr>
                <w:rFonts w:ascii="Times New Roman" w:cs="Times New Roman" w:eastAsia="Times New Roman" w:hAnsi="Times New Roman"/>
                <w:sz w:val="15"/>
                <w:szCs w:val="15"/>
                <w:color w:val="auto"/>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56,021</w:t>
            </w:r>
          </w:p>
        </w:tc>
      </w:tr>
      <w:tr>
        <w:trPr>
          <w:trHeight w:val="21"/>
        </w:trPr>
        <w:tc>
          <w:tcPr>
            <w:tcW w:w="29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-5682615</wp:posOffset>
            </wp:positionV>
            <wp:extent cx="7132320" cy="12890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289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-5425440</wp:posOffset>
            </wp:positionV>
            <wp:extent cx="7132320" cy="12890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289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-5168265</wp:posOffset>
            </wp:positionV>
            <wp:extent cx="7132320" cy="12890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289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-4902835</wp:posOffset>
            </wp:positionV>
            <wp:extent cx="7132320" cy="9461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946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-4679950</wp:posOffset>
            </wp:positionV>
            <wp:extent cx="7132320" cy="12890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289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-4422775</wp:posOffset>
            </wp:positionV>
            <wp:extent cx="7132320" cy="12890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289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-4156710</wp:posOffset>
            </wp:positionV>
            <wp:extent cx="7132320" cy="9398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939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-3933825</wp:posOffset>
            </wp:positionV>
            <wp:extent cx="7132320" cy="23177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23177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-3471545</wp:posOffset>
            </wp:positionV>
            <wp:extent cx="7132320" cy="13716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-3239770</wp:posOffset>
            </wp:positionV>
            <wp:extent cx="7132320" cy="12890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289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-2879725</wp:posOffset>
            </wp:positionV>
            <wp:extent cx="7132320" cy="23114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23114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-2416810</wp:posOffset>
            </wp:positionV>
            <wp:extent cx="7132320" cy="23177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23177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-2047875</wp:posOffset>
            </wp:positionV>
            <wp:extent cx="7132320" cy="9461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946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-1824990</wp:posOffset>
            </wp:positionV>
            <wp:extent cx="7132320" cy="23114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23114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-1362075</wp:posOffset>
            </wp:positionV>
            <wp:extent cx="7132320" cy="23177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23177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-993775</wp:posOffset>
            </wp:positionV>
            <wp:extent cx="7132320" cy="9461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946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-770890</wp:posOffset>
            </wp:positionV>
            <wp:extent cx="7132320" cy="23177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23177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-307975</wp:posOffset>
            </wp:positionV>
            <wp:extent cx="7132320" cy="13716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6" w:lineRule="exact"/>
        <w:rPr>
          <w:sz w:val="20"/>
          <w:szCs w:val="20"/>
          <w:color w:val="auto"/>
        </w:rPr>
      </w:pPr>
    </w:p>
    <w:p>
      <w:pPr>
        <w:ind w:left="1260" w:hanging="111"/>
        <w:spacing w:after="0"/>
        <w:tabs>
          <w:tab w:leader="none" w:pos="1260" w:val="left"/>
        </w:tabs>
        <w:numPr>
          <w:ilvl w:val="0"/>
          <w:numId w:val="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months</w:t>
      </w:r>
    </w:p>
    <w:p>
      <w:pPr>
        <w:spacing w:after="0" w:line="30" w:lineRule="exact"/>
        <w:rPr>
          <w:rFonts w:ascii="Times New Roman" w:cs="Times New Roman" w:eastAsia="Times New Roman" w:hAnsi="Times New Roman"/>
          <w:sz w:val="15"/>
          <w:szCs w:val="15"/>
          <w:color w:val="auto"/>
        </w:rPr>
      </w:pPr>
    </w:p>
    <w:p>
      <w:pPr>
        <w:ind w:left="1160"/>
        <w:spacing w:after="0"/>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1.5 years</w:t>
      </w:r>
    </w:p>
    <w:p>
      <w:pPr>
        <w:spacing w:after="0" w:line="30" w:lineRule="exact"/>
        <w:rPr>
          <w:rFonts w:ascii="Times New Roman" w:cs="Times New Roman" w:eastAsia="Times New Roman" w:hAnsi="Times New Roman"/>
          <w:sz w:val="15"/>
          <w:szCs w:val="15"/>
          <w:color w:val="auto"/>
        </w:rPr>
      </w:pPr>
    </w:p>
    <w:p>
      <w:pPr>
        <w:ind w:left="1140"/>
        <w:spacing w:after="0"/>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7 months</w:t>
      </w:r>
    </w:p>
    <w:p>
      <w:pPr>
        <w:spacing w:after="0" w:line="30" w:lineRule="exact"/>
        <w:rPr>
          <w:rFonts w:ascii="Times New Roman" w:cs="Times New Roman" w:eastAsia="Times New Roman" w:hAnsi="Times New Roman"/>
          <w:sz w:val="15"/>
          <w:szCs w:val="15"/>
          <w:color w:val="auto"/>
        </w:rPr>
      </w:pPr>
    </w:p>
    <w:p>
      <w:pPr>
        <w:ind w:left="1140"/>
        <w:spacing w:after="0"/>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6 months</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5"/>
          <w:szCs w:val="15"/>
          <w:color w:val="auto"/>
        </w:rPr>
        <w:t>50 basis points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5"/>
          <w:szCs w:val="15"/>
          <w:color w:val="auto"/>
        </w:rPr>
        <w:t>Payment delay: 4 months;</w:t>
      </w:r>
    </w:p>
    <w:p>
      <w:pPr>
        <w:jc w:val="center"/>
        <w:ind w:right="320"/>
        <w:spacing w:after="0"/>
        <w:rPr>
          <w:sz w:val="20"/>
          <w:szCs w:val="20"/>
          <w:color w:val="auto"/>
        </w:rPr>
      </w:pPr>
      <w:r>
        <w:rPr>
          <w:rFonts w:ascii="Times New Roman" w:cs="Times New Roman" w:eastAsia="Times New Roman" w:hAnsi="Times New Roman"/>
          <w:sz w:val="15"/>
          <w:szCs w:val="15"/>
          <w:color w:val="auto"/>
        </w:rPr>
        <w:t>Extension: 2.8 years</w:t>
      </w:r>
    </w:p>
    <w:p>
      <w:pPr>
        <w:spacing w:after="0" w:line="190"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5"/>
          <w:szCs w:val="15"/>
          <w:color w:val="auto"/>
        </w:rPr>
        <w:t>Extension and payment delay: 8 months</w:t>
      </w:r>
    </w:p>
    <w:p>
      <w:pPr>
        <w:spacing w:after="0" w:line="200" w:lineRule="exact"/>
        <w:rPr>
          <w:sz w:val="20"/>
          <w:szCs w:val="20"/>
          <w:color w:val="auto"/>
        </w:rPr>
      </w:pPr>
    </w:p>
    <w:p>
      <w:pPr>
        <w:spacing w:after="0" w:line="389"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5"/>
          <w:szCs w:val="15"/>
          <w:color w:val="auto"/>
        </w:rPr>
        <w:t>Rate reduction: 304 basis points;</w:t>
      </w:r>
    </w:p>
    <w:p>
      <w:pPr>
        <w:jc w:val="center"/>
        <w:ind w:right="320"/>
        <w:spacing w:after="0"/>
        <w:rPr>
          <w:sz w:val="20"/>
          <w:szCs w:val="20"/>
          <w:color w:val="auto"/>
        </w:rPr>
      </w:pPr>
      <w:r>
        <w:rPr>
          <w:rFonts w:ascii="Times New Roman" w:cs="Times New Roman" w:eastAsia="Times New Roman" w:hAnsi="Times New Roman"/>
          <w:sz w:val="15"/>
          <w:szCs w:val="15"/>
          <w:color w:val="auto"/>
        </w:rPr>
        <w:t>Extension: 4.8 years</w:t>
      </w:r>
    </w:p>
    <w:p>
      <w:pPr>
        <w:spacing w:after="0" w:line="20"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5"/>
          <w:szCs w:val="15"/>
          <w:color w:val="auto"/>
        </w:rPr>
        <w:t>Rate reduction: 448 basis points;</w:t>
      </w:r>
    </w:p>
    <w:p>
      <w:pPr>
        <w:jc w:val="center"/>
        <w:ind w:right="320"/>
        <w:spacing w:after="0"/>
        <w:rPr>
          <w:sz w:val="20"/>
          <w:szCs w:val="20"/>
          <w:color w:val="auto"/>
        </w:rPr>
      </w:pPr>
      <w:r>
        <w:rPr>
          <w:rFonts w:ascii="Times New Roman" w:cs="Times New Roman" w:eastAsia="Times New Roman" w:hAnsi="Times New Roman"/>
          <w:sz w:val="15"/>
          <w:szCs w:val="15"/>
          <w:color w:val="auto"/>
        </w:rPr>
        <w:t>Extension: 3.6 years</w:t>
      </w:r>
    </w:p>
    <w:p>
      <w:pPr>
        <w:spacing w:after="0" w:line="20"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5"/>
          <w:szCs w:val="15"/>
          <w:color w:val="auto"/>
        </w:rPr>
        <w:t>Rate reduction: 538 basis points;</w:t>
      </w:r>
    </w:p>
    <w:p>
      <w:pPr>
        <w:jc w:val="center"/>
        <w:ind w:right="320"/>
        <w:spacing w:after="0"/>
        <w:rPr>
          <w:sz w:val="20"/>
          <w:szCs w:val="20"/>
          <w:color w:val="auto"/>
        </w:rPr>
      </w:pPr>
      <w:r>
        <w:rPr>
          <w:rFonts w:ascii="Times New Roman" w:cs="Times New Roman" w:eastAsia="Times New Roman" w:hAnsi="Times New Roman"/>
          <w:sz w:val="15"/>
          <w:szCs w:val="15"/>
          <w:color w:val="auto"/>
        </w:rPr>
        <w:t>Extension: 3.6 years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5"/>
          <w:szCs w:val="15"/>
          <w:color w:val="auto"/>
        </w:rPr>
        <w:t>Rate reduction: 75 basis points;</w:t>
      </w:r>
    </w:p>
    <w:p>
      <w:pPr>
        <w:jc w:val="center"/>
        <w:ind w:right="320"/>
        <w:spacing w:after="0"/>
        <w:rPr>
          <w:sz w:val="20"/>
          <w:szCs w:val="20"/>
          <w:color w:val="auto"/>
        </w:rPr>
      </w:pPr>
      <w:r>
        <w:rPr>
          <w:rFonts w:ascii="Times New Roman" w:cs="Times New Roman" w:eastAsia="Times New Roman" w:hAnsi="Times New Roman"/>
          <w:sz w:val="15"/>
          <w:szCs w:val="15"/>
          <w:color w:val="auto"/>
        </w:rPr>
        <w:t>Payment delay: 6 months</w:t>
      </w:r>
    </w:p>
    <w:p>
      <w:pPr>
        <w:spacing w:after="0" w:line="20"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5"/>
          <w:szCs w:val="15"/>
          <w:color w:val="auto"/>
        </w:rPr>
        <w:t>Rate reduction: 150 basis points;</w:t>
      </w:r>
    </w:p>
    <w:p>
      <w:pPr>
        <w:jc w:val="center"/>
        <w:ind w:right="320"/>
        <w:spacing w:after="0"/>
        <w:rPr>
          <w:sz w:val="20"/>
          <w:szCs w:val="20"/>
          <w:color w:val="auto"/>
        </w:rPr>
      </w:pPr>
      <w:r>
        <w:rPr>
          <w:rFonts w:ascii="Times New Roman" w:cs="Times New Roman" w:eastAsia="Times New Roman" w:hAnsi="Times New Roman"/>
          <w:sz w:val="15"/>
          <w:szCs w:val="15"/>
          <w:color w:val="auto"/>
        </w:rPr>
        <w:t>Payment delay: 6 months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5"/>
          <w:szCs w:val="15"/>
          <w:color w:val="auto"/>
        </w:rPr>
        <w:t>Rate reduction: 75 basis points;</w:t>
      </w:r>
    </w:p>
    <w:p>
      <w:pPr>
        <w:jc w:val="center"/>
        <w:ind w:right="320"/>
        <w:spacing w:after="0"/>
        <w:rPr>
          <w:sz w:val="20"/>
          <w:szCs w:val="20"/>
          <w:color w:val="auto"/>
        </w:rPr>
      </w:pPr>
      <w:r>
        <w:rPr>
          <w:rFonts w:ascii="Times New Roman" w:cs="Times New Roman" w:eastAsia="Times New Roman" w:hAnsi="Times New Roman"/>
          <w:sz w:val="15"/>
          <w:szCs w:val="15"/>
          <w:color w:val="auto"/>
        </w:rPr>
        <w:t>Payment delay: 6 months; Extension: 3 years</w:t>
      </w:r>
    </w:p>
    <w:p>
      <w:pPr>
        <w:spacing w:after="0" w:line="20"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5"/>
          <w:szCs w:val="15"/>
          <w:color w:val="auto"/>
        </w:rPr>
        <w:t>Rate reduction: 273 basis points;</w:t>
      </w:r>
    </w:p>
    <w:p>
      <w:pPr>
        <w:jc w:val="center"/>
        <w:ind w:right="320"/>
        <w:spacing w:after="0"/>
        <w:rPr>
          <w:sz w:val="20"/>
          <w:szCs w:val="20"/>
          <w:color w:val="auto"/>
        </w:rPr>
      </w:pPr>
      <w:r>
        <w:rPr>
          <w:rFonts w:ascii="Times New Roman" w:cs="Times New Roman" w:eastAsia="Times New Roman" w:hAnsi="Times New Roman"/>
          <w:sz w:val="15"/>
          <w:szCs w:val="15"/>
          <w:color w:val="auto"/>
        </w:rPr>
        <w:t>Payment delay: 6 months; Extension: 4.6 years</w:t>
      </w:r>
    </w:p>
    <w:p>
      <w:pPr>
        <w:spacing w:after="0" w:line="675" w:lineRule="exact"/>
        <w:rPr>
          <w:sz w:val="20"/>
          <w:szCs w:val="20"/>
          <w:color w:val="auto"/>
        </w:rPr>
      </w:pPr>
    </w:p>
    <w:p>
      <w:pPr>
        <w:sectPr>
          <w:pgSz w:w="11900" w:h="16838" w:orient="portrait"/>
          <w:cols w:equalWidth="0" w:num="2">
            <w:col w:w="7660" w:space="400"/>
            <w:col w:w="3180"/>
          </w:cols>
          <w:pgMar w:left="320" w:top="117" w:right="339" w:bottom="1440" w:gutter="0" w:footer="0" w:header="0"/>
          <w:type w:val="continuous"/>
        </w:sectPr>
      </w:pPr>
    </w:p>
    <w:p>
      <w:pPr>
        <w:ind w:right="20" w:firstLine="8"/>
        <w:spacing w:after="0" w:line="237" w:lineRule="auto"/>
        <w:tabs>
          <w:tab w:leader="none" w:pos="159" w:val="left"/>
        </w:tabs>
        <w:numPr>
          <w:ilvl w:val="0"/>
          <w:numId w:val="6"/>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5"/>
          <w:szCs w:val="15"/>
          <w:color w:val="auto"/>
        </w:rPr>
        <w:t xml:space="preserve">Payment delay FDMs in bankruptcy are excluded from the weighted average payment delay calculation. </w:t>
      </w:r>
      <w:r>
        <w:rPr>
          <w:rFonts w:ascii="Times New Roman" w:cs="Times New Roman" w:eastAsia="Times New Roman" w:hAnsi="Times New Roman"/>
          <w:sz w:val="18"/>
          <w:szCs w:val="18"/>
          <w:color w:val="auto"/>
          <w:vertAlign w:val="superscript"/>
        </w:rPr>
        <w:t>(2)</w:t>
      </w:r>
      <w:r>
        <w:rPr>
          <w:rFonts w:ascii="Times New Roman" w:cs="Times New Roman" w:eastAsia="Times New Roman" w:hAnsi="Times New Roman"/>
          <w:sz w:val="15"/>
          <w:szCs w:val="15"/>
          <w:color w:val="auto"/>
        </w:rPr>
        <w:t xml:space="preserve"> Payment delays in this category reflect principal payment delays, while interest payments continue in accordance with loan terms.</w:t>
      </w:r>
    </w:p>
    <w:p>
      <w:pPr>
        <w:sectPr>
          <w:pgSz w:w="11900" w:h="16838" w:orient="portrait"/>
          <w:cols w:equalWidth="0" w:num="1">
            <w:col w:w="11240"/>
          </w:cols>
          <w:pgMar w:left="320" w:top="117" w:right="339" w:bottom="1440" w:gutter="0" w:footer="0" w:header="0"/>
          <w:type w:val="continuous"/>
        </w:sectPr>
      </w:pPr>
    </w:p>
    <w:p>
      <w:pPr>
        <w:spacing w:after="0" w:line="200" w:lineRule="exact"/>
        <w:rPr>
          <w:sz w:val="20"/>
          <w:szCs w:val="20"/>
          <w:color w:val="auto"/>
        </w:rPr>
      </w:pPr>
    </w:p>
    <w:p>
      <w:pPr>
        <w:spacing w:after="0" w:line="3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22" w:name="page23"/>
    <w:bookmarkEnd w:id="22"/>
    <w:p>
      <w:pPr>
        <w:jc w:val="center"/>
        <w:spacing w:after="0"/>
        <w:rPr>
          <w:sz w:val="20"/>
          <w:szCs w:val="20"/>
          <w:color w:val="auto"/>
        </w:rPr>
      </w:pPr>
      <w:r>
        <w:rPr>
          <w:rFonts w:ascii="Times New Roman" w:cs="Times New Roman" w:eastAsia="Times New Roman" w:hAnsi="Times New Roman"/>
          <w:sz w:val="18"/>
          <w:szCs w:val="18"/>
          <w:b w:val="1"/>
          <w:bCs w:val="1"/>
          <w:color w:val="auto"/>
        </w:rPr>
        <w:t>UNITED COMMUNITY BANKS,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Allowance for Credit Losses</w:t>
      </w:r>
    </w:p>
    <w:p>
      <w:pPr>
        <w:spacing w:after="0" w:line="31"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The ACL for loans represents management’s estimate of life of loan credit losses in the portfolio as of the end of the period. The ACL related to unfunded commitments is included in other liabilities in the consolidated balance sheet.</w:t>
      </w:r>
    </w:p>
    <w:p>
      <w:pPr>
        <w:spacing w:after="0" w:line="20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For all periods presented, United used a one-year reasonable and supportable forecast period. Expected credit losses were estimated using a regression model for each segment based on historical data from peer banks combined with a baseline economic forecast to predict the change in credit losses. These estimates were then combined with a starting value that was based on United’s recent charge-off experience to produce an expected default rate, with the results subject to a floor.</w:t>
      </w:r>
    </w:p>
    <w:p>
      <w:pPr>
        <w:spacing w:after="0" w:line="193"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8"/>
          <w:szCs w:val="18"/>
          <w:color w:val="auto"/>
        </w:rPr>
        <w:t>At September 30, 2025, the baseline economic forecast had worsened slightly relative to the forecast at December 31, 2024 as the economy, especially the labor market, has slowed somewhat due to marketplace uncertainty and the forecasted impact of recently implemented tariffs. However, the decrease in United’s net charge-offs lowered the initial expected default rates for some segments and thus contributed to a lower modeled ACL balance. At September 30, 2025, United applied qualitative adjustments to increase the model’s calculated ACL for the income producing CRE and commercial construction portfolios. These qualitative adjustments were applied to better reflect management’s expectations of future performance. In addition, at September 30, 2025, United’s qualitative adjustment to estimate losses for loans to borrowers affected by Hurricane Helene added $1.88 million to the ACL balance, compared to $9.80 million at December 31, 2024.</w:t>
      </w:r>
    </w:p>
    <w:p>
      <w:pPr>
        <w:spacing w:after="0" w:line="21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For periods beyond the reasonable and supportable forecast period of one year, United reverted to historical credit loss information on a straight line basis over two years. For most collateral types, United reverted to through-the-cycle average default rates using peer data from 2000 to 2017. For loans secured by residential mortgages, the peer data was adjusted for changes in lending practices designed to mitigate the magnitude of losses observed during the 2008 mortgage crisis.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3" w:name="page24"/>
    <w:bookmarkEnd w:id="23"/>
    <w:p>
      <w:pPr>
        <w:jc w:val="center"/>
        <w:spacing w:after="0"/>
        <w:rPr>
          <w:sz w:val="20"/>
          <w:szCs w:val="20"/>
          <w:color w:val="auto"/>
        </w:rPr>
      </w:pPr>
      <w:r>
        <w:rPr>
          <w:rFonts w:ascii="Times New Roman" w:cs="Times New Roman" w:eastAsia="Times New Roman" w:hAnsi="Times New Roman"/>
          <w:sz w:val="18"/>
          <w:szCs w:val="18"/>
          <w:b w:val="1"/>
          <w:bCs w:val="1"/>
          <w:color w:val="auto"/>
        </w:rPr>
        <w:t>UNITED COMMUNITY BANKS,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(Unaudited)</w:t>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the balance and activity in the ACL by portfolio segment for the periods indicated.</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1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460" w:type="dxa"/>
            <w:vAlign w:val="bottom"/>
            <w:tcBorders>
              <w:bottom w:val="single" w:sz="8" w:color="auto"/>
            </w:tcBorders>
            <w:gridSpan w:val="18"/>
          </w:tcPr>
          <w:p>
            <w:pPr>
              <w:ind w:left="20"/>
              <w:spacing w:after="0"/>
              <w:rPr>
                <w:sz w:val="20"/>
                <w:szCs w:val="20"/>
                <w:color w:val="auto"/>
              </w:rPr>
            </w:pPr>
            <w:r>
              <w:rPr>
                <w:rFonts w:ascii="Times New Roman" w:cs="Times New Roman" w:eastAsia="Times New Roman" w:hAnsi="Times New Roman"/>
                <w:sz w:val="16"/>
                <w:szCs w:val="16"/>
                <w:b w:val="1"/>
                <w:bCs w:val="1"/>
                <w:color w:val="auto"/>
                <w:w w:val="97"/>
              </w:rPr>
              <w:t>Three Months Ended September 30,</w:t>
            </w: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2020" w:type="dxa"/>
            <w:vAlign w:val="bottom"/>
            <w:gridSpan w:val="2"/>
          </w:tcPr>
          <w:p>
            <w:pPr>
              <w:spacing w:after="0"/>
              <w:rPr>
                <w:sz w:val="18"/>
                <w:szCs w:val="18"/>
                <w:color w:val="auto"/>
              </w:rPr>
            </w:pPr>
          </w:p>
        </w:tc>
        <w:tc>
          <w:tcPr>
            <w:tcW w:w="4540" w:type="dxa"/>
            <w:vAlign w:val="bottom"/>
            <w:tcBorders>
              <w:bottom w:val="single" w:sz="8" w:color="auto"/>
            </w:tcBorders>
            <w:gridSpan w:val="29"/>
          </w:tcPr>
          <w:p>
            <w:pPr>
              <w:jc w:val="right"/>
              <w:ind w:right="4461"/>
              <w:spacing w:after="0"/>
              <w:rPr>
                <w:sz w:val="20"/>
                <w:szCs w:val="20"/>
                <w:color w:val="auto"/>
              </w:rPr>
            </w:pPr>
            <w:r>
              <w:rPr>
                <w:rFonts w:ascii="Times New Roman" w:cs="Times New Roman" w:eastAsia="Times New Roman" w:hAnsi="Times New Roman"/>
                <w:sz w:val="16"/>
                <w:szCs w:val="16"/>
                <w:b w:val="1"/>
                <w:bCs w:val="1"/>
                <w:color w:val="auto"/>
              </w:rPr>
              <w:t>2025</w:t>
            </w:r>
          </w:p>
        </w:tc>
        <w:tc>
          <w:tcPr>
            <w:tcW w:w="80" w:type="dxa"/>
            <w:vAlign w:val="bottom"/>
          </w:tcPr>
          <w:p>
            <w:pPr>
              <w:spacing w:after="0"/>
              <w:rPr>
                <w:sz w:val="18"/>
                <w:szCs w:val="18"/>
                <w:color w:val="auto"/>
              </w:rPr>
            </w:pPr>
          </w:p>
        </w:tc>
        <w:tc>
          <w:tcPr>
            <w:tcW w:w="4580" w:type="dxa"/>
            <w:vAlign w:val="bottom"/>
            <w:tcBorders>
              <w:bottom w:val="single" w:sz="8" w:color="auto"/>
            </w:tcBorders>
            <w:gridSpan w:val="30"/>
          </w:tcPr>
          <w:p>
            <w:pPr>
              <w:jc w:val="right"/>
              <w:ind w:right="4501"/>
              <w:spacing w:after="0"/>
              <w:rPr>
                <w:sz w:val="20"/>
                <w:szCs w:val="20"/>
                <w:color w:val="auto"/>
              </w:rPr>
            </w:pPr>
            <w:r>
              <w:rPr>
                <w:rFonts w:ascii="Times New Roman" w:cs="Times New Roman" w:eastAsia="Times New Roman" w:hAnsi="Times New Roman"/>
                <w:sz w:val="16"/>
                <w:szCs w:val="16"/>
                <w:b w:val="1"/>
                <w:bCs w:val="1"/>
                <w:color w:val="auto"/>
              </w:rPr>
              <w:t>2024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6"/>
        </w:trPr>
        <w:tc>
          <w:tcPr>
            <w:tcW w:w="1920" w:type="dxa"/>
            <w:vAlign w:val="bottom"/>
            <w:vMerge w:val="restart"/>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100" w:type="dxa"/>
            <w:vAlign w:val="bottom"/>
          </w:tcPr>
          <w:p>
            <w:pPr>
              <w:spacing w:after="0"/>
              <w:rPr>
                <w:sz w:val="12"/>
                <w:szCs w:val="12"/>
                <w:color w:val="auto"/>
              </w:rPr>
            </w:pPr>
          </w:p>
        </w:tc>
        <w:tc>
          <w:tcPr>
            <w:tcW w:w="780" w:type="dxa"/>
            <w:vAlign w:val="bottom"/>
            <w:gridSpan w:val="4"/>
          </w:tcPr>
          <w:p>
            <w:pPr>
              <w:jc w:val="right"/>
              <w:ind w:right="20"/>
              <w:spacing w:after="0" w:line="146" w:lineRule="exact"/>
              <w:rPr>
                <w:sz w:val="20"/>
                <w:szCs w:val="20"/>
                <w:color w:val="auto"/>
              </w:rPr>
            </w:pPr>
            <w:r>
              <w:rPr>
                <w:rFonts w:ascii="Times New Roman" w:cs="Times New Roman" w:eastAsia="Times New Roman" w:hAnsi="Times New Roman"/>
                <w:sz w:val="16"/>
                <w:szCs w:val="16"/>
                <w:b w:val="1"/>
                <w:bCs w:val="1"/>
                <w:color w:val="auto"/>
              </w:rPr>
              <w:t>Beginning</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gridSpan w:val="3"/>
          </w:tcPr>
          <w:p>
            <w:pPr>
              <w:jc w:val="center"/>
              <w:ind w:right="60"/>
              <w:spacing w:after="0" w:line="146" w:lineRule="exact"/>
              <w:rPr>
                <w:sz w:val="20"/>
                <w:szCs w:val="20"/>
                <w:color w:val="auto"/>
              </w:rPr>
            </w:pPr>
            <w:r>
              <w:rPr>
                <w:rFonts w:ascii="Times New Roman" w:cs="Times New Roman" w:eastAsia="Times New Roman" w:hAnsi="Times New Roman"/>
                <w:sz w:val="16"/>
                <w:szCs w:val="16"/>
                <w:b w:val="1"/>
                <w:bCs w:val="1"/>
                <w:color w:val="auto"/>
                <w:w w:val="96"/>
              </w:rPr>
              <w:t>Charge-</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gridSpan w:val="6"/>
            <w:vMerge w:val="restart"/>
          </w:tcPr>
          <w:p>
            <w:pPr>
              <w:jc w:val="center"/>
              <w:ind w:right="60"/>
              <w:spacing w:after="0"/>
              <w:rPr>
                <w:sz w:val="20"/>
                <w:szCs w:val="20"/>
                <w:color w:val="auto"/>
              </w:rPr>
            </w:pPr>
            <w:r>
              <w:rPr>
                <w:rFonts w:ascii="Times New Roman" w:cs="Times New Roman" w:eastAsia="Times New Roman" w:hAnsi="Times New Roman"/>
                <w:sz w:val="16"/>
                <w:szCs w:val="16"/>
                <w:b w:val="1"/>
                <w:bCs w:val="1"/>
                <w:color w:val="auto"/>
                <w:w w:val="97"/>
              </w:rPr>
              <w:t>Recoveries</w:t>
            </w:r>
          </w:p>
        </w:tc>
        <w:tc>
          <w:tcPr>
            <w:tcW w:w="100" w:type="dxa"/>
            <w:vAlign w:val="bottom"/>
          </w:tcPr>
          <w:p>
            <w:pPr>
              <w:spacing w:after="0"/>
              <w:rPr>
                <w:sz w:val="12"/>
                <w:szCs w:val="12"/>
                <w:color w:val="auto"/>
              </w:rPr>
            </w:pPr>
          </w:p>
        </w:tc>
        <w:tc>
          <w:tcPr>
            <w:tcW w:w="740" w:type="dxa"/>
            <w:vAlign w:val="bottom"/>
            <w:gridSpan w:val="3"/>
          </w:tcPr>
          <w:p>
            <w:pPr>
              <w:jc w:val="right"/>
              <w:ind w:right="41"/>
              <w:spacing w:after="0" w:line="146" w:lineRule="exact"/>
              <w:rPr>
                <w:sz w:val="20"/>
                <w:szCs w:val="20"/>
                <w:color w:val="auto"/>
              </w:rPr>
            </w:pPr>
            <w:r>
              <w:rPr>
                <w:rFonts w:ascii="Times New Roman" w:cs="Times New Roman" w:eastAsia="Times New Roman" w:hAnsi="Times New Roman"/>
                <w:sz w:val="16"/>
                <w:szCs w:val="16"/>
                <w:b w:val="1"/>
                <w:bCs w:val="1"/>
                <w:color w:val="auto"/>
                <w:w w:val="96"/>
              </w:rPr>
              <w:t>(Release)</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gridSpan w:val="4"/>
          </w:tcPr>
          <w:p>
            <w:pPr>
              <w:jc w:val="right"/>
              <w:ind w:right="41"/>
              <w:spacing w:after="0" w:line="146" w:lineRule="exact"/>
              <w:rPr>
                <w:sz w:val="20"/>
                <w:szCs w:val="20"/>
                <w:color w:val="auto"/>
              </w:rPr>
            </w:pPr>
            <w:r>
              <w:rPr>
                <w:rFonts w:ascii="Times New Roman" w:cs="Times New Roman" w:eastAsia="Times New Roman" w:hAnsi="Times New Roman"/>
                <w:sz w:val="16"/>
                <w:szCs w:val="16"/>
                <w:b w:val="1"/>
                <w:bCs w:val="1"/>
                <w:color w:val="auto"/>
              </w:rPr>
              <w:t>Ending</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6"/>
          </w:tcPr>
          <w:p>
            <w:pPr>
              <w:jc w:val="right"/>
              <w:spacing w:after="0" w:line="146" w:lineRule="exact"/>
              <w:rPr>
                <w:sz w:val="20"/>
                <w:szCs w:val="20"/>
                <w:color w:val="auto"/>
              </w:rPr>
            </w:pPr>
            <w:r>
              <w:rPr>
                <w:rFonts w:ascii="Times New Roman" w:cs="Times New Roman" w:eastAsia="Times New Roman" w:hAnsi="Times New Roman"/>
                <w:sz w:val="16"/>
                <w:szCs w:val="16"/>
                <w:b w:val="1"/>
                <w:bCs w:val="1"/>
                <w:color w:val="auto"/>
              </w:rPr>
              <w:t>Beginning</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5"/>
          </w:tcPr>
          <w:p>
            <w:pPr>
              <w:jc w:val="center"/>
              <w:spacing w:after="0" w:line="146" w:lineRule="exact"/>
              <w:rPr>
                <w:sz w:val="20"/>
                <w:szCs w:val="20"/>
                <w:color w:val="auto"/>
              </w:rPr>
            </w:pPr>
            <w:r>
              <w:rPr>
                <w:rFonts w:ascii="Times New Roman" w:cs="Times New Roman" w:eastAsia="Times New Roman" w:hAnsi="Times New Roman"/>
                <w:sz w:val="16"/>
                <w:szCs w:val="16"/>
                <w:b w:val="1"/>
                <w:bCs w:val="1"/>
                <w:color w:val="auto"/>
                <w:w w:val="96"/>
              </w:rPr>
              <w:t>Charge-</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4"/>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Recoveries</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5"/>
          </w:tcPr>
          <w:p>
            <w:pPr>
              <w:jc w:val="right"/>
              <w:ind w:right="220"/>
              <w:spacing w:after="0" w:line="146" w:lineRule="exact"/>
              <w:rPr>
                <w:sz w:val="20"/>
                <w:szCs w:val="20"/>
                <w:color w:val="auto"/>
              </w:rPr>
            </w:pPr>
            <w:r>
              <w:rPr>
                <w:rFonts w:ascii="Times New Roman" w:cs="Times New Roman" w:eastAsia="Times New Roman" w:hAnsi="Times New Roman"/>
                <w:sz w:val="16"/>
                <w:szCs w:val="16"/>
                <w:b w:val="1"/>
                <w:bCs w:val="1"/>
                <w:color w:val="auto"/>
                <w:w w:val="96"/>
              </w:rPr>
              <w:t>(Release)</w:t>
            </w:r>
          </w:p>
        </w:tc>
        <w:tc>
          <w:tcPr>
            <w:tcW w:w="100" w:type="dxa"/>
            <w:vAlign w:val="bottom"/>
          </w:tcPr>
          <w:p>
            <w:pPr>
              <w:spacing w:after="0"/>
              <w:rPr>
                <w:sz w:val="12"/>
                <w:szCs w:val="12"/>
                <w:color w:val="auto"/>
              </w:rPr>
            </w:pPr>
          </w:p>
        </w:tc>
        <w:tc>
          <w:tcPr>
            <w:tcW w:w="740" w:type="dxa"/>
            <w:vAlign w:val="bottom"/>
            <w:gridSpan w:val="2"/>
          </w:tcPr>
          <w:p>
            <w:pPr>
              <w:jc w:val="right"/>
              <w:ind w:right="101"/>
              <w:spacing w:after="0" w:line="146" w:lineRule="exact"/>
              <w:rPr>
                <w:sz w:val="20"/>
                <w:szCs w:val="20"/>
                <w:color w:val="auto"/>
              </w:rPr>
            </w:pPr>
            <w:r>
              <w:rPr>
                <w:rFonts w:ascii="Times New Roman" w:cs="Times New Roman" w:eastAsia="Times New Roman" w:hAnsi="Times New Roman"/>
                <w:sz w:val="16"/>
                <w:szCs w:val="16"/>
                <w:b w:val="1"/>
                <w:bCs w:val="1"/>
                <w:color w:val="auto"/>
              </w:rPr>
              <w:t>Ending</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2"/>
        </w:trPr>
        <w:tc>
          <w:tcPr>
            <w:tcW w:w="19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3"/>
          </w:tcPr>
          <w:p>
            <w:pPr>
              <w:jc w:val="right"/>
              <w:ind w:right="80"/>
              <w:spacing w:after="0"/>
              <w:rPr>
                <w:sz w:val="20"/>
                <w:szCs w:val="20"/>
                <w:color w:val="auto"/>
              </w:rPr>
            </w:pPr>
            <w:r>
              <w:rPr>
                <w:rFonts w:ascii="Times New Roman" w:cs="Times New Roman" w:eastAsia="Times New Roman" w:hAnsi="Times New Roman"/>
                <w:sz w:val="16"/>
                <w:szCs w:val="16"/>
                <w:b w:val="1"/>
                <w:bCs w:val="1"/>
                <w:color w:val="auto"/>
              </w:rPr>
              <w:t>Balance</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gridSpan w:val="3"/>
          </w:tcPr>
          <w:p>
            <w:pPr>
              <w:jc w:val="center"/>
              <w:ind w:right="60"/>
              <w:spacing w:after="0"/>
              <w:rPr>
                <w:sz w:val="20"/>
                <w:szCs w:val="20"/>
                <w:color w:val="auto"/>
              </w:rPr>
            </w:pPr>
            <w:r>
              <w:rPr>
                <w:rFonts w:ascii="Times New Roman" w:cs="Times New Roman" w:eastAsia="Times New Roman" w:hAnsi="Times New Roman"/>
                <w:sz w:val="16"/>
                <w:szCs w:val="16"/>
                <w:b w:val="1"/>
                <w:bCs w:val="1"/>
                <w:color w:val="auto"/>
              </w:rPr>
              <w:t>Offs</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gridSpan w:val="6"/>
            <w:vMerge w:val="continue"/>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3"/>
          </w:tcPr>
          <w:p>
            <w:pPr>
              <w:jc w:val="right"/>
              <w:ind w:right="21"/>
              <w:spacing w:after="0"/>
              <w:rPr>
                <w:sz w:val="20"/>
                <w:szCs w:val="20"/>
                <w:color w:val="auto"/>
              </w:rPr>
            </w:pPr>
            <w:r>
              <w:rPr>
                <w:rFonts w:ascii="Times New Roman" w:cs="Times New Roman" w:eastAsia="Times New Roman" w:hAnsi="Times New Roman"/>
                <w:sz w:val="16"/>
                <w:szCs w:val="16"/>
                <w:b w:val="1"/>
                <w:bCs w:val="1"/>
                <w:color w:val="auto"/>
                <w:w w:val="95"/>
              </w:rPr>
              <w:t>Provision</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gridSpan w:val="4"/>
          </w:tcPr>
          <w:p>
            <w:pPr>
              <w:jc w:val="right"/>
              <w:ind w:right="21"/>
              <w:spacing w:after="0"/>
              <w:rPr>
                <w:sz w:val="20"/>
                <w:szCs w:val="20"/>
                <w:color w:val="auto"/>
              </w:rPr>
            </w:pPr>
            <w:r>
              <w:rPr>
                <w:rFonts w:ascii="Times New Roman" w:cs="Times New Roman" w:eastAsia="Times New Roman" w:hAnsi="Times New Roman"/>
                <w:sz w:val="16"/>
                <w:szCs w:val="16"/>
                <w:b w:val="1"/>
                <w:bCs w:val="1"/>
                <w:color w:val="auto"/>
                <w:w w:val="99"/>
              </w:rPr>
              <w:t>Balance</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gridSpan w:val="5"/>
          </w:tcPr>
          <w:p>
            <w:pPr>
              <w:jc w:val="right"/>
              <w:ind w:right="41"/>
              <w:spacing w:after="0"/>
              <w:rPr>
                <w:sz w:val="20"/>
                <w:szCs w:val="20"/>
                <w:color w:val="auto"/>
              </w:rPr>
            </w:pPr>
            <w:r>
              <w:rPr>
                <w:rFonts w:ascii="Times New Roman" w:cs="Times New Roman" w:eastAsia="Times New Roman" w:hAnsi="Times New Roman"/>
                <w:sz w:val="16"/>
                <w:szCs w:val="16"/>
                <w:b w:val="1"/>
                <w:bCs w:val="1"/>
                <w:color w:val="auto"/>
                <w:w w:val="99"/>
              </w:rPr>
              <w:t>Balance</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40" w:type="dxa"/>
            <w:vAlign w:val="bottom"/>
            <w:gridSpan w:val="4"/>
          </w:tcPr>
          <w:p>
            <w:pPr>
              <w:jc w:val="center"/>
              <w:ind w:right="161"/>
              <w:spacing w:after="0"/>
              <w:rPr>
                <w:sz w:val="20"/>
                <w:szCs w:val="20"/>
                <w:color w:val="auto"/>
              </w:rPr>
            </w:pPr>
            <w:r>
              <w:rPr>
                <w:rFonts w:ascii="Times New Roman" w:cs="Times New Roman" w:eastAsia="Times New Roman" w:hAnsi="Times New Roman"/>
                <w:sz w:val="16"/>
                <w:szCs w:val="16"/>
                <w:b w:val="1"/>
                <w:bCs w:val="1"/>
                <w:color w:val="auto"/>
              </w:rPr>
              <w:t>Offs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4"/>
            <w:vMerge w:val="continue"/>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5"/>
          </w:tcPr>
          <w:p>
            <w:pPr>
              <w:jc w:val="right"/>
              <w:ind w:right="200"/>
              <w:spacing w:after="0"/>
              <w:rPr>
                <w:sz w:val="20"/>
                <w:szCs w:val="20"/>
                <w:color w:val="auto"/>
              </w:rPr>
            </w:pPr>
            <w:r>
              <w:rPr>
                <w:rFonts w:ascii="Times New Roman" w:cs="Times New Roman" w:eastAsia="Times New Roman" w:hAnsi="Times New Roman"/>
                <w:sz w:val="16"/>
                <w:szCs w:val="16"/>
                <w:b w:val="1"/>
                <w:bCs w:val="1"/>
                <w:color w:val="auto"/>
                <w:w w:val="95"/>
              </w:rPr>
              <w:t>Provision</w:t>
            </w:r>
          </w:p>
        </w:tc>
        <w:tc>
          <w:tcPr>
            <w:tcW w:w="100" w:type="dxa"/>
            <w:vAlign w:val="bottom"/>
          </w:tcPr>
          <w:p>
            <w:pPr>
              <w:spacing w:after="0"/>
              <w:rPr>
                <w:sz w:val="18"/>
                <w:szCs w:val="18"/>
                <w:color w:val="auto"/>
              </w:rPr>
            </w:pPr>
          </w:p>
        </w:tc>
        <w:tc>
          <w:tcPr>
            <w:tcW w:w="740" w:type="dxa"/>
            <w:vAlign w:val="bottom"/>
            <w:gridSpan w:val="2"/>
          </w:tcPr>
          <w:p>
            <w:pPr>
              <w:jc w:val="right"/>
              <w:ind w:right="81"/>
              <w:spacing w:after="0"/>
              <w:rPr>
                <w:sz w:val="20"/>
                <w:szCs w:val="20"/>
                <w:color w:val="auto"/>
              </w:rPr>
            </w:pPr>
            <w:r>
              <w:rPr>
                <w:rFonts w:ascii="Times New Roman" w:cs="Times New Roman" w:eastAsia="Times New Roman" w:hAnsi="Times New Roman"/>
                <w:sz w:val="16"/>
                <w:szCs w:val="16"/>
                <w:b w:val="1"/>
                <w:bCs w:val="1"/>
                <w:color w:val="auto"/>
              </w:rPr>
              <w:t>Balance</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19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Owner occupied CRE</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w w:val="74"/>
              </w:rPr>
              <w:t>$</w:t>
            </w:r>
          </w:p>
        </w:tc>
        <w:tc>
          <w:tcPr>
            <w:tcW w:w="680" w:type="dxa"/>
            <w:vAlign w:val="bottom"/>
            <w:tcBorders>
              <w:top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20,967</w:t>
            </w:r>
          </w:p>
        </w:tc>
        <w:tc>
          <w:tcPr>
            <w:tcW w:w="280" w:type="dxa"/>
            <w:vAlign w:val="bottom"/>
            <w:tcBorders>
              <w:top w:val="single" w:sz="8" w:color="auto"/>
            </w:tcBorders>
            <w:gridSpan w:val="3"/>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Borders>
              <w:top w:val="single" w:sz="8" w:color="auto"/>
            </w:tcBorders>
            <w:gridSpan w:val="4"/>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(2,638)</w:t>
            </w: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40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1"/>
              </w:rPr>
              <w:t>141</w:t>
            </w: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top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2,189</w:t>
            </w: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Borders>
              <w:top w:val="single" w:sz="8" w:color="auto"/>
            </w:tcBorders>
            <w:gridSpan w:val="4"/>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20,659</w:t>
            </w:r>
          </w:p>
        </w:tc>
        <w:tc>
          <w:tcPr>
            <w:tcW w:w="6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20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gridSpan w:val="4"/>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21,787</w:t>
            </w:r>
          </w:p>
        </w:tc>
        <w:tc>
          <w:tcPr>
            <w:tcW w:w="4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tcBorders>
              <w:top w:val="single" w:sz="8" w:color="auto"/>
            </w:tcBorders>
            <w:gridSpan w:val="4"/>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(127)</w:t>
            </w:r>
          </w:p>
        </w:tc>
        <w:tc>
          <w:tcPr>
            <w:tcW w:w="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w w:val="99"/>
              </w:rPr>
              <w:t>$</w:t>
            </w:r>
          </w:p>
        </w:tc>
        <w:tc>
          <w:tcPr>
            <w:tcW w:w="8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311</w:t>
            </w:r>
          </w:p>
        </w:tc>
        <w:tc>
          <w:tcPr>
            <w:tcW w:w="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(736)</w:t>
            </w: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21,235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19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Income producing CRE</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49,072</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gridSpan w:val="3"/>
          </w:tcPr>
          <w:p>
            <w:pPr>
              <w:ind w:left="480"/>
              <w:spacing w:after="0"/>
              <w:rPr>
                <w:sz w:val="20"/>
                <w:szCs w:val="20"/>
                <w:color w:val="auto"/>
              </w:rPr>
            </w:pPr>
            <w:r>
              <w:rPr>
                <w:rFonts w:ascii="Times New Roman" w:cs="Times New Roman" w:eastAsia="Times New Roman" w:hAnsi="Times New Roman"/>
                <w:sz w:val="16"/>
                <w:szCs w:val="16"/>
                <w:color w:val="auto"/>
                <w:w w:val="87"/>
              </w:rPr>
              <w:t>—</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0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w w:val="91"/>
              </w:rPr>
              <w:t>106</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(2,967)</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gridSpan w:val="4"/>
          </w:tcPr>
          <w:p>
            <w:pPr>
              <w:jc w:val="right"/>
              <w:spacing w:after="0"/>
              <w:rPr>
                <w:sz w:val="20"/>
                <w:szCs w:val="20"/>
                <w:color w:val="auto"/>
              </w:rPr>
            </w:pPr>
            <w:r>
              <w:rPr>
                <w:rFonts w:ascii="Times New Roman" w:cs="Times New Roman" w:eastAsia="Times New Roman" w:hAnsi="Times New Roman"/>
                <w:sz w:val="16"/>
                <w:szCs w:val="16"/>
                <w:color w:val="auto"/>
              </w:rPr>
              <w:t>46,211</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80" w:type="dxa"/>
            <w:vAlign w:val="bottom"/>
            <w:gridSpan w:val="4"/>
          </w:tcPr>
          <w:p>
            <w:pPr>
              <w:jc w:val="right"/>
              <w:spacing w:after="0"/>
              <w:rPr>
                <w:sz w:val="20"/>
                <w:szCs w:val="20"/>
                <w:color w:val="auto"/>
              </w:rPr>
            </w:pPr>
            <w:r>
              <w:rPr>
                <w:rFonts w:ascii="Times New Roman" w:cs="Times New Roman" w:eastAsia="Times New Roman" w:hAnsi="Times New Roman"/>
                <w:sz w:val="16"/>
                <w:szCs w:val="16"/>
                <w:color w:val="auto"/>
                <w:w w:val="99"/>
              </w:rPr>
              <w:t>42,894</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40" w:type="dxa"/>
            <w:vAlign w:val="bottom"/>
            <w:gridSpan w:val="4"/>
          </w:tcPr>
          <w:p>
            <w:pPr>
              <w:jc w:val="right"/>
              <w:spacing w:after="0"/>
              <w:rPr>
                <w:sz w:val="20"/>
                <w:szCs w:val="20"/>
                <w:color w:val="auto"/>
              </w:rPr>
            </w:pPr>
            <w:r>
              <w:rPr>
                <w:rFonts w:ascii="Times New Roman" w:cs="Times New Roman" w:eastAsia="Times New Roman" w:hAnsi="Times New Roman"/>
                <w:sz w:val="16"/>
                <w:szCs w:val="16"/>
                <w:color w:val="auto"/>
              </w:rPr>
              <w:t>(1,461)</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(2,009)</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39,476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1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Commercial &amp; industrial</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38,693</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0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(1,702)</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0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2,834</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4,656</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6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44,481</w:t>
            </w: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48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32,101</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54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(5,999)</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1,422</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7,175</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34,699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19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Commercial construction</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15,979</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4"/>
          </w:tcPr>
          <w:p>
            <w:pPr>
              <w:jc w:val="right"/>
              <w:spacing w:after="0"/>
              <w:rPr>
                <w:sz w:val="20"/>
                <w:szCs w:val="20"/>
                <w:color w:val="auto"/>
              </w:rPr>
            </w:pPr>
            <w:r>
              <w:rPr>
                <w:rFonts w:ascii="Times New Roman" w:cs="Times New Roman" w:eastAsia="Times New Roman" w:hAnsi="Times New Roman"/>
                <w:sz w:val="16"/>
                <w:szCs w:val="16"/>
                <w:color w:val="auto"/>
              </w:rPr>
              <w:t>(505)</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0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(1,647)</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gridSpan w:val="4"/>
          </w:tcPr>
          <w:p>
            <w:pPr>
              <w:jc w:val="right"/>
              <w:spacing w:after="0"/>
              <w:rPr>
                <w:sz w:val="20"/>
                <w:szCs w:val="20"/>
                <w:color w:val="auto"/>
              </w:rPr>
            </w:pPr>
            <w:r>
              <w:rPr>
                <w:rFonts w:ascii="Times New Roman" w:cs="Times New Roman" w:eastAsia="Times New Roman" w:hAnsi="Times New Roman"/>
                <w:sz w:val="16"/>
                <w:szCs w:val="16"/>
                <w:color w:val="auto"/>
              </w:rPr>
              <w:t>13,841</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80" w:type="dxa"/>
            <w:vAlign w:val="bottom"/>
            <w:gridSpan w:val="4"/>
          </w:tcPr>
          <w:p>
            <w:pPr>
              <w:jc w:val="right"/>
              <w:spacing w:after="0"/>
              <w:rPr>
                <w:sz w:val="20"/>
                <w:szCs w:val="20"/>
                <w:color w:val="auto"/>
              </w:rPr>
            </w:pPr>
            <w:r>
              <w:rPr>
                <w:rFonts w:ascii="Times New Roman" w:cs="Times New Roman" w:eastAsia="Times New Roman" w:hAnsi="Times New Roman"/>
                <w:sz w:val="16"/>
                <w:szCs w:val="16"/>
                <w:color w:val="auto"/>
                <w:w w:val="99"/>
              </w:rPr>
              <w:t>19,617</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(3,548)</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16,033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1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Equipment financing</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47,900</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0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(6,946)</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0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1,459</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2,691</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6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45,104</w:t>
            </w: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48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45,115</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54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(6,282)</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1,014</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6,019</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45,866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19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Residential mortgage</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30,217</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4"/>
          </w:tcPr>
          <w:p>
            <w:pPr>
              <w:jc w:val="right"/>
              <w:spacing w:after="0"/>
              <w:rPr>
                <w:sz w:val="20"/>
                <w:szCs w:val="20"/>
                <w:color w:val="auto"/>
              </w:rPr>
            </w:pPr>
            <w:r>
              <w:rPr>
                <w:rFonts w:ascii="Times New Roman" w:cs="Times New Roman" w:eastAsia="Times New Roman" w:hAnsi="Times New Roman"/>
                <w:sz w:val="16"/>
                <w:szCs w:val="16"/>
                <w:color w:val="auto"/>
              </w:rPr>
              <w:t>(37)</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0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w w:val="91"/>
              </w:rPr>
              <w:t>296</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797</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gridSpan w:val="4"/>
          </w:tcPr>
          <w:p>
            <w:pPr>
              <w:jc w:val="right"/>
              <w:spacing w:after="0"/>
              <w:rPr>
                <w:sz w:val="20"/>
                <w:szCs w:val="20"/>
                <w:color w:val="auto"/>
              </w:rPr>
            </w:pPr>
            <w:r>
              <w:rPr>
                <w:rFonts w:ascii="Times New Roman" w:cs="Times New Roman" w:eastAsia="Times New Roman" w:hAnsi="Times New Roman"/>
                <w:sz w:val="16"/>
                <w:szCs w:val="16"/>
                <w:color w:val="auto"/>
              </w:rPr>
              <w:t>31,273</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80" w:type="dxa"/>
            <w:vAlign w:val="bottom"/>
            <w:gridSpan w:val="4"/>
          </w:tcPr>
          <w:p>
            <w:pPr>
              <w:jc w:val="right"/>
              <w:spacing w:after="0"/>
              <w:rPr>
                <w:sz w:val="20"/>
                <w:szCs w:val="20"/>
                <w:color w:val="auto"/>
              </w:rPr>
            </w:pPr>
            <w:r>
              <w:rPr>
                <w:rFonts w:ascii="Times New Roman" w:cs="Times New Roman" w:eastAsia="Times New Roman" w:hAnsi="Times New Roman"/>
                <w:sz w:val="16"/>
                <w:szCs w:val="16"/>
                <w:color w:val="auto"/>
                <w:w w:val="99"/>
              </w:rPr>
              <w:t>28,612</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2"/>
              </w:rPr>
              <w:t>(110)</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5,723</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34,303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1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Home equity</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10,812</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0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(98)</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3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563</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6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11,356</w:t>
            </w: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48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9,386</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1,415</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10,765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19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Residential construction</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1,812</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4"/>
          </w:tcPr>
          <w:p>
            <w:pPr>
              <w:jc w:val="right"/>
              <w:spacing w:after="0"/>
              <w:rPr>
                <w:sz w:val="20"/>
                <w:szCs w:val="20"/>
                <w:color w:val="auto"/>
              </w:rPr>
            </w:pPr>
            <w:r>
              <w:rPr>
                <w:rFonts w:ascii="Times New Roman" w:cs="Times New Roman" w:eastAsia="Times New Roman" w:hAnsi="Times New Roman"/>
                <w:sz w:val="16"/>
                <w:szCs w:val="16"/>
                <w:color w:val="auto"/>
              </w:rPr>
              <w:t>(23)</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0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(33)</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8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w w:val="94"/>
              </w:rPr>
              <w:t>1,767</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80" w:type="dxa"/>
            <w:vAlign w:val="bottom"/>
            <w:gridSpan w:val="4"/>
          </w:tcPr>
          <w:p>
            <w:pPr>
              <w:jc w:val="right"/>
              <w:spacing w:after="0"/>
              <w:rPr>
                <w:sz w:val="20"/>
                <w:szCs w:val="20"/>
                <w:color w:val="auto"/>
              </w:rPr>
            </w:pPr>
            <w:r>
              <w:rPr>
                <w:rFonts w:ascii="Times New Roman" w:cs="Times New Roman" w:eastAsia="Times New Roman" w:hAnsi="Times New Roman"/>
                <w:sz w:val="16"/>
                <w:szCs w:val="16"/>
                <w:color w:val="auto"/>
              </w:rPr>
              <w:t>1,384</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40" w:type="dxa"/>
            <w:vAlign w:val="bottom"/>
            <w:gridSpan w:val="4"/>
          </w:tcPr>
          <w:p>
            <w:pPr>
              <w:jc w:val="right"/>
              <w:spacing w:after="0"/>
              <w:rPr>
                <w:sz w:val="20"/>
                <w:szCs w:val="20"/>
                <w:color w:val="auto"/>
              </w:rPr>
            </w:pPr>
            <w:r>
              <w:rPr>
                <w:rFonts w:ascii="Times New Roman" w:cs="Times New Roman" w:eastAsia="Times New Roman" w:hAnsi="Times New Roman"/>
                <w:sz w:val="16"/>
                <w:szCs w:val="16"/>
                <w:color w:val="auto"/>
              </w:rPr>
              <w:t>(139)</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213</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1,486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1920" w:type="dxa"/>
            <w:vAlign w:val="bottom"/>
            <w:shd w:val="clear" w:color="auto" w:fill="CCEEFF"/>
          </w:tcPr>
          <w:p>
            <w:pPr>
              <w:ind w:left="20"/>
              <w:spacing w:after="0" w:line="221" w:lineRule="exact"/>
              <w:rPr>
                <w:sz w:val="20"/>
                <w:szCs w:val="20"/>
                <w:color w:val="auto"/>
              </w:rPr>
            </w:pPr>
            <w:r>
              <w:rPr>
                <w:rFonts w:ascii="Times New Roman" w:cs="Times New Roman" w:eastAsia="Times New Roman" w:hAnsi="Times New Roman"/>
                <w:sz w:val="16"/>
                <w:szCs w:val="16"/>
                <w:color w:val="auto"/>
              </w:rPr>
              <w:t xml:space="preserve">Manufactured housing </w:t>
            </w:r>
            <w:r>
              <w:rPr>
                <w:rFonts w:ascii="Times New Roman" w:cs="Times New Roman" w:eastAsia="Times New Roman" w:hAnsi="Times New Roman"/>
                <w:sz w:val="20"/>
                <w:szCs w:val="20"/>
                <w:color w:val="auto"/>
                <w:vertAlign w:val="superscript"/>
              </w:rPr>
              <w:t>(1)</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40" w:type="dxa"/>
            <w:vAlign w:val="bottom"/>
            <w:gridSpan w:val="3"/>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w w:val="87"/>
              </w:rPr>
              <w:t>—</w:t>
            </w: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6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48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11,522</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54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5"/>
              </w:rPr>
              <w:t>(11,635)</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564</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530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19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Consumer</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color w:val="auto"/>
              </w:rPr>
              <w:t>1,048</w:t>
            </w:r>
          </w:p>
        </w:tc>
        <w:tc>
          <w:tcPr>
            <w:tcW w:w="6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6"/>
                <w:szCs w:val="16"/>
                <w:color w:val="auto"/>
              </w:rPr>
              <w:t>(905)</w:t>
            </w:r>
          </w:p>
        </w:tc>
        <w:tc>
          <w:tcPr>
            <w:tcW w:w="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color w:val="auto"/>
                <w:w w:val="91"/>
              </w:rPr>
              <w:t>238</w:t>
            </w:r>
          </w:p>
        </w:tc>
        <w:tc>
          <w:tcPr>
            <w:tcW w:w="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color w:val="auto"/>
              </w:rPr>
              <w:t>718</w:t>
            </w: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color w:val="auto"/>
                <w:w w:val="94"/>
              </w:rPr>
              <w:t>1,099</w:t>
            </w:r>
          </w:p>
        </w:tc>
        <w:tc>
          <w:tcPr>
            <w:tcW w:w="6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1"/>
              </w:rPr>
              <w:t>604</w:t>
            </w:r>
          </w:p>
        </w:tc>
        <w:tc>
          <w:tcPr>
            <w:tcW w:w="4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6"/>
                <w:szCs w:val="16"/>
                <w:color w:val="auto"/>
              </w:rPr>
              <w:t>(1,064)</w:t>
            </w: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254</w:t>
            </w:r>
          </w:p>
        </w:tc>
        <w:tc>
          <w:tcPr>
            <w:tcW w:w="4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1,103</w:t>
            </w:r>
          </w:p>
        </w:tc>
        <w:tc>
          <w:tcPr>
            <w:tcW w:w="8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897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19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ACL - loans</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216,500</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(12,854)</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5,178</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6,967</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215,791</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gridSpan w:val="5"/>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213,022</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4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5"/>
              </w:rPr>
              <w:t>(26,974)</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3,323</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15,919</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205,290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8"/>
        </w:trPr>
        <w:tc>
          <w:tcPr>
            <w:tcW w:w="1920" w:type="dxa"/>
            <w:vAlign w:val="bottom"/>
          </w:tcPr>
          <w:p>
            <w:pPr>
              <w:ind w:left="140"/>
              <w:spacing w:after="0" w:line="148" w:lineRule="exact"/>
              <w:rPr>
                <w:sz w:val="20"/>
                <w:szCs w:val="20"/>
                <w:color w:val="auto"/>
              </w:rPr>
            </w:pPr>
            <w:r>
              <w:rPr>
                <w:rFonts w:ascii="Times New Roman" w:cs="Times New Roman" w:eastAsia="Times New Roman" w:hAnsi="Times New Roman"/>
                <w:sz w:val="16"/>
                <w:szCs w:val="16"/>
                <w:color w:val="auto"/>
              </w:rPr>
              <w:t>ACL - unfunded</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gridSpan w:val="3"/>
            <w:vMerge w:val="restart"/>
          </w:tcPr>
          <w:p>
            <w:pPr>
              <w:jc w:val="right"/>
              <w:spacing w:after="0"/>
              <w:rPr>
                <w:sz w:val="20"/>
                <w:szCs w:val="20"/>
                <w:color w:val="auto"/>
              </w:rPr>
            </w:pPr>
            <w:r>
              <w:rPr>
                <w:rFonts w:ascii="Times New Roman" w:cs="Times New Roman" w:eastAsia="Times New Roman" w:hAnsi="Times New Roman"/>
                <w:sz w:val="16"/>
                <w:szCs w:val="16"/>
                <w:color w:val="auto"/>
              </w:rPr>
              <w:t>11,545</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gridSpan w:val="3"/>
            <w:vMerge w:val="restart"/>
          </w:tcPr>
          <w:p>
            <w:pPr>
              <w:ind w:left="480"/>
              <w:spacing w:after="0"/>
              <w:rPr>
                <w:sz w:val="20"/>
                <w:szCs w:val="20"/>
                <w:color w:val="auto"/>
              </w:rPr>
            </w:pPr>
            <w:r>
              <w:rPr>
                <w:rFonts w:ascii="Times New Roman" w:cs="Times New Roman" w:eastAsia="Times New Roman" w:hAnsi="Times New Roman"/>
                <w:sz w:val="16"/>
                <w:szCs w:val="16"/>
                <w:color w:val="auto"/>
                <w:w w:val="87"/>
              </w:rPr>
              <w:t>—</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60" w:type="dxa"/>
            <w:vAlign w:val="bottom"/>
            <w:gridSpan w:val="3"/>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auto"/>
              </w:rPr>
              <w:t>940</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gridSpan w:val="4"/>
            <w:vMerge w:val="restart"/>
          </w:tcPr>
          <w:p>
            <w:pPr>
              <w:jc w:val="right"/>
              <w:spacing w:after="0"/>
              <w:rPr>
                <w:sz w:val="20"/>
                <w:szCs w:val="20"/>
                <w:color w:val="auto"/>
              </w:rPr>
            </w:pPr>
            <w:r>
              <w:rPr>
                <w:rFonts w:ascii="Times New Roman" w:cs="Times New Roman" w:eastAsia="Times New Roman" w:hAnsi="Times New Roman"/>
                <w:sz w:val="16"/>
                <w:szCs w:val="16"/>
                <w:color w:val="auto"/>
              </w:rPr>
              <w:t>12,485</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80" w:type="dxa"/>
            <w:vAlign w:val="bottom"/>
            <w:gridSpan w:val="4"/>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11,718</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(1,491)</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vMerge w:val="restart"/>
          </w:tcPr>
          <w:p>
            <w:pPr>
              <w:jc w:val="right"/>
              <w:ind w:right="1"/>
              <w:spacing w:after="0"/>
              <w:rPr>
                <w:sz w:val="20"/>
                <w:szCs w:val="20"/>
                <w:color w:val="auto"/>
              </w:rPr>
            </w:pPr>
            <w:r>
              <w:rPr>
                <w:rFonts w:ascii="Times New Roman" w:cs="Times New Roman" w:eastAsia="Times New Roman" w:hAnsi="Times New Roman"/>
                <w:sz w:val="16"/>
                <w:szCs w:val="16"/>
                <w:color w:val="auto"/>
              </w:rPr>
              <w:t>10,227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1"/>
        </w:trPr>
        <w:tc>
          <w:tcPr>
            <w:tcW w:w="19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commitments</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3"/>
            <w:vMerge w:val="continue"/>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gridSpan w:val="3"/>
            <w:vMerge w:val="continue"/>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gridSpan w:val="3"/>
            <w:vMerge w:val="continue"/>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40" w:type="dxa"/>
            <w:vAlign w:val="bottom"/>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gridSpan w:val="4"/>
            <w:vMerge w:val="continue"/>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80" w:type="dxa"/>
            <w:vAlign w:val="bottom"/>
            <w:gridSpan w:val="4"/>
            <w:vMerge w:val="continue"/>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0" w:type="dxa"/>
            <w:vAlign w:val="bottom"/>
            <w:vMerge w:val="continue"/>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9"/>
        </w:trPr>
        <w:tc>
          <w:tcPr>
            <w:tcW w:w="1920" w:type="dxa"/>
            <w:vAlign w:val="bottom"/>
            <w:tcBorders>
              <w:top w:val="single" w:sz="8" w:color="CCEEFF"/>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Total ACL</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w w:val="74"/>
              </w:rPr>
              <w:t>$</w:t>
            </w:r>
          </w:p>
        </w:tc>
        <w:tc>
          <w:tcPr>
            <w:tcW w:w="68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228,045</w:t>
            </w:r>
          </w:p>
        </w:tc>
        <w:tc>
          <w:tcPr>
            <w:tcW w:w="280" w:type="dxa"/>
            <w:vAlign w:val="bottom"/>
            <w:tcBorders>
              <w:top w:val="single" w:sz="8" w:color="auto"/>
              <w:bottom w:val="single" w:sz="8" w:color="auto"/>
            </w:tcBorders>
            <w:gridSpan w:val="3"/>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Borders>
              <w:top w:val="single" w:sz="8" w:color="auto"/>
              <w:bottom w:val="single" w:sz="8" w:color="auto"/>
            </w:tcBorders>
            <w:gridSpan w:val="4"/>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(12,854)</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Borders>
              <w:top w:val="single" w:sz="8" w:color="auto"/>
              <w:bottom w:val="single" w:sz="8" w:color="auto"/>
            </w:tcBorders>
            <w:gridSpan w:val="4"/>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5,178</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7,907</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Borders>
              <w:top w:val="single" w:sz="8" w:color="auto"/>
              <w:bottom w:val="single" w:sz="8" w:color="auto"/>
            </w:tcBorders>
            <w:gridSpan w:val="4"/>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228,276</w:t>
            </w:r>
          </w:p>
        </w:tc>
        <w:tc>
          <w:tcPr>
            <w:tcW w:w="60" w:type="dxa"/>
            <w:vAlign w:val="bottom"/>
            <w:tcBorders>
              <w:top w:val="single" w:sz="8" w:color="auto"/>
              <w:bottom w:val="single" w:sz="8" w:color="auto"/>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Borders>
              <w:top w:val="single" w:sz="8" w:color="auto"/>
              <w:bottom w:val="single" w:sz="8" w:color="auto"/>
            </w:tcBorders>
            <w:gridSpan w:val="5"/>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224,740</w:t>
            </w:r>
          </w:p>
        </w:tc>
        <w:tc>
          <w:tcPr>
            <w:tcW w:w="40" w:type="dxa"/>
            <w:vAlign w:val="bottom"/>
            <w:tcBorders>
              <w:top w:val="single" w:sz="8" w:color="auto"/>
              <w:bottom w:val="single" w:sz="8" w:color="auto"/>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280" w:type="dxa"/>
            <w:vAlign w:val="bottom"/>
            <w:tcBorders>
              <w:top w:val="single" w:sz="8" w:color="auto"/>
              <w:bottom w:val="single" w:sz="8" w:color="auto"/>
            </w:tcBorders>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tcBorders>
              <w:top w:val="single" w:sz="8" w:color="auto"/>
              <w:bottom w:val="single" w:sz="8" w:color="auto"/>
            </w:tcBorders>
            <w:gridSpan w:val="4"/>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5"/>
              </w:rPr>
              <w:t>(26,974)</w:t>
            </w:r>
          </w:p>
        </w:tc>
        <w:tc>
          <w:tcPr>
            <w:tcW w:w="20" w:type="dxa"/>
            <w:vAlign w:val="bottom"/>
            <w:tcBorders>
              <w:top w:val="single" w:sz="8" w:color="auto"/>
              <w:bottom w:val="single" w:sz="8" w:color="auto"/>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w w:val="99"/>
              </w:rPr>
              <w:t>$</w:t>
            </w:r>
          </w:p>
        </w:tc>
        <w:tc>
          <w:tcPr>
            <w:tcW w:w="80" w:type="dxa"/>
            <w:vAlign w:val="bottom"/>
            <w:tcBorders>
              <w:top w:val="single" w:sz="8" w:color="auto"/>
              <w:bottom w:val="single" w:sz="8" w:color="auto"/>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p>
        </w:tc>
        <w:tc>
          <w:tcPr>
            <w:tcW w:w="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3,323</w:t>
            </w:r>
          </w:p>
        </w:tc>
        <w:tc>
          <w:tcPr>
            <w:tcW w:w="40" w:type="dxa"/>
            <w:vAlign w:val="bottom"/>
            <w:tcBorders>
              <w:top w:val="single" w:sz="8" w:color="auto"/>
              <w:bottom w:val="single" w:sz="8" w:color="auto"/>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tcBorders>
              <w:top w:val="single" w:sz="8" w:color="auto"/>
              <w:bottom w:val="single" w:sz="8" w:color="auto"/>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14,428</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20" w:type="dxa"/>
            <w:vAlign w:val="bottom"/>
            <w:tcBorders>
              <w:top w:val="single" w:sz="8" w:color="auto"/>
              <w:bottom w:val="single" w:sz="8" w:color="auto"/>
            </w:tcBorders>
            <w:shd w:val="clear" w:color="auto" w:fill="CCEEFF"/>
          </w:tcPr>
          <w:p>
            <w:pPr>
              <w:spacing w:after="0"/>
              <w:rPr>
                <w:sz w:val="20"/>
                <w:szCs w:val="20"/>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Borders>
              <w:top w:val="single" w:sz="8" w:color="auto"/>
              <w:bottom w:val="single" w:sz="8" w:color="auto"/>
            </w:tcBorders>
            <w:shd w:val="clear" w:color="auto" w:fill="CCEEFF"/>
          </w:tcPr>
          <w:p>
            <w:pPr>
              <w:spacing w:after="0"/>
              <w:rPr>
                <w:sz w:val="20"/>
                <w:szCs w:val="20"/>
                <w:color w:val="auto"/>
              </w:rPr>
            </w:pPr>
          </w:p>
        </w:tc>
        <w:tc>
          <w:tcPr>
            <w:tcW w:w="64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215,517</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20" w:type="dxa"/>
            <w:vAlign w:val="bottom"/>
            <w:tcBorders>
              <w:top w:val="single" w:sz="8" w:color="CCEEFF"/>
            </w:tcBorders>
            <w:gridSpan w:val="2"/>
          </w:tcPr>
          <w:p>
            <w:pPr>
              <w:spacing w:after="0" w:line="20" w:lineRule="exact"/>
              <w:rPr>
                <w:sz w:val="1"/>
                <w:szCs w:val="1"/>
                <w:color w:val="auto"/>
              </w:rPr>
            </w:pPr>
          </w:p>
        </w:tc>
        <w:tc>
          <w:tcPr>
            <w:tcW w:w="1760" w:type="dxa"/>
            <w:vAlign w:val="bottom"/>
            <w:tcBorders>
              <w:top w:val="single" w:sz="8" w:color="CCEEFF"/>
              <w:bottom w:val="single" w:sz="8" w:color="auto"/>
            </w:tcBorders>
            <w:gridSpan w:val="11"/>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gridSpan w:val="5"/>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gridSpan w:val="4"/>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gridSpan w:val="6"/>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gridSpan w:val="7"/>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gridSpan w:val="6"/>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gridSpan w:val="5"/>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gridSpan w:val="4"/>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19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460" w:type="dxa"/>
            <w:vAlign w:val="bottom"/>
            <w:tcBorders>
              <w:bottom w:val="single" w:sz="8" w:color="auto"/>
            </w:tcBorders>
            <w:gridSpan w:val="18"/>
          </w:tcPr>
          <w:p>
            <w:pPr>
              <w:ind w:left="20"/>
              <w:spacing w:after="0"/>
              <w:rPr>
                <w:sz w:val="20"/>
                <w:szCs w:val="20"/>
                <w:color w:val="auto"/>
              </w:rPr>
            </w:pPr>
            <w:r>
              <w:rPr>
                <w:rFonts w:ascii="Times New Roman" w:cs="Times New Roman" w:eastAsia="Times New Roman" w:hAnsi="Times New Roman"/>
                <w:sz w:val="16"/>
                <w:szCs w:val="16"/>
                <w:b w:val="1"/>
                <w:bCs w:val="1"/>
                <w:color w:val="auto"/>
              </w:rPr>
              <w:t>Nine Months Ended September 30,</w:t>
            </w: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1920" w:type="dxa"/>
            <w:vAlign w:val="bottom"/>
          </w:tcPr>
          <w:p>
            <w:pPr>
              <w:spacing w:after="0"/>
              <w:rPr>
                <w:sz w:val="18"/>
                <w:szCs w:val="18"/>
                <w:color w:val="auto"/>
              </w:rPr>
            </w:pPr>
          </w:p>
        </w:tc>
        <w:tc>
          <w:tcPr>
            <w:tcW w:w="5080" w:type="dxa"/>
            <w:vAlign w:val="bottom"/>
            <w:tcBorders>
              <w:bottom w:val="single" w:sz="8" w:color="auto"/>
            </w:tcBorders>
            <w:gridSpan w:val="34"/>
          </w:tcPr>
          <w:p>
            <w:pPr>
              <w:jc w:val="right"/>
              <w:ind w:right="5001"/>
              <w:spacing w:after="0"/>
              <w:rPr>
                <w:sz w:val="20"/>
                <w:szCs w:val="20"/>
                <w:color w:val="auto"/>
              </w:rPr>
            </w:pPr>
            <w:r>
              <w:rPr>
                <w:rFonts w:ascii="Times New Roman" w:cs="Times New Roman" w:eastAsia="Times New Roman" w:hAnsi="Times New Roman"/>
                <w:sz w:val="16"/>
                <w:szCs w:val="16"/>
                <w:b w:val="1"/>
                <w:bCs w:val="1"/>
                <w:color w:val="auto"/>
              </w:rPr>
              <w:t>2025</w:t>
            </w:r>
          </w:p>
        </w:tc>
        <w:tc>
          <w:tcPr>
            <w:tcW w:w="80" w:type="dxa"/>
            <w:vAlign w:val="bottom"/>
          </w:tcPr>
          <w:p>
            <w:pPr>
              <w:spacing w:after="0"/>
              <w:rPr>
                <w:sz w:val="18"/>
                <w:szCs w:val="18"/>
                <w:color w:val="auto"/>
              </w:rPr>
            </w:pPr>
          </w:p>
        </w:tc>
        <w:tc>
          <w:tcPr>
            <w:tcW w:w="4160" w:type="dxa"/>
            <w:vAlign w:val="bottom"/>
            <w:tcBorders>
              <w:bottom w:val="single" w:sz="8" w:color="auto"/>
            </w:tcBorders>
            <w:gridSpan w:val="27"/>
          </w:tcPr>
          <w:p>
            <w:pPr>
              <w:jc w:val="right"/>
              <w:ind w:right="4160"/>
              <w:spacing w:after="0"/>
              <w:rPr>
                <w:sz w:val="20"/>
                <w:szCs w:val="20"/>
                <w:color w:val="auto"/>
              </w:rPr>
            </w:pPr>
            <w:r>
              <w:rPr>
                <w:rFonts w:ascii="Times New Roman" w:cs="Times New Roman" w:eastAsia="Times New Roman" w:hAnsi="Times New Roman"/>
                <w:sz w:val="16"/>
                <w:szCs w:val="16"/>
                <w:b w:val="1"/>
                <w:bCs w:val="1"/>
                <w:color w:val="auto"/>
              </w:rPr>
              <w:t>2024</w:t>
            </w:r>
          </w:p>
        </w:tc>
        <w:tc>
          <w:tcPr>
            <w:tcW w:w="0" w:type="dxa"/>
            <w:vAlign w:val="bottom"/>
          </w:tcPr>
          <w:p>
            <w:pPr>
              <w:spacing w:after="0"/>
              <w:rPr>
                <w:sz w:val="1"/>
                <w:szCs w:val="1"/>
                <w:color w:val="auto"/>
              </w:rPr>
            </w:pPr>
          </w:p>
        </w:tc>
      </w:tr>
      <w:tr>
        <w:trPr>
          <w:trHeight w:val="148"/>
        </w:trPr>
        <w:tc>
          <w:tcPr>
            <w:tcW w:w="1920" w:type="dxa"/>
            <w:vAlign w:val="bottom"/>
          </w:tcPr>
          <w:p>
            <w:pPr>
              <w:spacing w:after="0"/>
              <w:rPr>
                <w:sz w:val="12"/>
                <w:szCs w:val="12"/>
                <w:color w:val="auto"/>
              </w:rPr>
            </w:pPr>
          </w:p>
        </w:tc>
        <w:tc>
          <w:tcPr>
            <w:tcW w:w="880" w:type="dxa"/>
            <w:vAlign w:val="bottom"/>
            <w:gridSpan w:val="5"/>
            <w:vMerge w:val="restart"/>
          </w:tcPr>
          <w:p>
            <w:pPr>
              <w:jc w:val="right"/>
              <w:ind w:right="140"/>
              <w:spacing w:after="0"/>
              <w:rPr>
                <w:sz w:val="20"/>
                <w:szCs w:val="20"/>
                <w:color w:val="auto"/>
              </w:rPr>
            </w:pPr>
            <w:r>
              <w:rPr>
                <w:rFonts w:ascii="Times New Roman" w:cs="Times New Roman" w:eastAsia="Times New Roman" w:hAnsi="Times New Roman"/>
                <w:sz w:val="16"/>
                <w:szCs w:val="16"/>
                <w:b w:val="1"/>
                <w:bCs w:val="1"/>
                <w:color w:val="auto"/>
              </w:rPr>
              <w:t>Beginning</w:t>
            </w:r>
          </w:p>
        </w:tc>
        <w:tc>
          <w:tcPr>
            <w:tcW w:w="920" w:type="dxa"/>
            <w:vAlign w:val="bottom"/>
            <w:gridSpan w:val="6"/>
          </w:tcPr>
          <w:p>
            <w:pPr>
              <w:ind w:left="20"/>
              <w:spacing w:after="0" w:line="148" w:lineRule="exact"/>
              <w:rPr>
                <w:sz w:val="20"/>
                <w:szCs w:val="20"/>
                <w:color w:val="auto"/>
              </w:rPr>
            </w:pPr>
            <w:r>
              <w:rPr>
                <w:rFonts w:ascii="Times New Roman" w:cs="Times New Roman" w:eastAsia="Times New Roman" w:hAnsi="Times New Roman"/>
                <w:sz w:val="16"/>
                <w:szCs w:val="16"/>
                <w:b w:val="1"/>
                <w:bCs w:val="1"/>
                <w:color w:val="auto"/>
              </w:rPr>
              <w:t>Initial ACL</w:t>
            </w:r>
          </w:p>
        </w:tc>
        <w:tc>
          <w:tcPr>
            <w:tcW w:w="60" w:type="dxa"/>
            <w:vAlign w:val="bottom"/>
          </w:tcPr>
          <w:p>
            <w:pPr>
              <w:spacing w:after="0"/>
              <w:rPr>
                <w:sz w:val="12"/>
                <w:szCs w:val="12"/>
                <w:color w:val="auto"/>
              </w:rPr>
            </w:pPr>
          </w:p>
        </w:tc>
        <w:tc>
          <w:tcPr>
            <w:tcW w:w="640" w:type="dxa"/>
            <w:vAlign w:val="bottom"/>
            <w:gridSpan w:val="3"/>
            <w:vMerge w:val="restart"/>
          </w:tcPr>
          <w:p>
            <w:pPr>
              <w:jc w:val="right"/>
              <w:ind w:right="1"/>
              <w:spacing w:after="0"/>
              <w:rPr>
                <w:sz w:val="20"/>
                <w:szCs w:val="20"/>
                <w:color w:val="auto"/>
              </w:rPr>
            </w:pPr>
            <w:r>
              <w:rPr>
                <w:rFonts w:ascii="Times New Roman" w:cs="Times New Roman" w:eastAsia="Times New Roman" w:hAnsi="Times New Roman"/>
                <w:sz w:val="16"/>
                <w:szCs w:val="16"/>
                <w:b w:val="1"/>
                <w:bCs w:val="1"/>
                <w:color w:val="auto"/>
                <w:w w:val="96"/>
              </w:rPr>
              <w:t>Charge-</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gridSpan w:val="4"/>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(Release)</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5"/>
            <w:vMerge w:val="restart"/>
          </w:tcPr>
          <w:p>
            <w:pPr>
              <w:jc w:val="right"/>
              <w:ind w:right="21"/>
              <w:spacing w:after="0"/>
              <w:rPr>
                <w:sz w:val="20"/>
                <w:szCs w:val="20"/>
                <w:color w:val="auto"/>
              </w:rPr>
            </w:pPr>
            <w:r>
              <w:rPr>
                <w:rFonts w:ascii="Times New Roman" w:cs="Times New Roman" w:eastAsia="Times New Roman" w:hAnsi="Times New Roman"/>
                <w:sz w:val="16"/>
                <w:szCs w:val="16"/>
                <w:b w:val="1"/>
                <w:bCs w:val="1"/>
                <w:color w:val="auto"/>
              </w:rPr>
              <w:t>Ending</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5"/>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Beginning</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6"/>
            <w:vMerge w:val="restart"/>
          </w:tcPr>
          <w:p>
            <w:pPr>
              <w:jc w:val="right"/>
              <w:ind w:right="180"/>
              <w:spacing w:after="0"/>
              <w:rPr>
                <w:sz w:val="20"/>
                <w:szCs w:val="20"/>
                <w:color w:val="auto"/>
              </w:rPr>
            </w:pPr>
            <w:r>
              <w:rPr>
                <w:rFonts w:ascii="Times New Roman" w:cs="Times New Roman" w:eastAsia="Times New Roman" w:hAnsi="Times New Roman"/>
                <w:sz w:val="16"/>
                <w:szCs w:val="16"/>
                <w:b w:val="1"/>
                <w:bCs w:val="1"/>
                <w:color w:val="auto"/>
              </w:rPr>
              <w:t>Charge-</w:t>
            </w:r>
          </w:p>
        </w:tc>
        <w:tc>
          <w:tcPr>
            <w:tcW w:w="1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4"/>
            <w:vMerge w:val="restart"/>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(Release)</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vMerge w:val="restart"/>
          </w:tcPr>
          <w:p>
            <w:pPr>
              <w:jc w:val="right"/>
              <w:ind w:right="41"/>
              <w:spacing w:after="0"/>
              <w:rPr>
                <w:sz w:val="20"/>
                <w:szCs w:val="20"/>
                <w:color w:val="auto"/>
              </w:rPr>
            </w:pPr>
            <w:r>
              <w:rPr>
                <w:rFonts w:ascii="Times New Roman" w:cs="Times New Roman" w:eastAsia="Times New Roman" w:hAnsi="Times New Roman"/>
                <w:sz w:val="16"/>
                <w:szCs w:val="16"/>
                <w:b w:val="1"/>
                <w:bCs w:val="1"/>
                <w:color w:val="auto"/>
              </w:rPr>
              <w:t>Ending</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1920" w:type="dxa"/>
            <w:vAlign w:val="bottom"/>
            <w:vMerge w:val="restart"/>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880" w:type="dxa"/>
            <w:vAlign w:val="bottom"/>
            <w:gridSpan w:val="5"/>
            <w:vMerge w:val="continue"/>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gridSpan w:val="4"/>
          </w:tcPr>
          <w:p>
            <w:pPr>
              <w:ind w:left="40"/>
              <w:spacing w:after="0" w:line="161" w:lineRule="exact"/>
              <w:rPr>
                <w:sz w:val="20"/>
                <w:szCs w:val="20"/>
                <w:color w:val="auto"/>
              </w:rPr>
            </w:pPr>
            <w:r>
              <w:rPr>
                <w:rFonts w:ascii="Times New Roman" w:cs="Times New Roman" w:eastAsia="Times New Roman" w:hAnsi="Times New Roman"/>
                <w:sz w:val="16"/>
                <w:szCs w:val="16"/>
                <w:b w:val="1"/>
                <w:bCs w:val="1"/>
                <w:color w:val="auto"/>
              </w:rPr>
              <w:t>- PCD</w:t>
            </w:r>
          </w:p>
        </w:tc>
        <w:tc>
          <w:tcPr>
            <w:tcW w:w="60" w:type="dxa"/>
            <w:vAlign w:val="bottom"/>
          </w:tcPr>
          <w:p>
            <w:pPr>
              <w:spacing w:after="0"/>
              <w:rPr>
                <w:sz w:val="13"/>
                <w:szCs w:val="13"/>
                <w:color w:val="auto"/>
              </w:rPr>
            </w:pPr>
          </w:p>
        </w:tc>
        <w:tc>
          <w:tcPr>
            <w:tcW w:w="640" w:type="dxa"/>
            <w:vAlign w:val="bottom"/>
            <w:gridSpan w:val="3"/>
            <w:vMerge w:val="continue"/>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gridSpan w:val="4"/>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Recoveries</w:t>
            </w:r>
          </w:p>
        </w:tc>
        <w:tc>
          <w:tcPr>
            <w:tcW w:w="80" w:type="dxa"/>
            <w:vAlign w:val="bottom"/>
          </w:tcPr>
          <w:p>
            <w:pPr>
              <w:spacing w:after="0"/>
              <w:rPr>
                <w:sz w:val="13"/>
                <w:szCs w:val="13"/>
                <w:color w:val="auto"/>
              </w:rPr>
            </w:pPr>
          </w:p>
        </w:tc>
        <w:tc>
          <w:tcPr>
            <w:tcW w:w="740" w:type="dxa"/>
            <w:vAlign w:val="bottom"/>
            <w:gridSpan w:val="4"/>
            <w:vMerge w:val="continue"/>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gridSpan w:val="5"/>
            <w:vMerge w:val="continue"/>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gridSpan w:val="5"/>
            <w:vMerge w:val="continue"/>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gridSpan w:val="6"/>
            <w:vMerge w:val="continue"/>
          </w:tcPr>
          <w:p>
            <w:pPr>
              <w:spacing w:after="0"/>
              <w:rPr>
                <w:sz w:val="13"/>
                <w:szCs w:val="13"/>
                <w:color w:val="auto"/>
              </w:rPr>
            </w:pPr>
          </w:p>
        </w:tc>
        <w:tc>
          <w:tcPr>
            <w:tcW w:w="780" w:type="dxa"/>
            <w:vAlign w:val="bottom"/>
            <w:gridSpan w:val="5"/>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rPr>
              <w:t>Recoveries</w:t>
            </w:r>
          </w:p>
        </w:tc>
        <w:tc>
          <w:tcPr>
            <w:tcW w:w="80" w:type="dxa"/>
            <w:vAlign w:val="bottom"/>
          </w:tcPr>
          <w:p>
            <w:pPr>
              <w:spacing w:after="0"/>
              <w:rPr>
                <w:sz w:val="13"/>
                <w:szCs w:val="13"/>
                <w:color w:val="auto"/>
              </w:rPr>
            </w:pPr>
          </w:p>
        </w:tc>
        <w:tc>
          <w:tcPr>
            <w:tcW w:w="760" w:type="dxa"/>
            <w:vAlign w:val="bottom"/>
            <w:gridSpan w:val="4"/>
            <w:vMerge w:val="continue"/>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vMerge w:val="continue"/>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19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4"/>
          </w:tcPr>
          <w:p>
            <w:pPr>
              <w:ind w:left="20"/>
              <w:spacing w:after="0"/>
              <w:rPr>
                <w:sz w:val="20"/>
                <w:szCs w:val="20"/>
                <w:color w:val="auto"/>
              </w:rPr>
            </w:pPr>
            <w:r>
              <w:rPr>
                <w:rFonts w:ascii="Times New Roman" w:cs="Times New Roman" w:eastAsia="Times New Roman" w:hAnsi="Times New Roman"/>
                <w:sz w:val="16"/>
                <w:szCs w:val="16"/>
                <w:b w:val="1"/>
                <w:bCs w:val="1"/>
                <w:color w:val="auto"/>
              </w:rPr>
              <w:t>Balance</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4"/>
          </w:tcPr>
          <w:p>
            <w:pPr>
              <w:spacing w:after="0" w:line="216" w:lineRule="exact"/>
              <w:rPr>
                <w:sz w:val="20"/>
                <w:szCs w:val="20"/>
                <w:color w:val="auto"/>
              </w:rPr>
            </w:pPr>
            <w:r>
              <w:rPr>
                <w:rFonts w:ascii="Times New Roman" w:cs="Times New Roman" w:eastAsia="Times New Roman" w:hAnsi="Times New Roman"/>
                <w:sz w:val="16"/>
                <w:szCs w:val="16"/>
                <w:b w:val="1"/>
                <w:bCs w:val="1"/>
                <w:color w:val="auto"/>
              </w:rPr>
              <w:t xml:space="preserve">loans </w:t>
            </w:r>
            <w:r>
              <w:rPr>
                <w:rFonts w:ascii="Times New Roman" w:cs="Times New Roman" w:eastAsia="Times New Roman" w:hAnsi="Times New Roman"/>
                <w:sz w:val="20"/>
                <w:szCs w:val="20"/>
                <w:b w:val="1"/>
                <w:bCs w:val="1"/>
                <w:color w:val="auto"/>
                <w:vertAlign w:val="superscript"/>
              </w:rPr>
              <w:t>(2)</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gridSpan w:val="2"/>
          </w:tcPr>
          <w:p>
            <w:pPr>
              <w:jc w:val="right"/>
              <w:ind w:right="121"/>
              <w:spacing w:after="0"/>
              <w:rPr>
                <w:sz w:val="20"/>
                <w:szCs w:val="20"/>
                <w:color w:val="auto"/>
              </w:rPr>
            </w:pPr>
            <w:r>
              <w:rPr>
                <w:rFonts w:ascii="Times New Roman" w:cs="Times New Roman" w:eastAsia="Times New Roman" w:hAnsi="Times New Roman"/>
                <w:sz w:val="16"/>
                <w:szCs w:val="16"/>
                <w:b w:val="1"/>
                <w:bCs w:val="1"/>
                <w:color w:val="auto"/>
              </w:rPr>
              <w:t>Offs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4"/>
            <w:vMerge w:val="continue"/>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gridSpan w:val="4"/>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Provision</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gridSpan w:val="5"/>
          </w:tcPr>
          <w:p>
            <w:pPr>
              <w:jc w:val="right"/>
              <w:ind w:right="1"/>
              <w:spacing w:after="0"/>
              <w:rPr>
                <w:sz w:val="20"/>
                <w:szCs w:val="20"/>
                <w:color w:val="auto"/>
              </w:rPr>
            </w:pPr>
            <w:r>
              <w:rPr>
                <w:rFonts w:ascii="Times New Roman" w:cs="Times New Roman" w:eastAsia="Times New Roman" w:hAnsi="Times New Roman"/>
                <w:sz w:val="16"/>
                <w:szCs w:val="16"/>
                <w:b w:val="1"/>
                <w:bCs w:val="1"/>
                <w:color w:val="auto"/>
              </w:rPr>
              <w:t>Balance</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4"/>
          </w:tcPr>
          <w:p>
            <w:pPr>
              <w:jc w:val="right"/>
              <w:ind w:right="21"/>
              <w:spacing w:after="0"/>
              <w:rPr>
                <w:sz w:val="20"/>
                <w:szCs w:val="20"/>
                <w:color w:val="auto"/>
              </w:rPr>
            </w:pPr>
            <w:r>
              <w:rPr>
                <w:rFonts w:ascii="Times New Roman" w:cs="Times New Roman" w:eastAsia="Times New Roman" w:hAnsi="Times New Roman"/>
                <w:sz w:val="16"/>
                <w:szCs w:val="16"/>
                <w:b w:val="1"/>
                <w:bCs w:val="1"/>
                <w:color w:val="auto"/>
                <w:w w:val="99"/>
              </w:rPr>
              <w:t>Balance</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5"/>
          </w:tcPr>
          <w:p>
            <w:pPr>
              <w:ind w:left="120"/>
              <w:spacing w:after="0"/>
              <w:rPr>
                <w:sz w:val="20"/>
                <w:szCs w:val="20"/>
                <w:color w:val="auto"/>
              </w:rPr>
            </w:pPr>
            <w:r>
              <w:rPr>
                <w:rFonts w:ascii="Times New Roman" w:cs="Times New Roman" w:eastAsia="Times New Roman" w:hAnsi="Times New Roman"/>
                <w:sz w:val="16"/>
                <w:szCs w:val="16"/>
                <w:b w:val="1"/>
                <w:bCs w:val="1"/>
                <w:color w:val="auto"/>
              </w:rPr>
              <w:t>Offs</w:t>
            </w:r>
          </w:p>
        </w:tc>
        <w:tc>
          <w:tcPr>
            <w:tcW w:w="780" w:type="dxa"/>
            <w:vAlign w:val="bottom"/>
            <w:gridSpan w:val="5"/>
            <w:vMerge w:val="continue"/>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4"/>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Provision</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ind w:right="21"/>
              <w:spacing w:after="0"/>
              <w:rPr>
                <w:sz w:val="20"/>
                <w:szCs w:val="20"/>
                <w:color w:val="auto"/>
              </w:rPr>
            </w:pPr>
            <w:r>
              <w:rPr>
                <w:rFonts w:ascii="Times New Roman" w:cs="Times New Roman" w:eastAsia="Times New Roman" w:hAnsi="Times New Roman"/>
                <w:sz w:val="16"/>
                <w:szCs w:val="16"/>
                <w:b w:val="1"/>
                <w:bCs w:val="1"/>
                <w:color w:val="auto"/>
                <w:w w:val="95"/>
              </w:rPr>
              <w:t>Balance</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9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Owner occupied CRE</w:t>
            </w:r>
          </w:p>
        </w:tc>
        <w:tc>
          <w:tcPr>
            <w:tcW w:w="200" w:type="dxa"/>
            <w:vAlign w:val="bottom"/>
            <w:tcBorders>
              <w:top w:val="single" w:sz="8" w:color="auto"/>
            </w:tcBorders>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w w:val="99"/>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19,873</w:t>
            </w: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278</w:t>
            </w: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6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(3,470)</w:t>
            </w:r>
          </w:p>
        </w:tc>
        <w:tc>
          <w:tcPr>
            <w:tcW w:w="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w w:val="99"/>
              </w:rPr>
              <w:t>$</w:t>
            </w:r>
          </w:p>
        </w:tc>
        <w:tc>
          <w:tcPr>
            <w:tcW w:w="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377</w:t>
            </w:r>
          </w:p>
        </w:tc>
        <w:tc>
          <w:tcPr>
            <w:tcW w:w="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480" w:type="dxa"/>
            <w:vAlign w:val="bottom"/>
            <w:tcBorders>
              <w:top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3,601</w:t>
            </w:r>
          </w:p>
        </w:tc>
        <w:tc>
          <w:tcPr>
            <w:tcW w:w="4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w w:val="74"/>
              </w:rPr>
              <w:t>$</w:t>
            </w:r>
          </w:p>
        </w:tc>
        <w:tc>
          <w:tcPr>
            <w:tcW w:w="460" w:type="dxa"/>
            <w:vAlign w:val="bottom"/>
            <w:tcBorders>
              <w:top w:val="single" w:sz="8" w:color="auto"/>
            </w:tcBorders>
            <w:gridSpan w:val="4"/>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5"/>
              </w:rPr>
              <w:t>20,659</w:t>
            </w:r>
          </w:p>
        </w:tc>
        <w:tc>
          <w:tcPr>
            <w:tcW w:w="4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Borders>
              <w:top w:val="single" w:sz="8" w:color="auto"/>
            </w:tcBorders>
            <w:gridSpan w:val="4"/>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23,542</w:t>
            </w:r>
          </w:p>
        </w:tc>
        <w:tc>
          <w:tcPr>
            <w:tcW w:w="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tcBorders>
              <w:top w:val="single" w:sz="8" w:color="auto"/>
            </w:tcBorders>
            <w:gridSpan w:val="4"/>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(928)</w:t>
            </w: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tcBorders>
              <w:top w:val="single" w:sz="8" w:color="auto"/>
            </w:tcBorders>
            <w:gridSpan w:val="4"/>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747</w:t>
            </w: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tcBorders>
              <w:top w:val="single" w:sz="8" w:color="auto"/>
            </w:tcBorders>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(2,126)</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21,235</w:t>
            </w:r>
          </w:p>
        </w:tc>
        <w:tc>
          <w:tcPr>
            <w:tcW w:w="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19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Income producing CRE</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41,427</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910</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(1,970)</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425</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8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5,419</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60" w:type="dxa"/>
            <w:vAlign w:val="bottom"/>
            <w:gridSpan w:val="4"/>
          </w:tcPr>
          <w:p>
            <w:pPr>
              <w:jc w:val="right"/>
              <w:spacing w:after="0"/>
              <w:rPr>
                <w:sz w:val="20"/>
                <w:szCs w:val="20"/>
                <w:color w:val="auto"/>
              </w:rPr>
            </w:pPr>
            <w:r>
              <w:rPr>
                <w:rFonts w:ascii="Times New Roman" w:cs="Times New Roman" w:eastAsia="Times New Roman" w:hAnsi="Times New Roman"/>
                <w:sz w:val="16"/>
                <w:szCs w:val="16"/>
                <w:color w:val="auto"/>
                <w:w w:val="95"/>
              </w:rPr>
              <w:t>46,211</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4"/>
          </w:tcPr>
          <w:p>
            <w:pPr>
              <w:jc w:val="right"/>
              <w:spacing w:after="0"/>
              <w:rPr>
                <w:sz w:val="20"/>
                <w:szCs w:val="20"/>
                <w:color w:val="auto"/>
              </w:rPr>
            </w:pPr>
            <w:r>
              <w:rPr>
                <w:rFonts w:ascii="Times New Roman" w:cs="Times New Roman" w:eastAsia="Times New Roman" w:hAnsi="Times New Roman"/>
                <w:sz w:val="16"/>
                <w:szCs w:val="16"/>
                <w:color w:val="auto"/>
              </w:rPr>
              <w:t>47,755</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4"/>
          </w:tcPr>
          <w:p>
            <w:pPr>
              <w:jc w:val="right"/>
              <w:spacing w:after="0"/>
              <w:rPr>
                <w:sz w:val="20"/>
                <w:szCs w:val="20"/>
                <w:color w:val="auto"/>
              </w:rPr>
            </w:pPr>
            <w:r>
              <w:rPr>
                <w:rFonts w:ascii="Times New Roman" w:cs="Times New Roman" w:eastAsia="Times New Roman" w:hAnsi="Times New Roman"/>
                <w:sz w:val="16"/>
                <w:szCs w:val="16"/>
                <w:color w:val="auto"/>
              </w:rPr>
              <w:t>(4,819)</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4"/>
          </w:tcPr>
          <w:p>
            <w:pPr>
              <w:jc w:val="right"/>
              <w:spacing w:after="0"/>
              <w:rPr>
                <w:sz w:val="20"/>
                <w:szCs w:val="20"/>
                <w:color w:val="auto"/>
              </w:rPr>
            </w:pPr>
            <w:r>
              <w:rPr>
                <w:rFonts w:ascii="Times New Roman" w:cs="Times New Roman" w:eastAsia="Times New Roman" w:hAnsi="Times New Roman"/>
                <w:sz w:val="16"/>
                <w:szCs w:val="16"/>
                <w:color w:val="auto"/>
              </w:rPr>
              <w:t>237</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gridSpan w:val="3"/>
          </w:tcPr>
          <w:p>
            <w:pPr>
              <w:jc w:val="right"/>
              <w:ind w:right="20"/>
              <w:spacing w:after="0"/>
              <w:rPr>
                <w:sz w:val="20"/>
                <w:szCs w:val="20"/>
                <w:color w:val="auto"/>
              </w:rPr>
            </w:pPr>
            <w:r>
              <w:rPr>
                <w:rFonts w:ascii="Times New Roman" w:cs="Times New Roman" w:eastAsia="Times New Roman" w:hAnsi="Times New Roman"/>
                <w:sz w:val="16"/>
                <w:szCs w:val="16"/>
                <w:color w:val="auto"/>
              </w:rPr>
              <w:t>(3,697)</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39,476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1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Commercial &amp; industrial</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35,441</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(7,832)</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5,490</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4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5"/>
              </w:rPr>
              <w:t>11,359</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46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5"/>
              </w:rPr>
              <w:t>44,481</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6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30,890</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4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(14,069)</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4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4,305</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13,573</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34,699</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19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Commercial construction</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16,370</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(635)</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193</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8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w w:val="98"/>
              </w:rPr>
              <w:t>(2,126)</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60" w:type="dxa"/>
            <w:vAlign w:val="bottom"/>
            <w:gridSpan w:val="4"/>
          </w:tcPr>
          <w:p>
            <w:pPr>
              <w:jc w:val="right"/>
              <w:spacing w:after="0"/>
              <w:rPr>
                <w:sz w:val="20"/>
                <w:szCs w:val="20"/>
                <w:color w:val="auto"/>
              </w:rPr>
            </w:pPr>
            <w:r>
              <w:rPr>
                <w:rFonts w:ascii="Times New Roman" w:cs="Times New Roman" w:eastAsia="Times New Roman" w:hAnsi="Times New Roman"/>
                <w:sz w:val="16"/>
                <w:szCs w:val="16"/>
                <w:color w:val="auto"/>
                <w:w w:val="95"/>
              </w:rPr>
              <w:t>13,841</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4"/>
          </w:tcPr>
          <w:p>
            <w:pPr>
              <w:jc w:val="right"/>
              <w:spacing w:after="0"/>
              <w:rPr>
                <w:sz w:val="20"/>
                <w:szCs w:val="20"/>
                <w:color w:val="auto"/>
              </w:rPr>
            </w:pPr>
            <w:r>
              <w:rPr>
                <w:rFonts w:ascii="Times New Roman" w:cs="Times New Roman" w:eastAsia="Times New Roman" w:hAnsi="Times New Roman"/>
                <w:sz w:val="16"/>
                <w:szCs w:val="16"/>
                <w:color w:val="auto"/>
              </w:rPr>
              <w:t>21,741</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4"/>
          </w:tcPr>
          <w:p>
            <w:pPr>
              <w:jc w:val="right"/>
              <w:spacing w:after="0"/>
              <w:rPr>
                <w:sz w:val="20"/>
                <w:szCs w:val="20"/>
                <w:color w:val="auto"/>
              </w:rPr>
            </w:pPr>
            <w:r>
              <w:rPr>
                <w:rFonts w:ascii="Times New Roman" w:cs="Times New Roman" w:eastAsia="Times New Roman" w:hAnsi="Times New Roman"/>
                <w:sz w:val="16"/>
                <w:szCs w:val="16"/>
                <w:color w:val="auto"/>
              </w:rPr>
              <w:t>(122)</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4"/>
          </w:tcPr>
          <w:p>
            <w:pPr>
              <w:jc w:val="right"/>
              <w:spacing w:after="0"/>
              <w:rPr>
                <w:sz w:val="20"/>
                <w:szCs w:val="20"/>
                <w:color w:val="auto"/>
              </w:rPr>
            </w:pPr>
            <w:r>
              <w:rPr>
                <w:rFonts w:ascii="Times New Roman" w:cs="Times New Roman" w:eastAsia="Times New Roman" w:hAnsi="Times New Roman"/>
                <w:sz w:val="16"/>
                <w:szCs w:val="16"/>
                <w:color w:val="auto"/>
              </w:rPr>
              <w:t>114</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gridSpan w:val="3"/>
          </w:tcPr>
          <w:p>
            <w:pPr>
              <w:jc w:val="right"/>
              <w:ind w:right="20"/>
              <w:spacing w:after="0"/>
              <w:rPr>
                <w:sz w:val="20"/>
                <w:szCs w:val="20"/>
                <w:color w:val="auto"/>
              </w:rPr>
            </w:pPr>
            <w:r>
              <w:rPr>
                <w:rFonts w:ascii="Times New Roman" w:cs="Times New Roman" w:eastAsia="Times New Roman" w:hAnsi="Times New Roman"/>
                <w:sz w:val="16"/>
                <w:szCs w:val="16"/>
                <w:color w:val="auto"/>
              </w:rPr>
              <w:t>(5,700)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16,033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1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Equipment financing</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47,415</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4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5"/>
              </w:rPr>
              <w:t>(18,810)</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3,318</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4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5"/>
              </w:rPr>
              <w:t>13,181</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46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5"/>
              </w:rPr>
              <w:t>45,104</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6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33,383</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4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(20,175)</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4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3,043</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29,615</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45,866</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19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Residential mortgage</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32,259</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gridSpan w:val="3"/>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(458)</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405</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8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(933)</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60" w:type="dxa"/>
            <w:vAlign w:val="bottom"/>
            <w:gridSpan w:val="4"/>
          </w:tcPr>
          <w:p>
            <w:pPr>
              <w:jc w:val="right"/>
              <w:spacing w:after="0"/>
              <w:rPr>
                <w:sz w:val="20"/>
                <w:szCs w:val="20"/>
                <w:color w:val="auto"/>
              </w:rPr>
            </w:pPr>
            <w:r>
              <w:rPr>
                <w:rFonts w:ascii="Times New Roman" w:cs="Times New Roman" w:eastAsia="Times New Roman" w:hAnsi="Times New Roman"/>
                <w:sz w:val="16"/>
                <w:szCs w:val="16"/>
                <w:color w:val="auto"/>
                <w:w w:val="95"/>
              </w:rPr>
              <w:t>31,273</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4"/>
          </w:tcPr>
          <w:p>
            <w:pPr>
              <w:jc w:val="right"/>
              <w:spacing w:after="0"/>
              <w:rPr>
                <w:sz w:val="20"/>
                <w:szCs w:val="20"/>
                <w:color w:val="auto"/>
              </w:rPr>
            </w:pPr>
            <w:r>
              <w:rPr>
                <w:rFonts w:ascii="Times New Roman" w:cs="Times New Roman" w:eastAsia="Times New Roman" w:hAnsi="Times New Roman"/>
                <w:sz w:val="16"/>
                <w:szCs w:val="16"/>
                <w:color w:val="auto"/>
              </w:rPr>
              <w:t>28,219</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4"/>
          </w:tcPr>
          <w:p>
            <w:pPr>
              <w:jc w:val="right"/>
              <w:spacing w:after="0"/>
              <w:rPr>
                <w:sz w:val="20"/>
                <w:szCs w:val="20"/>
                <w:color w:val="auto"/>
              </w:rPr>
            </w:pPr>
            <w:r>
              <w:rPr>
                <w:rFonts w:ascii="Times New Roman" w:cs="Times New Roman" w:eastAsia="Times New Roman" w:hAnsi="Times New Roman"/>
                <w:sz w:val="16"/>
                <w:szCs w:val="16"/>
                <w:color w:val="auto"/>
              </w:rPr>
              <w:t>(132)</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4"/>
          </w:tcPr>
          <w:p>
            <w:pPr>
              <w:jc w:val="right"/>
              <w:spacing w:after="0"/>
              <w:rPr>
                <w:sz w:val="20"/>
                <w:szCs w:val="20"/>
                <w:color w:val="auto"/>
              </w:rPr>
            </w:pPr>
            <w:r>
              <w:rPr>
                <w:rFonts w:ascii="Times New Roman" w:cs="Times New Roman" w:eastAsia="Times New Roman" w:hAnsi="Times New Roman"/>
                <w:sz w:val="16"/>
                <w:szCs w:val="16"/>
                <w:color w:val="auto"/>
              </w:rPr>
              <w:t>223</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5,993</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34,303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1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Home equity</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11,247</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(169)</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284</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46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5"/>
              </w:rPr>
              <w:t>11,356</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4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4"/>
              </w:rPr>
              <w:t>9,647</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3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89"/>
              </w:rPr>
              <w:t>(95)</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4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140</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1,073</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10,765</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19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Residential construction</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1,672</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gridSpan w:val="3"/>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(249)</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1"/>
              </w:rPr>
              <w:t>317</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60" w:type="dxa"/>
            <w:vAlign w:val="bottom"/>
            <w:gridSpan w:val="4"/>
          </w:tcPr>
          <w:p>
            <w:pPr>
              <w:jc w:val="right"/>
              <w:spacing w:after="0"/>
              <w:rPr>
                <w:sz w:val="20"/>
                <w:szCs w:val="20"/>
                <w:color w:val="auto"/>
              </w:rPr>
            </w:pPr>
            <w:r>
              <w:rPr>
                <w:rFonts w:ascii="Times New Roman" w:cs="Times New Roman" w:eastAsia="Times New Roman" w:hAnsi="Times New Roman"/>
                <w:sz w:val="16"/>
                <w:szCs w:val="16"/>
                <w:color w:val="auto"/>
              </w:rPr>
              <w:t>1,767</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w w:val="94"/>
              </w:rPr>
              <w:t>1,833</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4"/>
          </w:tcPr>
          <w:p>
            <w:pPr>
              <w:jc w:val="right"/>
              <w:spacing w:after="0"/>
              <w:rPr>
                <w:sz w:val="20"/>
                <w:szCs w:val="20"/>
                <w:color w:val="auto"/>
              </w:rPr>
            </w:pPr>
            <w:r>
              <w:rPr>
                <w:rFonts w:ascii="Times New Roman" w:cs="Times New Roman" w:eastAsia="Times New Roman" w:hAnsi="Times New Roman"/>
                <w:sz w:val="16"/>
                <w:szCs w:val="16"/>
                <w:color w:val="auto"/>
              </w:rPr>
              <w:t>(328)</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4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w w:val="99"/>
              </w:rPr>
              <w:t>72</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gridSpan w:val="3"/>
          </w:tcPr>
          <w:p>
            <w:pPr>
              <w:jc w:val="right"/>
              <w:ind w:right="20"/>
              <w:spacing w:after="0"/>
              <w:rPr>
                <w:sz w:val="20"/>
                <w:szCs w:val="20"/>
                <w:color w:val="auto"/>
              </w:rPr>
            </w:pPr>
            <w:r>
              <w:rPr>
                <w:rFonts w:ascii="Times New Roman" w:cs="Times New Roman" w:eastAsia="Times New Roman" w:hAnsi="Times New Roman"/>
                <w:sz w:val="16"/>
                <w:szCs w:val="16"/>
                <w:color w:val="auto"/>
              </w:rPr>
              <w:t>(91)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1,486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1920" w:type="dxa"/>
            <w:vAlign w:val="bottom"/>
            <w:shd w:val="clear" w:color="auto" w:fill="CCEEFF"/>
          </w:tcPr>
          <w:p>
            <w:pPr>
              <w:ind w:left="20"/>
              <w:spacing w:after="0" w:line="221" w:lineRule="exact"/>
              <w:rPr>
                <w:sz w:val="20"/>
                <w:szCs w:val="20"/>
                <w:color w:val="auto"/>
              </w:rPr>
            </w:pPr>
            <w:r>
              <w:rPr>
                <w:rFonts w:ascii="Times New Roman" w:cs="Times New Roman" w:eastAsia="Times New Roman" w:hAnsi="Times New Roman"/>
                <w:sz w:val="16"/>
                <w:szCs w:val="16"/>
                <w:color w:val="auto"/>
              </w:rPr>
              <w:t xml:space="preserve">Manufactured housing </w:t>
            </w:r>
            <w:r>
              <w:rPr>
                <w:rFonts w:ascii="Times New Roman" w:cs="Times New Roman" w:eastAsia="Times New Roman" w:hAnsi="Times New Roman"/>
                <w:sz w:val="20"/>
                <w:szCs w:val="20"/>
                <w:color w:val="auto"/>
                <w:vertAlign w:val="superscript"/>
              </w:rPr>
              <w:t>(1)</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450</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4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400" w:type="dxa"/>
            <w:vAlign w:val="bottom"/>
            <w:shd w:val="clear" w:color="auto" w:fill="CCEEFF"/>
          </w:tcPr>
          <w:p>
            <w:pPr>
              <w:jc w:val="center"/>
              <w:ind w:left="61"/>
              <w:spacing w:after="0"/>
              <w:rPr>
                <w:sz w:val="20"/>
                <w:szCs w:val="20"/>
                <w:color w:val="auto"/>
              </w:rPr>
            </w:pPr>
            <w:r>
              <w:rPr>
                <w:rFonts w:ascii="Times New Roman" w:cs="Times New Roman" w:eastAsia="Times New Roman" w:hAnsi="Times New Roman"/>
                <w:sz w:val="16"/>
                <w:szCs w:val="16"/>
                <w:color w:val="auto"/>
                <w:w w:val="87"/>
              </w:rPr>
              <w:t>—</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4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(450)</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6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10,339</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4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(14,475)</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4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200</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4,466</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530</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19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Consumer</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844</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gridSpan w:val="3"/>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(3,401)</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967</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8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2,689</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60" w:type="dxa"/>
            <w:vAlign w:val="bottom"/>
            <w:gridSpan w:val="4"/>
          </w:tcPr>
          <w:p>
            <w:pPr>
              <w:jc w:val="right"/>
              <w:spacing w:after="0"/>
              <w:rPr>
                <w:sz w:val="20"/>
                <w:szCs w:val="20"/>
                <w:color w:val="auto"/>
              </w:rPr>
            </w:pPr>
            <w:r>
              <w:rPr>
                <w:rFonts w:ascii="Times New Roman" w:cs="Times New Roman" w:eastAsia="Times New Roman" w:hAnsi="Times New Roman"/>
                <w:sz w:val="16"/>
                <w:szCs w:val="16"/>
                <w:color w:val="auto"/>
              </w:rPr>
              <w:t>1,099</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722</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4"/>
          </w:tcPr>
          <w:p>
            <w:pPr>
              <w:jc w:val="right"/>
              <w:spacing w:after="0"/>
              <w:rPr>
                <w:sz w:val="20"/>
                <w:szCs w:val="20"/>
                <w:color w:val="auto"/>
              </w:rPr>
            </w:pPr>
            <w:r>
              <w:rPr>
                <w:rFonts w:ascii="Times New Roman" w:cs="Times New Roman" w:eastAsia="Times New Roman" w:hAnsi="Times New Roman"/>
                <w:sz w:val="16"/>
                <w:szCs w:val="16"/>
                <w:color w:val="auto"/>
              </w:rPr>
              <w:t>(2,841)</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4"/>
          </w:tcPr>
          <w:p>
            <w:pPr>
              <w:jc w:val="right"/>
              <w:spacing w:after="0"/>
              <w:rPr>
                <w:sz w:val="20"/>
                <w:szCs w:val="20"/>
                <w:color w:val="auto"/>
              </w:rPr>
            </w:pPr>
            <w:r>
              <w:rPr>
                <w:rFonts w:ascii="Times New Roman" w:cs="Times New Roman" w:eastAsia="Times New Roman" w:hAnsi="Times New Roman"/>
                <w:sz w:val="16"/>
                <w:szCs w:val="16"/>
                <w:color w:val="auto"/>
              </w:rPr>
              <w:t>730</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2,286</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897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1920" w:type="dxa"/>
            <w:vAlign w:val="bottom"/>
            <w:tcBorders>
              <w:top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ACL - loans</w:t>
            </w:r>
          </w:p>
        </w:tc>
        <w:tc>
          <w:tcPr>
            <w:tcW w:w="1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6"/>
              </w:rPr>
              <w:t>206,998</w:t>
            </w: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1,251</w:t>
            </w: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5"/>
              </w:rPr>
              <w:t>(36,994)</w:t>
            </w:r>
          </w:p>
        </w:tc>
        <w:tc>
          <w:tcPr>
            <w:tcW w:w="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5"/>
              </w:rPr>
              <w:t>11,486</w:t>
            </w:r>
          </w:p>
        </w:tc>
        <w:tc>
          <w:tcPr>
            <w:tcW w:w="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5"/>
              </w:rPr>
              <w:t>33,050</w:t>
            </w:r>
          </w:p>
        </w:tc>
        <w:tc>
          <w:tcPr>
            <w:tcW w:w="4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gridSpan w:val="5"/>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215,791</w:t>
            </w:r>
          </w:p>
        </w:tc>
        <w:tc>
          <w:tcPr>
            <w:tcW w:w="4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gridSpan w:val="4"/>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208,071</w:t>
            </w:r>
          </w:p>
        </w:tc>
        <w:tc>
          <w:tcPr>
            <w:tcW w:w="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gridSpan w:val="4"/>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(57,984)</w:t>
            </w: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gridSpan w:val="4"/>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9,811</w:t>
            </w: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45,392</w:t>
            </w:r>
          </w:p>
        </w:tc>
        <w:tc>
          <w:tcPr>
            <w:tcW w:w="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205,290</w:t>
            </w:r>
          </w:p>
        </w:tc>
        <w:tc>
          <w:tcPr>
            <w:tcW w:w="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52"/>
        </w:trPr>
        <w:tc>
          <w:tcPr>
            <w:tcW w:w="1920" w:type="dxa"/>
            <w:vAlign w:val="bottom"/>
          </w:tcPr>
          <w:p>
            <w:pPr>
              <w:ind w:left="140"/>
              <w:spacing w:after="0" w:line="152" w:lineRule="exact"/>
              <w:rPr>
                <w:sz w:val="20"/>
                <w:szCs w:val="20"/>
                <w:color w:val="auto"/>
              </w:rPr>
            </w:pPr>
            <w:r>
              <w:rPr>
                <w:rFonts w:ascii="Times New Roman" w:cs="Times New Roman" w:eastAsia="Times New Roman" w:hAnsi="Times New Roman"/>
                <w:sz w:val="16"/>
                <w:szCs w:val="16"/>
                <w:color w:val="auto"/>
              </w:rPr>
              <w:t>ACL - unfunded</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10,391</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gridSpan w:val="3"/>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00" w:type="dxa"/>
            <w:vAlign w:val="bottom"/>
            <w:vMerge w:val="restart"/>
          </w:tcPr>
          <w:p>
            <w:pPr>
              <w:jc w:val="center"/>
              <w:ind w:left="61"/>
              <w:spacing w:after="0"/>
              <w:rPr>
                <w:sz w:val="20"/>
                <w:szCs w:val="20"/>
                <w:color w:val="auto"/>
              </w:rPr>
            </w:pPr>
            <w:r>
              <w:rPr>
                <w:rFonts w:ascii="Times New Roman" w:cs="Times New Roman" w:eastAsia="Times New Roman" w:hAnsi="Times New Roman"/>
                <w:sz w:val="16"/>
                <w:szCs w:val="16"/>
                <w:color w:val="auto"/>
                <w:w w:val="87"/>
              </w:rPr>
              <w:t>—</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80" w:type="dxa"/>
            <w:vAlign w:val="bottom"/>
            <w:gridSpan w:val="3"/>
            <w:vMerge w:val="restart"/>
          </w:tcPr>
          <w:p>
            <w:pPr>
              <w:jc w:val="right"/>
              <w:spacing w:after="0"/>
              <w:rPr>
                <w:sz w:val="20"/>
                <w:szCs w:val="20"/>
                <w:color w:val="auto"/>
              </w:rPr>
            </w:pPr>
            <w:r>
              <w:rPr>
                <w:rFonts w:ascii="Times New Roman" w:cs="Times New Roman" w:eastAsia="Times New Roman" w:hAnsi="Times New Roman"/>
                <w:sz w:val="16"/>
                <w:szCs w:val="16"/>
                <w:color w:val="auto"/>
              </w:rPr>
              <w:t>2,094</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60" w:type="dxa"/>
            <w:vAlign w:val="bottom"/>
            <w:gridSpan w:val="4"/>
            <w:vMerge w:val="restart"/>
          </w:tcPr>
          <w:p>
            <w:pPr>
              <w:jc w:val="right"/>
              <w:spacing w:after="0"/>
              <w:rPr>
                <w:sz w:val="20"/>
                <w:szCs w:val="20"/>
                <w:color w:val="auto"/>
              </w:rPr>
            </w:pPr>
            <w:r>
              <w:rPr>
                <w:rFonts w:ascii="Times New Roman" w:cs="Times New Roman" w:eastAsia="Times New Roman" w:hAnsi="Times New Roman"/>
                <w:sz w:val="16"/>
                <w:szCs w:val="16"/>
                <w:color w:val="auto"/>
                <w:w w:val="95"/>
              </w:rPr>
              <w:t>12,485</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gridSpan w:val="4"/>
            <w:vMerge w:val="restart"/>
          </w:tcPr>
          <w:p>
            <w:pPr>
              <w:jc w:val="right"/>
              <w:spacing w:after="0"/>
              <w:rPr>
                <w:sz w:val="20"/>
                <w:szCs w:val="20"/>
                <w:color w:val="auto"/>
              </w:rPr>
            </w:pPr>
            <w:r>
              <w:rPr>
                <w:rFonts w:ascii="Times New Roman" w:cs="Times New Roman" w:eastAsia="Times New Roman" w:hAnsi="Times New Roman"/>
                <w:sz w:val="16"/>
                <w:szCs w:val="16"/>
                <w:color w:val="auto"/>
              </w:rPr>
              <w:t>16,057</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60" w:type="dxa"/>
            <w:vAlign w:val="bottom"/>
            <w:gridSpan w:val="3"/>
            <w:vMerge w:val="restart"/>
          </w:tcPr>
          <w:p>
            <w:pPr>
              <w:ind w:left="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40" w:type="dxa"/>
            <w:vAlign w:val="bottom"/>
            <w:gridSpan w:val="3"/>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gridSpan w:val="3"/>
            <w:vMerge w:val="restart"/>
          </w:tcPr>
          <w:p>
            <w:pPr>
              <w:jc w:val="right"/>
              <w:ind w:right="20"/>
              <w:spacing w:after="0"/>
              <w:rPr>
                <w:sz w:val="20"/>
                <w:szCs w:val="20"/>
                <w:color w:val="auto"/>
              </w:rPr>
            </w:pPr>
            <w:r>
              <w:rPr>
                <w:rFonts w:ascii="Times New Roman" w:cs="Times New Roman" w:eastAsia="Times New Roman" w:hAnsi="Times New Roman"/>
                <w:sz w:val="16"/>
                <w:szCs w:val="16"/>
                <w:color w:val="auto"/>
              </w:rPr>
              <w:t>(5,830)</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10,227</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9"/>
        </w:trPr>
        <w:tc>
          <w:tcPr>
            <w:tcW w:w="19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commitments</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gridSpan w:val="3"/>
            <w:vMerge w:val="continue"/>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80" w:type="dxa"/>
            <w:vAlign w:val="bottom"/>
            <w:gridSpan w:val="3"/>
            <w:vMerge w:val="continue"/>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60" w:type="dxa"/>
            <w:vAlign w:val="bottom"/>
            <w:gridSpan w:val="4"/>
            <w:vMerge w:val="continue"/>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4"/>
            <w:vMerge w:val="continue"/>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gridSpan w:val="3"/>
            <w:vMerge w:val="continue"/>
          </w:tcPr>
          <w:p>
            <w:pPr>
              <w:spacing w:after="0"/>
              <w:rPr>
                <w:sz w:val="18"/>
                <w:szCs w:val="18"/>
                <w:color w:val="auto"/>
              </w:rPr>
            </w:pP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40" w:type="dxa"/>
            <w:vAlign w:val="bottom"/>
            <w:gridSpan w:val="3"/>
            <w:vMerge w:val="continue"/>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gridSpan w:val="3"/>
            <w:vMerge w:val="continue"/>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1920" w:type="dxa"/>
            <w:vAlign w:val="bottom"/>
            <w:tcBorders>
              <w:top w:val="single" w:sz="8" w:color="CCEEFF"/>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Total ACL</w:t>
            </w:r>
          </w:p>
        </w:tc>
        <w:tc>
          <w:tcPr>
            <w:tcW w:w="200" w:type="dxa"/>
            <w:vAlign w:val="bottom"/>
            <w:tcBorders>
              <w:top w:val="single" w:sz="8" w:color="auto"/>
              <w:bottom w:val="single" w:sz="8" w:color="auto"/>
            </w:tcBorders>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w w:val="99"/>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6"/>
              </w:rPr>
              <w:t>217,389</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20" w:type="dxa"/>
            <w:vAlign w:val="bottom"/>
            <w:tcBorders>
              <w:top w:val="single" w:sz="8" w:color="auto"/>
              <w:bottom w:val="single" w:sz="8" w:color="auto"/>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top w:val="single" w:sz="8" w:color="auto"/>
              <w:bottom w:val="single" w:sz="8" w:color="auto"/>
            </w:tcBorders>
            <w:shd w:val="clear" w:color="auto" w:fill="CCEEFF"/>
          </w:tcPr>
          <w:p>
            <w:pPr>
              <w:spacing w:after="0"/>
              <w:rPr>
                <w:sz w:val="20"/>
                <w:szCs w:val="20"/>
                <w:color w:val="auto"/>
              </w:rPr>
            </w:pP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1,251</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20" w:type="dxa"/>
            <w:vAlign w:val="bottom"/>
            <w:tcBorders>
              <w:top w:val="single" w:sz="8" w:color="auto"/>
              <w:bottom w:val="single" w:sz="8" w:color="auto"/>
            </w:tcBorders>
            <w:shd w:val="clear" w:color="auto" w:fill="CCEEFF"/>
          </w:tcPr>
          <w:p>
            <w:pPr>
              <w:spacing w:after="0"/>
              <w:rPr>
                <w:sz w:val="20"/>
                <w:szCs w:val="20"/>
                <w:color w:val="auto"/>
              </w:rPr>
            </w:pPr>
          </w:p>
        </w:tc>
        <w:tc>
          <w:tcPr>
            <w:tcW w:w="700" w:type="dxa"/>
            <w:vAlign w:val="bottom"/>
            <w:tcBorders>
              <w:top w:val="single" w:sz="8" w:color="auto"/>
              <w:bottom w:val="single" w:sz="8" w:color="auto"/>
            </w:tcBorders>
            <w:gridSpan w:val="4"/>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8"/>
              </w:rPr>
              <w:t>$ (36,994)</w:t>
            </w:r>
          </w:p>
        </w:tc>
        <w:tc>
          <w:tcPr>
            <w:tcW w:w="20" w:type="dxa"/>
            <w:vAlign w:val="bottom"/>
            <w:tcBorders>
              <w:top w:val="single" w:sz="8" w:color="auto"/>
              <w:bottom w:val="single" w:sz="8" w:color="auto"/>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w w:val="99"/>
              </w:rPr>
              <w:t>$</w:t>
            </w:r>
          </w:p>
        </w:tc>
        <w:tc>
          <w:tcPr>
            <w:tcW w:w="80" w:type="dxa"/>
            <w:vAlign w:val="bottom"/>
            <w:tcBorders>
              <w:top w:val="single" w:sz="8" w:color="auto"/>
              <w:bottom w:val="single" w:sz="8" w:color="auto"/>
            </w:tcBorders>
            <w:shd w:val="clear" w:color="auto" w:fill="CCEEFF"/>
          </w:tcPr>
          <w:p>
            <w:pPr>
              <w:spacing w:after="0"/>
              <w:rPr>
                <w:sz w:val="20"/>
                <w:szCs w:val="20"/>
                <w:color w:val="auto"/>
              </w:rPr>
            </w:pPr>
          </w:p>
        </w:tc>
        <w:tc>
          <w:tcPr>
            <w:tcW w:w="50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5"/>
              </w:rPr>
              <w:t>11,486</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26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48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5"/>
              </w:rPr>
              <w:t>35,144</w:t>
            </w:r>
          </w:p>
        </w:tc>
        <w:tc>
          <w:tcPr>
            <w:tcW w:w="40" w:type="dxa"/>
            <w:vAlign w:val="bottom"/>
            <w:tcBorders>
              <w:top w:val="single" w:sz="8" w:color="auto"/>
              <w:bottom w:val="single" w:sz="8" w:color="auto"/>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720" w:type="dxa"/>
            <w:vAlign w:val="bottom"/>
            <w:tcBorders>
              <w:top w:val="single" w:sz="8" w:color="auto"/>
              <w:bottom w:val="single" w:sz="8" w:color="auto"/>
            </w:tcBorders>
            <w:gridSpan w:val="5"/>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$ 228,276</w:t>
            </w:r>
          </w:p>
        </w:tc>
        <w:tc>
          <w:tcPr>
            <w:tcW w:w="40" w:type="dxa"/>
            <w:vAlign w:val="bottom"/>
            <w:tcBorders>
              <w:top w:val="single" w:sz="8" w:color="auto"/>
              <w:bottom w:val="single" w:sz="8" w:color="auto"/>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Borders>
              <w:top w:val="single" w:sz="8" w:color="auto"/>
              <w:bottom w:val="single" w:sz="8" w:color="auto"/>
            </w:tcBorders>
            <w:gridSpan w:val="4"/>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224,128</w:t>
            </w:r>
          </w:p>
        </w:tc>
        <w:tc>
          <w:tcPr>
            <w:tcW w:w="20" w:type="dxa"/>
            <w:vAlign w:val="bottom"/>
            <w:tcBorders>
              <w:top w:val="single" w:sz="8" w:color="auto"/>
              <w:bottom w:val="single" w:sz="8" w:color="auto"/>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tcBorders>
              <w:top w:val="single" w:sz="8" w:color="auto"/>
              <w:bottom w:val="single" w:sz="8" w:color="auto"/>
            </w:tcBorders>
            <w:gridSpan w:val="4"/>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(57,984)</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tcBorders>
              <w:top w:val="single" w:sz="8" w:color="auto"/>
              <w:bottom w:val="single" w:sz="8" w:color="auto"/>
            </w:tcBorders>
            <w:gridSpan w:val="4"/>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9,811</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tcBorders>
              <w:top w:val="single" w:sz="8" w:color="auto"/>
              <w:bottom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39,562</w:t>
            </w:r>
          </w:p>
        </w:tc>
        <w:tc>
          <w:tcPr>
            <w:tcW w:w="20" w:type="dxa"/>
            <w:vAlign w:val="bottom"/>
            <w:tcBorders>
              <w:top w:val="single" w:sz="8" w:color="auto"/>
              <w:bottom w:val="single" w:sz="8" w:color="auto"/>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215,517</w:t>
            </w:r>
          </w:p>
        </w:tc>
        <w:tc>
          <w:tcPr>
            <w:tcW w:w="20" w:type="dxa"/>
            <w:vAlign w:val="bottom"/>
            <w:tcBorders>
              <w:top w:val="single" w:sz="8" w:color="auto"/>
              <w:bottom w:val="single" w:sz="8" w:color="auto"/>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92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bottom w:val="single" w:sz="8" w:color="auto"/>
            </w:tcBorders>
            <w:gridSpan w:val="3"/>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gridSpan w:val="5"/>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bottom w:val="single" w:sz="8" w:color="auto"/>
            </w:tcBorders>
            <w:gridSpan w:val="6"/>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bottom w:val="single" w:sz="8" w:color="auto"/>
            </w:tcBorders>
            <w:gridSpan w:val="4"/>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bottom w:val="single" w:sz="8" w:color="auto"/>
            </w:tcBorders>
            <w:gridSpan w:val="5"/>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bottom w:val="single" w:sz="8" w:color="auto"/>
            </w:tcBorders>
            <w:gridSpan w:val="6"/>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bottom w:val="single" w:sz="8" w:color="auto"/>
            </w:tcBorders>
            <w:gridSpan w:val="6"/>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bottom w:val="single" w:sz="8" w:color="auto"/>
            </w:tcBorders>
            <w:gridSpan w:val="5"/>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bottom w:val="single" w:sz="8" w:color="auto"/>
            </w:tcBorders>
            <w:gridSpan w:val="5"/>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bottom w:val="single" w:sz="8" w:color="auto"/>
            </w:tcBorders>
            <w:gridSpan w:val="4"/>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bottom w:val="single" w:sz="8" w:color="auto"/>
            </w:tcBorders>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2" w:lineRule="exact"/>
        <w:rPr>
          <w:sz w:val="20"/>
          <w:szCs w:val="20"/>
          <w:color w:val="auto"/>
        </w:rPr>
      </w:pPr>
    </w:p>
    <w:p>
      <w:pPr>
        <w:ind w:firstLine="8"/>
        <w:spacing w:after="0" w:line="270" w:lineRule="auto"/>
        <w:tabs>
          <w:tab w:leader="none" w:pos="162" w:val="left"/>
        </w:tabs>
        <w:numPr>
          <w:ilvl w:val="0"/>
          <w:numId w:val="7"/>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5"/>
          <w:szCs w:val="15"/>
          <w:color w:val="auto"/>
        </w:rPr>
        <w:t>The release of ACL presented for manufactured housing loans for the nine months ended September 30, 2025 represents a reclassification of the allowance to the consumer line where these loan balances are reflected as of September 30, 2025.</w:t>
      </w:r>
    </w:p>
    <w:p>
      <w:pPr>
        <w:spacing w:after="0" w:line="38" w:lineRule="exact"/>
        <w:rPr>
          <w:rFonts w:ascii="Times New Roman" w:cs="Times New Roman" w:eastAsia="Times New Roman" w:hAnsi="Times New Roman"/>
          <w:sz w:val="19"/>
          <w:szCs w:val="19"/>
          <w:color w:val="auto"/>
          <w:vertAlign w:val="superscript"/>
        </w:rPr>
      </w:pPr>
    </w:p>
    <w:p>
      <w:pPr>
        <w:ind w:left="160" w:hanging="152"/>
        <w:spacing w:after="0"/>
        <w:tabs>
          <w:tab w:leader="none" w:pos="160" w:val="left"/>
        </w:tabs>
        <w:numPr>
          <w:ilvl w:val="0"/>
          <w:numId w:val="7"/>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5"/>
          <w:szCs w:val="15"/>
          <w:color w:val="auto"/>
        </w:rPr>
        <w:t>Represents the initial ACL related to PCD loans acquired in the ANB transaction.</w:t>
      </w: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4" w:name="page25"/>
    <w:bookmarkEnd w:id="24"/>
    <w:p>
      <w:pPr>
        <w:jc w:val="center"/>
        <w:spacing w:after="0"/>
        <w:rPr>
          <w:sz w:val="20"/>
          <w:szCs w:val="20"/>
          <w:color w:val="auto"/>
        </w:rPr>
      </w:pPr>
      <w:r>
        <w:rPr>
          <w:rFonts w:ascii="Times New Roman" w:cs="Times New Roman" w:eastAsia="Times New Roman" w:hAnsi="Times New Roman"/>
          <w:sz w:val="18"/>
          <w:szCs w:val="18"/>
          <w:b w:val="1"/>
          <w:bCs w:val="1"/>
          <w:color w:val="auto"/>
        </w:rPr>
        <w:t>UNITED COMMUNITY BANKS,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(Unaudited)</w:t>
      </w: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 – Derivatives and Hedging Activities</w:t>
      </w:r>
    </w:p>
    <w:p>
      <w:pPr>
        <w:spacing w:after="0" w:line="25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table below presents the fair value of derivative financial instruments, which are included in other assets and other liabilities on the consolidated balance sheet, as of the dates indicated.</w:t>
      </w:r>
    </w:p>
    <w:p>
      <w:pPr>
        <w:spacing w:after="0" w:line="83"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0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gridSpan w:val="6"/>
          </w:tcPr>
          <w:p>
            <w:pPr>
              <w:jc w:val="center"/>
              <w:spacing w:after="0"/>
              <w:rPr>
                <w:sz w:val="20"/>
                <w:szCs w:val="20"/>
                <w:color w:val="auto"/>
              </w:rPr>
            </w:pPr>
            <w:r>
              <w:rPr>
                <w:rFonts w:ascii="Times New Roman" w:cs="Times New Roman" w:eastAsia="Times New Roman" w:hAnsi="Times New Roman"/>
                <w:sz w:val="16"/>
                <w:szCs w:val="16"/>
                <w:b w:val="1"/>
                <w:bCs w:val="1"/>
                <w:color w:val="auto"/>
              </w:rPr>
              <w:t>September 30, 2025</w:t>
            </w:r>
          </w:p>
        </w:tc>
        <w:tc>
          <w:tcPr>
            <w:tcW w:w="1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gridSpan w:val="5"/>
          </w:tcPr>
          <w:p>
            <w:pPr>
              <w:jc w:val="center"/>
              <w:spacing w:after="0"/>
              <w:rPr>
                <w:sz w:val="20"/>
                <w:szCs w:val="20"/>
                <w:color w:val="auto"/>
              </w:rPr>
            </w:pPr>
            <w:r>
              <w:rPr>
                <w:rFonts w:ascii="Times New Roman" w:cs="Times New Roman" w:eastAsia="Times New Roman" w:hAnsi="Times New Roman"/>
                <w:sz w:val="16"/>
                <w:szCs w:val="16"/>
                <w:b w:val="1"/>
                <w:bCs w:val="1"/>
                <w:color w:val="auto"/>
              </w:rPr>
              <w:t>December 31, 2024</w:t>
            </w:r>
          </w:p>
        </w:tc>
        <w:tc>
          <w:tcPr>
            <w:tcW w:w="1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4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180" w:type="dxa"/>
            <w:vAlign w:val="bottom"/>
            <w:tcBorders>
              <w:bottom w:val="single" w:sz="8" w:color="auto"/>
            </w:tcBorders>
            <w:gridSpan w:val="5"/>
          </w:tcPr>
          <w:p>
            <w:pPr>
              <w:jc w:val="right"/>
              <w:ind w:right="719"/>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180" w:type="dxa"/>
            <w:vAlign w:val="bottom"/>
            <w:tcBorders>
              <w:bottom w:val="single" w:sz="8" w:color="auto"/>
            </w:tcBorders>
            <w:gridSpan w:val="4"/>
          </w:tcPr>
          <w:p>
            <w:pPr>
              <w:jc w:val="right"/>
              <w:ind w:right="719"/>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0" w:type="dxa"/>
            <w:vAlign w:val="bottom"/>
          </w:tcPr>
          <w:p>
            <w:pPr>
              <w:spacing w:after="0"/>
              <w:rPr>
                <w:sz w:val="1"/>
                <w:szCs w:val="1"/>
                <w:color w:val="auto"/>
              </w:rPr>
            </w:pPr>
          </w:p>
        </w:tc>
      </w:tr>
      <w:tr>
        <w:trPr>
          <w:trHeight w:val="184"/>
        </w:trPr>
        <w:tc>
          <w:tcPr>
            <w:tcW w:w="4080" w:type="dxa"/>
            <w:vAlign w:val="bottom"/>
            <w:vMerge w:val="restart"/>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180" w:type="dxa"/>
            <w:vAlign w:val="bottom"/>
          </w:tcPr>
          <w:p>
            <w:pPr>
              <w:spacing w:after="0"/>
              <w:rPr>
                <w:sz w:val="16"/>
                <w:szCs w:val="16"/>
                <w:color w:val="auto"/>
              </w:rPr>
            </w:pPr>
          </w:p>
        </w:tc>
        <w:tc>
          <w:tcPr>
            <w:tcW w:w="900" w:type="dxa"/>
            <w:vAlign w:val="bottom"/>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Notional</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gridSpan w:val="3"/>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Derivative</w:t>
            </w:r>
          </w:p>
        </w:tc>
        <w:tc>
          <w:tcPr>
            <w:tcW w:w="120" w:type="dxa"/>
            <w:vAlign w:val="bottom"/>
          </w:tcPr>
          <w:p>
            <w:pPr>
              <w:spacing w:after="0"/>
              <w:rPr>
                <w:sz w:val="16"/>
                <w:szCs w:val="16"/>
                <w:color w:val="auto"/>
              </w:rPr>
            </w:pPr>
          </w:p>
        </w:tc>
        <w:tc>
          <w:tcPr>
            <w:tcW w:w="960" w:type="dxa"/>
            <w:vAlign w:val="bottom"/>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Derivative</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Notional</w:t>
            </w: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Derivative</w:t>
            </w:r>
          </w:p>
        </w:tc>
        <w:tc>
          <w:tcPr>
            <w:tcW w:w="140" w:type="dxa"/>
            <w:vAlign w:val="bottom"/>
          </w:tcPr>
          <w:p>
            <w:pPr>
              <w:spacing w:after="0"/>
              <w:rPr>
                <w:sz w:val="16"/>
                <w:szCs w:val="16"/>
                <w:color w:val="auto"/>
              </w:rPr>
            </w:pPr>
          </w:p>
        </w:tc>
        <w:tc>
          <w:tcPr>
            <w:tcW w:w="960" w:type="dxa"/>
            <w:vAlign w:val="bottom"/>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Derivative</w:t>
            </w:r>
          </w:p>
        </w:tc>
        <w:tc>
          <w:tcPr>
            <w:tcW w:w="0" w:type="dxa"/>
            <w:vAlign w:val="bottom"/>
          </w:tcPr>
          <w:p>
            <w:pPr>
              <w:spacing w:after="0"/>
              <w:rPr>
                <w:sz w:val="1"/>
                <w:szCs w:val="1"/>
                <w:color w:val="auto"/>
              </w:rPr>
            </w:pPr>
          </w:p>
        </w:tc>
      </w:tr>
      <w:tr>
        <w:trPr>
          <w:trHeight w:val="214"/>
        </w:trPr>
        <w:tc>
          <w:tcPr>
            <w:tcW w:w="4080" w:type="dxa"/>
            <w:vAlign w:val="bottom"/>
            <w:vMerge w:val="continue"/>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3"/>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Asset</w:t>
            </w:r>
          </w:p>
        </w:tc>
        <w:tc>
          <w:tcPr>
            <w:tcW w:w="120" w:type="dxa"/>
            <w:vAlign w:val="bottom"/>
          </w:tcPr>
          <w:p>
            <w:pPr>
              <w:spacing w:after="0"/>
              <w:rPr>
                <w:sz w:val="18"/>
                <w:szCs w:val="18"/>
                <w:color w:val="auto"/>
              </w:rPr>
            </w:pPr>
          </w:p>
        </w:tc>
        <w:tc>
          <w:tcPr>
            <w:tcW w:w="960" w:type="dxa"/>
            <w:vAlign w:val="bottom"/>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Liability</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Asset</w:t>
            </w:r>
          </w:p>
        </w:tc>
        <w:tc>
          <w:tcPr>
            <w:tcW w:w="140" w:type="dxa"/>
            <w:vAlign w:val="bottom"/>
          </w:tcPr>
          <w:p>
            <w:pPr>
              <w:spacing w:after="0"/>
              <w:rPr>
                <w:sz w:val="18"/>
                <w:szCs w:val="18"/>
                <w:color w:val="auto"/>
              </w:rPr>
            </w:pPr>
          </w:p>
        </w:tc>
        <w:tc>
          <w:tcPr>
            <w:tcW w:w="960" w:type="dxa"/>
            <w:vAlign w:val="bottom"/>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Liability</w:t>
            </w:r>
          </w:p>
        </w:tc>
        <w:tc>
          <w:tcPr>
            <w:tcW w:w="0" w:type="dxa"/>
            <w:vAlign w:val="bottom"/>
          </w:tcPr>
          <w:p>
            <w:pPr>
              <w:spacing w:after="0"/>
              <w:rPr>
                <w:sz w:val="1"/>
                <w:szCs w:val="1"/>
                <w:color w:val="auto"/>
              </w:rPr>
            </w:pPr>
          </w:p>
        </w:tc>
      </w:tr>
      <w:tr>
        <w:trPr>
          <w:trHeight w:val="198"/>
        </w:trPr>
        <w:tc>
          <w:tcPr>
            <w:tcW w:w="40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Derivatives designated as hedging instruments:</w:t>
            </w:r>
          </w:p>
        </w:tc>
        <w:tc>
          <w:tcPr>
            <w:tcW w:w="18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408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Cash flow hedge of subordinated debt</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100,000</w:t>
            </w:r>
          </w:p>
        </w:tc>
        <w:tc>
          <w:tcPr>
            <w:tcW w:w="28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7,124</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100,000</w:t>
            </w:r>
          </w:p>
        </w:tc>
        <w:tc>
          <w:tcPr>
            <w:tcW w:w="26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11,196</w:t>
            </w:r>
          </w:p>
        </w:tc>
        <w:tc>
          <w:tcPr>
            <w:tcW w:w="1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9"/>
        </w:trPr>
        <w:tc>
          <w:tcPr>
            <w:tcW w:w="40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Cash flow hedges of trust preferred securities</w:t>
            </w:r>
          </w:p>
        </w:tc>
        <w:tc>
          <w:tcPr>
            <w:tcW w:w="1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20,000</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20,000</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408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Fair value hedges of AFS debt securities</w:t>
            </w:r>
          </w:p>
        </w:tc>
        <w:tc>
          <w:tcPr>
            <w:tcW w:w="1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793,688</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3"/>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821,507</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9"/>
        </w:trPr>
        <w:tc>
          <w:tcPr>
            <w:tcW w:w="40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Fair value hedges of loans</w:t>
            </w:r>
          </w:p>
        </w:tc>
        <w:tc>
          <w:tcPr>
            <w:tcW w:w="1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2,050,000</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1,650,000</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7"/>
        </w:trPr>
        <w:tc>
          <w:tcPr>
            <w:tcW w:w="4080" w:type="dxa"/>
            <w:vAlign w:val="bottom"/>
            <w:tcBorders>
              <w:bottom w:val="single" w:sz="8" w:color="CCEEFF"/>
            </w:tcBorders>
          </w:tcPr>
          <w:p>
            <w:pPr>
              <w:ind w:left="480"/>
              <w:spacing w:after="0"/>
              <w:rPr>
                <w:sz w:val="20"/>
                <w:szCs w:val="20"/>
                <w:color w:val="auto"/>
              </w:rPr>
            </w:pPr>
            <w:r>
              <w:rPr>
                <w:rFonts w:ascii="Times New Roman" w:cs="Times New Roman" w:eastAsia="Times New Roman" w:hAnsi="Times New Roman"/>
                <w:sz w:val="16"/>
                <w:szCs w:val="16"/>
                <w:color w:val="auto"/>
              </w:rPr>
              <w:t>Total</w:t>
            </w:r>
          </w:p>
        </w:tc>
        <w:tc>
          <w:tcPr>
            <w:tcW w:w="180" w:type="dxa"/>
            <w:vAlign w:val="bottom"/>
            <w:tcBorders>
              <w:top w:val="single" w:sz="8" w:color="auto"/>
              <w:bottom w:val="single" w:sz="8" w:color="auto"/>
            </w:tcBorders>
          </w:tcPr>
          <w:p>
            <w:pPr>
              <w:spacing w:after="0"/>
              <w:rPr>
                <w:sz w:val="17"/>
                <w:szCs w:val="17"/>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2,963,688</w:t>
            </w:r>
          </w:p>
        </w:tc>
        <w:tc>
          <w:tcPr>
            <w:tcW w:w="40" w:type="dxa"/>
            <w:vAlign w:val="bottom"/>
            <w:tcBorders>
              <w:top w:val="single" w:sz="8" w:color="auto"/>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7,124</w:t>
            </w:r>
          </w:p>
        </w:tc>
        <w:tc>
          <w:tcPr>
            <w:tcW w:w="120" w:type="dxa"/>
            <w:vAlign w:val="bottom"/>
            <w:tcBorders>
              <w:bottom w:val="single" w:sz="8" w:color="CCEEFF"/>
            </w:tcBorders>
          </w:tcPr>
          <w:p>
            <w:pPr>
              <w:spacing w:after="0"/>
              <w:rPr>
                <w:sz w:val="17"/>
                <w:szCs w:val="17"/>
                <w:color w:val="auto"/>
              </w:rPr>
            </w:pPr>
          </w:p>
        </w:tc>
        <w:tc>
          <w:tcPr>
            <w:tcW w:w="20" w:type="dxa"/>
            <w:vAlign w:val="bottom"/>
            <w:tcBorders>
              <w:top w:val="single" w:sz="8" w:color="auto"/>
              <w:bottom w:val="single" w:sz="8" w:color="auto"/>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2,591,507</w:t>
            </w:r>
          </w:p>
        </w:tc>
        <w:tc>
          <w:tcPr>
            <w:tcW w:w="40" w:type="dxa"/>
            <w:vAlign w:val="bottom"/>
            <w:tcBorders>
              <w:top w:val="single" w:sz="8" w:color="auto"/>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11,196</w:t>
            </w:r>
          </w:p>
        </w:tc>
        <w:tc>
          <w:tcPr>
            <w:tcW w:w="120" w:type="dxa"/>
            <w:vAlign w:val="bottom"/>
            <w:tcBorders>
              <w:bottom w:val="single" w:sz="8" w:color="CCEEFF"/>
            </w:tcBorders>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99"/>
        </w:trPr>
        <w:tc>
          <w:tcPr>
            <w:tcW w:w="40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40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Derivatives not designated as hedging instruments:</w:t>
            </w: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0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Customer derivative positions</w:t>
            </w:r>
          </w:p>
        </w:tc>
        <w:tc>
          <w:tcPr>
            <w:tcW w:w="1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1,422,769</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12,604</w:t>
            </w: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35,206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1,225,732</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1,740</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63,703</w:t>
            </w:r>
          </w:p>
        </w:tc>
        <w:tc>
          <w:tcPr>
            <w:tcW w:w="0" w:type="dxa"/>
            <w:vAlign w:val="bottom"/>
          </w:tcPr>
          <w:p>
            <w:pPr>
              <w:spacing w:after="0"/>
              <w:rPr>
                <w:sz w:val="1"/>
                <w:szCs w:val="1"/>
                <w:color w:val="auto"/>
              </w:rPr>
            </w:pPr>
          </w:p>
        </w:tc>
      </w:tr>
      <w:tr>
        <w:trPr>
          <w:trHeight w:val="213"/>
        </w:trPr>
        <w:tc>
          <w:tcPr>
            <w:tcW w:w="40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Dealer offsets to customer derivative positions</w:t>
            </w:r>
          </w:p>
        </w:tc>
        <w:tc>
          <w:tcPr>
            <w:tcW w:w="1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1,422,769</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10,065</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12,456</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1,225,732</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21,897</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1,811</w:t>
            </w:r>
          </w:p>
        </w:tc>
        <w:tc>
          <w:tcPr>
            <w:tcW w:w="0" w:type="dxa"/>
            <w:vAlign w:val="bottom"/>
          </w:tcPr>
          <w:p>
            <w:pPr>
              <w:spacing w:after="0"/>
              <w:rPr>
                <w:sz w:val="1"/>
                <w:szCs w:val="1"/>
                <w:color w:val="auto"/>
              </w:rPr>
            </w:pPr>
          </w:p>
        </w:tc>
      </w:tr>
      <w:tr>
        <w:trPr>
          <w:trHeight w:val="219"/>
        </w:trPr>
        <w:tc>
          <w:tcPr>
            <w:tcW w:w="40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Risk participations</w:t>
            </w:r>
          </w:p>
        </w:tc>
        <w:tc>
          <w:tcPr>
            <w:tcW w:w="1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104,493</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81,147</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0" w:type="dxa"/>
            <w:vAlign w:val="bottom"/>
          </w:tcPr>
          <w:p>
            <w:pPr>
              <w:spacing w:after="0"/>
              <w:rPr>
                <w:sz w:val="1"/>
                <w:szCs w:val="1"/>
                <w:color w:val="auto"/>
              </w:rPr>
            </w:pPr>
          </w:p>
        </w:tc>
      </w:tr>
      <w:tr>
        <w:trPr>
          <w:trHeight w:val="213"/>
        </w:trPr>
        <w:tc>
          <w:tcPr>
            <w:tcW w:w="40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Mortgage banking - loan commitments</w:t>
            </w:r>
          </w:p>
        </w:tc>
        <w:tc>
          <w:tcPr>
            <w:tcW w:w="1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57,836</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1,210</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52,444</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822</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9"/>
        </w:trPr>
        <w:tc>
          <w:tcPr>
            <w:tcW w:w="40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Mortgage banking - forward sales commitment</w:t>
            </w:r>
          </w:p>
        </w:tc>
        <w:tc>
          <w:tcPr>
            <w:tcW w:w="1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118,599</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226</w:t>
            </w: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77,401</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394</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w:t>
            </w:r>
          </w:p>
        </w:tc>
        <w:tc>
          <w:tcPr>
            <w:tcW w:w="0" w:type="dxa"/>
            <w:vAlign w:val="bottom"/>
          </w:tcPr>
          <w:p>
            <w:pPr>
              <w:spacing w:after="0"/>
              <w:rPr>
                <w:sz w:val="1"/>
                <w:szCs w:val="1"/>
                <w:color w:val="auto"/>
              </w:rPr>
            </w:pPr>
          </w:p>
        </w:tc>
      </w:tr>
      <w:tr>
        <w:trPr>
          <w:trHeight w:val="213"/>
        </w:trPr>
        <w:tc>
          <w:tcPr>
            <w:tcW w:w="40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Bifurcated embedded derivatives</w:t>
            </w:r>
          </w:p>
        </w:tc>
        <w:tc>
          <w:tcPr>
            <w:tcW w:w="1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51,935</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7,200</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51,935</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10,834</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9"/>
        </w:trPr>
        <w:tc>
          <w:tcPr>
            <w:tcW w:w="40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Dealer offsets to bifurcated embedded derivatives</w:t>
            </w:r>
          </w:p>
        </w:tc>
        <w:tc>
          <w:tcPr>
            <w:tcW w:w="1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51,935</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8,568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51,935</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12,274</w:t>
            </w:r>
          </w:p>
        </w:tc>
        <w:tc>
          <w:tcPr>
            <w:tcW w:w="0" w:type="dxa"/>
            <w:vAlign w:val="bottom"/>
          </w:tcPr>
          <w:p>
            <w:pPr>
              <w:spacing w:after="0"/>
              <w:rPr>
                <w:sz w:val="1"/>
                <w:szCs w:val="1"/>
                <w:color w:val="auto"/>
              </w:rPr>
            </w:pPr>
          </w:p>
        </w:tc>
      </w:tr>
      <w:tr>
        <w:trPr>
          <w:trHeight w:val="207"/>
        </w:trPr>
        <w:tc>
          <w:tcPr>
            <w:tcW w:w="4080" w:type="dxa"/>
            <w:vAlign w:val="bottom"/>
            <w:tcBorders>
              <w:bottom w:val="single" w:sz="8" w:color="CCEEFF"/>
            </w:tcBorders>
          </w:tcPr>
          <w:p>
            <w:pPr>
              <w:ind w:left="480"/>
              <w:spacing w:after="0"/>
              <w:rPr>
                <w:sz w:val="20"/>
                <w:szCs w:val="20"/>
                <w:color w:val="auto"/>
              </w:rPr>
            </w:pPr>
            <w:r>
              <w:rPr>
                <w:rFonts w:ascii="Times New Roman" w:cs="Times New Roman" w:eastAsia="Times New Roman" w:hAnsi="Times New Roman"/>
                <w:sz w:val="16"/>
                <w:szCs w:val="16"/>
                <w:color w:val="auto"/>
              </w:rPr>
              <w:t>Total</w:t>
            </w:r>
          </w:p>
        </w:tc>
        <w:tc>
          <w:tcPr>
            <w:tcW w:w="180" w:type="dxa"/>
            <w:vAlign w:val="bottom"/>
            <w:tcBorders>
              <w:top w:val="single" w:sz="8" w:color="auto"/>
              <w:bottom w:val="single" w:sz="8" w:color="auto"/>
            </w:tcBorders>
          </w:tcPr>
          <w:p>
            <w:pPr>
              <w:spacing w:after="0"/>
              <w:rPr>
                <w:sz w:val="17"/>
                <w:szCs w:val="17"/>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3,230,336</w:t>
            </w:r>
          </w:p>
        </w:tc>
        <w:tc>
          <w:tcPr>
            <w:tcW w:w="40" w:type="dxa"/>
            <w:vAlign w:val="bottom"/>
            <w:tcBorders>
              <w:top w:val="single" w:sz="8" w:color="auto"/>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31,305</w:t>
            </w:r>
          </w:p>
        </w:tc>
        <w:tc>
          <w:tcPr>
            <w:tcW w:w="120" w:type="dxa"/>
            <w:vAlign w:val="bottom"/>
            <w:tcBorders>
              <w:bottom w:val="single" w:sz="8" w:color="CCEEFF"/>
            </w:tcBorders>
          </w:tcPr>
          <w:p>
            <w:pPr>
              <w:spacing w:after="0"/>
              <w:rPr>
                <w:sz w:val="17"/>
                <w:szCs w:val="17"/>
                <w:color w:val="auto"/>
              </w:rPr>
            </w:pPr>
          </w:p>
        </w:tc>
        <w:tc>
          <w:tcPr>
            <w:tcW w:w="20" w:type="dxa"/>
            <w:vAlign w:val="bottom"/>
            <w:tcBorders>
              <w:top w:val="single" w:sz="8" w:color="auto"/>
              <w:bottom w:val="single" w:sz="8" w:color="auto"/>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56,559</w:t>
            </w:r>
          </w:p>
        </w:tc>
        <w:tc>
          <w:tcPr>
            <w:tcW w:w="100" w:type="dxa"/>
            <w:vAlign w:val="bottom"/>
            <w:tcBorders>
              <w:bottom w:val="single" w:sz="8" w:color="CCEEFF"/>
            </w:tcBorders>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2,766,326</w:t>
            </w:r>
          </w:p>
        </w:tc>
        <w:tc>
          <w:tcPr>
            <w:tcW w:w="40" w:type="dxa"/>
            <w:vAlign w:val="bottom"/>
            <w:tcBorders>
              <w:top w:val="single" w:sz="8" w:color="auto"/>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35,687</w:t>
            </w:r>
          </w:p>
        </w:tc>
        <w:tc>
          <w:tcPr>
            <w:tcW w:w="120" w:type="dxa"/>
            <w:vAlign w:val="bottom"/>
            <w:tcBorders>
              <w:bottom w:val="single" w:sz="8" w:color="CCEEFF"/>
            </w:tcBorders>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77,834</w:t>
            </w:r>
          </w:p>
        </w:tc>
        <w:tc>
          <w:tcPr>
            <w:tcW w:w="0" w:type="dxa"/>
            <w:vAlign w:val="bottom"/>
          </w:tcPr>
          <w:p>
            <w:pPr>
              <w:spacing w:after="0"/>
              <w:rPr>
                <w:sz w:val="1"/>
                <w:szCs w:val="1"/>
                <w:color w:val="auto"/>
              </w:rPr>
            </w:pPr>
          </w:p>
        </w:tc>
      </w:tr>
      <w:tr>
        <w:trPr>
          <w:trHeight w:val="199"/>
        </w:trPr>
        <w:tc>
          <w:tcPr>
            <w:tcW w:w="40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0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derivatives</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6,194,024</w:t>
            </w:r>
          </w:p>
        </w:tc>
        <w:tc>
          <w:tcPr>
            <w:tcW w:w="28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38,429</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56,559</w:t>
            </w:r>
          </w:p>
        </w:tc>
        <w:tc>
          <w:tcPr>
            <w:tcW w:w="28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5,357,833</w:t>
            </w:r>
          </w:p>
        </w:tc>
        <w:tc>
          <w:tcPr>
            <w:tcW w:w="26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46,883</w:t>
            </w:r>
          </w:p>
        </w:tc>
        <w:tc>
          <w:tcPr>
            <w:tcW w:w="1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77,834</w:t>
            </w:r>
          </w:p>
        </w:tc>
        <w:tc>
          <w:tcPr>
            <w:tcW w:w="0" w:type="dxa"/>
            <w:vAlign w:val="bottom"/>
          </w:tcPr>
          <w:p>
            <w:pPr>
              <w:spacing w:after="0"/>
              <w:rPr>
                <w:sz w:val="1"/>
                <w:szCs w:val="1"/>
                <w:color w:val="auto"/>
              </w:rPr>
            </w:pPr>
          </w:p>
        </w:tc>
      </w:tr>
      <w:tr>
        <w:trPr>
          <w:trHeight w:val="20"/>
        </w:trPr>
        <w:tc>
          <w:tcPr>
            <w:tcW w:w="4080" w:type="dxa"/>
            <w:vAlign w:val="bottom"/>
            <w:tcBorders>
              <w:bottom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40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3"/>
        </w:trPr>
        <w:tc>
          <w:tcPr>
            <w:tcW w:w="40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gross derivative instruments</w:t>
            </w: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38,429</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56,559</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46,883</w:t>
            </w:r>
          </w:p>
        </w:tc>
        <w:tc>
          <w:tcPr>
            <w:tcW w:w="1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77,834</w:t>
            </w:r>
          </w:p>
        </w:tc>
        <w:tc>
          <w:tcPr>
            <w:tcW w:w="0" w:type="dxa"/>
            <w:vAlign w:val="bottom"/>
          </w:tcPr>
          <w:p>
            <w:pPr>
              <w:spacing w:after="0"/>
              <w:rPr>
                <w:sz w:val="1"/>
                <w:szCs w:val="1"/>
                <w:color w:val="auto"/>
              </w:rPr>
            </w:pPr>
          </w:p>
        </w:tc>
      </w:tr>
      <w:tr>
        <w:trPr>
          <w:trHeight w:val="219"/>
        </w:trPr>
        <w:tc>
          <w:tcPr>
            <w:tcW w:w="4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Less: Amounts subject to master netting agreements</w:t>
            </w:r>
          </w:p>
        </w:tc>
        <w:tc>
          <w:tcPr>
            <w:tcW w:w="1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(8,823)</w:t>
            </w: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(8,823)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(1,900)</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(1,900)</w:t>
            </w:r>
          </w:p>
        </w:tc>
        <w:tc>
          <w:tcPr>
            <w:tcW w:w="0" w:type="dxa"/>
            <w:vAlign w:val="bottom"/>
          </w:tcPr>
          <w:p>
            <w:pPr>
              <w:spacing w:after="0"/>
              <w:rPr>
                <w:sz w:val="1"/>
                <w:szCs w:val="1"/>
                <w:color w:val="auto"/>
              </w:rPr>
            </w:pPr>
          </w:p>
        </w:tc>
      </w:tr>
      <w:tr>
        <w:trPr>
          <w:trHeight w:val="213"/>
        </w:trPr>
        <w:tc>
          <w:tcPr>
            <w:tcW w:w="40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Less: Cash collateral received/pledged</w:t>
            </w:r>
          </w:p>
        </w:tc>
        <w:tc>
          <w:tcPr>
            <w:tcW w:w="180" w:type="dxa"/>
            <w:vAlign w:val="bottom"/>
            <w:tcBorders>
              <w:bottom w:val="single" w:sz="8" w:color="CCEEFF"/>
            </w:tcBorders>
          </w:tcPr>
          <w:p>
            <w:pPr>
              <w:spacing w:after="0"/>
              <w:rPr>
                <w:sz w:val="18"/>
                <w:szCs w:val="18"/>
                <w:color w:val="auto"/>
              </w:rPr>
            </w:pPr>
          </w:p>
        </w:tc>
        <w:tc>
          <w:tcPr>
            <w:tcW w:w="90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(10,735)</w:t>
            </w:r>
          </w:p>
        </w:tc>
        <w:tc>
          <w:tcPr>
            <w:tcW w:w="12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(12,053)</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90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(33,005)</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(12,230)</w:t>
            </w:r>
          </w:p>
        </w:tc>
        <w:tc>
          <w:tcPr>
            <w:tcW w:w="0" w:type="dxa"/>
            <w:vAlign w:val="bottom"/>
          </w:tcPr>
          <w:p>
            <w:pPr>
              <w:spacing w:after="0"/>
              <w:rPr>
                <w:sz w:val="1"/>
                <w:szCs w:val="1"/>
                <w:color w:val="auto"/>
              </w:rPr>
            </w:pPr>
          </w:p>
        </w:tc>
      </w:tr>
      <w:tr>
        <w:trPr>
          <w:trHeight w:val="237"/>
        </w:trPr>
        <w:tc>
          <w:tcPr>
            <w:tcW w:w="4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amount</w:t>
            </w:r>
          </w:p>
        </w:tc>
        <w:tc>
          <w:tcPr>
            <w:tcW w:w="18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18,871</w:t>
            </w:r>
          </w:p>
        </w:tc>
        <w:tc>
          <w:tcPr>
            <w:tcW w:w="12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auto"/>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35,683</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11,978</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63,704</w:t>
            </w:r>
          </w:p>
        </w:tc>
        <w:tc>
          <w:tcPr>
            <w:tcW w:w="0" w:type="dxa"/>
            <w:vAlign w:val="bottom"/>
          </w:tcPr>
          <w:p>
            <w:pPr>
              <w:spacing w:after="0"/>
              <w:rPr>
                <w:sz w:val="1"/>
                <w:szCs w:val="1"/>
                <w:color w:val="auto"/>
              </w:rPr>
            </w:pPr>
          </w:p>
        </w:tc>
      </w:tr>
      <w:tr>
        <w:trPr>
          <w:trHeight w:val="20"/>
        </w:trPr>
        <w:tc>
          <w:tcPr>
            <w:tcW w:w="40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40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United clears certain derivatives centrally through the CME. CME rules legally characterize variation margin payments for centrally cleared derivatives as settlements of the derivatives’ exposure rather than as collateral. As a result, the variation margin payment and the related derivative instruments are considered a single unit of account for accounting purposes. Variation margin, as determined by the CME, is settled daily. As a result, derivative contracts that clear through the CME have an estimated fair value of zero.</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Hedging Derivatives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Cash Flow Hedges of Interest Rate Risk</w:t>
      </w:r>
    </w:p>
    <w:p>
      <w:pPr>
        <w:spacing w:after="0" w:line="27"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8"/>
          <w:szCs w:val="18"/>
          <w:color w:val="auto"/>
        </w:rPr>
        <w:t>As of September 30, 2025 and December 31, 2024, United utilized interest rate caps and swaps to hedge the variability of cash flows due to changes in interest rates on certain of its variable-rate subordinated debt and trust preferred securities. Gains and losses related to changes in fair value are reclassified into earnings in the periods the hedged forecasted transactions occur. Over the next twelve months, United expects to reclassify $3.54 million of gains from AOCI into earnings related to these agreements.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Fair Value Hedges of Interest Rate Risk</w:t>
      </w:r>
    </w:p>
    <w:p>
      <w:pPr>
        <w:spacing w:after="0" w:line="27" w:lineRule="exact"/>
        <w:rPr>
          <w:sz w:val="20"/>
          <w:szCs w:val="20"/>
          <w:color w:val="auto"/>
        </w:rPr>
      </w:pPr>
    </w:p>
    <w:p>
      <w:pPr>
        <w:jc w:val="both"/>
        <w:ind w:right="20"/>
        <w:spacing w:after="0" w:line="260" w:lineRule="auto"/>
        <w:rPr>
          <w:sz w:val="20"/>
          <w:szCs w:val="20"/>
          <w:color w:val="auto"/>
        </w:rPr>
      </w:pPr>
      <w:r>
        <w:rPr>
          <w:rFonts w:ascii="Times New Roman" w:cs="Times New Roman" w:eastAsia="Times New Roman" w:hAnsi="Times New Roman"/>
          <w:sz w:val="18"/>
          <w:szCs w:val="18"/>
          <w:color w:val="auto"/>
        </w:rPr>
        <w:t>United uses interest rate derivatives to manage its exposure to changes in fair value attributable to changes in interest rates on certain of its fixed-rate financial instruments.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5" w:name="page26"/>
    <w:bookmarkEnd w:id="25"/>
    <w:p>
      <w:pPr>
        <w:jc w:val="center"/>
        <w:spacing w:after="0"/>
        <w:rPr>
          <w:sz w:val="20"/>
          <w:szCs w:val="20"/>
          <w:color w:val="auto"/>
        </w:rPr>
      </w:pPr>
      <w:r>
        <w:rPr>
          <w:rFonts w:ascii="Times New Roman" w:cs="Times New Roman" w:eastAsia="Times New Roman" w:hAnsi="Times New Roman"/>
          <w:sz w:val="18"/>
          <w:szCs w:val="18"/>
          <w:b w:val="1"/>
          <w:bCs w:val="1"/>
          <w:color w:val="auto"/>
        </w:rPr>
        <w:t>UNITED COMMUNITY BANKS,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(Unaudited)</w:t>
      </w:r>
    </w:p>
    <w:p>
      <w:pPr>
        <w:spacing w:after="0" w:line="200" w:lineRule="exact"/>
        <w:rPr>
          <w:sz w:val="20"/>
          <w:szCs w:val="20"/>
          <w:color w:val="auto"/>
        </w:rPr>
      </w:pPr>
    </w:p>
    <w:p>
      <w:pPr>
        <w:spacing w:after="0" w:line="277"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table below presents the effect of derivatives in hedging relationships, all of which are interest rate contracts, on net interest income for the periods indicated.</w:t>
      </w:r>
    </w:p>
    <w:p>
      <w:pPr>
        <w:spacing w:after="0" w:line="6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800" w:type="dxa"/>
            <w:vAlign w:val="bottom"/>
          </w:tcPr>
          <w:p>
            <w:pPr>
              <w:spacing w:after="0"/>
              <w:rPr>
                <w:sz w:val="16"/>
                <w:szCs w:val="16"/>
                <w:color w:val="auto"/>
              </w:rPr>
            </w:pPr>
          </w:p>
        </w:tc>
        <w:tc>
          <w:tcPr>
            <w:tcW w:w="2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80" w:type="dxa"/>
            <w:vAlign w:val="bottom"/>
            <w:gridSpan w:val="5"/>
          </w:tcPr>
          <w:p>
            <w:pPr>
              <w:ind w:left="14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240" w:type="dxa"/>
            <w:vAlign w:val="bottom"/>
          </w:tcPr>
          <w:p>
            <w:pPr>
              <w:spacing w:after="0"/>
              <w:rPr>
                <w:sz w:val="16"/>
                <w:szCs w:val="16"/>
                <w:color w:val="auto"/>
              </w:rPr>
            </w:pPr>
          </w:p>
        </w:tc>
        <w:tc>
          <w:tcPr>
            <w:tcW w:w="1980" w:type="dxa"/>
            <w:vAlign w:val="bottom"/>
            <w:gridSpan w:val="4"/>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Nine Months Ended</w:t>
            </w:r>
          </w:p>
        </w:tc>
        <w:tc>
          <w:tcPr>
            <w:tcW w:w="0" w:type="dxa"/>
            <w:vAlign w:val="bottom"/>
          </w:tcPr>
          <w:p>
            <w:pPr>
              <w:spacing w:after="0"/>
              <w:rPr>
                <w:sz w:val="1"/>
                <w:szCs w:val="1"/>
                <w:color w:val="auto"/>
              </w:rPr>
            </w:pPr>
          </w:p>
        </w:tc>
      </w:tr>
      <w:tr>
        <w:trPr>
          <w:trHeight w:val="214"/>
        </w:trPr>
        <w:tc>
          <w:tcPr>
            <w:tcW w:w="3800" w:type="dxa"/>
            <w:vAlign w:val="bottom"/>
          </w:tcPr>
          <w:p>
            <w:pPr>
              <w:spacing w:after="0"/>
              <w:rPr>
                <w:sz w:val="18"/>
                <w:szCs w:val="18"/>
                <w:color w:val="auto"/>
              </w:rPr>
            </w:pPr>
          </w:p>
        </w:tc>
        <w:tc>
          <w:tcPr>
            <w:tcW w:w="292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Affected Income Statement Line Item</w:t>
            </w:r>
          </w:p>
        </w:tc>
        <w:tc>
          <w:tcPr>
            <w:tcW w:w="220" w:type="dxa"/>
            <w:vAlign w:val="bottom"/>
          </w:tcPr>
          <w:p>
            <w:pPr>
              <w:spacing w:after="0"/>
              <w:rPr>
                <w:sz w:val="18"/>
                <w:szCs w:val="18"/>
                <w:color w:val="auto"/>
              </w:rPr>
            </w:pPr>
          </w:p>
        </w:tc>
        <w:tc>
          <w:tcPr>
            <w:tcW w:w="2080" w:type="dxa"/>
            <w:vAlign w:val="bottom"/>
            <w:gridSpan w:val="5"/>
          </w:tcPr>
          <w:p>
            <w:pPr>
              <w:ind w:left="38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240" w:type="dxa"/>
            <w:vAlign w:val="bottom"/>
          </w:tcPr>
          <w:p>
            <w:pPr>
              <w:spacing w:after="0"/>
              <w:rPr>
                <w:sz w:val="18"/>
                <w:szCs w:val="18"/>
                <w:color w:val="auto"/>
              </w:rPr>
            </w:pPr>
          </w:p>
        </w:tc>
        <w:tc>
          <w:tcPr>
            <w:tcW w:w="1980" w:type="dxa"/>
            <w:vAlign w:val="bottom"/>
            <w:gridSpan w:val="4"/>
          </w:tcPr>
          <w:p>
            <w:pPr>
              <w:jc w:val="right"/>
              <w:ind w:right="539"/>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0" w:type="dxa"/>
            <w:vAlign w:val="bottom"/>
          </w:tcPr>
          <w:p>
            <w:pPr>
              <w:spacing w:after="0"/>
              <w:rPr>
                <w:sz w:val="1"/>
                <w:szCs w:val="1"/>
                <w:color w:val="auto"/>
              </w:rPr>
            </w:pPr>
          </w:p>
        </w:tc>
      </w:tr>
      <w:tr>
        <w:trPr>
          <w:trHeight w:val="22"/>
        </w:trPr>
        <w:tc>
          <w:tcPr>
            <w:tcW w:w="3800" w:type="dxa"/>
            <w:vAlign w:val="bottom"/>
            <w:vMerge w:val="restart"/>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2920" w:type="dxa"/>
            <w:vAlign w:val="bottom"/>
            <w:gridSpan w:val="2"/>
            <w:vMerge w:val="continue"/>
          </w:tcPr>
          <w:p>
            <w:pPr>
              <w:spacing w:after="0" w:line="20" w:lineRule="exact"/>
              <w:rPr>
                <w:sz w:val="1"/>
                <w:szCs w:val="1"/>
                <w:color w:val="auto"/>
              </w:rPr>
            </w:pPr>
          </w:p>
        </w:tc>
        <w:tc>
          <w:tcPr>
            <w:tcW w:w="220" w:type="dxa"/>
            <w:vAlign w:val="bottom"/>
            <w:tcBorders>
              <w:top w:val="single" w:sz="8" w:color="auto"/>
            </w:tcBorders>
          </w:tcPr>
          <w:p>
            <w:pPr>
              <w:spacing w:after="0" w:line="20" w:lineRule="exact"/>
              <w:rPr>
                <w:sz w:val="1"/>
                <w:szCs w:val="1"/>
                <w:color w:val="auto"/>
              </w:rPr>
            </w:pPr>
          </w:p>
        </w:tc>
        <w:tc>
          <w:tcPr>
            <w:tcW w:w="820" w:type="dxa"/>
            <w:vAlign w:val="bottom"/>
            <w:tcBorders>
              <w:top w:val="single" w:sz="8" w:color="auto"/>
            </w:tcBorders>
            <w:vMerge w:val="restart"/>
          </w:tcPr>
          <w:p>
            <w:pPr>
              <w:ind w:left="140"/>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Borders>
              <w:top w:val="single" w:sz="8" w:color="auto"/>
            </w:tcBorders>
          </w:tcPr>
          <w:p>
            <w:pPr>
              <w:spacing w:after="0" w:line="20" w:lineRule="exact"/>
              <w:rPr>
                <w:sz w:val="1"/>
                <w:szCs w:val="1"/>
                <w:color w:val="auto"/>
              </w:rPr>
            </w:pPr>
          </w:p>
        </w:tc>
        <w:tc>
          <w:tcPr>
            <w:tcW w:w="240" w:type="dxa"/>
            <w:vAlign w:val="bottom"/>
            <w:tcBorders>
              <w:top w:val="single" w:sz="8" w:color="auto"/>
            </w:tcBorders>
          </w:tcPr>
          <w:p>
            <w:pPr>
              <w:spacing w:after="0" w:line="20" w:lineRule="exact"/>
              <w:rPr>
                <w:sz w:val="1"/>
                <w:szCs w:val="1"/>
                <w:color w:val="auto"/>
              </w:rPr>
            </w:pPr>
          </w:p>
        </w:tc>
        <w:tc>
          <w:tcPr>
            <w:tcW w:w="820" w:type="dxa"/>
            <w:vAlign w:val="bottom"/>
            <w:tcBorders>
              <w:top w:val="single" w:sz="8" w:color="auto"/>
            </w:tcBorders>
            <w:vMerge w:val="restart"/>
          </w:tcPr>
          <w:p>
            <w:pPr>
              <w:jc w:val="right"/>
              <w:ind w:right="27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Pr>
          <w:p>
            <w:pPr>
              <w:spacing w:after="0" w:line="20" w:lineRule="exact"/>
              <w:rPr>
                <w:sz w:val="1"/>
                <w:szCs w:val="1"/>
                <w:color w:val="auto"/>
              </w:rPr>
            </w:pPr>
          </w:p>
        </w:tc>
        <w:tc>
          <w:tcPr>
            <w:tcW w:w="240" w:type="dxa"/>
            <w:vAlign w:val="bottom"/>
            <w:tcBorders>
              <w:top w:val="single" w:sz="8" w:color="auto"/>
            </w:tcBorders>
          </w:tcPr>
          <w:p>
            <w:pPr>
              <w:spacing w:after="0" w:line="20" w:lineRule="exact"/>
              <w:rPr>
                <w:sz w:val="1"/>
                <w:szCs w:val="1"/>
                <w:color w:val="auto"/>
              </w:rPr>
            </w:pPr>
          </w:p>
        </w:tc>
        <w:tc>
          <w:tcPr>
            <w:tcW w:w="820" w:type="dxa"/>
            <w:vAlign w:val="bottom"/>
            <w:tcBorders>
              <w:top w:val="single" w:sz="8" w:color="auto"/>
            </w:tcBorders>
            <w:vMerge w:val="restart"/>
          </w:tcPr>
          <w:p>
            <w:pPr>
              <w:jc w:val="right"/>
              <w:ind w:right="27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Borders>
              <w:top w:val="single" w:sz="8" w:color="auto"/>
            </w:tcBorders>
          </w:tcPr>
          <w:p>
            <w:pPr>
              <w:spacing w:after="0" w:line="20" w:lineRule="exact"/>
              <w:rPr>
                <w:sz w:val="1"/>
                <w:szCs w:val="1"/>
                <w:color w:val="auto"/>
              </w:rPr>
            </w:pPr>
          </w:p>
        </w:tc>
        <w:tc>
          <w:tcPr>
            <w:tcW w:w="240" w:type="dxa"/>
            <w:vAlign w:val="bottom"/>
            <w:tcBorders>
              <w:top w:val="single" w:sz="8" w:color="auto"/>
            </w:tcBorders>
          </w:tcPr>
          <w:p>
            <w:pPr>
              <w:spacing w:after="0" w:line="20" w:lineRule="exact"/>
              <w:rPr>
                <w:sz w:val="1"/>
                <w:szCs w:val="1"/>
                <w:color w:val="auto"/>
              </w:rPr>
            </w:pPr>
          </w:p>
        </w:tc>
        <w:tc>
          <w:tcPr>
            <w:tcW w:w="820" w:type="dxa"/>
            <w:vAlign w:val="bottom"/>
            <w:tcBorders>
              <w:top w:val="single" w:sz="8" w:color="auto"/>
            </w:tcBorders>
            <w:vMerge w:val="restart"/>
          </w:tcPr>
          <w:p>
            <w:pPr>
              <w:jc w:val="right"/>
              <w:ind w:right="279"/>
              <w:spacing w:after="0"/>
              <w:rPr>
                <w:sz w:val="20"/>
                <w:szCs w:val="20"/>
                <w:color w:val="auto"/>
              </w:rPr>
            </w:pPr>
            <w:r>
              <w:rPr>
                <w:rFonts w:ascii="Times New Roman" w:cs="Times New Roman" w:eastAsia="Times New Roman" w:hAnsi="Times New Roman"/>
                <w:sz w:val="16"/>
                <w:szCs w:val="16"/>
                <w:b w:val="1"/>
                <w:bCs w:val="1"/>
                <w:color w:val="auto"/>
              </w:rPr>
              <w:t>2024</w:t>
            </w:r>
          </w:p>
        </w:tc>
        <w:tc>
          <w:tcPr>
            <w:tcW w:w="0" w:type="dxa"/>
            <w:vAlign w:val="bottom"/>
          </w:tcPr>
          <w:p>
            <w:pPr>
              <w:spacing w:after="0" w:line="20" w:lineRule="exact"/>
              <w:rPr>
                <w:sz w:val="1"/>
                <w:szCs w:val="1"/>
                <w:color w:val="auto"/>
              </w:rPr>
            </w:pPr>
          </w:p>
        </w:tc>
      </w:tr>
      <w:tr>
        <w:trPr>
          <w:trHeight w:val="212"/>
        </w:trPr>
        <w:tc>
          <w:tcPr>
            <w:tcW w:w="3800" w:type="dxa"/>
            <w:vAlign w:val="bottom"/>
            <w:vMerge w:val="continue"/>
          </w:tcPr>
          <w:p>
            <w:pPr>
              <w:spacing w:after="0"/>
              <w:rPr>
                <w:sz w:val="18"/>
                <w:szCs w:val="18"/>
                <w:color w:val="auto"/>
              </w:rPr>
            </w:pPr>
          </w:p>
        </w:tc>
        <w:tc>
          <w:tcPr>
            <w:tcW w:w="292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Increase/(Decrease) to Earnings</w:t>
            </w:r>
          </w:p>
        </w:tc>
        <w:tc>
          <w:tcPr>
            <w:tcW w:w="220" w:type="dxa"/>
            <w:vAlign w:val="bottom"/>
          </w:tcPr>
          <w:p>
            <w:pPr>
              <w:spacing w:after="0"/>
              <w:rPr>
                <w:sz w:val="18"/>
                <w:szCs w:val="18"/>
                <w:color w:val="auto"/>
              </w:rPr>
            </w:pPr>
          </w:p>
        </w:tc>
        <w:tc>
          <w:tcPr>
            <w:tcW w:w="8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97"/>
        </w:trPr>
        <w:tc>
          <w:tcPr>
            <w:tcW w:w="38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Fair value hedges:</w:t>
            </w:r>
          </w:p>
        </w:tc>
        <w:tc>
          <w:tcPr>
            <w:tcW w:w="284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38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AFS securities:</w:t>
            </w:r>
          </w:p>
        </w:tc>
        <w:tc>
          <w:tcPr>
            <w:tcW w:w="28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62"/>
        </w:trPr>
        <w:tc>
          <w:tcPr>
            <w:tcW w:w="3800" w:type="dxa"/>
            <w:vAlign w:val="bottom"/>
          </w:tcPr>
          <w:p>
            <w:pPr>
              <w:ind w:left="260"/>
              <w:spacing w:after="0" w:line="162" w:lineRule="exact"/>
              <w:rPr>
                <w:sz w:val="20"/>
                <w:szCs w:val="20"/>
                <w:color w:val="auto"/>
              </w:rPr>
            </w:pPr>
            <w:r>
              <w:rPr>
                <w:rFonts w:ascii="Times New Roman" w:cs="Times New Roman" w:eastAsia="Times New Roman" w:hAnsi="Times New Roman"/>
                <w:sz w:val="16"/>
                <w:szCs w:val="16"/>
                <w:color w:val="auto"/>
              </w:rPr>
              <w:t>Amounts related to interest settlements on</w:t>
            </w:r>
          </w:p>
        </w:tc>
        <w:tc>
          <w:tcPr>
            <w:tcW w:w="2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vMerge w:val="restart"/>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1,539</w:t>
            </w:r>
          </w:p>
        </w:tc>
        <w:tc>
          <w:tcPr>
            <w:tcW w:w="100" w:type="dxa"/>
            <w:vAlign w:val="bottom"/>
          </w:tcPr>
          <w:p>
            <w:pPr>
              <w:spacing w:after="0"/>
              <w:rPr>
                <w:sz w:val="14"/>
                <w:szCs w:val="14"/>
                <w:color w:val="auto"/>
              </w:rPr>
            </w:pPr>
          </w:p>
        </w:tc>
        <w:tc>
          <w:tcPr>
            <w:tcW w:w="240" w:type="dxa"/>
            <w:vAlign w:val="bottom"/>
            <w:vMerge w:val="restart"/>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3,568</w:t>
            </w:r>
          </w:p>
        </w:tc>
        <w:tc>
          <w:tcPr>
            <w:tcW w:w="100" w:type="dxa"/>
            <w:vAlign w:val="bottom"/>
          </w:tcPr>
          <w:p>
            <w:pPr>
              <w:spacing w:after="0"/>
              <w:rPr>
                <w:sz w:val="14"/>
                <w:szCs w:val="14"/>
                <w:color w:val="auto"/>
              </w:rPr>
            </w:pPr>
          </w:p>
        </w:tc>
        <w:tc>
          <w:tcPr>
            <w:tcW w:w="240" w:type="dxa"/>
            <w:vAlign w:val="bottom"/>
            <w:vMerge w:val="restart"/>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4,428</w:t>
            </w:r>
          </w:p>
        </w:tc>
        <w:tc>
          <w:tcPr>
            <w:tcW w:w="100" w:type="dxa"/>
            <w:vAlign w:val="bottom"/>
          </w:tcPr>
          <w:p>
            <w:pPr>
              <w:spacing w:after="0"/>
              <w:rPr>
                <w:sz w:val="14"/>
                <w:szCs w:val="14"/>
                <w:color w:val="auto"/>
              </w:rPr>
            </w:pPr>
          </w:p>
        </w:tc>
        <w:tc>
          <w:tcPr>
            <w:tcW w:w="240" w:type="dxa"/>
            <w:vAlign w:val="bottom"/>
            <w:vMerge w:val="restart"/>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9,544</w:t>
            </w:r>
          </w:p>
        </w:tc>
        <w:tc>
          <w:tcPr>
            <w:tcW w:w="0" w:type="dxa"/>
            <w:vAlign w:val="bottom"/>
          </w:tcPr>
          <w:p>
            <w:pPr>
              <w:spacing w:after="0"/>
              <w:rPr>
                <w:sz w:val="1"/>
                <w:szCs w:val="1"/>
                <w:color w:val="auto"/>
              </w:rPr>
            </w:pPr>
          </w:p>
        </w:tc>
      </w:tr>
      <w:tr>
        <w:trPr>
          <w:trHeight w:val="213"/>
        </w:trPr>
        <w:tc>
          <w:tcPr>
            <w:tcW w:w="380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derivatives</w:t>
            </w:r>
          </w:p>
        </w:tc>
        <w:tc>
          <w:tcPr>
            <w:tcW w:w="2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vMerge w:val="continue"/>
          </w:tcPr>
          <w:p>
            <w:pPr>
              <w:spacing w:after="0"/>
              <w:rPr>
                <w:sz w:val="18"/>
                <w:szCs w:val="18"/>
                <w:color w:val="auto"/>
              </w:rPr>
            </w:pPr>
          </w:p>
        </w:tc>
        <w:tc>
          <w:tcPr>
            <w:tcW w:w="8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vMerge w:val="continue"/>
          </w:tcPr>
          <w:p>
            <w:pPr>
              <w:spacing w:after="0"/>
              <w:rPr>
                <w:sz w:val="18"/>
                <w:szCs w:val="18"/>
                <w:color w:val="auto"/>
              </w:rPr>
            </w:pPr>
          </w:p>
        </w:tc>
        <w:tc>
          <w:tcPr>
            <w:tcW w:w="8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vMerge w:val="continue"/>
          </w:tcPr>
          <w:p>
            <w:pPr>
              <w:spacing w:after="0"/>
              <w:rPr>
                <w:sz w:val="18"/>
                <w:szCs w:val="18"/>
                <w:color w:val="auto"/>
              </w:rPr>
            </w:pPr>
          </w:p>
        </w:tc>
        <w:tc>
          <w:tcPr>
            <w:tcW w:w="8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vMerge w:val="continue"/>
          </w:tcPr>
          <w:p>
            <w:pPr>
              <w:spacing w:after="0"/>
              <w:rPr>
                <w:sz w:val="18"/>
                <w:szCs w:val="18"/>
                <w:color w:val="auto"/>
              </w:rPr>
            </w:pPr>
          </w:p>
        </w:tc>
        <w:tc>
          <w:tcPr>
            <w:tcW w:w="8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8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Loss recognized on derivative</w:t>
            </w:r>
          </w:p>
        </w:tc>
        <w:tc>
          <w:tcPr>
            <w:tcW w:w="28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(1,050)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(22,144)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(14,217)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(12,292)</w:t>
            </w:r>
          </w:p>
        </w:tc>
        <w:tc>
          <w:tcPr>
            <w:tcW w:w="0" w:type="dxa"/>
            <w:vAlign w:val="bottom"/>
          </w:tcPr>
          <w:p>
            <w:pPr>
              <w:spacing w:after="0"/>
              <w:rPr>
                <w:sz w:val="1"/>
                <w:szCs w:val="1"/>
                <w:color w:val="auto"/>
              </w:rPr>
            </w:pPr>
          </w:p>
        </w:tc>
      </w:tr>
      <w:tr>
        <w:trPr>
          <w:trHeight w:val="213"/>
        </w:trPr>
        <w:tc>
          <w:tcPr>
            <w:tcW w:w="3800" w:type="dxa"/>
            <w:vAlign w:val="bottom"/>
            <w:tcBorders>
              <w:bottom w:val="single" w:sz="8" w:color="CCEEFF"/>
            </w:tcBorders>
          </w:tcPr>
          <w:p>
            <w:pPr>
              <w:ind w:left="260"/>
              <w:spacing w:after="0"/>
              <w:rPr>
                <w:sz w:val="20"/>
                <w:szCs w:val="20"/>
                <w:color w:val="auto"/>
              </w:rPr>
            </w:pPr>
            <w:r>
              <w:rPr>
                <w:rFonts w:ascii="Times New Roman" w:cs="Times New Roman" w:eastAsia="Times New Roman" w:hAnsi="Times New Roman"/>
                <w:sz w:val="16"/>
                <w:szCs w:val="16"/>
                <w:color w:val="auto"/>
              </w:rPr>
              <w:t>Gain recognized on hedged items</w:t>
            </w:r>
          </w:p>
        </w:tc>
        <w:tc>
          <w:tcPr>
            <w:tcW w:w="284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1,357</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22,983</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14,665</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13,495</w:t>
            </w:r>
          </w:p>
        </w:tc>
        <w:tc>
          <w:tcPr>
            <w:tcW w:w="0" w:type="dxa"/>
            <w:vAlign w:val="bottom"/>
          </w:tcPr>
          <w:p>
            <w:pPr>
              <w:spacing w:after="0"/>
              <w:rPr>
                <w:sz w:val="1"/>
                <w:szCs w:val="1"/>
                <w:color w:val="auto"/>
              </w:rPr>
            </w:pPr>
          </w:p>
        </w:tc>
      </w:tr>
      <w:tr>
        <w:trPr>
          <w:trHeight w:val="145"/>
        </w:trPr>
        <w:tc>
          <w:tcPr>
            <w:tcW w:w="3800" w:type="dxa"/>
            <w:vAlign w:val="bottom"/>
            <w:shd w:val="clear" w:color="auto" w:fill="CCEEFF"/>
          </w:tcPr>
          <w:p>
            <w:pPr>
              <w:ind w:left="360"/>
              <w:spacing w:after="0" w:line="145" w:lineRule="exact"/>
              <w:rPr>
                <w:sz w:val="20"/>
                <w:szCs w:val="20"/>
                <w:color w:val="auto"/>
              </w:rPr>
            </w:pPr>
            <w:r>
              <w:rPr>
                <w:rFonts w:ascii="Times New Roman" w:cs="Times New Roman" w:eastAsia="Times New Roman" w:hAnsi="Times New Roman"/>
                <w:sz w:val="16"/>
                <w:szCs w:val="16"/>
                <w:color w:val="auto"/>
              </w:rPr>
              <w:t>Net income recognized on AFS securities fair value</w:t>
            </w:r>
          </w:p>
        </w:tc>
        <w:tc>
          <w:tcPr>
            <w:tcW w:w="292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Interest revenue - investment securities</w:t>
            </w:r>
          </w:p>
        </w:tc>
        <w:tc>
          <w:tcPr>
            <w:tcW w:w="220" w:type="dxa"/>
            <w:vAlign w:val="bottom"/>
            <w:vMerge w:val="restart"/>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1,846</w:t>
            </w:r>
          </w:p>
        </w:tc>
        <w:tc>
          <w:tcPr>
            <w:tcW w:w="100" w:type="dxa"/>
            <w:vAlign w:val="bottom"/>
            <w:shd w:val="clear" w:color="auto" w:fill="CCEEFF"/>
          </w:tcPr>
          <w:p>
            <w:pPr>
              <w:spacing w:after="0"/>
              <w:rPr>
                <w:sz w:val="12"/>
                <w:szCs w:val="12"/>
                <w:color w:val="auto"/>
              </w:rPr>
            </w:pPr>
          </w:p>
        </w:tc>
        <w:tc>
          <w:tcPr>
            <w:tcW w:w="240" w:type="dxa"/>
            <w:vAlign w:val="bottom"/>
            <w:vMerge w:val="restart"/>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4,407</w:t>
            </w:r>
          </w:p>
        </w:tc>
        <w:tc>
          <w:tcPr>
            <w:tcW w:w="100" w:type="dxa"/>
            <w:vAlign w:val="bottom"/>
            <w:shd w:val="clear" w:color="auto" w:fill="CCEEFF"/>
          </w:tcPr>
          <w:p>
            <w:pPr>
              <w:spacing w:after="0"/>
              <w:rPr>
                <w:sz w:val="12"/>
                <w:szCs w:val="12"/>
                <w:color w:val="auto"/>
              </w:rPr>
            </w:pPr>
          </w:p>
        </w:tc>
        <w:tc>
          <w:tcPr>
            <w:tcW w:w="240" w:type="dxa"/>
            <w:vAlign w:val="bottom"/>
            <w:vMerge w:val="restart"/>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4,876</w:t>
            </w:r>
          </w:p>
        </w:tc>
        <w:tc>
          <w:tcPr>
            <w:tcW w:w="100" w:type="dxa"/>
            <w:vAlign w:val="bottom"/>
            <w:shd w:val="clear" w:color="auto" w:fill="CCEEFF"/>
          </w:tcPr>
          <w:p>
            <w:pPr>
              <w:spacing w:after="0"/>
              <w:rPr>
                <w:sz w:val="12"/>
                <w:szCs w:val="12"/>
                <w:color w:val="auto"/>
              </w:rPr>
            </w:pPr>
          </w:p>
        </w:tc>
        <w:tc>
          <w:tcPr>
            <w:tcW w:w="240" w:type="dxa"/>
            <w:vAlign w:val="bottom"/>
            <w:vMerge w:val="restart"/>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10,747</w:t>
            </w:r>
          </w:p>
        </w:tc>
        <w:tc>
          <w:tcPr>
            <w:tcW w:w="0" w:type="dxa"/>
            <w:vAlign w:val="bottom"/>
          </w:tcPr>
          <w:p>
            <w:pPr>
              <w:spacing w:after="0"/>
              <w:rPr>
                <w:sz w:val="1"/>
                <w:szCs w:val="1"/>
                <w:color w:val="auto"/>
              </w:rPr>
            </w:pPr>
          </w:p>
        </w:tc>
      </w:tr>
      <w:tr>
        <w:trPr>
          <w:trHeight w:val="209"/>
        </w:trPr>
        <w:tc>
          <w:tcPr>
            <w:tcW w:w="380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hedges</w:t>
            </w:r>
          </w:p>
        </w:tc>
        <w:tc>
          <w:tcPr>
            <w:tcW w:w="2920" w:type="dxa"/>
            <w:vAlign w:val="bottom"/>
            <w:tcBorders>
              <w:bottom w:val="single" w:sz="8" w:color="CCEEFF"/>
            </w:tcBorders>
            <w:gridSpan w:val="2"/>
            <w:vMerge w:val="continue"/>
            <w:shd w:val="clear" w:color="auto" w:fill="CCEEFF"/>
          </w:tcPr>
          <w:p>
            <w:pPr>
              <w:spacing w:after="0"/>
              <w:rPr>
                <w:sz w:val="18"/>
                <w:szCs w:val="18"/>
                <w:color w:val="auto"/>
              </w:rPr>
            </w:pPr>
          </w:p>
        </w:tc>
        <w:tc>
          <w:tcPr>
            <w:tcW w:w="220" w:type="dxa"/>
            <w:vAlign w:val="bottom"/>
            <w:tcBorders>
              <w:bottom w:val="single" w:sz="8" w:color="auto"/>
            </w:tcBorders>
            <w:vMerge w:val="continue"/>
            <w:shd w:val="clear" w:color="auto" w:fill="CCEEFF"/>
          </w:tcPr>
          <w:p>
            <w:pPr>
              <w:spacing w:after="0"/>
              <w:rPr>
                <w:sz w:val="18"/>
                <w:szCs w:val="18"/>
                <w:color w:val="auto"/>
              </w:rPr>
            </w:pPr>
          </w:p>
        </w:tc>
        <w:tc>
          <w:tcPr>
            <w:tcW w:w="82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vMerge w:val="continue"/>
            <w:shd w:val="clear" w:color="auto" w:fill="CCEEFF"/>
          </w:tcPr>
          <w:p>
            <w:pPr>
              <w:spacing w:after="0"/>
              <w:rPr>
                <w:sz w:val="18"/>
                <w:szCs w:val="18"/>
                <w:color w:val="auto"/>
              </w:rPr>
            </w:pPr>
          </w:p>
        </w:tc>
        <w:tc>
          <w:tcPr>
            <w:tcW w:w="82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vMerge w:val="continue"/>
            <w:shd w:val="clear" w:color="auto" w:fill="CCEEFF"/>
          </w:tcPr>
          <w:p>
            <w:pPr>
              <w:spacing w:after="0"/>
              <w:rPr>
                <w:sz w:val="18"/>
                <w:szCs w:val="18"/>
                <w:color w:val="auto"/>
              </w:rPr>
            </w:pPr>
          </w:p>
        </w:tc>
        <w:tc>
          <w:tcPr>
            <w:tcW w:w="82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vMerge w:val="continue"/>
            <w:shd w:val="clear" w:color="auto" w:fill="CCEEFF"/>
          </w:tcPr>
          <w:p>
            <w:pPr>
              <w:spacing w:after="0"/>
              <w:rPr>
                <w:sz w:val="18"/>
                <w:szCs w:val="18"/>
                <w:color w:val="auto"/>
              </w:rPr>
            </w:pPr>
          </w:p>
        </w:tc>
        <w:tc>
          <w:tcPr>
            <w:tcW w:w="82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800" w:type="dxa"/>
            <w:vAlign w:val="bottom"/>
            <w:tcBorders>
              <w:top w:val="single" w:sz="8" w:color="CCEEFF"/>
              <w:bottom w:val="single" w:sz="8" w:color="CCEEFF"/>
            </w:tcBorders>
            <w:vMerge w:val="restart"/>
          </w:tcPr>
          <w:p>
            <w:pPr>
              <w:ind w:left="140"/>
              <w:spacing w:after="0"/>
              <w:rPr>
                <w:sz w:val="20"/>
                <w:szCs w:val="20"/>
                <w:color w:val="auto"/>
              </w:rPr>
            </w:pPr>
            <w:r>
              <w:rPr>
                <w:rFonts w:ascii="Times New Roman" w:cs="Times New Roman" w:eastAsia="Times New Roman" w:hAnsi="Times New Roman"/>
                <w:sz w:val="16"/>
                <w:szCs w:val="16"/>
                <w:color w:val="auto"/>
              </w:rPr>
              <w:t>Loans:</w:t>
            </w:r>
          </w:p>
        </w:tc>
        <w:tc>
          <w:tcPr>
            <w:tcW w:w="28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3800" w:type="dxa"/>
            <w:vAlign w:val="bottom"/>
            <w:vMerge w:val="continue"/>
          </w:tcPr>
          <w:p>
            <w:pPr>
              <w:spacing w:after="0"/>
              <w:rPr>
                <w:sz w:val="13"/>
                <w:szCs w:val="13"/>
                <w:color w:val="auto"/>
              </w:rPr>
            </w:pPr>
          </w:p>
        </w:tc>
        <w:tc>
          <w:tcPr>
            <w:tcW w:w="2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3800" w:type="dxa"/>
            <w:vAlign w:val="bottom"/>
            <w:shd w:val="clear" w:color="auto" w:fill="CCEEFF"/>
          </w:tcPr>
          <w:p>
            <w:pPr>
              <w:ind w:left="240"/>
              <w:spacing w:after="0" w:line="165" w:lineRule="exact"/>
              <w:rPr>
                <w:sz w:val="20"/>
                <w:szCs w:val="20"/>
                <w:color w:val="auto"/>
              </w:rPr>
            </w:pPr>
            <w:r>
              <w:rPr>
                <w:rFonts w:ascii="Times New Roman" w:cs="Times New Roman" w:eastAsia="Times New Roman" w:hAnsi="Times New Roman"/>
                <w:sz w:val="16"/>
                <w:szCs w:val="16"/>
                <w:color w:val="auto"/>
              </w:rPr>
              <w:t>Amounts related to interest settlements on</w:t>
            </w:r>
          </w:p>
        </w:tc>
        <w:tc>
          <w:tcPr>
            <w:tcW w:w="28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20" w:type="dxa"/>
            <w:vAlign w:val="bottom"/>
            <w:vMerge w:val="restart"/>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(112)</w:t>
            </w:r>
          </w:p>
        </w:tc>
        <w:tc>
          <w:tcPr>
            <w:tcW w:w="100" w:type="dxa"/>
            <w:vAlign w:val="bottom"/>
            <w:shd w:val="clear" w:color="auto" w:fill="CCEEFF"/>
          </w:tcPr>
          <w:p>
            <w:pPr>
              <w:spacing w:after="0"/>
              <w:rPr>
                <w:sz w:val="14"/>
                <w:szCs w:val="14"/>
                <w:color w:val="auto"/>
              </w:rPr>
            </w:pPr>
          </w:p>
        </w:tc>
        <w:tc>
          <w:tcPr>
            <w:tcW w:w="240" w:type="dxa"/>
            <w:vAlign w:val="bottom"/>
            <w:vMerge w:val="restart"/>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3,986</w:t>
            </w:r>
          </w:p>
        </w:tc>
        <w:tc>
          <w:tcPr>
            <w:tcW w:w="100" w:type="dxa"/>
            <w:vAlign w:val="bottom"/>
            <w:shd w:val="clear" w:color="auto" w:fill="CCEEFF"/>
          </w:tcPr>
          <w:p>
            <w:pPr>
              <w:spacing w:after="0"/>
              <w:rPr>
                <w:sz w:val="14"/>
                <w:szCs w:val="14"/>
                <w:color w:val="auto"/>
              </w:rPr>
            </w:pPr>
          </w:p>
        </w:tc>
        <w:tc>
          <w:tcPr>
            <w:tcW w:w="240" w:type="dxa"/>
            <w:vAlign w:val="bottom"/>
            <w:vMerge w:val="restart"/>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(999)</w:t>
            </w:r>
          </w:p>
        </w:tc>
        <w:tc>
          <w:tcPr>
            <w:tcW w:w="100" w:type="dxa"/>
            <w:vAlign w:val="bottom"/>
            <w:shd w:val="clear" w:color="auto" w:fill="CCEEFF"/>
          </w:tcPr>
          <w:p>
            <w:pPr>
              <w:spacing w:after="0"/>
              <w:rPr>
                <w:sz w:val="14"/>
                <w:szCs w:val="14"/>
                <w:color w:val="auto"/>
              </w:rPr>
            </w:pPr>
          </w:p>
        </w:tc>
        <w:tc>
          <w:tcPr>
            <w:tcW w:w="240" w:type="dxa"/>
            <w:vAlign w:val="bottom"/>
            <w:vMerge w:val="restart"/>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8,949</w:t>
            </w:r>
          </w:p>
        </w:tc>
        <w:tc>
          <w:tcPr>
            <w:tcW w:w="0" w:type="dxa"/>
            <w:vAlign w:val="bottom"/>
          </w:tcPr>
          <w:p>
            <w:pPr>
              <w:spacing w:after="0"/>
              <w:rPr>
                <w:sz w:val="1"/>
                <w:szCs w:val="1"/>
                <w:color w:val="auto"/>
              </w:rPr>
            </w:pPr>
          </w:p>
        </w:tc>
      </w:tr>
      <w:tr>
        <w:trPr>
          <w:trHeight w:val="216"/>
        </w:trPr>
        <w:tc>
          <w:tcPr>
            <w:tcW w:w="38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derivatives</w:t>
            </w:r>
          </w:p>
        </w:tc>
        <w:tc>
          <w:tcPr>
            <w:tcW w:w="28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vMerge w:val="continue"/>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vMerge w:val="continue"/>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vMerge w:val="continue"/>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vMerge w:val="continue"/>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8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Gain (loss) recognized on derivatives</w:t>
            </w:r>
          </w:p>
        </w:tc>
        <w:tc>
          <w:tcPr>
            <w:tcW w:w="2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1,098</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(27,305)</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310</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(21,680)</w:t>
            </w:r>
          </w:p>
        </w:tc>
        <w:tc>
          <w:tcPr>
            <w:tcW w:w="0" w:type="dxa"/>
            <w:vAlign w:val="bottom"/>
          </w:tcPr>
          <w:p>
            <w:pPr>
              <w:spacing w:after="0"/>
              <w:rPr>
                <w:sz w:val="1"/>
                <w:szCs w:val="1"/>
                <w:color w:val="auto"/>
              </w:rPr>
            </w:pPr>
          </w:p>
        </w:tc>
      </w:tr>
      <w:tr>
        <w:trPr>
          <w:trHeight w:val="219"/>
        </w:trPr>
        <w:tc>
          <w:tcPr>
            <w:tcW w:w="38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(Loss) gain recognized on hedged items</w:t>
            </w:r>
          </w:p>
        </w:tc>
        <w:tc>
          <w:tcPr>
            <w:tcW w:w="28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(867)</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27,931</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502</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22,285</w:t>
            </w:r>
          </w:p>
        </w:tc>
        <w:tc>
          <w:tcPr>
            <w:tcW w:w="0" w:type="dxa"/>
            <w:vAlign w:val="bottom"/>
          </w:tcPr>
          <w:p>
            <w:pPr>
              <w:spacing w:after="0"/>
              <w:rPr>
                <w:sz w:val="1"/>
                <w:szCs w:val="1"/>
                <w:color w:val="auto"/>
              </w:rPr>
            </w:pPr>
          </w:p>
        </w:tc>
      </w:tr>
      <w:tr>
        <w:trPr>
          <w:trHeight w:val="142"/>
        </w:trPr>
        <w:tc>
          <w:tcPr>
            <w:tcW w:w="3800" w:type="dxa"/>
            <w:vAlign w:val="bottom"/>
          </w:tcPr>
          <w:p>
            <w:pPr>
              <w:ind w:left="240"/>
              <w:spacing w:after="0" w:line="142" w:lineRule="exact"/>
              <w:rPr>
                <w:sz w:val="20"/>
                <w:szCs w:val="20"/>
                <w:color w:val="auto"/>
              </w:rPr>
            </w:pPr>
            <w:r>
              <w:rPr>
                <w:rFonts w:ascii="Times New Roman" w:cs="Times New Roman" w:eastAsia="Times New Roman" w:hAnsi="Times New Roman"/>
                <w:sz w:val="16"/>
                <w:szCs w:val="16"/>
                <w:color w:val="auto"/>
              </w:rPr>
              <w:t>Net income (loss) recognized on loan fair value</w:t>
            </w:r>
          </w:p>
        </w:tc>
        <w:tc>
          <w:tcPr>
            <w:tcW w:w="292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color w:val="auto"/>
              </w:rPr>
              <w:t>Interest revenue - loans, including fees</w:t>
            </w:r>
          </w:p>
        </w:tc>
        <w:tc>
          <w:tcPr>
            <w:tcW w:w="220" w:type="dxa"/>
            <w:vAlign w:val="bottom"/>
            <w:vMerge w:val="restart"/>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119</w:t>
            </w:r>
          </w:p>
        </w:tc>
        <w:tc>
          <w:tcPr>
            <w:tcW w:w="100" w:type="dxa"/>
            <w:vAlign w:val="bottom"/>
          </w:tcPr>
          <w:p>
            <w:pPr>
              <w:spacing w:after="0"/>
              <w:rPr>
                <w:sz w:val="12"/>
                <w:szCs w:val="12"/>
                <w:color w:val="auto"/>
              </w:rPr>
            </w:pPr>
          </w:p>
        </w:tc>
        <w:tc>
          <w:tcPr>
            <w:tcW w:w="240" w:type="dxa"/>
            <w:vAlign w:val="bottom"/>
            <w:vMerge w:val="restart"/>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4,612</w:t>
            </w:r>
          </w:p>
        </w:tc>
        <w:tc>
          <w:tcPr>
            <w:tcW w:w="100" w:type="dxa"/>
            <w:vAlign w:val="bottom"/>
          </w:tcPr>
          <w:p>
            <w:pPr>
              <w:spacing w:after="0"/>
              <w:rPr>
                <w:sz w:val="12"/>
                <w:szCs w:val="12"/>
                <w:color w:val="auto"/>
              </w:rPr>
            </w:pPr>
          </w:p>
        </w:tc>
        <w:tc>
          <w:tcPr>
            <w:tcW w:w="240" w:type="dxa"/>
            <w:vAlign w:val="bottom"/>
            <w:vMerge w:val="restart"/>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(187)</w:t>
            </w:r>
          </w:p>
        </w:tc>
        <w:tc>
          <w:tcPr>
            <w:tcW w:w="100" w:type="dxa"/>
            <w:vAlign w:val="bottom"/>
          </w:tcPr>
          <w:p>
            <w:pPr>
              <w:spacing w:after="0"/>
              <w:rPr>
                <w:sz w:val="12"/>
                <w:szCs w:val="12"/>
                <w:color w:val="auto"/>
              </w:rPr>
            </w:pPr>
          </w:p>
        </w:tc>
        <w:tc>
          <w:tcPr>
            <w:tcW w:w="240" w:type="dxa"/>
            <w:vAlign w:val="bottom"/>
            <w:vMerge w:val="restart"/>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9,554</w:t>
            </w:r>
          </w:p>
        </w:tc>
        <w:tc>
          <w:tcPr>
            <w:tcW w:w="0" w:type="dxa"/>
            <w:vAlign w:val="bottom"/>
          </w:tcPr>
          <w:p>
            <w:pPr>
              <w:spacing w:after="0"/>
              <w:rPr>
                <w:sz w:val="1"/>
                <w:szCs w:val="1"/>
                <w:color w:val="auto"/>
              </w:rPr>
            </w:pPr>
          </w:p>
        </w:tc>
      </w:tr>
      <w:tr>
        <w:trPr>
          <w:trHeight w:val="194"/>
        </w:trPr>
        <w:tc>
          <w:tcPr>
            <w:tcW w:w="38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hedges</w:t>
            </w:r>
          </w:p>
        </w:tc>
        <w:tc>
          <w:tcPr>
            <w:tcW w:w="2920" w:type="dxa"/>
            <w:vAlign w:val="bottom"/>
            <w:gridSpan w:val="2"/>
            <w:vMerge w:val="continue"/>
          </w:tcPr>
          <w:p>
            <w:pPr>
              <w:spacing w:after="0"/>
              <w:rPr>
                <w:sz w:val="16"/>
                <w:szCs w:val="16"/>
                <w:color w:val="auto"/>
              </w:rPr>
            </w:pPr>
          </w:p>
        </w:tc>
        <w:tc>
          <w:tcPr>
            <w:tcW w:w="220" w:type="dxa"/>
            <w:vAlign w:val="bottom"/>
            <w:tcBorders>
              <w:bottom w:val="single" w:sz="8" w:color="auto"/>
            </w:tcBorders>
            <w:vMerge w:val="continue"/>
          </w:tcPr>
          <w:p>
            <w:pPr>
              <w:spacing w:after="0"/>
              <w:rPr>
                <w:sz w:val="16"/>
                <w:szCs w:val="16"/>
                <w:color w:val="auto"/>
              </w:rPr>
            </w:pPr>
          </w:p>
        </w:tc>
        <w:tc>
          <w:tcPr>
            <w:tcW w:w="82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Borders>
              <w:bottom w:val="single" w:sz="8" w:color="auto"/>
            </w:tcBorders>
            <w:vMerge w:val="continue"/>
          </w:tcPr>
          <w:p>
            <w:pPr>
              <w:spacing w:after="0"/>
              <w:rPr>
                <w:sz w:val="16"/>
                <w:szCs w:val="16"/>
                <w:color w:val="auto"/>
              </w:rPr>
            </w:pPr>
          </w:p>
        </w:tc>
        <w:tc>
          <w:tcPr>
            <w:tcW w:w="82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Borders>
              <w:bottom w:val="single" w:sz="8" w:color="auto"/>
            </w:tcBorders>
            <w:vMerge w:val="continue"/>
          </w:tcPr>
          <w:p>
            <w:pPr>
              <w:spacing w:after="0"/>
              <w:rPr>
                <w:sz w:val="16"/>
                <w:szCs w:val="16"/>
                <w:color w:val="auto"/>
              </w:rPr>
            </w:pPr>
          </w:p>
        </w:tc>
        <w:tc>
          <w:tcPr>
            <w:tcW w:w="82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Borders>
              <w:bottom w:val="single" w:sz="8" w:color="auto"/>
            </w:tcBorders>
            <w:vMerge w:val="continue"/>
          </w:tcPr>
          <w:p>
            <w:pPr>
              <w:spacing w:after="0"/>
              <w:rPr>
                <w:sz w:val="16"/>
                <w:szCs w:val="16"/>
                <w:color w:val="auto"/>
              </w:rPr>
            </w:pPr>
          </w:p>
        </w:tc>
        <w:tc>
          <w:tcPr>
            <w:tcW w:w="8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3800" w:type="dxa"/>
            <w:vAlign w:val="bottom"/>
            <w:tcBorders>
              <w:bottom w:val="single" w:sz="8" w:color="CCEEFF"/>
            </w:tcBorders>
          </w:tcPr>
          <w:p>
            <w:pPr>
              <w:spacing w:after="0" w:line="20" w:lineRule="exact"/>
              <w:rPr>
                <w:sz w:val="1"/>
                <w:szCs w:val="1"/>
                <w:color w:val="auto"/>
              </w:rPr>
            </w:pPr>
          </w:p>
        </w:tc>
        <w:tc>
          <w:tcPr>
            <w:tcW w:w="28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800" w:type="dxa"/>
            <w:vAlign w:val="bottom"/>
            <w:shd w:val="clear" w:color="auto" w:fill="CCEEFF"/>
          </w:tcPr>
          <w:p>
            <w:pPr>
              <w:spacing w:after="0"/>
              <w:rPr>
                <w:sz w:val="19"/>
                <w:szCs w:val="19"/>
                <w:color w:val="auto"/>
              </w:rPr>
            </w:pPr>
          </w:p>
        </w:tc>
        <w:tc>
          <w:tcPr>
            <w:tcW w:w="28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38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Cash flow hedges:</w:t>
            </w:r>
          </w:p>
        </w:tc>
        <w:tc>
          <w:tcPr>
            <w:tcW w:w="2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800" w:type="dxa"/>
            <w:vAlign w:val="bottom"/>
            <w:shd w:val="clear" w:color="auto" w:fill="CCEEFF"/>
          </w:tcPr>
          <w:p>
            <w:pPr>
              <w:ind w:left="140"/>
              <w:spacing w:after="0" w:line="219" w:lineRule="exact"/>
              <w:rPr>
                <w:sz w:val="20"/>
                <w:szCs w:val="20"/>
                <w:color w:val="auto"/>
              </w:rPr>
            </w:pPr>
            <w:r>
              <w:rPr>
                <w:rFonts w:ascii="Times New Roman" w:cs="Times New Roman" w:eastAsia="Times New Roman" w:hAnsi="Times New Roman"/>
                <w:sz w:val="16"/>
                <w:szCs w:val="16"/>
                <w:color w:val="auto"/>
              </w:rPr>
              <w:t xml:space="preserve">Long-term debt </w:t>
            </w:r>
            <w:r>
              <w:rPr>
                <w:rFonts w:ascii="Times New Roman" w:cs="Times New Roman" w:eastAsia="Times New Roman" w:hAnsi="Times New Roman"/>
                <w:sz w:val="21"/>
                <w:szCs w:val="21"/>
                <w:color w:val="auto"/>
                <w:vertAlign w:val="superscript"/>
              </w:rPr>
              <w:t>(1)</w:t>
            </w:r>
          </w:p>
        </w:tc>
        <w:tc>
          <w:tcPr>
            <w:tcW w:w="29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Interest expense- long term debt</w:t>
            </w: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1,143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1,441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3,393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4,319</w:t>
            </w:r>
          </w:p>
        </w:tc>
        <w:tc>
          <w:tcPr>
            <w:tcW w:w="0" w:type="dxa"/>
            <w:vAlign w:val="bottom"/>
          </w:tcPr>
          <w:p>
            <w:pPr>
              <w:spacing w:after="0"/>
              <w:rPr>
                <w:sz w:val="1"/>
                <w:szCs w:val="1"/>
                <w:color w:val="auto"/>
              </w:rPr>
            </w:pPr>
          </w:p>
        </w:tc>
      </w:tr>
    </w:tbl>
    <w:p>
      <w:pPr>
        <w:spacing w:after="0" w:line="67" w:lineRule="exact"/>
        <w:rPr>
          <w:sz w:val="20"/>
          <w:szCs w:val="20"/>
          <w:color w:val="auto"/>
        </w:rPr>
      </w:pPr>
    </w:p>
    <w:p>
      <w:pPr>
        <w:ind w:firstLine="37"/>
        <w:spacing w:after="0" w:line="254" w:lineRule="auto"/>
        <w:tabs>
          <w:tab w:leader="none" w:pos="197" w:val="left"/>
        </w:tabs>
        <w:numPr>
          <w:ilvl w:val="0"/>
          <w:numId w:val="8"/>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5"/>
          <w:szCs w:val="15"/>
          <w:color w:val="auto"/>
        </w:rPr>
        <w:t>Includes premium amortization expense excluded from the assessment of hedge effectiveness of $119,000 and $119,000 for the three months ended September 30, 2025 and 2024, respectively, and $353,000 and $354,000 for the nine months ended September 30, 2025 and 2024, respectively.</w:t>
      </w:r>
    </w:p>
    <w:p>
      <w:pPr>
        <w:spacing w:after="0" w:line="204"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 xml:space="preserve">The table below presents the carrying amount of hedged items and cumulative fair value hedging basis adjustments for the periods presented. All fair value hedges of AFS debt securities and loans at September 30, 2025 </w:t>
      </w:r>
      <w:r>
        <w:rPr>
          <w:rFonts w:ascii="Times New Roman" w:cs="Times New Roman" w:eastAsia="Times New Roman" w:hAnsi="Times New Roman"/>
          <w:sz w:val="16"/>
          <w:szCs w:val="16"/>
          <w:color w:val="auto"/>
        </w:rPr>
        <w:t>and</w:t>
      </w:r>
      <w:r>
        <w:rPr>
          <w:rFonts w:ascii="Times New Roman" w:cs="Times New Roman" w:eastAsia="Times New Roman" w:hAnsi="Times New Roman"/>
          <w:sz w:val="18"/>
          <w:szCs w:val="18"/>
          <w:color w:val="auto"/>
        </w:rPr>
        <w:t xml:space="preserve"> December 31, 2024 were designated under the portfolio layer method.</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120" w:type="dxa"/>
            <w:vAlign w:val="bottom"/>
            <w:gridSpan w:val="2"/>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4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gridSpan w:val="3"/>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September 30, 2025</w:t>
            </w:r>
          </w:p>
        </w:tc>
        <w:tc>
          <w:tcPr>
            <w:tcW w:w="1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gridSpan w:val="3"/>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December 31, 2024</w:t>
            </w:r>
          </w:p>
        </w:tc>
        <w:tc>
          <w:tcPr>
            <w:tcW w:w="12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212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Balance Sheet Location</w:t>
            </w:r>
          </w:p>
        </w:tc>
        <w:tc>
          <w:tcPr>
            <w:tcW w:w="1540" w:type="dxa"/>
            <w:vAlign w:val="bottom"/>
            <w:gridSpan w:val="3"/>
            <w:vMerge w:val="restart"/>
          </w:tcPr>
          <w:p>
            <w:pPr>
              <w:ind w:left="80"/>
              <w:spacing w:after="0"/>
              <w:rPr>
                <w:sz w:val="20"/>
                <w:szCs w:val="20"/>
                <w:color w:val="auto"/>
              </w:rPr>
            </w:pPr>
            <w:r>
              <w:rPr>
                <w:rFonts w:ascii="Times New Roman" w:cs="Times New Roman" w:eastAsia="Times New Roman" w:hAnsi="Times New Roman"/>
                <w:sz w:val="16"/>
                <w:szCs w:val="16"/>
                <w:b w:val="1"/>
                <w:bCs w:val="1"/>
                <w:color w:val="auto"/>
              </w:rPr>
              <w:t>Carrying Amount</w:t>
            </w:r>
          </w:p>
        </w:tc>
        <w:tc>
          <w:tcPr>
            <w:tcW w:w="1520" w:type="dxa"/>
            <w:vAlign w:val="bottom"/>
            <w:gridSpan w:val="3"/>
          </w:tcPr>
          <w:p>
            <w:pPr>
              <w:jc w:val="center"/>
              <w:ind w:right="80"/>
              <w:spacing w:after="0" w:line="158" w:lineRule="exact"/>
              <w:rPr>
                <w:sz w:val="20"/>
                <w:szCs w:val="20"/>
                <w:color w:val="auto"/>
              </w:rPr>
            </w:pPr>
            <w:r>
              <w:rPr>
                <w:rFonts w:ascii="Times New Roman" w:cs="Times New Roman" w:eastAsia="Times New Roman" w:hAnsi="Times New Roman"/>
                <w:sz w:val="16"/>
                <w:szCs w:val="16"/>
                <w:b w:val="1"/>
                <w:bCs w:val="1"/>
                <w:color w:val="auto"/>
              </w:rPr>
              <w:t>Hedge Accounting</w:t>
            </w:r>
          </w:p>
        </w:tc>
        <w:tc>
          <w:tcPr>
            <w:tcW w:w="100" w:type="dxa"/>
            <w:vAlign w:val="bottom"/>
          </w:tcPr>
          <w:p>
            <w:pPr>
              <w:spacing w:after="0"/>
              <w:rPr>
                <w:sz w:val="13"/>
                <w:szCs w:val="13"/>
                <w:color w:val="auto"/>
              </w:rPr>
            </w:pPr>
          </w:p>
        </w:tc>
        <w:tc>
          <w:tcPr>
            <w:tcW w:w="1320" w:type="dxa"/>
            <w:vAlign w:val="bottom"/>
          </w:tcPr>
          <w:p>
            <w:pPr>
              <w:jc w:val="center"/>
              <w:ind w:right="19"/>
              <w:spacing w:after="0" w:line="158" w:lineRule="exact"/>
              <w:rPr>
                <w:sz w:val="20"/>
                <w:szCs w:val="20"/>
                <w:color w:val="auto"/>
              </w:rPr>
            </w:pPr>
            <w:r>
              <w:rPr>
                <w:rFonts w:ascii="Times New Roman" w:cs="Times New Roman" w:eastAsia="Times New Roman" w:hAnsi="Times New Roman"/>
                <w:sz w:val="16"/>
                <w:szCs w:val="16"/>
                <w:b w:val="1"/>
                <w:bCs w:val="1"/>
                <w:color w:val="auto"/>
              </w:rPr>
              <w:t>Hedged Portfolio</w:t>
            </w:r>
          </w:p>
        </w:tc>
        <w:tc>
          <w:tcPr>
            <w:tcW w:w="120" w:type="dxa"/>
            <w:vAlign w:val="bottom"/>
          </w:tcPr>
          <w:p>
            <w:pPr>
              <w:spacing w:after="0"/>
              <w:rPr>
                <w:sz w:val="13"/>
                <w:szCs w:val="13"/>
                <w:color w:val="auto"/>
              </w:rPr>
            </w:pPr>
          </w:p>
        </w:tc>
        <w:tc>
          <w:tcPr>
            <w:tcW w:w="1540" w:type="dxa"/>
            <w:vAlign w:val="bottom"/>
            <w:gridSpan w:val="3"/>
            <w:vMerge w:val="restart"/>
          </w:tcPr>
          <w:p>
            <w:pPr>
              <w:ind w:left="80"/>
              <w:spacing w:after="0"/>
              <w:rPr>
                <w:sz w:val="20"/>
                <w:szCs w:val="20"/>
                <w:color w:val="auto"/>
              </w:rPr>
            </w:pPr>
            <w:r>
              <w:rPr>
                <w:rFonts w:ascii="Times New Roman" w:cs="Times New Roman" w:eastAsia="Times New Roman" w:hAnsi="Times New Roman"/>
                <w:sz w:val="16"/>
                <w:szCs w:val="16"/>
                <w:b w:val="1"/>
                <w:bCs w:val="1"/>
                <w:color w:val="auto"/>
              </w:rPr>
              <w:t>Carrying Amount</w:t>
            </w:r>
          </w:p>
        </w:tc>
        <w:tc>
          <w:tcPr>
            <w:tcW w:w="1540" w:type="dxa"/>
            <w:vAlign w:val="bottom"/>
            <w:gridSpan w:val="3"/>
          </w:tcPr>
          <w:p>
            <w:pPr>
              <w:jc w:val="center"/>
              <w:ind w:right="100"/>
              <w:spacing w:after="0" w:line="158" w:lineRule="exact"/>
              <w:rPr>
                <w:sz w:val="20"/>
                <w:szCs w:val="20"/>
                <w:color w:val="auto"/>
              </w:rPr>
            </w:pPr>
            <w:r>
              <w:rPr>
                <w:rFonts w:ascii="Times New Roman" w:cs="Times New Roman" w:eastAsia="Times New Roman" w:hAnsi="Times New Roman"/>
                <w:sz w:val="16"/>
                <w:szCs w:val="16"/>
                <w:b w:val="1"/>
                <w:bCs w:val="1"/>
                <w:color w:val="auto"/>
              </w:rPr>
              <w:t>Hedge Accounting</w:t>
            </w:r>
          </w:p>
        </w:tc>
        <w:tc>
          <w:tcPr>
            <w:tcW w:w="120" w:type="dxa"/>
            <w:vAlign w:val="bottom"/>
          </w:tcPr>
          <w:p>
            <w:pPr>
              <w:spacing w:after="0"/>
              <w:rPr>
                <w:sz w:val="13"/>
                <w:szCs w:val="13"/>
                <w:color w:val="auto"/>
              </w:rPr>
            </w:pPr>
          </w:p>
        </w:tc>
        <w:tc>
          <w:tcPr>
            <w:tcW w:w="1320" w:type="dxa"/>
            <w:vAlign w:val="bottom"/>
          </w:tcPr>
          <w:p>
            <w:pPr>
              <w:jc w:val="right"/>
              <w:ind w:right="39"/>
              <w:spacing w:after="0" w:line="158" w:lineRule="exact"/>
              <w:rPr>
                <w:sz w:val="20"/>
                <w:szCs w:val="20"/>
                <w:color w:val="auto"/>
              </w:rPr>
            </w:pPr>
            <w:r>
              <w:rPr>
                <w:rFonts w:ascii="Times New Roman" w:cs="Times New Roman" w:eastAsia="Times New Roman" w:hAnsi="Times New Roman"/>
                <w:sz w:val="16"/>
                <w:szCs w:val="16"/>
                <w:b w:val="1"/>
                <w:bCs w:val="1"/>
                <w:color w:val="auto"/>
              </w:rPr>
              <w:t>Hedged Portfolio</w:t>
            </w:r>
          </w:p>
        </w:tc>
        <w:tc>
          <w:tcPr>
            <w:tcW w:w="0" w:type="dxa"/>
            <w:vAlign w:val="bottom"/>
          </w:tcPr>
          <w:p>
            <w:pPr>
              <w:spacing w:after="0"/>
              <w:rPr>
                <w:sz w:val="1"/>
                <w:szCs w:val="1"/>
                <w:color w:val="auto"/>
              </w:rPr>
            </w:pPr>
          </w:p>
        </w:tc>
      </w:tr>
      <w:tr>
        <w:trPr>
          <w:trHeight w:val="214"/>
        </w:trPr>
        <w:tc>
          <w:tcPr>
            <w:tcW w:w="2120" w:type="dxa"/>
            <w:vAlign w:val="bottom"/>
            <w:gridSpan w:val="2"/>
            <w:vMerge w:val="continue"/>
          </w:tcPr>
          <w:p>
            <w:pPr>
              <w:spacing w:after="0"/>
              <w:rPr>
                <w:sz w:val="18"/>
                <w:szCs w:val="18"/>
                <w:color w:val="auto"/>
              </w:rPr>
            </w:pPr>
          </w:p>
        </w:tc>
        <w:tc>
          <w:tcPr>
            <w:tcW w:w="1540" w:type="dxa"/>
            <w:vAlign w:val="bottom"/>
            <w:gridSpan w:val="3"/>
            <w:vMerge w:val="continue"/>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Basis Adjustment</w:t>
            </w:r>
          </w:p>
        </w:tc>
        <w:tc>
          <w:tcPr>
            <w:tcW w:w="100" w:type="dxa"/>
            <w:vAlign w:val="bottom"/>
          </w:tcPr>
          <w:p>
            <w:pPr>
              <w:spacing w:after="0"/>
              <w:rPr>
                <w:sz w:val="18"/>
                <w:szCs w:val="18"/>
                <w:color w:val="auto"/>
              </w:rPr>
            </w:pPr>
          </w:p>
        </w:tc>
        <w:tc>
          <w:tcPr>
            <w:tcW w:w="144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Layer</w:t>
            </w:r>
          </w:p>
        </w:tc>
        <w:tc>
          <w:tcPr>
            <w:tcW w:w="1540" w:type="dxa"/>
            <w:vAlign w:val="bottom"/>
            <w:gridSpan w:val="3"/>
            <w:vMerge w:val="continue"/>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Basis Adjustment</w:t>
            </w:r>
          </w:p>
        </w:tc>
        <w:tc>
          <w:tcPr>
            <w:tcW w:w="120" w:type="dxa"/>
            <w:vAlign w:val="bottom"/>
          </w:tcPr>
          <w:p>
            <w:pPr>
              <w:spacing w:after="0"/>
              <w:rPr>
                <w:sz w:val="18"/>
                <w:szCs w:val="18"/>
                <w:color w:val="auto"/>
              </w:rPr>
            </w:pPr>
          </w:p>
        </w:tc>
        <w:tc>
          <w:tcPr>
            <w:tcW w:w="1320" w:type="dxa"/>
            <w:vAlign w:val="bottom"/>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rPr>
              <w:t>Layer</w:t>
            </w:r>
          </w:p>
        </w:tc>
        <w:tc>
          <w:tcPr>
            <w:tcW w:w="0" w:type="dxa"/>
            <w:vAlign w:val="bottom"/>
          </w:tcPr>
          <w:p>
            <w:pPr>
              <w:spacing w:after="0"/>
              <w:rPr>
                <w:sz w:val="1"/>
                <w:szCs w:val="1"/>
                <w:color w:val="auto"/>
              </w:rPr>
            </w:pPr>
          </w:p>
        </w:tc>
      </w:tr>
      <w:tr>
        <w:trPr>
          <w:trHeight w:val="211"/>
        </w:trPr>
        <w:tc>
          <w:tcPr>
            <w:tcW w:w="2000" w:type="dxa"/>
            <w:vAlign w:val="bottom"/>
            <w:tcBorders>
              <w:top w:val="single" w:sz="8" w:color="auto"/>
            </w:tcBorders>
            <w:shd w:val="clear" w:color="auto" w:fill="CCEEFF"/>
          </w:tcPr>
          <w:p>
            <w:pPr>
              <w:ind w:left="40"/>
              <w:spacing w:after="0" w:line="212" w:lineRule="exact"/>
              <w:rPr>
                <w:sz w:val="20"/>
                <w:szCs w:val="20"/>
                <w:color w:val="auto"/>
              </w:rPr>
            </w:pPr>
            <w:r>
              <w:rPr>
                <w:rFonts w:ascii="Times New Roman" w:cs="Times New Roman" w:eastAsia="Times New Roman" w:hAnsi="Times New Roman"/>
                <w:sz w:val="16"/>
                <w:szCs w:val="16"/>
                <w:color w:val="auto"/>
              </w:rPr>
              <w:t xml:space="preserve">Debt securities AFS </w:t>
            </w:r>
            <w:r>
              <w:rPr>
                <w:rFonts w:ascii="Times New Roman" w:cs="Times New Roman" w:eastAsia="Times New Roman" w:hAnsi="Times New Roman"/>
                <w:sz w:val="21"/>
                <w:szCs w:val="21"/>
                <w:color w:val="auto"/>
                <w:vertAlign w:val="superscript"/>
              </w:rPr>
              <w:t>(1)</w:t>
            </w:r>
          </w:p>
        </w:tc>
        <w:tc>
          <w:tcPr>
            <w:tcW w:w="12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971,227</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4,913</w:t>
            </w: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793,688</w:t>
            </w:r>
          </w:p>
        </w:tc>
        <w:tc>
          <w:tcPr>
            <w:tcW w:w="12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1,002,511</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(9,752)</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821,507</w:t>
            </w:r>
          </w:p>
        </w:tc>
        <w:tc>
          <w:tcPr>
            <w:tcW w:w="0" w:type="dxa"/>
            <w:vAlign w:val="bottom"/>
          </w:tcPr>
          <w:p>
            <w:pPr>
              <w:spacing w:after="0"/>
              <w:rPr>
                <w:sz w:val="1"/>
                <w:szCs w:val="1"/>
                <w:color w:val="auto"/>
              </w:rPr>
            </w:pPr>
          </w:p>
        </w:tc>
      </w:tr>
      <w:tr>
        <w:trPr>
          <w:trHeight w:val="162"/>
        </w:trPr>
        <w:tc>
          <w:tcPr>
            <w:tcW w:w="2120" w:type="dxa"/>
            <w:vAlign w:val="bottom"/>
            <w:gridSpan w:val="2"/>
          </w:tcPr>
          <w:p>
            <w:pPr>
              <w:ind w:left="20"/>
              <w:spacing w:after="0" w:line="162" w:lineRule="exact"/>
              <w:rPr>
                <w:sz w:val="20"/>
                <w:szCs w:val="20"/>
                <w:color w:val="auto"/>
              </w:rPr>
            </w:pPr>
            <w:r>
              <w:rPr>
                <w:rFonts w:ascii="Times New Roman" w:cs="Times New Roman" w:eastAsia="Times New Roman" w:hAnsi="Times New Roman"/>
                <w:sz w:val="16"/>
                <w:szCs w:val="16"/>
                <w:color w:val="auto"/>
              </w:rPr>
              <w:t>Loans and leases held for</w:t>
            </w:r>
          </w:p>
        </w:tc>
        <w:tc>
          <w:tcPr>
            <w:tcW w:w="400" w:type="dxa"/>
            <w:vAlign w:val="bottom"/>
          </w:tcPr>
          <w:p>
            <w:pPr>
              <w:spacing w:after="0"/>
              <w:rPr>
                <w:sz w:val="14"/>
                <w:szCs w:val="14"/>
                <w:color w:val="auto"/>
              </w:rPr>
            </w:pP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4,205,598</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7,829</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2,050,000</w:t>
            </w:r>
          </w:p>
        </w:tc>
        <w:tc>
          <w:tcPr>
            <w:tcW w:w="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4,628,030</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7,327</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1,650,000</w:t>
            </w:r>
          </w:p>
        </w:tc>
        <w:tc>
          <w:tcPr>
            <w:tcW w:w="0" w:type="dxa"/>
            <w:vAlign w:val="bottom"/>
          </w:tcPr>
          <w:p>
            <w:pPr>
              <w:spacing w:after="0"/>
              <w:rPr>
                <w:sz w:val="1"/>
                <w:szCs w:val="1"/>
                <w:color w:val="auto"/>
              </w:rPr>
            </w:pPr>
          </w:p>
        </w:tc>
      </w:tr>
      <w:tr>
        <w:trPr>
          <w:trHeight w:val="210"/>
        </w:trPr>
        <w:tc>
          <w:tcPr>
            <w:tcW w:w="21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investment</w:t>
            </w:r>
          </w:p>
        </w:tc>
        <w:tc>
          <w:tcPr>
            <w:tcW w:w="400" w:type="dxa"/>
            <w:vAlign w:val="bottom"/>
          </w:tcPr>
          <w:p>
            <w:pPr>
              <w:spacing w:after="0"/>
              <w:rPr>
                <w:sz w:val="18"/>
                <w:szCs w:val="18"/>
                <w:color w:val="auto"/>
              </w:rPr>
            </w:pPr>
          </w:p>
        </w:tc>
        <w:tc>
          <w:tcPr>
            <w:tcW w:w="102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2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bl>
    <w:p>
      <w:pPr>
        <w:spacing w:after="0" w:line="55" w:lineRule="exact"/>
        <w:rPr>
          <w:sz w:val="20"/>
          <w:szCs w:val="20"/>
          <w:color w:val="auto"/>
        </w:rPr>
      </w:pPr>
    </w:p>
    <w:p>
      <w:pPr>
        <w:ind w:left="180" w:hanging="172"/>
        <w:spacing w:after="0"/>
        <w:tabs>
          <w:tab w:leader="none" w:pos="180" w:val="left"/>
        </w:tabs>
        <w:numPr>
          <w:ilvl w:val="0"/>
          <w:numId w:val="9"/>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Carrying amount for AFS debt securities reflects amortized cost, which excludes the hedge accounting basis adjustment.</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Derivatives Not Designated as Hedging Instruments</w:t>
      </w:r>
    </w:p>
    <w:p>
      <w:pPr>
        <w:spacing w:after="0" w:line="3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Customer derivative positions include swaps, caps, and collars between United and certain commercial loan customers with offsetting positions to dealers under a back-to-back program. In addition, United occasionally enters into credit risk participation agreements with counterparty banks to accept or transfer a portion of the credit risk related to interest rate swaps.</w:t>
      </w:r>
    </w:p>
    <w:p>
      <w:pPr>
        <w:spacing w:after="0" w:line="21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United also has three interest rate swap contracts that are economic hedges of market-linked brokered certificates of deposit, which contain embedded derivatives that are bifurcated from the host instruments. The fair value marks on the swaps and the bifurcated embedded derivatives tend to move in opposite directions and therefore provide an economic hedge.</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addition, in connection with residential mortgage loans that are originated with the intention of selling them, United enters into commitments to originate residential mortgage loans and forward loan sales commitments.</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6" w:name="page27"/>
    <w:bookmarkEnd w:id="26"/>
    <w:p>
      <w:pPr>
        <w:jc w:val="center"/>
        <w:spacing w:after="0"/>
        <w:rPr>
          <w:sz w:val="20"/>
          <w:szCs w:val="20"/>
          <w:color w:val="auto"/>
        </w:rPr>
      </w:pPr>
      <w:r>
        <w:rPr>
          <w:rFonts w:ascii="Times New Roman" w:cs="Times New Roman" w:eastAsia="Times New Roman" w:hAnsi="Times New Roman"/>
          <w:sz w:val="18"/>
          <w:szCs w:val="18"/>
          <w:b w:val="1"/>
          <w:bCs w:val="1"/>
          <w:color w:val="auto"/>
        </w:rPr>
        <w:t>UNITED COMMUNITY BANKS,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(Unaudited)</w:t>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table below presents the gains and losses recognized in income on derivatives not designated as hedging instruments for the periods indicated.</w:t>
      </w:r>
    </w:p>
    <w:p>
      <w:pPr>
        <w:spacing w:after="0" w:line="349"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322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5120" w:type="dxa"/>
            <w:vAlign w:val="bottom"/>
            <w:tcBorders>
              <w:bottom w:val="single" w:sz="8" w:color="auto"/>
            </w:tcBorders>
            <w:gridSpan w:val="10"/>
          </w:tcPr>
          <w:p>
            <w:pPr>
              <w:jc w:val="right"/>
              <w:ind w:right="519"/>
              <w:spacing w:after="0"/>
              <w:rPr>
                <w:sz w:val="20"/>
                <w:szCs w:val="20"/>
                <w:color w:val="auto"/>
              </w:rPr>
            </w:pPr>
            <w:r>
              <w:rPr>
                <w:rFonts w:ascii="Times New Roman" w:cs="Times New Roman" w:eastAsia="Times New Roman" w:hAnsi="Times New Roman"/>
                <w:sz w:val="16"/>
                <w:szCs w:val="16"/>
                <w:b w:val="1"/>
                <w:bCs w:val="1"/>
                <w:color w:val="auto"/>
              </w:rPr>
              <w:t>Amount of Gain (Loss) Recognized in Income on Derivatives</w:t>
            </w:r>
          </w:p>
        </w:tc>
        <w:tc>
          <w:tcPr>
            <w:tcW w:w="0" w:type="dxa"/>
            <w:vAlign w:val="bottom"/>
          </w:tcPr>
          <w:p>
            <w:pPr>
              <w:spacing w:after="0"/>
              <w:rPr>
                <w:sz w:val="1"/>
                <w:szCs w:val="1"/>
                <w:color w:val="auto"/>
              </w:rPr>
            </w:pPr>
          </w:p>
        </w:tc>
      </w:tr>
      <w:tr>
        <w:trPr>
          <w:trHeight w:val="186"/>
        </w:trPr>
        <w:tc>
          <w:tcPr>
            <w:tcW w:w="3220" w:type="dxa"/>
            <w:vAlign w:val="bottom"/>
          </w:tcPr>
          <w:p>
            <w:pPr>
              <w:spacing w:after="0"/>
              <w:rPr>
                <w:sz w:val="16"/>
                <w:szCs w:val="16"/>
                <w:color w:val="auto"/>
              </w:rPr>
            </w:pPr>
          </w:p>
        </w:tc>
        <w:tc>
          <w:tcPr>
            <w:tcW w:w="256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Location of Gain (Loss)</w:t>
            </w:r>
          </w:p>
        </w:tc>
        <w:tc>
          <w:tcPr>
            <w:tcW w:w="280" w:type="dxa"/>
            <w:vAlign w:val="bottom"/>
          </w:tcPr>
          <w:p>
            <w:pPr>
              <w:spacing w:after="0"/>
              <w:rPr>
                <w:sz w:val="16"/>
                <w:szCs w:val="16"/>
                <w:color w:val="auto"/>
              </w:rPr>
            </w:pPr>
          </w:p>
        </w:tc>
        <w:tc>
          <w:tcPr>
            <w:tcW w:w="2500" w:type="dxa"/>
            <w:vAlign w:val="bottom"/>
            <w:gridSpan w:val="5"/>
          </w:tcPr>
          <w:p>
            <w:pPr>
              <w:ind w:left="30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1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8"/>
        </w:trPr>
        <w:tc>
          <w:tcPr>
            <w:tcW w:w="3220" w:type="dxa"/>
            <w:vAlign w:val="bottom"/>
          </w:tcPr>
          <w:p>
            <w:pPr>
              <w:spacing w:after="0"/>
              <w:rPr>
                <w:sz w:val="5"/>
                <w:szCs w:val="5"/>
                <w:color w:val="auto"/>
              </w:rPr>
            </w:pPr>
          </w:p>
        </w:tc>
        <w:tc>
          <w:tcPr>
            <w:tcW w:w="256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1540" w:type="dxa"/>
            <w:vAlign w:val="bottom"/>
            <w:gridSpan w:val="3"/>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8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2520" w:type="dxa"/>
            <w:vAlign w:val="bottom"/>
            <w:gridSpan w:val="4"/>
            <w:vMerge w:val="restart"/>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Nine Months Ended September 30,</w:t>
            </w:r>
          </w:p>
        </w:tc>
        <w:tc>
          <w:tcPr>
            <w:tcW w:w="0" w:type="dxa"/>
            <w:vAlign w:val="bottom"/>
          </w:tcPr>
          <w:p>
            <w:pPr>
              <w:spacing w:after="0"/>
              <w:rPr>
                <w:sz w:val="1"/>
                <w:szCs w:val="1"/>
                <w:color w:val="auto"/>
              </w:rPr>
            </w:pPr>
          </w:p>
        </w:tc>
      </w:tr>
      <w:tr>
        <w:trPr>
          <w:trHeight w:val="148"/>
        </w:trPr>
        <w:tc>
          <w:tcPr>
            <w:tcW w:w="3220" w:type="dxa"/>
            <w:vAlign w:val="bottom"/>
          </w:tcPr>
          <w:p>
            <w:pPr>
              <w:spacing w:after="0"/>
              <w:rPr>
                <w:sz w:val="12"/>
                <w:szCs w:val="12"/>
                <w:color w:val="auto"/>
              </w:rPr>
            </w:pPr>
          </w:p>
        </w:tc>
        <w:tc>
          <w:tcPr>
            <w:tcW w:w="2560" w:type="dxa"/>
            <w:vAlign w:val="bottom"/>
            <w:gridSpan w:val="2"/>
          </w:tcPr>
          <w:p>
            <w:pPr>
              <w:jc w:val="center"/>
              <w:ind w:right="120"/>
              <w:spacing w:after="0" w:line="142" w:lineRule="exact"/>
              <w:rPr>
                <w:sz w:val="20"/>
                <w:szCs w:val="20"/>
                <w:color w:val="auto"/>
              </w:rPr>
            </w:pPr>
            <w:r>
              <w:rPr>
                <w:rFonts w:ascii="Times New Roman" w:cs="Times New Roman" w:eastAsia="Times New Roman" w:hAnsi="Times New Roman"/>
                <w:sz w:val="16"/>
                <w:szCs w:val="16"/>
                <w:b w:val="1"/>
                <w:bCs w:val="1"/>
                <w:color w:val="auto"/>
              </w:rPr>
              <w:t>Recognized in Income on</w:t>
            </w:r>
          </w:p>
        </w:tc>
        <w:tc>
          <w:tcPr>
            <w:tcW w:w="280" w:type="dxa"/>
            <w:vAlign w:val="bottom"/>
            <w:tcBorders>
              <w:bottom w:val="single" w:sz="8" w:color="auto"/>
            </w:tcBorders>
          </w:tcPr>
          <w:p>
            <w:pPr>
              <w:spacing w:after="0"/>
              <w:rPr>
                <w:sz w:val="12"/>
                <w:szCs w:val="12"/>
                <w:color w:val="auto"/>
              </w:rPr>
            </w:pPr>
          </w:p>
        </w:tc>
        <w:tc>
          <w:tcPr>
            <w:tcW w:w="1540" w:type="dxa"/>
            <w:vAlign w:val="bottom"/>
            <w:tcBorders>
              <w:bottom w:val="single" w:sz="8" w:color="auto"/>
            </w:tcBorders>
            <w:gridSpan w:val="3"/>
            <w:vMerge w:val="continue"/>
          </w:tcPr>
          <w:p>
            <w:pPr>
              <w:spacing w:after="0"/>
              <w:rPr>
                <w:sz w:val="12"/>
                <w:szCs w:val="12"/>
                <w:color w:val="auto"/>
              </w:rPr>
            </w:pPr>
          </w:p>
        </w:tc>
        <w:tc>
          <w:tcPr>
            <w:tcW w:w="820" w:type="dxa"/>
            <w:vAlign w:val="bottom"/>
            <w:tcBorders>
              <w:bottom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2520" w:type="dxa"/>
            <w:vAlign w:val="bottom"/>
            <w:tcBorders>
              <w:bottom w:val="single" w:sz="8" w:color="auto"/>
            </w:tcBorders>
            <w:gridSpan w:val="4"/>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8"/>
        </w:trPr>
        <w:tc>
          <w:tcPr>
            <w:tcW w:w="3220" w:type="dxa"/>
            <w:vAlign w:val="bottom"/>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256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Derivatives</w:t>
            </w:r>
          </w:p>
        </w:tc>
        <w:tc>
          <w:tcPr>
            <w:tcW w:w="280" w:type="dxa"/>
            <w:vAlign w:val="bottom"/>
          </w:tcPr>
          <w:p>
            <w:pPr>
              <w:spacing w:after="0"/>
              <w:rPr>
                <w:sz w:val="18"/>
                <w:szCs w:val="18"/>
                <w:color w:val="auto"/>
              </w:rPr>
            </w:pPr>
          </w:p>
        </w:tc>
        <w:tc>
          <w:tcPr>
            <w:tcW w:w="980" w:type="dxa"/>
            <w:vAlign w:val="bottom"/>
          </w:tcPr>
          <w:p>
            <w:pPr>
              <w:jc w:val="right"/>
              <w:ind w:right="39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20" w:type="dxa"/>
            <w:vAlign w:val="bottom"/>
          </w:tcPr>
          <w:p>
            <w:pPr>
              <w:jc w:val="right"/>
              <w:ind w:right="399"/>
              <w:spacing w:after="0"/>
              <w:rPr>
                <w:sz w:val="20"/>
                <w:szCs w:val="20"/>
                <w:color w:val="auto"/>
              </w:rPr>
            </w:pPr>
            <w:r>
              <w:rPr>
                <w:rFonts w:ascii="Times New Roman" w:cs="Times New Roman" w:eastAsia="Times New Roman" w:hAnsi="Times New Roman"/>
                <w:sz w:val="16"/>
                <w:szCs w:val="16"/>
                <w:b w:val="1"/>
                <w:bCs w:val="1"/>
                <w:color w:val="auto"/>
                <w:w w:val="99"/>
              </w:rPr>
              <w:t>2024</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jc w:val="right"/>
              <w:ind w:right="399"/>
              <w:spacing w:after="0"/>
              <w:rPr>
                <w:sz w:val="20"/>
                <w:szCs w:val="20"/>
                <w:color w:val="auto"/>
              </w:rPr>
            </w:pPr>
            <w:r>
              <w:rPr>
                <w:rFonts w:ascii="Times New Roman" w:cs="Times New Roman" w:eastAsia="Times New Roman" w:hAnsi="Times New Roman"/>
                <w:sz w:val="16"/>
                <w:szCs w:val="16"/>
                <w:b w:val="1"/>
                <w:bCs w:val="1"/>
                <w:color w:val="auto"/>
              </w:rPr>
              <w:t>2025</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ind w:right="379"/>
              <w:spacing w:after="0"/>
              <w:rPr>
                <w:sz w:val="20"/>
                <w:szCs w:val="20"/>
                <w:color w:val="auto"/>
              </w:rPr>
            </w:pPr>
            <w:r>
              <w:rPr>
                <w:rFonts w:ascii="Times New Roman" w:cs="Times New Roman" w:eastAsia="Times New Roman" w:hAnsi="Times New Roman"/>
                <w:sz w:val="16"/>
                <w:szCs w:val="16"/>
                <w:b w:val="1"/>
                <w:bCs w:val="1"/>
                <w:color w:val="auto"/>
              </w:rPr>
              <w:t>2024</w:t>
            </w:r>
          </w:p>
        </w:tc>
        <w:tc>
          <w:tcPr>
            <w:tcW w:w="0" w:type="dxa"/>
            <w:vAlign w:val="bottom"/>
          </w:tcPr>
          <w:p>
            <w:pPr>
              <w:spacing w:after="0"/>
              <w:rPr>
                <w:sz w:val="1"/>
                <w:szCs w:val="1"/>
                <w:color w:val="auto"/>
              </w:rPr>
            </w:pPr>
          </w:p>
        </w:tc>
      </w:tr>
      <w:tr>
        <w:trPr>
          <w:trHeight w:val="211"/>
        </w:trPr>
        <w:tc>
          <w:tcPr>
            <w:tcW w:w="32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Customer derivatives and dealer offsets</w:t>
            </w:r>
          </w:p>
        </w:tc>
        <w:tc>
          <w:tcPr>
            <w:tcW w:w="24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noninterest income</w:t>
            </w:r>
          </w:p>
        </w:tc>
        <w:tc>
          <w:tcPr>
            <w:tcW w:w="1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1,331</w:t>
            </w:r>
          </w:p>
        </w:tc>
        <w:tc>
          <w:tcPr>
            <w:tcW w:w="10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jc w:val="right"/>
              <w:ind w:right="27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1,165</w:t>
            </w: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3,333</w:t>
            </w:r>
          </w:p>
        </w:tc>
        <w:tc>
          <w:tcPr>
            <w:tcW w:w="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1,371</w:t>
            </w:r>
          </w:p>
        </w:tc>
        <w:tc>
          <w:tcPr>
            <w:tcW w:w="0" w:type="dxa"/>
            <w:vAlign w:val="bottom"/>
          </w:tcPr>
          <w:p>
            <w:pPr>
              <w:spacing w:after="0"/>
              <w:rPr>
                <w:sz w:val="1"/>
                <w:szCs w:val="1"/>
                <w:color w:val="auto"/>
              </w:rPr>
            </w:pPr>
          </w:p>
        </w:tc>
      </w:tr>
      <w:tr>
        <w:trPr>
          <w:trHeight w:val="162"/>
        </w:trPr>
        <w:tc>
          <w:tcPr>
            <w:tcW w:w="3220" w:type="dxa"/>
            <w:vAlign w:val="bottom"/>
          </w:tcPr>
          <w:p>
            <w:pPr>
              <w:ind w:left="20"/>
              <w:spacing w:after="0" w:line="162" w:lineRule="exact"/>
              <w:rPr>
                <w:sz w:val="20"/>
                <w:szCs w:val="20"/>
                <w:color w:val="auto"/>
              </w:rPr>
            </w:pPr>
            <w:r>
              <w:rPr>
                <w:rFonts w:ascii="Times New Roman" w:cs="Times New Roman" w:eastAsia="Times New Roman" w:hAnsi="Times New Roman"/>
                <w:sz w:val="16"/>
                <w:szCs w:val="16"/>
                <w:color w:val="auto"/>
              </w:rPr>
              <w:t>Bifurcated embedded derivatives and dealer</w:t>
            </w:r>
          </w:p>
        </w:tc>
        <w:tc>
          <w:tcPr>
            <w:tcW w:w="256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color w:val="auto"/>
              </w:rPr>
              <w:t>Other noninterest income</w:t>
            </w:r>
          </w:p>
        </w:tc>
        <w:tc>
          <w:tcPr>
            <w:tcW w:w="280" w:type="dxa"/>
            <w:vAlign w:val="bottom"/>
          </w:tcPr>
          <w:p>
            <w:pPr>
              <w:spacing w:after="0"/>
              <w:rPr>
                <w:sz w:val="14"/>
                <w:szCs w:val="14"/>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(21)</w:t>
            </w: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(72)</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(25)</w:t>
            </w: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(263)</w:t>
            </w:r>
          </w:p>
        </w:tc>
        <w:tc>
          <w:tcPr>
            <w:tcW w:w="0" w:type="dxa"/>
            <w:vAlign w:val="bottom"/>
          </w:tcPr>
          <w:p>
            <w:pPr>
              <w:spacing w:after="0"/>
              <w:rPr>
                <w:sz w:val="1"/>
                <w:szCs w:val="1"/>
                <w:color w:val="auto"/>
              </w:rPr>
            </w:pPr>
          </w:p>
        </w:tc>
      </w:tr>
      <w:tr>
        <w:trPr>
          <w:trHeight w:val="213"/>
        </w:trPr>
        <w:tc>
          <w:tcPr>
            <w:tcW w:w="32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offsets</w:t>
            </w:r>
          </w:p>
        </w:tc>
        <w:tc>
          <w:tcPr>
            <w:tcW w:w="2560" w:type="dxa"/>
            <w:vAlign w:val="bottom"/>
            <w:gridSpan w:val="2"/>
            <w:vMerge w:val="continue"/>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2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5"/>
        </w:trPr>
        <w:tc>
          <w:tcPr>
            <w:tcW w:w="322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Mortgage banking derivatives</w:t>
            </w:r>
          </w:p>
        </w:tc>
        <w:tc>
          <w:tcPr>
            <w:tcW w:w="2560" w:type="dxa"/>
            <w:vAlign w:val="bottom"/>
            <w:gridSpan w:val="2"/>
            <w:shd w:val="clear" w:color="auto" w:fill="CCEEFF"/>
          </w:tcPr>
          <w:p>
            <w:pPr>
              <w:ind w:left="20"/>
              <w:spacing w:after="0" w:line="165" w:lineRule="exact"/>
              <w:rPr>
                <w:sz w:val="20"/>
                <w:szCs w:val="20"/>
                <w:color w:val="auto"/>
              </w:rPr>
            </w:pPr>
            <w:r>
              <w:rPr>
                <w:rFonts w:ascii="Times New Roman" w:cs="Times New Roman" w:eastAsia="Times New Roman" w:hAnsi="Times New Roman"/>
                <w:sz w:val="16"/>
                <w:szCs w:val="16"/>
                <w:color w:val="auto"/>
              </w:rPr>
              <w:t>Mortgage loan gains and other</w:t>
            </w:r>
          </w:p>
        </w:tc>
        <w:tc>
          <w:tcPr>
            <w:tcW w:w="280" w:type="dxa"/>
            <w:vAlign w:val="bottom"/>
            <w:shd w:val="clear" w:color="auto" w:fill="CCEEFF"/>
          </w:tcPr>
          <w:p>
            <w:pPr>
              <w:spacing w:after="0"/>
              <w:rPr>
                <w:sz w:val="14"/>
                <w:szCs w:val="14"/>
                <w:color w:val="auto"/>
              </w:rPr>
            </w:pPr>
          </w:p>
        </w:tc>
        <w:tc>
          <w:tcPr>
            <w:tcW w:w="9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(666)</w:t>
            </w:r>
          </w:p>
        </w:tc>
        <w:tc>
          <w:tcPr>
            <w:tcW w:w="10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(1,947)</w:t>
            </w: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(961)</w:t>
            </w: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(595)</w:t>
            </w:r>
          </w:p>
        </w:tc>
        <w:tc>
          <w:tcPr>
            <w:tcW w:w="0" w:type="dxa"/>
            <w:vAlign w:val="bottom"/>
          </w:tcPr>
          <w:p>
            <w:pPr>
              <w:spacing w:after="0"/>
              <w:rPr>
                <w:sz w:val="1"/>
                <w:szCs w:val="1"/>
                <w:color w:val="auto"/>
              </w:rPr>
            </w:pPr>
          </w:p>
        </w:tc>
      </w:tr>
      <w:tr>
        <w:trPr>
          <w:trHeight w:val="216"/>
        </w:trPr>
        <w:tc>
          <w:tcPr>
            <w:tcW w:w="3220" w:type="dxa"/>
            <w:vAlign w:val="bottom"/>
            <w:vMerge w:val="continue"/>
            <w:shd w:val="clear" w:color="auto" w:fill="CCEEFF"/>
          </w:tcPr>
          <w:p>
            <w:pPr>
              <w:spacing w:after="0"/>
              <w:rPr>
                <w:sz w:val="18"/>
                <w:szCs w:val="18"/>
                <w:color w:val="auto"/>
              </w:rPr>
            </w:pPr>
          </w:p>
        </w:tc>
        <w:tc>
          <w:tcPr>
            <w:tcW w:w="25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related fees</w:t>
            </w:r>
          </w:p>
        </w:tc>
        <w:tc>
          <w:tcPr>
            <w:tcW w:w="280" w:type="dxa"/>
            <w:vAlign w:val="bottom"/>
            <w:shd w:val="clear" w:color="auto" w:fill="CCEEFF"/>
          </w:tcPr>
          <w:p>
            <w:pPr>
              <w:spacing w:after="0"/>
              <w:rPr>
                <w:sz w:val="18"/>
                <w:szCs w:val="18"/>
                <w:color w:val="auto"/>
              </w:rPr>
            </w:pPr>
          </w:p>
        </w:tc>
        <w:tc>
          <w:tcPr>
            <w:tcW w:w="98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2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Risk participations</w:t>
            </w:r>
          </w:p>
        </w:tc>
        <w:tc>
          <w:tcPr>
            <w:tcW w:w="256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6"/>
                <w:szCs w:val="16"/>
                <w:color w:val="auto"/>
              </w:rPr>
              <w:t>Other noninterest income</w:t>
            </w: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165</w:t>
            </w:r>
          </w:p>
        </w:tc>
        <w:tc>
          <w:tcPr>
            <w:tcW w:w="10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1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340</w:t>
            </w:r>
          </w:p>
        </w:tc>
        <w:tc>
          <w:tcPr>
            <w:tcW w:w="8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w:t>
            </w:r>
          </w:p>
        </w:tc>
        <w:tc>
          <w:tcPr>
            <w:tcW w:w="0" w:type="dxa"/>
            <w:vAlign w:val="bottom"/>
          </w:tcPr>
          <w:p>
            <w:pPr>
              <w:spacing w:after="0"/>
              <w:rPr>
                <w:sz w:val="1"/>
                <w:szCs w:val="1"/>
                <w:color w:val="auto"/>
              </w:rPr>
            </w:pPr>
          </w:p>
        </w:tc>
      </w:tr>
      <w:tr>
        <w:trPr>
          <w:trHeight w:val="234"/>
        </w:trPr>
        <w:tc>
          <w:tcPr>
            <w:tcW w:w="3220" w:type="dxa"/>
            <w:vAlign w:val="bottom"/>
            <w:tcBorders>
              <w:bottom w:val="single" w:sz="8" w:color="CCEEFF"/>
            </w:tcBorders>
            <w:shd w:val="clear" w:color="auto" w:fill="CCEEFF"/>
          </w:tcPr>
          <w:p>
            <w:pPr>
              <w:spacing w:after="0"/>
              <w:rPr>
                <w:sz w:val="19"/>
                <w:szCs w:val="19"/>
                <w:color w:val="auto"/>
              </w:rPr>
            </w:pPr>
          </w:p>
        </w:tc>
        <w:tc>
          <w:tcPr>
            <w:tcW w:w="24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809</w:t>
            </w:r>
          </w:p>
        </w:tc>
        <w:tc>
          <w:tcPr>
            <w:tcW w:w="100" w:type="dxa"/>
            <w:vAlign w:val="bottom"/>
            <w:tcBorders>
              <w:bottom w:val="single" w:sz="8" w:color="CCEEFF"/>
            </w:tcBorders>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jc w:val="right"/>
              <w:ind w:right="27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(837)</w:t>
            </w:r>
          </w:p>
        </w:tc>
        <w:tc>
          <w:tcPr>
            <w:tcW w:w="1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2,687</w:t>
            </w:r>
          </w:p>
        </w:tc>
        <w:tc>
          <w:tcPr>
            <w:tcW w:w="8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529</w:t>
            </w:r>
          </w:p>
        </w:tc>
        <w:tc>
          <w:tcPr>
            <w:tcW w:w="0" w:type="dxa"/>
            <w:vAlign w:val="bottom"/>
          </w:tcPr>
          <w:p>
            <w:pPr>
              <w:spacing w:after="0"/>
              <w:rPr>
                <w:sz w:val="1"/>
                <w:szCs w:val="1"/>
                <w:color w:val="auto"/>
              </w:rPr>
            </w:pPr>
          </w:p>
        </w:tc>
      </w:tr>
      <w:tr>
        <w:trPr>
          <w:trHeight w:val="20"/>
        </w:trPr>
        <w:tc>
          <w:tcPr>
            <w:tcW w:w="3220" w:type="dxa"/>
            <w:vAlign w:val="bottom"/>
            <w:tcBorders>
              <w:top w:val="single" w:sz="8" w:color="CCEEFF"/>
            </w:tcBorders>
          </w:tcPr>
          <w:p>
            <w:pPr>
              <w:spacing w:after="0" w:line="20" w:lineRule="exact"/>
              <w:rPr>
                <w:sz w:val="1"/>
                <w:szCs w:val="1"/>
                <w:color w:val="auto"/>
              </w:rPr>
            </w:pPr>
          </w:p>
        </w:tc>
        <w:tc>
          <w:tcPr>
            <w:tcW w:w="24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Credit-Risk-Related Contingent Features</w:t>
      </w:r>
    </w:p>
    <w:p>
      <w:pPr>
        <w:spacing w:after="0" w:line="3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United manages its credit exposure on derivatives transactions by entering into a bilateral credit support agreement with each non-customer counterparty. The credit support agreements require collateralization of exposures beyond specified minimum threshold amounts. The details of these agreements, including the minimum thresholds, vary by counterparty.</w:t>
      </w:r>
    </w:p>
    <w:p>
      <w:pPr>
        <w:spacing w:after="0" w:line="18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United’s agreements with each of its derivative counterparties provide that if either party defaults on any of its indebtedness, then it could also be declared in default on its derivative obligations. The agreements with derivative counterparties also include provisions that if not met, could result in United being declared in default. United has agreements with certain of its derivative counterparties that provide that if United fails to maintain its status as a well-capitalized institution or is subject to a prompt corrective action directive, the counterparty could terminate the derivative positions and United would be required to settle its obligations under the agreements. Derivatives that are centrally cleared do not have credit-risk-related features that would require additional collateral if United’s credit rating were downgraded.</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 Goodwill and Other Intangible Assets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carrying amount of goodwill and other intangible assets as of the dates indicated is summarized below</w:t>
      </w:r>
      <w:r>
        <w:rPr>
          <w:rFonts w:ascii="Times New Roman" w:cs="Times New Roman" w:eastAsia="Times New Roman" w:hAnsi="Times New Roman"/>
          <w:sz w:val="18"/>
          <w:szCs w:val="18"/>
          <w:i w:val="1"/>
          <w:iCs w:val="1"/>
          <w:color w:val="auto"/>
        </w:rPr>
        <w:t>.</w:t>
      </w: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940" w:type="dxa"/>
            <w:vAlign w:val="bottom"/>
          </w:tcPr>
          <w:p>
            <w:pPr>
              <w:ind w:left="176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140" w:type="dxa"/>
            <w:vAlign w:val="bottom"/>
          </w:tcPr>
          <w:p>
            <w:pPr>
              <w:spacing w:after="0"/>
              <w:rPr>
                <w:sz w:val="18"/>
                <w:szCs w:val="18"/>
                <w:color w:val="auto"/>
              </w:rPr>
            </w:pPr>
          </w:p>
        </w:tc>
        <w:tc>
          <w:tcPr>
            <w:tcW w:w="1740" w:type="dxa"/>
            <w:vAlign w:val="bottom"/>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September 30, 2025</w:t>
            </w:r>
          </w:p>
        </w:tc>
        <w:tc>
          <w:tcPr>
            <w:tcW w:w="140" w:type="dxa"/>
            <w:vAlign w:val="bottom"/>
          </w:tcPr>
          <w:p>
            <w:pPr>
              <w:spacing w:after="0"/>
              <w:rPr>
                <w:sz w:val="18"/>
                <w:szCs w:val="18"/>
                <w:color w:val="auto"/>
              </w:rPr>
            </w:pPr>
          </w:p>
        </w:tc>
        <w:tc>
          <w:tcPr>
            <w:tcW w:w="328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December 31, 2024</w:t>
            </w:r>
          </w:p>
        </w:tc>
      </w:tr>
      <w:tr>
        <w:trPr>
          <w:trHeight w:val="213"/>
        </w:trPr>
        <w:tc>
          <w:tcPr>
            <w:tcW w:w="5940" w:type="dxa"/>
            <w:vAlign w:val="bottom"/>
            <w:tcBorders>
              <w:top w:val="single" w:sz="8" w:color="CCEEFF"/>
            </w:tcBorders>
            <w:shd w:val="clear" w:color="auto" w:fill="CCEEFF"/>
          </w:tcPr>
          <w:p>
            <w:pPr>
              <w:ind w:left="1760"/>
              <w:spacing w:after="0"/>
              <w:rPr>
                <w:sz w:val="20"/>
                <w:szCs w:val="20"/>
                <w:color w:val="auto"/>
              </w:rPr>
            </w:pPr>
            <w:r>
              <w:rPr>
                <w:rFonts w:ascii="Times New Roman" w:cs="Times New Roman" w:eastAsia="Times New Roman" w:hAnsi="Times New Roman"/>
                <w:sz w:val="16"/>
                <w:szCs w:val="16"/>
                <w:color w:val="auto"/>
              </w:rPr>
              <w:t>Core deposit intangible</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106,984</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100,694</w:t>
            </w:r>
          </w:p>
        </w:tc>
        <w:tc>
          <w:tcPr>
            <w:tcW w:w="1760" w:type="dxa"/>
            <w:vAlign w:val="bottom"/>
            <w:tcBorders>
              <w:top w:val="single" w:sz="8" w:color="CCEEFF"/>
            </w:tcBorders>
            <w:shd w:val="clear" w:color="auto" w:fill="CCEEFF"/>
          </w:tcPr>
          <w:p>
            <w:pPr>
              <w:spacing w:after="0"/>
              <w:rPr>
                <w:sz w:val="18"/>
                <w:szCs w:val="18"/>
                <w:color w:val="auto"/>
              </w:rPr>
            </w:pPr>
          </w:p>
        </w:tc>
      </w:tr>
      <w:tr>
        <w:trPr>
          <w:trHeight w:val="213"/>
        </w:trPr>
        <w:tc>
          <w:tcPr>
            <w:tcW w:w="5940" w:type="dxa"/>
            <w:vAlign w:val="bottom"/>
            <w:tcBorders>
              <w:bottom w:val="single" w:sz="8" w:color="CCEEFF"/>
            </w:tcBorders>
          </w:tcPr>
          <w:p>
            <w:pPr>
              <w:ind w:left="1760"/>
              <w:spacing w:after="0"/>
              <w:rPr>
                <w:sz w:val="20"/>
                <w:szCs w:val="20"/>
                <w:color w:val="auto"/>
              </w:rPr>
            </w:pPr>
            <w:r>
              <w:rPr>
                <w:rFonts w:ascii="Times New Roman" w:cs="Times New Roman" w:eastAsia="Times New Roman" w:hAnsi="Times New Roman"/>
                <w:sz w:val="16"/>
                <w:szCs w:val="16"/>
                <w:color w:val="auto"/>
              </w:rPr>
              <w:t>Less: accumulated amortization</w:t>
            </w:r>
          </w:p>
        </w:tc>
        <w:tc>
          <w:tcPr>
            <w:tcW w:w="14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(61,032)</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(51,141)</w:t>
            </w:r>
          </w:p>
        </w:tc>
        <w:tc>
          <w:tcPr>
            <w:tcW w:w="1760" w:type="dxa"/>
            <w:vAlign w:val="bottom"/>
            <w:tcBorders>
              <w:bottom w:val="single" w:sz="8" w:color="CCEEFF"/>
            </w:tcBorders>
          </w:tcPr>
          <w:p>
            <w:pPr>
              <w:spacing w:after="0"/>
              <w:rPr>
                <w:sz w:val="18"/>
                <w:szCs w:val="18"/>
                <w:color w:val="auto"/>
              </w:rPr>
            </w:pPr>
          </w:p>
        </w:tc>
      </w:tr>
      <w:tr>
        <w:trPr>
          <w:trHeight w:val="212"/>
        </w:trPr>
        <w:tc>
          <w:tcPr>
            <w:tcW w:w="5940" w:type="dxa"/>
            <w:vAlign w:val="bottom"/>
            <w:shd w:val="clear" w:color="auto" w:fill="CCEEFF"/>
          </w:tcPr>
          <w:p>
            <w:pPr>
              <w:ind w:left="1960"/>
              <w:spacing w:after="0" w:line="213" w:lineRule="exact"/>
              <w:rPr>
                <w:sz w:val="20"/>
                <w:szCs w:val="20"/>
                <w:color w:val="auto"/>
              </w:rPr>
            </w:pPr>
            <w:r>
              <w:rPr>
                <w:rFonts w:ascii="Times New Roman" w:cs="Times New Roman" w:eastAsia="Times New Roman" w:hAnsi="Times New Roman"/>
                <w:sz w:val="16"/>
                <w:szCs w:val="16"/>
                <w:color w:val="auto"/>
              </w:rPr>
              <w:t xml:space="preserve">Net core deposit intangible </w:t>
            </w:r>
            <w:r>
              <w:rPr>
                <w:rFonts w:ascii="Times New Roman" w:cs="Times New Roman" w:eastAsia="Times New Roman" w:hAnsi="Times New Roman"/>
                <w:sz w:val="21"/>
                <w:szCs w:val="21"/>
                <w:color w:val="auto"/>
                <w:vertAlign w:val="superscript"/>
              </w:rPr>
              <w:t>(1)</w:t>
            </w:r>
          </w:p>
        </w:tc>
        <w:tc>
          <w:tcPr>
            <w:tcW w:w="140" w:type="dxa"/>
            <w:vAlign w:val="bottom"/>
            <w:shd w:val="clear" w:color="auto" w:fill="CCEEFF"/>
          </w:tcPr>
          <w:p>
            <w:pPr>
              <w:spacing w:after="0"/>
              <w:rPr>
                <w:sz w:val="18"/>
                <w:szCs w:val="18"/>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45,952</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49,553</w:t>
            </w:r>
          </w:p>
        </w:tc>
        <w:tc>
          <w:tcPr>
            <w:tcW w:w="1760" w:type="dxa"/>
            <w:vAlign w:val="bottom"/>
            <w:shd w:val="clear" w:color="auto" w:fill="CCEEFF"/>
          </w:tcPr>
          <w:p>
            <w:pPr>
              <w:spacing w:after="0"/>
              <w:rPr>
                <w:sz w:val="18"/>
                <w:szCs w:val="18"/>
                <w:color w:val="auto"/>
              </w:rPr>
            </w:pPr>
          </w:p>
        </w:tc>
      </w:tr>
      <w:tr>
        <w:trPr>
          <w:trHeight w:val="213"/>
        </w:trPr>
        <w:tc>
          <w:tcPr>
            <w:tcW w:w="5940" w:type="dxa"/>
            <w:vAlign w:val="bottom"/>
            <w:tcBorders>
              <w:bottom w:val="single" w:sz="8" w:color="CCEEFF"/>
            </w:tcBorders>
          </w:tcPr>
          <w:p>
            <w:pPr>
              <w:ind w:left="1760"/>
              <w:spacing w:after="0"/>
              <w:rPr>
                <w:sz w:val="20"/>
                <w:szCs w:val="20"/>
                <w:color w:val="auto"/>
              </w:rPr>
            </w:pPr>
            <w:r>
              <w:rPr>
                <w:rFonts w:ascii="Times New Roman" w:cs="Times New Roman" w:eastAsia="Times New Roman" w:hAnsi="Times New Roman"/>
                <w:sz w:val="16"/>
                <w:szCs w:val="16"/>
                <w:color w:val="auto"/>
              </w:rPr>
              <w:t>Goodwill</w:t>
            </w:r>
          </w:p>
        </w:tc>
        <w:tc>
          <w:tcPr>
            <w:tcW w:w="14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925,119</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907,090</w:t>
            </w:r>
          </w:p>
        </w:tc>
        <w:tc>
          <w:tcPr>
            <w:tcW w:w="1760" w:type="dxa"/>
            <w:vAlign w:val="bottom"/>
            <w:tcBorders>
              <w:bottom w:val="single" w:sz="8" w:color="CCEEFF"/>
            </w:tcBorders>
          </w:tcPr>
          <w:p>
            <w:pPr>
              <w:spacing w:after="0"/>
              <w:rPr>
                <w:sz w:val="18"/>
                <w:szCs w:val="18"/>
                <w:color w:val="auto"/>
              </w:rPr>
            </w:pPr>
          </w:p>
        </w:tc>
      </w:tr>
      <w:tr>
        <w:trPr>
          <w:trHeight w:val="237"/>
        </w:trPr>
        <w:tc>
          <w:tcPr>
            <w:tcW w:w="5940" w:type="dxa"/>
            <w:vAlign w:val="bottom"/>
            <w:tcBorders>
              <w:bottom w:val="single" w:sz="8" w:color="CCEEFF"/>
            </w:tcBorders>
            <w:shd w:val="clear" w:color="auto" w:fill="CCEEFF"/>
          </w:tcPr>
          <w:p>
            <w:pPr>
              <w:ind w:left="1760"/>
              <w:spacing w:after="0"/>
              <w:rPr>
                <w:sz w:val="20"/>
                <w:szCs w:val="20"/>
                <w:color w:val="auto"/>
              </w:rPr>
            </w:pPr>
            <w:r>
              <w:rPr>
                <w:rFonts w:ascii="Times New Roman" w:cs="Times New Roman" w:eastAsia="Times New Roman" w:hAnsi="Times New Roman"/>
                <w:sz w:val="16"/>
                <w:szCs w:val="16"/>
                <w:color w:val="auto"/>
              </w:rPr>
              <w:t>Total goodwill and other intangible assets, net</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971,071</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956,643</w:t>
            </w:r>
          </w:p>
        </w:tc>
        <w:tc>
          <w:tcPr>
            <w:tcW w:w="1760" w:type="dxa"/>
            <w:vAlign w:val="bottom"/>
            <w:tcBorders>
              <w:bottom w:val="single" w:sz="8" w:color="CCEEFF"/>
            </w:tcBorders>
            <w:shd w:val="clear" w:color="auto" w:fill="CCEEFF"/>
          </w:tcPr>
          <w:p>
            <w:pPr>
              <w:spacing w:after="0"/>
              <w:rPr>
                <w:sz w:val="20"/>
                <w:szCs w:val="20"/>
                <w:color w:val="auto"/>
              </w:rPr>
            </w:pPr>
          </w:p>
        </w:tc>
      </w:tr>
      <w:tr>
        <w:trPr>
          <w:trHeight w:val="20"/>
        </w:trPr>
        <w:tc>
          <w:tcPr>
            <w:tcW w:w="59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760" w:type="dxa"/>
            <w:vAlign w:val="bottom"/>
            <w:tcBorders>
              <w:top w:val="single" w:sz="8" w:color="CCEEFF"/>
            </w:tcBorders>
          </w:tcPr>
          <w:p>
            <w:pPr>
              <w:spacing w:after="0" w:line="20" w:lineRule="exact"/>
              <w:rPr>
                <w:sz w:val="1"/>
                <w:szCs w:val="1"/>
                <w:color w:val="auto"/>
              </w:rPr>
            </w:pPr>
          </w:p>
        </w:tc>
      </w:tr>
    </w:tbl>
    <w:p>
      <w:pPr>
        <w:spacing w:after="0" w:line="104" w:lineRule="exact"/>
        <w:rPr>
          <w:sz w:val="20"/>
          <w:szCs w:val="20"/>
          <w:color w:val="auto"/>
        </w:rPr>
      </w:pPr>
    </w:p>
    <w:p>
      <w:pPr>
        <w:ind w:left="180" w:hanging="172"/>
        <w:spacing w:after="0"/>
        <w:tabs>
          <w:tab w:leader="none" w:pos="180" w:val="left"/>
        </w:tabs>
        <w:numPr>
          <w:ilvl w:val="0"/>
          <w:numId w:val="10"/>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As intangible assets become fully amortized, they are excluded from balances presented.</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changes in the carrying amount of goodwill for the periods indicated.</w:t>
      </w:r>
    </w:p>
    <w:p>
      <w:pPr>
        <w:spacing w:after="0" w:line="37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820" w:type="dxa"/>
            <w:vAlign w:val="bottom"/>
          </w:tcPr>
          <w:p>
            <w:pPr>
              <w:spacing w:after="0"/>
              <w:rPr>
                <w:sz w:val="16"/>
                <w:szCs w:val="16"/>
                <w:color w:val="auto"/>
              </w:rPr>
            </w:pPr>
          </w:p>
        </w:tc>
        <w:tc>
          <w:tcPr>
            <w:tcW w:w="2600" w:type="dxa"/>
            <w:vAlign w:val="bottom"/>
            <w:gridSpan w:val="4"/>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6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740" w:type="dxa"/>
            <w:vAlign w:val="bottom"/>
            <w:gridSpan w:val="4"/>
          </w:tcPr>
          <w:p>
            <w:pPr>
              <w:jc w:val="right"/>
              <w:ind w:right="759"/>
              <w:spacing w:after="0"/>
              <w:rPr>
                <w:sz w:val="20"/>
                <w:szCs w:val="20"/>
                <w:color w:val="auto"/>
              </w:rPr>
            </w:pPr>
            <w:r>
              <w:rPr>
                <w:rFonts w:ascii="Times New Roman" w:cs="Times New Roman" w:eastAsia="Times New Roman" w:hAnsi="Times New Roman"/>
                <w:sz w:val="16"/>
                <w:szCs w:val="16"/>
                <w:b w:val="1"/>
                <w:bCs w:val="1"/>
                <w:color w:val="auto"/>
              </w:rPr>
              <w:t>Nine Months Ended</w:t>
            </w:r>
          </w:p>
        </w:tc>
      </w:tr>
      <w:tr>
        <w:trPr>
          <w:trHeight w:val="212"/>
        </w:trPr>
        <w:tc>
          <w:tcPr>
            <w:tcW w:w="4820" w:type="dxa"/>
            <w:vAlign w:val="bottom"/>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gridSpan w:val="3"/>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60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7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980" w:type="dxa"/>
            <w:vAlign w:val="bottom"/>
            <w:tcBorders>
              <w:bottom w:val="single" w:sz="8" w:color="auto"/>
            </w:tcBorders>
          </w:tcPr>
          <w:p>
            <w:pPr>
              <w:spacing w:after="0"/>
              <w:rPr>
                <w:sz w:val="18"/>
                <w:szCs w:val="18"/>
                <w:color w:val="auto"/>
              </w:rPr>
            </w:pPr>
          </w:p>
        </w:tc>
      </w:tr>
      <w:tr>
        <w:trPr>
          <w:trHeight w:val="211"/>
        </w:trPr>
        <w:tc>
          <w:tcPr>
            <w:tcW w:w="48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2025</w:t>
            </w:r>
          </w:p>
        </w:tc>
        <w:tc>
          <w:tcPr>
            <w:tcW w:w="60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2024</w:t>
            </w:r>
          </w:p>
        </w:tc>
        <w:tc>
          <w:tcPr>
            <w:tcW w:w="600" w:type="dxa"/>
            <w:vAlign w:val="bottom"/>
            <w:tcBorders>
              <w:bottom w:val="single" w:sz="8" w:color="auto"/>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499"/>
              <w:spacing w:after="0"/>
              <w:rPr>
                <w:sz w:val="20"/>
                <w:szCs w:val="20"/>
                <w:color w:val="auto"/>
              </w:rPr>
            </w:pPr>
            <w:r>
              <w:rPr>
                <w:rFonts w:ascii="Times New Roman" w:cs="Times New Roman" w:eastAsia="Times New Roman" w:hAnsi="Times New Roman"/>
                <w:sz w:val="16"/>
                <w:szCs w:val="16"/>
                <w:b w:val="1"/>
                <w:bCs w:val="1"/>
                <w:color w:val="auto"/>
              </w:rPr>
              <w:t>2025</w:t>
            </w:r>
          </w:p>
        </w:tc>
        <w:tc>
          <w:tcPr>
            <w:tcW w:w="80" w:type="dxa"/>
            <w:vAlign w:val="bottom"/>
            <w:tcBorders>
              <w:bottom w:val="single" w:sz="8" w:color="CCEEFF"/>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499"/>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211"/>
        </w:trPr>
        <w:tc>
          <w:tcPr>
            <w:tcW w:w="4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beginning of period</w:t>
            </w:r>
          </w:p>
        </w:tc>
        <w:tc>
          <w:tcPr>
            <w:tcW w:w="940" w:type="dxa"/>
            <w:vAlign w:val="bottom"/>
            <w:shd w:val="clear" w:color="auto" w:fill="CCEEFF"/>
          </w:tcPr>
          <w:p>
            <w:pPr>
              <w:jc w:val="right"/>
              <w:ind w:right="759"/>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925,119</w:t>
            </w: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759"/>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916,153</w:t>
            </w:r>
          </w:p>
        </w:tc>
        <w:tc>
          <w:tcPr>
            <w:tcW w:w="14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907,090</w:t>
            </w: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jc w:val="right"/>
              <w:ind w:right="33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919,914</w:t>
            </w:r>
          </w:p>
        </w:tc>
      </w:tr>
      <w:tr>
        <w:trPr>
          <w:trHeight w:val="216"/>
        </w:trPr>
        <w:tc>
          <w:tcPr>
            <w:tcW w:w="4820" w:type="dxa"/>
            <w:vAlign w:val="bottom"/>
          </w:tcPr>
          <w:p>
            <w:pPr>
              <w:ind w:left="20"/>
              <w:spacing w:after="0" w:line="216" w:lineRule="exact"/>
              <w:rPr>
                <w:sz w:val="20"/>
                <w:szCs w:val="20"/>
                <w:color w:val="auto"/>
              </w:rPr>
            </w:pPr>
            <w:r>
              <w:rPr>
                <w:rFonts w:ascii="Times New Roman" w:cs="Times New Roman" w:eastAsia="Times New Roman" w:hAnsi="Times New Roman"/>
                <w:sz w:val="16"/>
                <w:szCs w:val="16"/>
                <w:color w:val="auto"/>
              </w:rPr>
              <w:t xml:space="preserve">Acquisition of ANB </w:t>
            </w:r>
            <w:r>
              <w:rPr>
                <w:rFonts w:ascii="Times New Roman" w:cs="Times New Roman" w:eastAsia="Times New Roman" w:hAnsi="Times New Roman"/>
                <w:sz w:val="21"/>
                <w:szCs w:val="21"/>
                <w:color w:val="auto"/>
                <w:vertAlign w:val="superscript"/>
              </w:rPr>
              <w:t>(1)</w:t>
            </w:r>
          </w:p>
        </w:tc>
        <w:tc>
          <w:tcPr>
            <w:tcW w:w="940" w:type="dxa"/>
            <w:vAlign w:val="bottom"/>
          </w:tcPr>
          <w:p>
            <w:pPr>
              <w:spacing w:after="0"/>
              <w:rPr>
                <w:sz w:val="18"/>
                <w:szCs w:val="18"/>
                <w:color w:val="auto"/>
              </w:rPr>
            </w:pPr>
          </w:p>
        </w:tc>
        <w:tc>
          <w:tcPr>
            <w:tcW w:w="7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Pr>
          <w:p>
            <w:pPr>
              <w:spacing w:after="0"/>
              <w:rPr>
                <w:sz w:val="18"/>
                <w:szCs w:val="18"/>
                <w:color w:val="auto"/>
              </w:rPr>
            </w:pPr>
          </w:p>
        </w:tc>
        <w:tc>
          <w:tcPr>
            <w:tcW w:w="74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18,029</w:t>
            </w: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6"/>
        </w:trPr>
        <w:tc>
          <w:tcPr>
            <w:tcW w:w="4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Measurement period adjustment - First Miami</w:t>
            </w:r>
          </w:p>
        </w:tc>
        <w:tc>
          <w:tcPr>
            <w:tcW w:w="9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5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1,339</w:t>
            </w:r>
          </w:p>
        </w:tc>
      </w:tr>
      <w:tr>
        <w:trPr>
          <w:trHeight w:val="213"/>
        </w:trPr>
        <w:tc>
          <w:tcPr>
            <w:tcW w:w="48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FinTrust goodwill write-down</w:t>
            </w:r>
          </w:p>
        </w:tc>
        <w:tc>
          <w:tcPr>
            <w:tcW w:w="940" w:type="dxa"/>
            <w:vAlign w:val="bottom"/>
          </w:tcPr>
          <w:p>
            <w:pPr>
              <w:spacing w:after="0"/>
              <w:rPr>
                <w:sz w:val="18"/>
                <w:szCs w:val="18"/>
                <w:color w:val="auto"/>
              </w:rPr>
            </w:pPr>
          </w:p>
        </w:tc>
        <w:tc>
          <w:tcPr>
            <w:tcW w:w="7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Pr>
          <w:p>
            <w:pPr>
              <w:spacing w:after="0"/>
              <w:rPr>
                <w:sz w:val="18"/>
                <w:szCs w:val="18"/>
                <w:color w:val="auto"/>
              </w:rPr>
            </w:pPr>
          </w:p>
        </w:tc>
        <w:tc>
          <w:tcPr>
            <w:tcW w:w="74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18"/>
                <w:szCs w:val="18"/>
                <w:color w:val="auto"/>
              </w:rPr>
            </w:pPr>
          </w:p>
        </w:tc>
        <w:tc>
          <w:tcPr>
            <w:tcW w:w="12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5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(5,100)</w:t>
            </w:r>
          </w:p>
        </w:tc>
      </w:tr>
      <w:tr>
        <w:trPr>
          <w:trHeight w:val="237"/>
        </w:trPr>
        <w:tc>
          <w:tcPr>
            <w:tcW w:w="48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end of period</w:t>
            </w:r>
          </w:p>
        </w:tc>
        <w:tc>
          <w:tcPr>
            <w:tcW w:w="940" w:type="dxa"/>
            <w:vAlign w:val="bottom"/>
            <w:tcBorders>
              <w:top w:val="single" w:sz="8" w:color="auto"/>
              <w:bottom w:val="single" w:sz="8" w:color="auto"/>
            </w:tcBorders>
            <w:shd w:val="clear" w:color="auto" w:fill="CCEEFF"/>
          </w:tcPr>
          <w:p>
            <w:pPr>
              <w:jc w:val="right"/>
              <w:ind w:right="759"/>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925,119</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940" w:type="dxa"/>
            <w:vAlign w:val="bottom"/>
            <w:tcBorders>
              <w:top w:val="single" w:sz="8" w:color="auto"/>
              <w:bottom w:val="single" w:sz="8" w:color="auto"/>
            </w:tcBorders>
            <w:shd w:val="clear" w:color="auto" w:fill="CCEEFF"/>
          </w:tcPr>
          <w:p>
            <w:pPr>
              <w:jc w:val="right"/>
              <w:ind w:right="759"/>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916,153</w:t>
            </w:r>
          </w:p>
        </w:tc>
        <w:tc>
          <w:tcPr>
            <w:tcW w:w="140" w:type="dxa"/>
            <w:vAlign w:val="bottom"/>
            <w:tcBorders>
              <w:top w:val="single" w:sz="8" w:color="CCEEFF"/>
              <w:bottom w:val="single" w:sz="8" w:color="CCEEFF"/>
            </w:tcBorders>
            <w:shd w:val="clear" w:color="auto" w:fill="CCEEFF"/>
          </w:tcPr>
          <w:p>
            <w:pPr>
              <w:spacing w:after="0"/>
              <w:rPr>
                <w:sz w:val="20"/>
                <w:szCs w:val="20"/>
                <w:color w:val="auto"/>
              </w:rPr>
            </w:pPr>
          </w:p>
        </w:tc>
        <w:tc>
          <w:tcPr>
            <w:tcW w:w="340" w:type="dxa"/>
            <w:vAlign w:val="bottom"/>
            <w:tcBorders>
              <w:top w:val="single" w:sz="8" w:color="auto"/>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925,119</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520" w:type="dxa"/>
            <w:vAlign w:val="bottom"/>
            <w:tcBorders>
              <w:top w:val="single" w:sz="8" w:color="auto"/>
              <w:bottom w:val="single" w:sz="8" w:color="auto"/>
            </w:tcBorders>
            <w:shd w:val="clear" w:color="auto" w:fill="CCEEFF"/>
          </w:tcPr>
          <w:p>
            <w:pPr>
              <w:jc w:val="right"/>
              <w:ind w:right="33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916,153</w:t>
            </w:r>
          </w:p>
        </w:tc>
      </w:tr>
      <w:tr>
        <w:trPr>
          <w:trHeight w:val="20"/>
        </w:trPr>
        <w:tc>
          <w:tcPr>
            <w:tcW w:w="482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r>
    </w:tbl>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vertAlign w:val="superscript"/>
        </w:rPr>
        <w:t>(1)</w:t>
      </w:r>
      <w:r>
        <w:rPr>
          <w:rFonts w:ascii="Times New Roman" w:cs="Times New Roman" w:eastAsia="Times New Roman" w:hAnsi="Times New Roman"/>
          <w:sz w:val="16"/>
          <w:szCs w:val="16"/>
          <w:color w:val="auto"/>
        </w:rPr>
        <w:t xml:space="preserve"> See Note 3 for further details.</w:t>
      </w: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7" w:name="page28"/>
    <w:bookmarkEnd w:id="27"/>
    <w:p>
      <w:pPr>
        <w:jc w:val="center"/>
        <w:spacing w:after="0"/>
        <w:rPr>
          <w:sz w:val="20"/>
          <w:szCs w:val="20"/>
          <w:color w:val="auto"/>
        </w:rPr>
      </w:pPr>
      <w:r>
        <w:rPr>
          <w:rFonts w:ascii="Times New Roman" w:cs="Times New Roman" w:eastAsia="Times New Roman" w:hAnsi="Times New Roman"/>
          <w:sz w:val="18"/>
          <w:szCs w:val="18"/>
          <w:b w:val="1"/>
          <w:bCs w:val="1"/>
          <w:color w:val="auto"/>
        </w:rPr>
        <w:t>UNITED COMMUNITY BANKS,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ind w:right="3660"/>
        <w:spacing w:after="0"/>
        <w:rPr>
          <w:sz w:val="20"/>
          <w:szCs w:val="20"/>
          <w:color w:val="auto"/>
        </w:rPr>
      </w:pPr>
      <w:r>
        <w:rPr>
          <w:rFonts w:ascii="Times New Roman" w:cs="Times New Roman" w:eastAsia="Times New Roman" w:hAnsi="Times New Roman"/>
          <w:sz w:val="18"/>
          <w:szCs w:val="18"/>
          <w:color w:val="auto"/>
        </w:rPr>
        <w:t>The estimated aggregate amortization expense for future periods for finite-lived intangibles is as follows:</w:t>
      </w:r>
    </w:p>
    <w:p>
      <w:pPr>
        <w:spacing w:after="0" w:line="52"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16"/>
          <w:szCs w:val="16"/>
          <w:i w:val="1"/>
          <w:iCs w:val="1"/>
          <w:color w:val="auto"/>
        </w:rPr>
        <w:t>(in thousands)</w:t>
      </w:r>
    </w:p>
    <w:p>
      <w:pPr>
        <w:spacing w:after="0" w:line="32"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16"/>
          <w:szCs w:val="16"/>
          <w:b w:val="1"/>
          <w:bCs w:val="1"/>
          <w:color w:val="auto"/>
        </w:rPr>
        <w:t>Year</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3480" w:type="dxa"/>
            <w:vAlign w:val="bottom"/>
            <w:tcBorders>
              <w:top w:val="single" w:sz="8" w:color="CCEEFF"/>
            </w:tcBorders>
            <w:shd w:val="clear" w:color="auto" w:fill="CCEEFF"/>
          </w:tcPr>
          <w:p>
            <w:pPr>
              <w:spacing w:after="0"/>
              <w:rPr>
                <w:sz w:val="18"/>
                <w:szCs w:val="18"/>
                <w:color w:val="auto"/>
              </w:rPr>
            </w:pPr>
          </w:p>
        </w:tc>
        <w:tc>
          <w:tcPr>
            <w:tcW w:w="25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Remainder of 2025</w:t>
            </w:r>
          </w:p>
        </w:tc>
        <w:tc>
          <w:tcPr>
            <w:tcW w:w="640" w:type="dxa"/>
            <w:vAlign w:val="bottom"/>
            <w:tcBorders>
              <w:top w:val="single" w:sz="8" w:color="auto"/>
            </w:tcBorders>
            <w:shd w:val="clear" w:color="auto" w:fill="CCEEFF"/>
          </w:tcPr>
          <w:p>
            <w:pPr>
              <w:jc w:val="right"/>
              <w:ind w:right="45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3,188</w:t>
            </w:r>
          </w:p>
        </w:tc>
        <w:tc>
          <w:tcPr>
            <w:tcW w:w="3500" w:type="dxa"/>
            <w:vAlign w:val="bottom"/>
            <w:tcBorders>
              <w:top w:val="single" w:sz="8" w:color="CCEEFF"/>
            </w:tcBorders>
            <w:shd w:val="clear" w:color="auto" w:fill="CCEEFF"/>
          </w:tcPr>
          <w:p>
            <w:pPr>
              <w:spacing w:after="0"/>
              <w:rPr>
                <w:sz w:val="18"/>
                <w:szCs w:val="18"/>
                <w:color w:val="auto"/>
              </w:rPr>
            </w:pPr>
          </w:p>
        </w:tc>
      </w:tr>
      <w:tr>
        <w:trPr>
          <w:trHeight w:val="213"/>
        </w:trPr>
        <w:tc>
          <w:tcPr>
            <w:tcW w:w="6060" w:type="dxa"/>
            <w:vAlign w:val="bottom"/>
            <w:gridSpan w:val="2"/>
          </w:tcPr>
          <w:p>
            <w:pPr>
              <w:ind w:left="3500"/>
              <w:spacing w:after="0"/>
              <w:rPr>
                <w:sz w:val="20"/>
                <w:szCs w:val="20"/>
                <w:color w:val="auto"/>
              </w:rPr>
            </w:pPr>
            <w:r>
              <w:rPr>
                <w:rFonts w:ascii="Times New Roman" w:cs="Times New Roman" w:eastAsia="Times New Roman" w:hAnsi="Times New Roman"/>
                <w:sz w:val="16"/>
                <w:szCs w:val="16"/>
                <w:color w:val="auto"/>
              </w:rPr>
              <w:t>2026</w:t>
            </w:r>
          </w:p>
        </w:tc>
        <w:tc>
          <w:tcPr>
            <w:tcW w:w="6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11,501</w:t>
            </w:r>
          </w:p>
        </w:tc>
        <w:tc>
          <w:tcPr>
            <w:tcW w:w="3500" w:type="dxa"/>
            <w:vAlign w:val="bottom"/>
          </w:tcPr>
          <w:p>
            <w:pPr>
              <w:spacing w:after="0"/>
              <w:rPr>
                <w:sz w:val="18"/>
                <w:szCs w:val="18"/>
                <w:color w:val="auto"/>
              </w:rPr>
            </w:pPr>
          </w:p>
        </w:tc>
      </w:tr>
      <w:tr>
        <w:trPr>
          <w:trHeight w:val="219"/>
        </w:trPr>
        <w:tc>
          <w:tcPr>
            <w:tcW w:w="6060" w:type="dxa"/>
            <w:vAlign w:val="bottom"/>
            <w:gridSpan w:val="2"/>
            <w:shd w:val="clear" w:color="auto" w:fill="CCEEFF"/>
          </w:tcPr>
          <w:p>
            <w:pPr>
              <w:ind w:left="3500"/>
              <w:spacing w:after="0"/>
              <w:rPr>
                <w:sz w:val="20"/>
                <w:szCs w:val="20"/>
                <w:color w:val="auto"/>
              </w:rPr>
            </w:pPr>
            <w:r>
              <w:rPr>
                <w:rFonts w:ascii="Times New Roman" w:cs="Times New Roman" w:eastAsia="Times New Roman" w:hAnsi="Times New Roman"/>
                <w:sz w:val="16"/>
                <w:szCs w:val="16"/>
                <w:color w:val="auto"/>
              </w:rPr>
              <w:t>2027</w:t>
            </w:r>
          </w:p>
        </w:tc>
        <w:tc>
          <w:tcPr>
            <w:tcW w:w="6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9,498</w:t>
            </w:r>
          </w:p>
        </w:tc>
        <w:tc>
          <w:tcPr>
            <w:tcW w:w="3500" w:type="dxa"/>
            <w:vAlign w:val="bottom"/>
            <w:shd w:val="clear" w:color="auto" w:fill="CCEEFF"/>
          </w:tcPr>
          <w:p>
            <w:pPr>
              <w:spacing w:after="0"/>
              <w:rPr>
                <w:sz w:val="19"/>
                <w:szCs w:val="19"/>
                <w:color w:val="auto"/>
              </w:rPr>
            </w:pPr>
          </w:p>
        </w:tc>
      </w:tr>
      <w:tr>
        <w:trPr>
          <w:trHeight w:val="213"/>
        </w:trPr>
        <w:tc>
          <w:tcPr>
            <w:tcW w:w="6060" w:type="dxa"/>
            <w:vAlign w:val="bottom"/>
            <w:gridSpan w:val="2"/>
          </w:tcPr>
          <w:p>
            <w:pPr>
              <w:ind w:left="3500"/>
              <w:spacing w:after="0"/>
              <w:rPr>
                <w:sz w:val="20"/>
                <w:szCs w:val="20"/>
                <w:color w:val="auto"/>
              </w:rPr>
            </w:pPr>
            <w:r>
              <w:rPr>
                <w:rFonts w:ascii="Times New Roman" w:cs="Times New Roman" w:eastAsia="Times New Roman" w:hAnsi="Times New Roman"/>
                <w:sz w:val="16"/>
                <w:szCs w:val="16"/>
                <w:color w:val="auto"/>
              </w:rPr>
              <w:t>2028</w:t>
            </w:r>
          </w:p>
        </w:tc>
        <w:tc>
          <w:tcPr>
            <w:tcW w:w="6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7,592</w:t>
            </w:r>
          </w:p>
        </w:tc>
        <w:tc>
          <w:tcPr>
            <w:tcW w:w="3500" w:type="dxa"/>
            <w:vAlign w:val="bottom"/>
          </w:tcPr>
          <w:p>
            <w:pPr>
              <w:spacing w:after="0"/>
              <w:rPr>
                <w:sz w:val="18"/>
                <w:szCs w:val="18"/>
                <w:color w:val="auto"/>
              </w:rPr>
            </w:pPr>
          </w:p>
        </w:tc>
      </w:tr>
      <w:tr>
        <w:trPr>
          <w:trHeight w:val="219"/>
        </w:trPr>
        <w:tc>
          <w:tcPr>
            <w:tcW w:w="6060" w:type="dxa"/>
            <w:vAlign w:val="bottom"/>
            <w:gridSpan w:val="2"/>
            <w:shd w:val="clear" w:color="auto" w:fill="CCEEFF"/>
          </w:tcPr>
          <w:p>
            <w:pPr>
              <w:ind w:left="3500"/>
              <w:spacing w:after="0"/>
              <w:rPr>
                <w:sz w:val="20"/>
                <w:szCs w:val="20"/>
                <w:color w:val="auto"/>
              </w:rPr>
            </w:pPr>
            <w:r>
              <w:rPr>
                <w:rFonts w:ascii="Times New Roman" w:cs="Times New Roman" w:eastAsia="Times New Roman" w:hAnsi="Times New Roman"/>
                <w:sz w:val="16"/>
                <w:szCs w:val="16"/>
                <w:color w:val="auto"/>
              </w:rPr>
              <w:t>2029</w:t>
            </w:r>
          </w:p>
        </w:tc>
        <w:tc>
          <w:tcPr>
            <w:tcW w:w="6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5,835</w:t>
            </w:r>
          </w:p>
        </w:tc>
        <w:tc>
          <w:tcPr>
            <w:tcW w:w="3500" w:type="dxa"/>
            <w:vAlign w:val="bottom"/>
            <w:shd w:val="clear" w:color="auto" w:fill="CCEEFF"/>
          </w:tcPr>
          <w:p>
            <w:pPr>
              <w:spacing w:after="0"/>
              <w:rPr>
                <w:sz w:val="19"/>
                <w:szCs w:val="19"/>
                <w:color w:val="auto"/>
              </w:rPr>
            </w:pPr>
          </w:p>
        </w:tc>
      </w:tr>
      <w:tr>
        <w:trPr>
          <w:trHeight w:val="213"/>
        </w:trPr>
        <w:tc>
          <w:tcPr>
            <w:tcW w:w="3480" w:type="dxa"/>
            <w:vAlign w:val="bottom"/>
            <w:tcBorders>
              <w:bottom w:val="single" w:sz="8" w:color="CCEEFF"/>
            </w:tcBorders>
          </w:tcPr>
          <w:p>
            <w:pPr>
              <w:spacing w:after="0"/>
              <w:rPr>
                <w:sz w:val="18"/>
                <w:szCs w:val="18"/>
                <w:color w:val="auto"/>
              </w:rPr>
            </w:pPr>
          </w:p>
        </w:tc>
        <w:tc>
          <w:tcPr>
            <w:tcW w:w="25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Thereafter</w:t>
            </w:r>
          </w:p>
        </w:tc>
        <w:tc>
          <w:tcPr>
            <w:tcW w:w="6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8,338</w:t>
            </w:r>
          </w:p>
        </w:tc>
        <w:tc>
          <w:tcPr>
            <w:tcW w:w="3500" w:type="dxa"/>
            <w:vAlign w:val="bottom"/>
            <w:tcBorders>
              <w:bottom w:val="single" w:sz="8" w:color="CCEEFF"/>
            </w:tcBorders>
          </w:tcPr>
          <w:p>
            <w:pPr>
              <w:spacing w:after="0"/>
              <w:rPr>
                <w:sz w:val="18"/>
                <w:szCs w:val="18"/>
                <w:color w:val="auto"/>
              </w:rPr>
            </w:pPr>
          </w:p>
        </w:tc>
      </w:tr>
      <w:tr>
        <w:trPr>
          <w:trHeight w:val="237"/>
        </w:trPr>
        <w:tc>
          <w:tcPr>
            <w:tcW w:w="3480" w:type="dxa"/>
            <w:vAlign w:val="bottom"/>
            <w:tcBorders>
              <w:bottom w:val="single" w:sz="8" w:color="CCEEFF"/>
            </w:tcBorders>
            <w:shd w:val="clear" w:color="auto" w:fill="CCEEFF"/>
          </w:tcPr>
          <w:p>
            <w:pPr>
              <w:spacing w:after="0"/>
              <w:rPr>
                <w:sz w:val="20"/>
                <w:szCs w:val="20"/>
                <w:color w:val="auto"/>
              </w:rPr>
            </w:pPr>
          </w:p>
        </w:tc>
        <w:tc>
          <w:tcPr>
            <w:tcW w:w="25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w:t>
            </w:r>
          </w:p>
        </w:tc>
        <w:tc>
          <w:tcPr>
            <w:tcW w:w="640" w:type="dxa"/>
            <w:vAlign w:val="bottom"/>
            <w:tcBorders>
              <w:bottom w:val="single" w:sz="8" w:color="auto"/>
            </w:tcBorders>
            <w:shd w:val="clear" w:color="auto" w:fill="CCEEFF"/>
          </w:tcPr>
          <w:p>
            <w:pPr>
              <w:jc w:val="right"/>
              <w:ind w:right="45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45,952</w:t>
            </w:r>
          </w:p>
        </w:tc>
        <w:tc>
          <w:tcPr>
            <w:tcW w:w="3500" w:type="dxa"/>
            <w:vAlign w:val="bottom"/>
            <w:tcBorders>
              <w:bottom w:val="single" w:sz="8" w:color="CCEEFF"/>
            </w:tcBorders>
            <w:shd w:val="clear" w:color="auto" w:fill="CCEEFF"/>
          </w:tcPr>
          <w:p>
            <w:pPr>
              <w:spacing w:after="0"/>
              <w:rPr>
                <w:sz w:val="20"/>
                <w:szCs w:val="20"/>
                <w:color w:val="auto"/>
              </w:rPr>
            </w:pPr>
          </w:p>
        </w:tc>
      </w:tr>
      <w:tr>
        <w:trPr>
          <w:trHeight w:val="20"/>
        </w:trPr>
        <w:tc>
          <w:tcPr>
            <w:tcW w:w="3480" w:type="dxa"/>
            <w:vAlign w:val="bottom"/>
            <w:tcBorders>
              <w:top w:val="single" w:sz="8" w:color="CCEEFF"/>
            </w:tcBorders>
          </w:tcPr>
          <w:p>
            <w:pPr>
              <w:spacing w:after="0" w:line="20" w:lineRule="exact"/>
              <w:rPr>
                <w:sz w:val="1"/>
                <w:szCs w:val="1"/>
                <w:color w:val="auto"/>
              </w:rPr>
            </w:pPr>
          </w:p>
        </w:tc>
        <w:tc>
          <w:tcPr>
            <w:tcW w:w="258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3500" w:type="dxa"/>
            <w:vAlign w:val="bottom"/>
            <w:tcBorders>
              <w:top w:val="single" w:sz="8" w:color="CCEEFF"/>
            </w:tcBorders>
          </w:tcPr>
          <w:p>
            <w:pPr>
              <w:spacing w:after="0" w:line="20" w:lineRule="exact"/>
              <w:rPr>
                <w:sz w:val="1"/>
                <w:szCs w:val="1"/>
                <w:color w:val="auto"/>
              </w:rPr>
            </w:pPr>
          </w:p>
        </w:tc>
      </w:tr>
    </w:tbl>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 Assets and Liabilities Measured at Fair Value</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Accounting standards define fair value as the price that would be received for an asset or paid to transfer a liability in the principal or most advantageous market available to the entity in an orderly transaction between market participants on the measurement date. Fair values are categorized within a three-level measurement hierarchy:</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Level 1 </w:t>
      </w:r>
      <w:r>
        <w:rPr>
          <w:rFonts w:ascii="Times New Roman" w:cs="Times New Roman" w:eastAsia="Times New Roman" w:hAnsi="Times New Roman"/>
          <w:sz w:val="18"/>
          <w:szCs w:val="18"/>
          <w:color w:val="auto"/>
        </w:rPr>
        <w:t>Valuation is based upon quoted prices (unadjusted) in active markets for identical assets or liabilities that United has the ability to access.</w:t>
      </w:r>
    </w:p>
    <w:p>
      <w:pPr>
        <w:spacing w:after="0" w:line="117"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Level 2 </w:t>
      </w:r>
      <w:r>
        <w:rPr>
          <w:rFonts w:ascii="Times New Roman" w:cs="Times New Roman" w:eastAsia="Times New Roman" w:hAnsi="Times New Roman"/>
          <w:sz w:val="18"/>
          <w:szCs w:val="18"/>
          <w:color w:val="auto"/>
        </w:rPr>
        <w:t>Valuation is based upon quoted prices for similar assets and liabilities in active markets, as well as inputs that are observable for the asset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liability (other than quoted prices), such as interest rates, foreign exchange rates, and yield curves that are observable at commonly quoted intervals.</w:t>
      </w:r>
    </w:p>
    <w:p>
      <w:pPr>
        <w:spacing w:after="0" w:line="50"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Level 3 </w:t>
      </w:r>
      <w:r>
        <w:rPr>
          <w:rFonts w:ascii="Times New Roman" w:cs="Times New Roman" w:eastAsia="Times New Roman" w:hAnsi="Times New Roman"/>
          <w:sz w:val="18"/>
          <w:szCs w:val="18"/>
          <w:color w:val="auto"/>
        </w:rPr>
        <w:t>Valuation is generated from model-based techniques that use at least one significant assumption based on unobservable inputs for the asset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liability, which are typically based on an entity’s own assumptions, as there is little, if any, related market activity.</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United has processes in place to review the significant valuation inputs and to assesses on a quarterly basis how instruments are classified within the valuation framework. Transfers into or out of fair value hierarchy levels are made as the observability of input assumptions change. During the nine months ended September 30, 2025, there were no changes to valuation approaches or techniques that warranted a hierarchy level change.</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8" w:name="page29"/>
    <w:bookmarkEnd w:id="28"/>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UNITED COMMUNITY BANKS, INC. AND SUBSIDIARIES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(Unaudited)</w:t>
      </w: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Assets and Liabilities Measured at Fair Value on a Recurring Basis</w:t>
      </w:r>
    </w:p>
    <w:p>
      <w:pPr>
        <w:spacing w:after="0" w:line="31"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8"/>
          <w:szCs w:val="18"/>
          <w:color w:val="auto"/>
        </w:rPr>
        <w:t>The table below presents United’s assets and liabilities measured at fair value on a recurring basis as of the dates indicated, aggregated by the level in the fair value hierarchy within which those measurements fall.</w:t>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5080" w:type="dxa"/>
            <w:vAlign w:val="bottom"/>
            <w:gridSpan w:val="2"/>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2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508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September 30, 2025</w:t>
            </w:r>
          </w:p>
        </w:tc>
        <w:tc>
          <w:tcPr>
            <w:tcW w:w="280" w:type="dxa"/>
            <w:vAlign w:val="bottom"/>
          </w:tcPr>
          <w:p>
            <w:pPr>
              <w:spacing w:after="0"/>
              <w:rPr>
                <w:sz w:val="19"/>
                <w:szCs w:val="19"/>
                <w:color w:val="auto"/>
              </w:rPr>
            </w:pPr>
          </w:p>
        </w:tc>
        <w:tc>
          <w:tcPr>
            <w:tcW w:w="1280" w:type="dxa"/>
            <w:vAlign w:val="bottom"/>
            <w:gridSpan w:val="2"/>
          </w:tcPr>
          <w:p>
            <w:pPr>
              <w:ind w:left="200"/>
              <w:spacing w:after="0"/>
              <w:rPr>
                <w:sz w:val="20"/>
                <w:szCs w:val="20"/>
                <w:color w:val="auto"/>
              </w:rPr>
            </w:pPr>
            <w:r>
              <w:rPr>
                <w:rFonts w:ascii="Times New Roman" w:cs="Times New Roman" w:eastAsia="Times New Roman" w:hAnsi="Times New Roman"/>
                <w:sz w:val="16"/>
                <w:szCs w:val="16"/>
                <w:b w:val="1"/>
                <w:bCs w:val="1"/>
                <w:color w:val="auto"/>
              </w:rPr>
              <w:t>Level 1</w:t>
            </w:r>
          </w:p>
        </w:tc>
        <w:tc>
          <w:tcPr>
            <w:tcW w:w="280" w:type="dxa"/>
            <w:vAlign w:val="bottom"/>
          </w:tcPr>
          <w:p>
            <w:pPr>
              <w:spacing w:after="0"/>
              <w:rPr>
                <w:sz w:val="19"/>
                <w:szCs w:val="19"/>
                <w:color w:val="auto"/>
              </w:rPr>
            </w:pPr>
          </w:p>
        </w:tc>
        <w:tc>
          <w:tcPr>
            <w:tcW w:w="1260" w:type="dxa"/>
            <w:vAlign w:val="bottom"/>
            <w:gridSpan w:val="2"/>
          </w:tcPr>
          <w:p>
            <w:pPr>
              <w:ind w:left="180"/>
              <w:spacing w:after="0"/>
              <w:rPr>
                <w:sz w:val="20"/>
                <w:szCs w:val="20"/>
                <w:color w:val="auto"/>
              </w:rPr>
            </w:pPr>
            <w:r>
              <w:rPr>
                <w:rFonts w:ascii="Times New Roman" w:cs="Times New Roman" w:eastAsia="Times New Roman" w:hAnsi="Times New Roman"/>
                <w:sz w:val="16"/>
                <w:szCs w:val="16"/>
                <w:b w:val="1"/>
                <w:bCs w:val="1"/>
                <w:color w:val="auto"/>
              </w:rPr>
              <w:t>Level 2</w:t>
            </w:r>
          </w:p>
        </w:tc>
        <w:tc>
          <w:tcPr>
            <w:tcW w:w="300" w:type="dxa"/>
            <w:vAlign w:val="bottom"/>
          </w:tcPr>
          <w:p>
            <w:pPr>
              <w:spacing w:after="0"/>
              <w:rPr>
                <w:sz w:val="19"/>
                <w:szCs w:val="19"/>
                <w:color w:val="auto"/>
              </w:rPr>
            </w:pPr>
          </w:p>
        </w:tc>
        <w:tc>
          <w:tcPr>
            <w:tcW w:w="1260" w:type="dxa"/>
            <w:vAlign w:val="bottom"/>
            <w:gridSpan w:val="2"/>
          </w:tcPr>
          <w:p>
            <w:pPr>
              <w:ind w:left="180"/>
              <w:spacing w:after="0"/>
              <w:rPr>
                <w:sz w:val="20"/>
                <w:szCs w:val="20"/>
                <w:color w:val="auto"/>
              </w:rPr>
            </w:pPr>
            <w:r>
              <w:rPr>
                <w:rFonts w:ascii="Times New Roman" w:cs="Times New Roman" w:eastAsia="Times New Roman" w:hAnsi="Times New Roman"/>
                <w:sz w:val="16"/>
                <w:szCs w:val="16"/>
                <w:b w:val="1"/>
                <w:bCs w:val="1"/>
                <w:color w:val="auto"/>
              </w:rPr>
              <w:t>Level 3</w:t>
            </w:r>
          </w:p>
        </w:tc>
        <w:tc>
          <w:tcPr>
            <w:tcW w:w="320" w:type="dxa"/>
            <w:vAlign w:val="bottom"/>
          </w:tcPr>
          <w:p>
            <w:pPr>
              <w:spacing w:after="0"/>
              <w:rPr>
                <w:sz w:val="19"/>
                <w:szCs w:val="19"/>
                <w:color w:val="auto"/>
              </w:rPr>
            </w:pPr>
          </w:p>
        </w:tc>
        <w:tc>
          <w:tcPr>
            <w:tcW w:w="1120" w:type="dxa"/>
            <w:vAlign w:val="bottom"/>
          </w:tcPr>
          <w:p>
            <w:pPr>
              <w:jc w:val="right"/>
              <w:ind w:right="459"/>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213"/>
        </w:trPr>
        <w:tc>
          <w:tcPr>
            <w:tcW w:w="49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08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AFS debt securities:</w:t>
            </w:r>
          </w:p>
        </w:tc>
        <w:tc>
          <w:tcPr>
            <w:tcW w:w="2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50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U.S. Treasuries</w:t>
            </w: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410,758</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410,758</w:t>
            </w:r>
          </w:p>
        </w:tc>
        <w:tc>
          <w:tcPr>
            <w:tcW w:w="0" w:type="dxa"/>
            <w:vAlign w:val="bottom"/>
          </w:tcPr>
          <w:p>
            <w:pPr>
              <w:spacing w:after="0"/>
              <w:rPr>
                <w:sz w:val="1"/>
                <w:szCs w:val="1"/>
                <w:color w:val="auto"/>
              </w:rPr>
            </w:pPr>
          </w:p>
        </w:tc>
      </w:tr>
      <w:tr>
        <w:trPr>
          <w:trHeight w:val="213"/>
        </w:trPr>
        <w:tc>
          <w:tcPr>
            <w:tcW w:w="508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U.S. Government agencies &amp; GSEs</w:t>
            </w:r>
          </w:p>
        </w:tc>
        <w:tc>
          <w:tcPr>
            <w:tcW w:w="280" w:type="dxa"/>
            <w:vAlign w:val="bottom"/>
          </w:tcPr>
          <w:p>
            <w:pPr>
              <w:spacing w:after="0"/>
              <w:rPr>
                <w:sz w:val="18"/>
                <w:szCs w:val="18"/>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280,921</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280,921</w:t>
            </w:r>
          </w:p>
        </w:tc>
        <w:tc>
          <w:tcPr>
            <w:tcW w:w="0" w:type="dxa"/>
            <w:vAlign w:val="bottom"/>
          </w:tcPr>
          <w:p>
            <w:pPr>
              <w:spacing w:after="0"/>
              <w:rPr>
                <w:sz w:val="1"/>
                <w:szCs w:val="1"/>
                <w:color w:val="auto"/>
              </w:rPr>
            </w:pPr>
          </w:p>
        </w:tc>
      </w:tr>
      <w:tr>
        <w:trPr>
          <w:trHeight w:val="219"/>
        </w:trPr>
        <w:tc>
          <w:tcPr>
            <w:tcW w:w="50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State and political subdivisions</w:t>
            </w:r>
          </w:p>
        </w:tc>
        <w:tc>
          <w:tcPr>
            <w:tcW w:w="28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155,397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155,397</w:t>
            </w:r>
          </w:p>
        </w:tc>
        <w:tc>
          <w:tcPr>
            <w:tcW w:w="0" w:type="dxa"/>
            <w:vAlign w:val="bottom"/>
          </w:tcPr>
          <w:p>
            <w:pPr>
              <w:spacing w:after="0"/>
              <w:rPr>
                <w:sz w:val="1"/>
                <w:szCs w:val="1"/>
                <w:color w:val="auto"/>
              </w:rPr>
            </w:pPr>
          </w:p>
        </w:tc>
      </w:tr>
      <w:tr>
        <w:trPr>
          <w:trHeight w:val="213"/>
        </w:trPr>
        <w:tc>
          <w:tcPr>
            <w:tcW w:w="508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Residential MBS</w:t>
            </w:r>
          </w:p>
        </w:tc>
        <w:tc>
          <w:tcPr>
            <w:tcW w:w="280" w:type="dxa"/>
            <w:vAlign w:val="bottom"/>
          </w:tcPr>
          <w:p>
            <w:pPr>
              <w:spacing w:after="0"/>
              <w:rPr>
                <w:sz w:val="18"/>
                <w:szCs w:val="18"/>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1,863,040</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1,863,040</w:t>
            </w:r>
          </w:p>
        </w:tc>
        <w:tc>
          <w:tcPr>
            <w:tcW w:w="0" w:type="dxa"/>
            <w:vAlign w:val="bottom"/>
          </w:tcPr>
          <w:p>
            <w:pPr>
              <w:spacing w:after="0"/>
              <w:rPr>
                <w:sz w:val="1"/>
                <w:szCs w:val="1"/>
                <w:color w:val="auto"/>
              </w:rPr>
            </w:pPr>
          </w:p>
        </w:tc>
      </w:tr>
      <w:tr>
        <w:trPr>
          <w:trHeight w:val="219"/>
        </w:trPr>
        <w:tc>
          <w:tcPr>
            <w:tcW w:w="50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Commercial MBS</w:t>
            </w:r>
          </w:p>
        </w:tc>
        <w:tc>
          <w:tcPr>
            <w:tcW w:w="28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743,028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743,028</w:t>
            </w:r>
          </w:p>
        </w:tc>
        <w:tc>
          <w:tcPr>
            <w:tcW w:w="0" w:type="dxa"/>
            <w:vAlign w:val="bottom"/>
          </w:tcPr>
          <w:p>
            <w:pPr>
              <w:spacing w:after="0"/>
              <w:rPr>
                <w:sz w:val="1"/>
                <w:szCs w:val="1"/>
                <w:color w:val="auto"/>
              </w:rPr>
            </w:pPr>
          </w:p>
        </w:tc>
      </w:tr>
      <w:tr>
        <w:trPr>
          <w:trHeight w:val="213"/>
        </w:trPr>
        <w:tc>
          <w:tcPr>
            <w:tcW w:w="508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Corporate bonds</w:t>
            </w:r>
          </w:p>
        </w:tc>
        <w:tc>
          <w:tcPr>
            <w:tcW w:w="280" w:type="dxa"/>
            <w:vAlign w:val="bottom"/>
          </w:tcPr>
          <w:p>
            <w:pPr>
              <w:spacing w:after="0"/>
              <w:rPr>
                <w:sz w:val="18"/>
                <w:szCs w:val="18"/>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137,855</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489</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138,344</w:t>
            </w:r>
          </w:p>
        </w:tc>
        <w:tc>
          <w:tcPr>
            <w:tcW w:w="0" w:type="dxa"/>
            <w:vAlign w:val="bottom"/>
          </w:tcPr>
          <w:p>
            <w:pPr>
              <w:spacing w:after="0"/>
              <w:rPr>
                <w:sz w:val="1"/>
                <w:szCs w:val="1"/>
                <w:color w:val="auto"/>
              </w:rPr>
            </w:pPr>
          </w:p>
        </w:tc>
      </w:tr>
      <w:tr>
        <w:trPr>
          <w:trHeight w:val="219"/>
        </w:trPr>
        <w:tc>
          <w:tcPr>
            <w:tcW w:w="50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Asset-backed securities</w:t>
            </w:r>
          </w:p>
        </w:tc>
        <w:tc>
          <w:tcPr>
            <w:tcW w:w="28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297,775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297,775</w:t>
            </w:r>
          </w:p>
        </w:tc>
        <w:tc>
          <w:tcPr>
            <w:tcW w:w="0" w:type="dxa"/>
            <w:vAlign w:val="bottom"/>
          </w:tcPr>
          <w:p>
            <w:pPr>
              <w:spacing w:after="0"/>
              <w:rPr>
                <w:sz w:val="1"/>
                <w:szCs w:val="1"/>
                <w:color w:val="auto"/>
              </w:rPr>
            </w:pPr>
          </w:p>
        </w:tc>
      </w:tr>
      <w:tr>
        <w:trPr>
          <w:trHeight w:val="213"/>
        </w:trPr>
        <w:tc>
          <w:tcPr>
            <w:tcW w:w="508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Equity securities</w:t>
            </w:r>
          </w:p>
        </w:tc>
        <w:tc>
          <w:tcPr>
            <w:tcW w:w="280" w:type="dxa"/>
            <w:vAlign w:val="bottom"/>
          </w:tcPr>
          <w:p>
            <w:pPr>
              <w:spacing w:after="0"/>
              <w:rPr>
                <w:sz w:val="18"/>
                <w:szCs w:val="18"/>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2,328</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2,328</w:t>
            </w:r>
          </w:p>
        </w:tc>
        <w:tc>
          <w:tcPr>
            <w:tcW w:w="0" w:type="dxa"/>
            <w:vAlign w:val="bottom"/>
          </w:tcPr>
          <w:p>
            <w:pPr>
              <w:spacing w:after="0"/>
              <w:rPr>
                <w:sz w:val="1"/>
                <w:szCs w:val="1"/>
                <w:color w:val="auto"/>
              </w:rPr>
            </w:pPr>
          </w:p>
        </w:tc>
      </w:tr>
      <w:tr>
        <w:trPr>
          <w:trHeight w:val="219"/>
        </w:trPr>
        <w:tc>
          <w:tcPr>
            <w:tcW w:w="50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Mortgage loans held for sale</w:t>
            </w:r>
          </w:p>
        </w:tc>
        <w:tc>
          <w:tcPr>
            <w:tcW w:w="28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34,802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34,802</w:t>
            </w:r>
          </w:p>
        </w:tc>
        <w:tc>
          <w:tcPr>
            <w:tcW w:w="0" w:type="dxa"/>
            <w:vAlign w:val="bottom"/>
          </w:tcPr>
          <w:p>
            <w:pPr>
              <w:spacing w:after="0"/>
              <w:rPr>
                <w:sz w:val="1"/>
                <w:szCs w:val="1"/>
                <w:color w:val="auto"/>
              </w:rPr>
            </w:pPr>
          </w:p>
        </w:tc>
      </w:tr>
      <w:tr>
        <w:trPr>
          <w:trHeight w:val="213"/>
        </w:trPr>
        <w:tc>
          <w:tcPr>
            <w:tcW w:w="508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Mutual funds</w:t>
            </w:r>
          </w:p>
        </w:tc>
        <w:tc>
          <w:tcPr>
            <w:tcW w:w="2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15,567</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8"/>
                <w:szCs w:val="18"/>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15,567</w:t>
            </w:r>
          </w:p>
        </w:tc>
        <w:tc>
          <w:tcPr>
            <w:tcW w:w="0" w:type="dxa"/>
            <w:vAlign w:val="bottom"/>
          </w:tcPr>
          <w:p>
            <w:pPr>
              <w:spacing w:after="0"/>
              <w:rPr>
                <w:sz w:val="1"/>
                <w:szCs w:val="1"/>
                <w:color w:val="auto"/>
              </w:rPr>
            </w:pPr>
          </w:p>
        </w:tc>
      </w:tr>
      <w:tr>
        <w:trPr>
          <w:trHeight w:val="219"/>
        </w:trPr>
        <w:tc>
          <w:tcPr>
            <w:tcW w:w="50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Servicing rights for SBA/USDA loans</w:t>
            </w:r>
          </w:p>
        </w:tc>
        <w:tc>
          <w:tcPr>
            <w:tcW w:w="28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4,822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4,822</w:t>
            </w:r>
          </w:p>
        </w:tc>
        <w:tc>
          <w:tcPr>
            <w:tcW w:w="0" w:type="dxa"/>
            <w:vAlign w:val="bottom"/>
          </w:tcPr>
          <w:p>
            <w:pPr>
              <w:spacing w:after="0"/>
              <w:rPr>
                <w:sz w:val="1"/>
                <w:szCs w:val="1"/>
                <w:color w:val="auto"/>
              </w:rPr>
            </w:pPr>
          </w:p>
        </w:tc>
      </w:tr>
      <w:tr>
        <w:trPr>
          <w:trHeight w:val="213"/>
        </w:trPr>
        <w:tc>
          <w:tcPr>
            <w:tcW w:w="508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Residential mortgage servicing rights</w:t>
            </w:r>
          </w:p>
        </w:tc>
        <w:tc>
          <w:tcPr>
            <w:tcW w:w="280" w:type="dxa"/>
            <w:vAlign w:val="bottom"/>
          </w:tcPr>
          <w:p>
            <w:pPr>
              <w:spacing w:after="0"/>
              <w:rPr>
                <w:sz w:val="18"/>
                <w:szCs w:val="18"/>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8"/>
                <w:szCs w:val="18"/>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40,792</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40,792</w:t>
            </w:r>
          </w:p>
        </w:tc>
        <w:tc>
          <w:tcPr>
            <w:tcW w:w="0" w:type="dxa"/>
            <w:vAlign w:val="bottom"/>
          </w:tcPr>
          <w:p>
            <w:pPr>
              <w:spacing w:after="0"/>
              <w:rPr>
                <w:sz w:val="1"/>
                <w:szCs w:val="1"/>
                <w:color w:val="auto"/>
              </w:rPr>
            </w:pPr>
          </w:p>
        </w:tc>
      </w:tr>
      <w:tr>
        <w:trPr>
          <w:trHeight w:val="219"/>
        </w:trPr>
        <w:tc>
          <w:tcPr>
            <w:tcW w:w="50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Contingent consideration receivable</w:t>
            </w:r>
          </w:p>
        </w:tc>
        <w:tc>
          <w:tcPr>
            <w:tcW w:w="28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7,236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7,236</w:t>
            </w:r>
          </w:p>
        </w:tc>
        <w:tc>
          <w:tcPr>
            <w:tcW w:w="0" w:type="dxa"/>
            <w:vAlign w:val="bottom"/>
          </w:tcPr>
          <w:p>
            <w:pPr>
              <w:spacing w:after="0"/>
              <w:rPr>
                <w:sz w:val="1"/>
                <w:szCs w:val="1"/>
                <w:color w:val="auto"/>
              </w:rPr>
            </w:pPr>
          </w:p>
        </w:tc>
      </w:tr>
      <w:tr>
        <w:trPr>
          <w:trHeight w:val="213"/>
        </w:trPr>
        <w:tc>
          <w:tcPr>
            <w:tcW w:w="508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Derivative financial instruments</w:t>
            </w:r>
          </w:p>
        </w:tc>
        <w:tc>
          <w:tcPr>
            <w:tcW w:w="280" w:type="dxa"/>
            <w:vAlign w:val="bottom"/>
          </w:tcPr>
          <w:p>
            <w:pPr>
              <w:spacing w:after="0"/>
              <w:rPr>
                <w:sz w:val="18"/>
                <w:szCs w:val="18"/>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30,019</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8,410</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38,429</w:t>
            </w:r>
          </w:p>
        </w:tc>
        <w:tc>
          <w:tcPr>
            <w:tcW w:w="0" w:type="dxa"/>
            <w:vAlign w:val="bottom"/>
          </w:tcPr>
          <w:p>
            <w:pPr>
              <w:spacing w:after="0"/>
              <w:rPr>
                <w:sz w:val="1"/>
                <w:szCs w:val="1"/>
                <w:color w:val="auto"/>
              </w:rPr>
            </w:pPr>
          </w:p>
        </w:tc>
      </w:tr>
      <w:tr>
        <w:trPr>
          <w:trHeight w:val="237"/>
        </w:trPr>
        <w:tc>
          <w:tcPr>
            <w:tcW w:w="5080" w:type="dxa"/>
            <w:vAlign w:val="bottom"/>
            <w:tcBorders>
              <w:top w:val="single" w:sz="8" w:color="CCEEFF"/>
              <w:bottom w:val="single" w:sz="8" w:color="CCEEFF"/>
            </w:tcBorders>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Total assets</w:t>
            </w:r>
          </w:p>
        </w:tc>
        <w:tc>
          <w:tcPr>
            <w:tcW w:w="280" w:type="dxa"/>
            <w:vAlign w:val="bottom"/>
            <w:tcBorders>
              <w:top w:val="single" w:sz="8" w:color="auto"/>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426,325</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80" w:type="dxa"/>
            <w:vAlign w:val="bottom"/>
            <w:tcBorders>
              <w:top w:val="single" w:sz="8" w:color="auto"/>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3,545,165</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00" w:type="dxa"/>
            <w:vAlign w:val="bottom"/>
            <w:tcBorders>
              <w:top w:val="single" w:sz="8" w:color="auto"/>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61,749</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20" w:type="dxa"/>
            <w:vAlign w:val="bottom"/>
            <w:tcBorders>
              <w:top w:val="single" w:sz="8" w:color="auto"/>
              <w:bottom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4,033,239</w:t>
            </w:r>
          </w:p>
        </w:tc>
        <w:tc>
          <w:tcPr>
            <w:tcW w:w="0" w:type="dxa"/>
            <w:vAlign w:val="bottom"/>
          </w:tcPr>
          <w:p>
            <w:pPr>
              <w:spacing w:after="0"/>
              <w:rPr>
                <w:sz w:val="1"/>
                <w:szCs w:val="1"/>
                <w:color w:val="auto"/>
              </w:rPr>
            </w:pPr>
          </w:p>
        </w:tc>
      </w:tr>
      <w:tr>
        <w:trPr>
          <w:trHeight w:val="20"/>
        </w:trPr>
        <w:tc>
          <w:tcPr>
            <w:tcW w:w="49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4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50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Liabilities:</w:t>
            </w:r>
          </w:p>
        </w:tc>
        <w:tc>
          <w:tcPr>
            <w:tcW w:w="2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08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Deferred compensation plan liability</w:t>
            </w: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15,569</w:t>
            </w:r>
          </w:p>
        </w:tc>
        <w:tc>
          <w:tcPr>
            <w:tcW w:w="120" w:type="dxa"/>
            <w:vAlign w:val="bottom"/>
          </w:tcPr>
          <w:p>
            <w:pPr>
              <w:spacing w:after="0"/>
              <w:rPr>
                <w:sz w:val="18"/>
                <w:szCs w:val="18"/>
                <w:color w:val="auto"/>
              </w:rPr>
            </w:pP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15,569</w:t>
            </w:r>
          </w:p>
        </w:tc>
        <w:tc>
          <w:tcPr>
            <w:tcW w:w="0" w:type="dxa"/>
            <w:vAlign w:val="bottom"/>
          </w:tcPr>
          <w:p>
            <w:pPr>
              <w:spacing w:after="0"/>
              <w:rPr>
                <w:sz w:val="1"/>
                <w:szCs w:val="1"/>
                <w:color w:val="auto"/>
              </w:rPr>
            </w:pPr>
          </w:p>
        </w:tc>
      </w:tr>
      <w:tr>
        <w:trPr>
          <w:trHeight w:val="219"/>
        </w:trPr>
        <w:tc>
          <w:tcPr>
            <w:tcW w:w="50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Derivative financial instruments</w:t>
            </w:r>
          </w:p>
        </w:tc>
        <w:tc>
          <w:tcPr>
            <w:tcW w:w="28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47,853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8,706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56,559</w:t>
            </w:r>
          </w:p>
        </w:tc>
        <w:tc>
          <w:tcPr>
            <w:tcW w:w="0" w:type="dxa"/>
            <w:vAlign w:val="bottom"/>
          </w:tcPr>
          <w:p>
            <w:pPr>
              <w:spacing w:after="0"/>
              <w:rPr>
                <w:sz w:val="1"/>
                <w:szCs w:val="1"/>
                <w:color w:val="auto"/>
              </w:rPr>
            </w:pPr>
          </w:p>
        </w:tc>
      </w:tr>
      <w:tr>
        <w:trPr>
          <w:trHeight w:val="209"/>
        </w:trPr>
        <w:tc>
          <w:tcPr>
            <w:tcW w:w="508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Total liabilities</w:t>
            </w:r>
          </w:p>
        </w:tc>
        <w:tc>
          <w:tcPr>
            <w:tcW w:w="280" w:type="dxa"/>
            <w:vAlign w:val="bottom"/>
            <w:tcBorders>
              <w:top w:val="single" w:sz="8" w:color="auto"/>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15,569</w:t>
            </w:r>
          </w:p>
        </w:tc>
        <w:tc>
          <w:tcPr>
            <w:tcW w:w="120" w:type="dxa"/>
            <w:vAlign w:val="bottom"/>
          </w:tcPr>
          <w:p>
            <w:pPr>
              <w:spacing w:after="0"/>
              <w:rPr>
                <w:sz w:val="18"/>
                <w:szCs w:val="18"/>
                <w:color w:val="auto"/>
              </w:rPr>
            </w:pPr>
          </w:p>
        </w:tc>
        <w:tc>
          <w:tcPr>
            <w:tcW w:w="280" w:type="dxa"/>
            <w:vAlign w:val="bottom"/>
            <w:tcBorders>
              <w:top w:val="single" w:sz="8" w:color="auto"/>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47,853</w:t>
            </w:r>
          </w:p>
        </w:tc>
        <w:tc>
          <w:tcPr>
            <w:tcW w:w="100" w:type="dxa"/>
            <w:vAlign w:val="bottom"/>
          </w:tcPr>
          <w:p>
            <w:pPr>
              <w:spacing w:after="0"/>
              <w:rPr>
                <w:sz w:val="18"/>
                <w:szCs w:val="18"/>
                <w:color w:val="auto"/>
              </w:rPr>
            </w:pPr>
          </w:p>
        </w:tc>
        <w:tc>
          <w:tcPr>
            <w:tcW w:w="300" w:type="dxa"/>
            <w:vAlign w:val="bottom"/>
            <w:tcBorders>
              <w:top w:val="single" w:sz="8" w:color="auto"/>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8,706</w:t>
            </w:r>
          </w:p>
        </w:tc>
        <w:tc>
          <w:tcPr>
            <w:tcW w:w="100" w:type="dxa"/>
            <w:vAlign w:val="bottom"/>
          </w:tcPr>
          <w:p>
            <w:pPr>
              <w:spacing w:after="0"/>
              <w:rPr>
                <w:sz w:val="18"/>
                <w:szCs w:val="18"/>
                <w:color w:val="auto"/>
              </w:rPr>
            </w:pPr>
          </w:p>
        </w:tc>
        <w:tc>
          <w:tcPr>
            <w:tcW w:w="320" w:type="dxa"/>
            <w:vAlign w:val="bottom"/>
            <w:tcBorders>
              <w:top w:val="single" w:sz="8" w:color="auto"/>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72,128</w:t>
            </w:r>
          </w:p>
        </w:tc>
        <w:tc>
          <w:tcPr>
            <w:tcW w:w="0" w:type="dxa"/>
            <w:vAlign w:val="bottom"/>
          </w:tcPr>
          <w:p>
            <w:pPr>
              <w:spacing w:after="0"/>
              <w:rPr>
                <w:sz w:val="1"/>
                <w:szCs w:val="1"/>
                <w:color w:val="auto"/>
              </w:rPr>
            </w:pPr>
          </w:p>
        </w:tc>
      </w:tr>
      <w:tr>
        <w:trPr>
          <w:trHeight w:val="20"/>
        </w:trPr>
        <w:tc>
          <w:tcPr>
            <w:tcW w:w="508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2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49"/>
        </w:trPr>
        <w:tc>
          <w:tcPr>
            <w:tcW w:w="5080" w:type="dxa"/>
            <w:vAlign w:val="bottom"/>
            <w:gridSpan w:val="2"/>
            <w:vMerge w:val="continue"/>
          </w:tcPr>
          <w:p>
            <w:pPr>
              <w:spacing w:after="0"/>
              <w:rPr>
                <w:sz w:val="24"/>
                <w:szCs w:val="24"/>
                <w:color w:val="auto"/>
              </w:rPr>
            </w:pPr>
          </w:p>
        </w:tc>
        <w:tc>
          <w:tcPr>
            <w:tcW w:w="2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9"/>
        </w:trPr>
        <w:tc>
          <w:tcPr>
            <w:tcW w:w="508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December 31, 2024</w:t>
            </w:r>
          </w:p>
        </w:tc>
        <w:tc>
          <w:tcPr>
            <w:tcW w:w="280" w:type="dxa"/>
            <w:vAlign w:val="bottom"/>
          </w:tcPr>
          <w:p>
            <w:pPr>
              <w:spacing w:after="0"/>
              <w:rPr>
                <w:sz w:val="19"/>
                <w:szCs w:val="19"/>
                <w:color w:val="auto"/>
              </w:rPr>
            </w:pPr>
          </w:p>
        </w:tc>
        <w:tc>
          <w:tcPr>
            <w:tcW w:w="1280" w:type="dxa"/>
            <w:vAlign w:val="bottom"/>
            <w:gridSpan w:val="2"/>
          </w:tcPr>
          <w:p>
            <w:pPr>
              <w:ind w:left="200"/>
              <w:spacing w:after="0"/>
              <w:rPr>
                <w:sz w:val="20"/>
                <w:szCs w:val="20"/>
                <w:color w:val="auto"/>
              </w:rPr>
            </w:pPr>
            <w:r>
              <w:rPr>
                <w:rFonts w:ascii="Times New Roman" w:cs="Times New Roman" w:eastAsia="Times New Roman" w:hAnsi="Times New Roman"/>
                <w:sz w:val="16"/>
                <w:szCs w:val="16"/>
                <w:b w:val="1"/>
                <w:bCs w:val="1"/>
                <w:color w:val="auto"/>
              </w:rPr>
              <w:t>Level 1</w:t>
            </w:r>
          </w:p>
        </w:tc>
        <w:tc>
          <w:tcPr>
            <w:tcW w:w="280" w:type="dxa"/>
            <w:vAlign w:val="bottom"/>
          </w:tcPr>
          <w:p>
            <w:pPr>
              <w:spacing w:after="0"/>
              <w:rPr>
                <w:sz w:val="19"/>
                <w:szCs w:val="19"/>
                <w:color w:val="auto"/>
              </w:rPr>
            </w:pPr>
          </w:p>
        </w:tc>
        <w:tc>
          <w:tcPr>
            <w:tcW w:w="1260" w:type="dxa"/>
            <w:vAlign w:val="bottom"/>
            <w:gridSpan w:val="2"/>
          </w:tcPr>
          <w:p>
            <w:pPr>
              <w:ind w:left="180"/>
              <w:spacing w:after="0"/>
              <w:rPr>
                <w:sz w:val="20"/>
                <w:szCs w:val="20"/>
                <w:color w:val="auto"/>
              </w:rPr>
            </w:pPr>
            <w:r>
              <w:rPr>
                <w:rFonts w:ascii="Times New Roman" w:cs="Times New Roman" w:eastAsia="Times New Roman" w:hAnsi="Times New Roman"/>
                <w:sz w:val="16"/>
                <w:szCs w:val="16"/>
                <w:b w:val="1"/>
                <w:bCs w:val="1"/>
                <w:color w:val="auto"/>
              </w:rPr>
              <w:t>Level 2</w:t>
            </w:r>
          </w:p>
        </w:tc>
        <w:tc>
          <w:tcPr>
            <w:tcW w:w="300" w:type="dxa"/>
            <w:vAlign w:val="bottom"/>
          </w:tcPr>
          <w:p>
            <w:pPr>
              <w:spacing w:after="0"/>
              <w:rPr>
                <w:sz w:val="19"/>
                <w:szCs w:val="19"/>
                <w:color w:val="auto"/>
              </w:rPr>
            </w:pPr>
          </w:p>
        </w:tc>
        <w:tc>
          <w:tcPr>
            <w:tcW w:w="1260" w:type="dxa"/>
            <w:vAlign w:val="bottom"/>
            <w:gridSpan w:val="2"/>
          </w:tcPr>
          <w:p>
            <w:pPr>
              <w:ind w:left="180"/>
              <w:spacing w:after="0"/>
              <w:rPr>
                <w:sz w:val="20"/>
                <w:szCs w:val="20"/>
                <w:color w:val="auto"/>
              </w:rPr>
            </w:pPr>
            <w:r>
              <w:rPr>
                <w:rFonts w:ascii="Times New Roman" w:cs="Times New Roman" w:eastAsia="Times New Roman" w:hAnsi="Times New Roman"/>
                <w:sz w:val="16"/>
                <w:szCs w:val="16"/>
                <w:b w:val="1"/>
                <w:bCs w:val="1"/>
                <w:color w:val="auto"/>
              </w:rPr>
              <w:t>Level 3</w:t>
            </w:r>
          </w:p>
        </w:tc>
        <w:tc>
          <w:tcPr>
            <w:tcW w:w="320" w:type="dxa"/>
            <w:vAlign w:val="bottom"/>
          </w:tcPr>
          <w:p>
            <w:pPr>
              <w:spacing w:after="0"/>
              <w:rPr>
                <w:sz w:val="19"/>
                <w:szCs w:val="19"/>
                <w:color w:val="auto"/>
              </w:rPr>
            </w:pPr>
          </w:p>
        </w:tc>
        <w:tc>
          <w:tcPr>
            <w:tcW w:w="1120" w:type="dxa"/>
            <w:vAlign w:val="bottom"/>
          </w:tcPr>
          <w:p>
            <w:pPr>
              <w:jc w:val="right"/>
              <w:ind w:right="459"/>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213"/>
        </w:trPr>
        <w:tc>
          <w:tcPr>
            <w:tcW w:w="49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08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AFS debt securities:</w:t>
            </w:r>
          </w:p>
        </w:tc>
        <w:tc>
          <w:tcPr>
            <w:tcW w:w="2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50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U.S. Treasuries</w:t>
            </w: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503,669</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503,669</w:t>
            </w:r>
          </w:p>
        </w:tc>
        <w:tc>
          <w:tcPr>
            <w:tcW w:w="0" w:type="dxa"/>
            <w:vAlign w:val="bottom"/>
          </w:tcPr>
          <w:p>
            <w:pPr>
              <w:spacing w:after="0"/>
              <w:rPr>
                <w:sz w:val="1"/>
                <w:szCs w:val="1"/>
                <w:color w:val="auto"/>
              </w:rPr>
            </w:pPr>
          </w:p>
        </w:tc>
      </w:tr>
      <w:tr>
        <w:trPr>
          <w:trHeight w:val="213"/>
        </w:trPr>
        <w:tc>
          <w:tcPr>
            <w:tcW w:w="508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U.S. Government agencies &amp; GSEs</w:t>
            </w:r>
          </w:p>
        </w:tc>
        <w:tc>
          <w:tcPr>
            <w:tcW w:w="280" w:type="dxa"/>
            <w:vAlign w:val="bottom"/>
          </w:tcPr>
          <w:p>
            <w:pPr>
              <w:spacing w:after="0"/>
              <w:rPr>
                <w:sz w:val="18"/>
                <w:szCs w:val="18"/>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320,267</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320,267</w:t>
            </w:r>
          </w:p>
        </w:tc>
        <w:tc>
          <w:tcPr>
            <w:tcW w:w="0" w:type="dxa"/>
            <w:vAlign w:val="bottom"/>
          </w:tcPr>
          <w:p>
            <w:pPr>
              <w:spacing w:after="0"/>
              <w:rPr>
                <w:sz w:val="1"/>
                <w:szCs w:val="1"/>
                <w:color w:val="auto"/>
              </w:rPr>
            </w:pPr>
          </w:p>
        </w:tc>
      </w:tr>
      <w:tr>
        <w:trPr>
          <w:trHeight w:val="219"/>
        </w:trPr>
        <w:tc>
          <w:tcPr>
            <w:tcW w:w="50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State and political subdivisions</w:t>
            </w:r>
          </w:p>
        </w:tc>
        <w:tc>
          <w:tcPr>
            <w:tcW w:w="28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158,232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158,232</w:t>
            </w:r>
          </w:p>
        </w:tc>
        <w:tc>
          <w:tcPr>
            <w:tcW w:w="0" w:type="dxa"/>
            <w:vAlign w:val="bottom"/>
          </w:tcPr>
          <w:p>
            <w:pPr>
              <w:spacing w:after="0"/>
              <w:rPr>
                <w:sz w:val="1"/>
                <w:szCs w:val="1"/>
                <w:color w:val="auto"/>
              </w:rPr>
            </w:pPr>
          </w:p>
        </w:tc>
      </w:tr>
      <w:tr>
        <w:trPr>
          <w:trHeight w:val="213"/>
        </w:trPr>
        <w:tc>
          <w:tcPr>
            <w:tcW w:w="508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Residential MBS</w:t>
            </w:r>
          </w:p>
        </w:tc>
        <w:tc>
          <w:tcPr>
            <w:tcW w:w="280" w:type="dxa"/>
            <w:vAlign w:val="bottom"/>
          </w:tcPr>
          <w:p>
            <w:pPr>
              <w:spacing w:after="0"/>
              <w:rPr>
                <w:sz w:val="18"/>
                <w:szCs w:val="18"/>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2,229,959</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2,229,959</w:t>
            </w:r>
          </w:p>
        </w:tc>
        <w:tc>
          <w:tcPr>
            <w:tcW w:w="0" w:type="dxa"/>
            <w:vAlign w:val="bottom"/>
          </w:tcPr>
          <w:p>
            <w:pPr>
              <w:spacing w:after="0"/>
              <w:rPr>
                <w:sz w:val="1"/>
                <w:szCs w:val="1"/>
                <w:color w:val="auto"/>
              </w:rPr>
            </w:pPr>
          </w:p>
        </w:tc>
      </w:tr>
      <w:tr>
        <w:trPr>
          <w:trHeight w:val="219"/>
        </w:trPr>
        <w:tc>
          <w:tcPr>
            <w:tcW w:w="50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Commercial MBS</w:t>
            </w:r>
          </w:p>
        </w:tc>
        <w:tc>
          <w:tcPr>
            <w:tcW w:w="28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822,897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822,897</w:t>
            </w:r>
          </w:p>
        </w:tc>
        <w:tc>
          <w:tcPr>
            <w:tcW w:w="0" w:type="dxa"/>
            <w:vAlign w:val="bottom"/>
          </w:tcPr>
          <w:p>
            <w:pPr>
              <w:spacing w:after="0"/>
              <w:rPr>
                <w:sz w:val="1"/>
                <w:szCs w:val="1"/>
                <w:color w:val="auto"/>
              </w:rPr>
            </w:pPr>
          </w:p>
        </w:tc>
      </w:tr>
      <w:tr>
        <w:trPr>
          <w:trHeight w:val="213"/>
        </w:trPr>
        <w:tc>
          <w:tcPr>
            <w:tcW w:w="508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Corporate bonds</w:t>
            </w:r>
          </w:p>
        </w:tc>
        <w:tc>
          <w:tcPr>
            <w:tcW w:w="280" w:type="dxa"/>
            <w:vAlign w:val="bottom"/>
          </w:tcPr>
          <w:p>
            <w:pPr>
              <w:spacing w:after="0"/>
              <w:rPr>
                <w:sz w:val="18"/>
                <w:szCs w:val="18"/>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150,394</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2,226</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152,620</w:t>
            </w:r>
          </w:p>
        </w:tc>
        <w:tc>
          <w:tcPr>
            <w:tcW w:w="0" w:type="dxa"/>
            <w:vAlign w:val="bottom"/>
          </w:tcPr>
          <w:p>
            <w:pPr>
              <w:spacing w:after="0"/>
              <w:rPr>
                <w:sz w:val="1"/>
                <w:szCs w:val="1"/>
                <w:color w:val="auto"/>
              </w:rPr>
            </w:pPr>
          </w:p>
        </w:tc>
      </w:tr>
      <w:tr>
        <w:trPr>
          <w:trHeight w:val="219"/>
        </w:trPr>
        <w:tc>
          <w:tcPr>
            <w:tcW w:w="50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Asset-backed securities</w:t>
            </w:r>
          </w:p>
        </w:tc>
        <w:tc>
          <w:tcPr>
            <w:tcW w:w="28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248,647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248,647</w:t>
            </w:r>
          </w:p>
        </w:tc>
        <w:tc>
          <w:tcPr>
            <w:tcW w:w="0" w:type="dxa"/>
            <w:vAlign w:val="bottom"/>
          </w:tcPr>
          <w:p>
            <w:pPr>
              <w:spacing w:after="0"/>
              <w:rPr>
                <w:sz w:val="1"/>
                <w:szCs w:val="1"/>
                <w:color w:val="auto"/>
              </w:rPr>
            </w:pPr>
          </w:p>
        </w:tc>
      </w:tr>
      <w:tr>
        <w:trPr>
          <w:trHeight w:val="213"/>
        </w:trPr>
        <w:tc>
          <w:tcPr>
            <w:tcW w:w="508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Equity securities</w:t>
            </w:r>
          </w:p>
        </w:tc>
        <w:tc>
          <w:tcPr>
            <w:tcW w:w="280" w:type="dxa"/>
            <w:vAlign w:val="bottom"/>
          </w:tcPr>
          <w:p>
            <w:pPr>
              <w:spacing w:after="0"/>
              <w:rPr>
                <w:sz w:val="18"/>
                <w:szCs w:val="18"/>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2,341</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2,341</w:t>
            </w:r>
          </w:p>
        </w:tc>
        <w:tc>
          <w:tcPr>
            <w:tcW w:w="0" w:type="dxa"/>
            <w:vAlign w:val="bottom"/>
          </w:tcPr>
          <w:p>
            <w:pPr>
              <w:spacing w:after="0"/>
              <w:rPr>
                <w:sz w:val="1"/>
                <w:szCs w:val="1"/>
                <w:color w:val="auto"/>
              </w:rPr>
            </w:pPr>
          </w:p>
        </w:tc>
      </w:tr>
      <w:tr>
        <w:trPr>
          <w:trHeight w:val="219"/>
        </w:trPr>
        <w:tc>
          <w:tcPr>
            <w:tcW w:w="50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Mortgage loans held for sale</w:t>
            </w:r>
          </w:p>
        </w:tc>
        <w:tc>
          <w:tcPr>
            <w:tcW w:w="28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57,534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57,534</w:t>
            </w:r>
          </w:p>
        </w:tc>
        <w:tc>
          <w:tcPr>
            <w:tcW w:w="0" w:type="dxa"/>
            <w:vAlign w:val="bottom"/>
          </w:tcPr>
          <w:p>
            <w:pPr>
              <w:spacing w:after="0"/>
              <w:rPr>
                <w:sz w:val="1"/>
                <w:szCs w:val="1"/>
                <w:color w:val="auto"/>
              </w:rPr>
            </w:pPr>
          </w:p>
        </w:tc>
      </w:tr>
      <w:tr>
        <w:trPr>
          <w:trHeight w:val="213"/>
        </w:trPr>
        <w:tc>
          <w:tcPr>
            <w:tcW w:w="508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Mutual funds</w:t>
            </w:r>
          </w:p>
        </w:tc>
        <w:tc>
          <w:tcPr>
            <w:tcW w:w="2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15,335</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8"/>
                <w:szCs w:val="18"/>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15,335</w:t>
            </w:r>
          </w:p>
        </w:tc>
        <w:tc>
          <w:tcPr>
            <w:tcW w:w="0" w:type="dxa"/>
            <w:vAlign w:val="bottom"/>
          </w:tcPr>
          <w:p>
            <w:pPr>
              <w:spacing w:after="0"/>
              <w:rPr>
                <w:sz w:val="1"/>
                <w:szCs w:val="1"/>
                <w:color w:val="auto"/>
              </w:rPr>
            </w:pPr>
          </w:p>
        </w:tc>
      </w:tr>
      <w:tr>
        <w:trPr>
          <w:trHeight w:val="219"/>
        </w:trPr>
        <w:tc>
          <w:tcPr>
            <w:tcW w:w="50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Servicing rights for SBA/USDA loans</w:t>
            </w:r>
          </w:p>
        </w:tc>
        <w:tc>
          <w:tcPr>
            <w:tcW w:w="28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4,697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4,697</w:t>
            </w:r>
          </w:p>
        </w:tc>
        <w:tc>
          <w:tcPr>
            <w:tcW w:w="0" w:type="dxa"/>
            <w:vAlign w:val="bottom"/>
          </w:tcPr>
          <w:p>
            <w:pPr>
              <w:spacing w:after="0"/>
              <w:rPr>
                <w:sz w:val="1"/>
                <w:szCs w:val="1"/>
                <w:color w:val="auto"/>
              </w:rPr>
            </w:pPr>
          </w:p>
        </w:tc>
      </w:tr>
      <w:tr>
        <w:trPr>
          <w:trHeight w:val="213"/>
        </w:trPr>
        <w:tc>
          <w:tcPr>
            <w:tcW w:w="508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Residential mortgage servicing rights</w:t>
            </w:r>
          </w:p>
        </w:tc>
        <w:tc>
          <w:tcPr>
            <w:tcW w:w="280" w:type="dxa"/>
            <w:vAlign w:val="bottom"/>
          </w:tcPr>
          <w:p>
            <w:pPr>
              <w:spacing w:after="0"/>
              <w:rPr>
                <w:sz w:val="18"/>
                <w:szCs w:val="18"/>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8"/>
                <w:szCs w:val="18"/>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39,294</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39,294</w:t>
            </w:r>
          </w:p>
        </w:tc>
        <w:tc>
          <w:tcPr>
            <w:tcW w:w="0" w:type="dxa"/>
            <w:vAlign w:val="bottom"/>
          </w:tcPr>
          <w:p>
            <w:pPr>
              <w:spacing w:after="0"/>
              <w:rPr>
                <w:sz w:val="1"/>
                <w:szCs w:val="1"/>
                <w:color w:val="auto"/>
              </w:rPr>
            </w:pPr>
          </w:p>
        </w:tc>
      </w:tr>
      <w:tr>
        <w:trPr>
          <w:trHeight w:val="219"/>
        </w:trPr>
        <w:tc>
          <w:tcPr>
            <w:tcW w:w="50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Contingent consideration receivable</w:t>
            </w:r>
          </w:p>
        </w:tc>
        <w:tc>
          <w:tcPr>
            <w:tcW w:w="28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7,470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7,470</w:t>
            </w:r>
          </w:p>
        </w:tc>
        <w:tc>
          <w:tcPr>
            <w:tcW w:w="0" w:type="dxa"/>
            <w:vAlign w:val="bottom"/>
          </w:tcPr>
          <w:p>
            <w:pPr>
              <w:spacing w:after="0"/>
              <w:rPr>
                <w:sz w:val="1"/>
                <w:szCs w:val="1"/>
                <w:color w:val="auto"/>
              </w:rPr>
            </w:pPr>
          </w:p>
        </w:tc>
      </w:tr>
      <w:tr>
        <w:trPr>
          <w:trHeight w:val="213"/>
        </w:trPr>
        <w:tc>
          <w:tcPr>
            <w:tcW w:w="508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Derivative financial instruments</w:t>
            </w:r>
          </w:p>
        </w:tc>
        <w:tc>
          <w:tcPr>
            <w:tcW w:w="280" w:type="dxa"/>
            <w:vAlign w:val="bottom"/>
          </w:tcPr>
          <w:p>
            <w:pPr>
              <w:spacing w:after="0"/>
              <w:rPr>
                <w:sz w:val="18"/>
                <w:szCs w:val="18"/>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35,227</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11,656</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46,883</w:t>
            </w:r>
          </w:p>
        </w:tc>
        <w:tc>
          <w:tcPr>
            <w:tcW w:w="0" w:type="dxa"/>
            <w:vAlign w:val="bottom"/>
          </w:tcPr>
          <w:p>
            <w:pPr>
              <w:spacing w:after="0"/>
              <w:rPr>
                <w:sz w:val="1"/>
                <w:szCs w:val="1"/>
                <w:color w:val="auto"/>
              </w:rPr>
            </w:pPr>
          </w:p>
        </w:tc>
      </w:tr>
      <w:tr>
        <w:trPr>
          <w:trHeight w:val="237"/>
        </w:trPr>
        <w:tc>
          <w:tcPr>
            <w:tcW w:w="5080" w:type="dxa"/>
            <w:vAlign w:val="bottom"/>
            <w:tcBorders>
              <w:top w:val="single" w:sz="8" w:color="CCEEFF"/>
              <w:bottom w:val="single" w:sz="8" w:color="CCEEFF"/>
            </w:tcBorders>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Total assets</w:t>
            </w:r>
          </w:p>
        </w:tc>
        <w:tc>
          <w:tcPr>
            <w:tcW w:w="280" w:type="dxa"/>
            <w:vAlign w:val="bottom"/>
            <w:tcBorders>
              <w:top w:val="single" w:sz="8" w:color="auto"/>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519,004</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80" w:type="dxa"/>
            <w:vAlign w:val="bottom"/>
            <w:tcBorders>
              <w:top w:val="single" w:sz="8" w:color="auto"/>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4,025,498</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00" w:type="dxa"/>
            <w:vAlign w:val="bottom"/>
            <w:tcBorders>
              <w:top w:val="single" w:sz="8" w:color="auto"/>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65,343</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20" w:type="dxa"/>
            <w:vAlign w:val="bottom"/>
            <w:tcBorders>
              <w:top w:val="single" w:sz="8" w:color="auto"/>
              <w:bottom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4,609,845</w:t>
            </w:r>
          </w:p>
        </w:tc>
        <w:tc>
          <w:tcPr>
            <w:tcW w:w="0" w:type="dxa"/>
            <w:vAlign w:val="bottom"/>
          </w:tcPr>
          <w:p>
            <w:pPr>
              <w:spacing w:after="0"/>
              <w:rPr>
                <w:sz w:val="1"/>
                <w:szCs w:val="1"/>
                <w:color w:val="auto"/>
              </w:rPr>
            </w:pPr>
          </w:p>
        </w:tc>
      </w:tr>
      <w:tr>
        <w:trPr>
          <w:trHeight w:val="20"/>
        </w:trPr>
        <w:tc>
          <w:tcPr>
            <w:tcW w:w="5080" w:type="dxa"/>
            <w:vAlign w:val="bottom"/>
            <w:tcBorders>
              <w:top w:val="single" w:sz="8" w:color="CCEEFF"/>
            </w:tcBorders>
            <w:gridSpan w:val="2"/>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4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50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Liabilities:</w:t>
            </w:r>
          </w:p>
        </w:tc>
        <w:tc>
          <w:tcPr>
            <w:tcW w:w="2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08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Deferred compensation plan liability</w:t>
            </w: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15,331</w:t>
            </w:r>
          </w:p>
        </w:tc>
        <w:tc>
          <w:tcPr>
            <w:tcW w:w="120" w:type="dxa"/>
            <w:vAlign w:val="bottom"/>
          </w:tcPr>
          <w:p>
            <w:pPr>
              <w:spacing w:after="0"/>
              <w:rPr>
                <w:sz w:val="18"/>
                <w:szCs w:val="18"/>
                <w:color w:val="auto"/>
              </w:rPr>
            </w:pP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15,331</w:t>
            </w:r>
          </w:p>
        </w:tc>
        <w:tc>
          <w:tcPr>
            <w:tcW w:w="0" w:type="dxa"/>
            <w:vAlign w:val="bottom"/>
          </w:tcPr>
          <w:p>
            <w:pPr>
              <w:spacing w:after="0"/>
              <w:rPr>
                <w:sz w:val="1"/>
                <w:szCs w:val="1"/>
                <w:color w:val="auto"/>
              </w:rPr>
            </w:pPr>
          </w:p>
        </w:tc>
      </w:tr>
      <w:tr>
        <w:trPr>
          <w:trHeight w:val="216"/>
        </w:trPr>
        <w:tc>
          <w:tcPr>
            <w:tcW w:w="50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Derivative financial instruments</w:t>
            </w:r>
          </w:p>
        </w:tc>
        <w:tc>
          <w:tcPr>
            <w:tcW w:w="2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65,548</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12,286</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77,834</w:t>
            </w:r>
          </w:p>
        </w:tc>
        <w:tc>
          <w:tcPr>
            <w:tcW w:w="0" w:type="dxa"/>
            <w:vAlign w:val="bottom"/>
          </w:tcPr>
          <w:p>
            <w:pPr>
              <w:spacing w:after="0"/>
              <w:rPr>
                <w:sz w:val="1"/>
                <w:szCs w:val="1"/>
                <w:color w:val="auto"/>
              </w:rPr>
            </w:pPr>
          </w:p>
        </w:tc>
      </w:tr>
      <w:tr>
        <w:trPr>
          <w:trHeight w:val="212"/>
        </w:trPr>
        <w:tc>
          <w:tcPr>
            <w:tcW w:w="508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Total liabilities</w:t>
            </w:r>
          </w:p>
        </w:tc>
        <w:tc>
          <w:tcPr>
            <w:tcW w:w="280" w:type="dxa"/>
            <w:vAlign w:val="bottom"/>
            <w:tcBorders>
              <w:top w:val="single" w:sz="8" w:color="auto"/>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15,331</w:t>
            </w:r>
          </w:p>
        </w:tc>
        <w:tc>
          <w:tcPr>
            <w:tcW w:w="120" w:type="dxa"/>
            <w:vAlign w:val="bottom"/>
          </w:tcPr>
          <w:p>
            <w:pPr>
              <w:spacing w:after="0"/>
              <w:rPr>
                <w:sz w:val="18"/>
                <w:szCs w:val="18"/>
                <w:color w:val="auto"/>
              </w:rPr>
            </w:pPr>
          </w:p>
        </w:tc>
        <w:tc>
          <w:tcPr>
            <w:tcW w:w="280" w:type="dxa"/>
            <w:vAlign w:val="bottom"/>
            <w:tcBorders>
              <w:top w:val="single" w:sz="8" w:color="auto"/>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65,548</w:t>
            </w:r>
          </w:p>
        </w:tc>
        <w:tc>
          <w:tcPr>
            <w:tcW w:w="100" w:type="dxa"/>
            <w:vAlign w:val="bottom"/>
          </w:tcPr>
          <w:p>
            <w:pPr>
              <w:spacing w:after="0"/>
              <w:rPr>
                <w:sz w:val="18"/>
                <w:szCs w:val="18"/>
                <w:color w:val="auto"/>
              </w:rPr>
            </w:pPr>
          </w:p>
        </w:tc>
        <w:tc>
          <w:tcPr>
            <w:tcW w:w="300" w:type="dxa"/>
            <w:vAlign w:val="bottom"/>
            <w:tcBorders>
              <w:top w:val="single" w:sz="8" w:color="auto"/>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12,286</w:t>
            </w:r>
          </w:p>
        </w:tc>
        <w:tc>
          <w:tcPr>
            <w:tcW w:w="100" w:type="dxa"/>
            <w:vAlign w:val="bottom"/>
          </w:tcPr>
          <w:p>
            <w:pPr>
              <w:spacing w:after="0"/>
              <w:rPr>
                <w:sz w:val="18"/>
                <w:szCs w:val="18"/>
                <w:color w:val="auto"/>
              </w:rPr>
            </w:pPr>
          </w:p>
        </w:tc>
        <w:tc>
          <w:tcPr>
            <w:tcW w:w="320" w:type="dxa"/>
            <w:vAlign w:val="bottom"/>
            <w:tcBorders>
              <w:top w:val="single" w:sz="8" w:color="auto"/>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93,165</w:t>
            </w:r>
          </w:p>
        </w:tc>
        <w:tc>
          <w:tcPr>
            <w:tcW w:w="0" w:type="dxa"/>
            <w:vAlign w:val="bottom"/>
          </w:tcPr>
          <w:p>
            <w:pPr>
              <w:spacing w:after="0"/>
              <w:rPr>
                <w:sz w:val="1"/>
                <w:szCs w:val="1"/>
                <w:color w:val="auto"/>
              </w:rPr>
            </w:pPr>
          </w:p>
        </w:tc>
      </w:tr>
      <w:tr>
        <w:trPr>
          <w:trHeight w:val="21"/>
        </w:trPr>
        <w:tc>
          <w:tcPr>
            <w:tcW w:w="4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20"/>
          </w:cols>
          <w:pgMar w:left="320" w:top="117"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type w:val="continuous"/>
        </w:sectPr>
      </w:pPr>
    </w:p>
    <w:bookmarkStart w:id="29" w:name="page30"/>
    <w:bookmarkEnd w:id="29"/>
    <w:p>
      <w:pPr>
        <w:jc w:val="center"/>
        <w:spacing w:after="0"/>
        <w:rPr>
          <w:sz w:val="20"/>
          <w:szCs w:val="20"/>
          <w:color w:val="auto"/>
        </w:rPr>
      </w:pPr>
      <w:r>
        <w:rPr>
          <w:rFonts w:ascii="Times New Roman" w:cs="Times New Roman" w:eastAsia="Times New Roman" w:hAnsi="Times New Roman"/>
          <w:sz w:val="18"/>
          <w:szCs w:val="18"/>
          <w:b w:val="1"/>
          <w:bCs w:val="1"/>
          <w:color w:val="auto"/>
        </w:rPr>
        <w:t>UNITED COMMUNITY BANKS,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(Unaudited)</w:t>
      </w: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Level 3 Fair Value Measurements</w:t>
      </w:r>
    </w:p>
    <w:p>
      <w:pPr>
        <w:spacing w:after="0" w:line="108"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following table presents quantitative information about significant unobservable inputs related to United’s material categories of Level 3 financial instruments measured at fair value on a recurring basis as of the dates indicated.</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620" w:type="dxa"/>
            <w:vAlign w:val="bottom"/>
            <w:gridSpan w:val="2"/>
            <w:vMerge w:val="restart"/>
          </w:tcPr>
          <w:p>
            <w:pPr>
              <w:ind w:left="280"/>
              <w:spacing w:after="0"/>
              <w:rPr>
                <w:sz w:val="20"/>
                <w:szCs w:val="20"/>
                <w:color w:val="auto"/>
              </w:rPr>
            </w:pPr>
            <w:r>
              <w:rPr>
                <w:rFonts w:ascii="Times New Roman" w:cs="Times New Roman" w:eastAsia="Times New Roman" w:hAnsi="Times New Roman"/>
                <w:sz w:val="16"/>
                <w:szCs w:val="16"/>
                <w:b w:val="1"/>
                <w:bCs w:val="1"/>
                <w:color w:val="auto"/>
              </w:rPr>
              <w:t>Level 3 Assets and Liabilities</w:t>
            </w:r>
          </w:p>
        </w:tc>
        <w:tc>
          <w:tcPr>
            <w:tcW w:w="1540" w:type="dxa"/>
            <w:vAlign w:val="bottom"/>
            <w:gridSpan w:val="2"/>
          </w:tcPr>
          <w:p>
            <w:pPr>
              <w:ind w:left="400"/>
              <w:spacing w:after="0"/>
              <w:rPr>
                <w:sz w:val="20"/>
                <w:szCs w:val="20"/>
                <w:color w:val="auto"/>
              </w:rPr>
            </w:pPr>
            <w:r>
              <w:rPr>
                <w:rFonts w:ascii="Times New Roman" w:cs="Times New Roman" w:eastAsia="Times New Roman" w:hAnsi="Times New Roman"/>
                <w:sz w:val="16"/>
                <w:szCs w:val="16"/>
                <w:b w:val="1"/>
                <w:bCs w:val="1"/>
                <w:color w:val="auto"/>
              </w:rPr>
              <w:t>Valuation</w:t>
            </w:r>
          </w:p>
        </w:tc>
        <w:tc>
          <w:tcPr>
            <w:tcW w:w="2240" w:type="dxa"/>
            <w:vAlign w:val="bottom"/>
            <w:gridSpan w:val="2"/>
          </w:tcPr>
          <w:p>
            <w:pPr>
              <w:ind w:left="200"/>
              <w:spacing w:after="0"/>
              <w:rPr>
                <w:sz w:val="20"/>
                <w:szCs w:val="20"/>
                <w:color w:val="auto"/>
              </w:rPr>
            </w:pPr>
            <w:r>
              <w:rPr>
                <w:rFonts w:ascii="Times New Roman" w:cs="Times New Roman" w:eastAsia="Times New Roman" w:hAnsi="Times New Roman"/>
                <w:sz w:val="16"/>
                <w:szCs w:val="16"/>
                <w:b w:val="1"/>
                <w:bCs w:val="1"/>
                <w:color w:val="auto"/>
              </w:rPr>
              <w:t>Significant Unobservable</w:t>
            </w:r>
          </w:p>
        </w:tc>
        <w:tc>
          <w:tcPr>
            <w:tcW w:w="2440" w:type="dxa"/>
            <w:vAlign w:val="bottom"/>
            <w:gridSpan w:val="4"/>
            <w:vMerge w:val="restart"/>
          </w:tcPr>
          <w:p>
            <w:pPr>
              <w:ind w:left="500"/>
              <w:spacing w:after="0"/>
              <w:rPr>
                <w:sz w:val="20"/>
                <w:szCs w:val="20"/>
                <w:color w:val="auto"/>
              </w:rPr>
            </w:pPr>
            <w:r>
              <w:rPr>
                <w:rFonts w:ascii="Times New Roman" w:cs="Times New Roman" w:eastAsia="Times New Roman" w:hAnsi="Times New Roman"/>
                <w:sz w:val="16"/>
                <w:szCs w:val="16"/>
                <w:b w:val="1"/>
                <w:bCs w:val="1"/>
                <w:color w:val="auto"/>
              </w:rPr>
              <w:t>September 30, 2025</w:t>
            </w:r>
          </w:p>
        </w:tc>
        <w:tc>
          <w:tcPr>
            <w:tcW w:w="2360" w:type="dxa"/>
            <w:vAlign w:val="bottom"/>
            <w:gridSpan w:val="3"/>
            <w:vMerge w:val="restart"/>
          </w:tcPr>
          <w:p>
            <w:pPr>
              <w:ind w:left="520"/>
              <w:spacing w:after="0"/>
              <w:rPr>
                <w:sz w:val="20"/>
                <w:szCs w:val="20"/>
                <w:color w:val="auto"/>
              </w:rPr>
            </w:pPr>
            <w:r>
              <w:rPr>
                <w:rFonts w:ascii="Times New Roman" w:cs="Times New Roman" w:eastAsia="Times New Roman" w:hAnsi="Times New Roman"/>
                <w:sz w:val="16"/>
                <w:szCs w:val="16"/>
                <w:b w:val="1"/>
                <w:bCs w:val="1"/>
                <w:color w:val="auto"/>
              </w:rPr>
              <w:t>December 31, 2024</w:t>
            </w:r>
          </w:p>
        </w:tc>
        <w:tc>
          <w:tcPr>
            <w:tcW w:w="0" w:type="dxa"/>
            <w:vAlign w:val="bottom"/>
          </w:tcPr>
          <w:p>
            <w:pPr>
              <w:spacing w:after="0"/>
              <w:rPr>
                <w:sz w:val="1"/>
                <w:szCs w:val="1"/>
                <w:color w:val="auto"/>
              </w:rPr>
            </w:pPr>
          </w:p>
        </w:tc>
      </w:tr>
      <w:tr>
        <w:trPr>
          <w:trHeight w:val="214"/>
        </w:trPr>
        <w:tc>
          <w:tcPr>
            <w:tcW w:w="2620" w:type="dxa"/>
            <w:vAlign w:val="bottom"/>
            <w:gridSpan w:val="2"/>
            <w:vMerge w:val="continue"/>
          </w:tcPr>
          <w:p>
            <w:pPr>
              <w:spacing w:after="0"/>
              <w:rPr>
                <w:sz w:val="18"/>
                <w:szCs w:val="18"/>
                <w:color w:val="auto"/>
              </w:rPr>
            </w:pPr>
          </w:p>
        </w:tc>
        <w:tc>
          <w:tcPr>
            <w:tcW w:w="1540" w:type="dxa"/>
            <w:vAlign w:val="bottom"/>
            <w:gridSpan w:val="2"/>
          </w:tcPr>
          <w:p>
            <w:pPr>
              <w:ind w:left="380"/>
              <w:spacing w:after="0"/>
              <w:rPr>
                <w:sz w:val="20"/>
                <w:szCs w:val="20"/>
                <w:color w:val="auto"/>
              </w:rPr>
            </w:pPr>
            <w:r>
              <w:rPr>
                <w:rFonts w:ascii="Times New Roman" w:cs="Times New Roman" w:eastAsia="Times New Roman" w:hAnsi="Times New Roman"/>
                <w:sz w:val="16"/>
                <w:szCs w:val="16"/>
                <w:b w:val="1"/>
                <w:bCs w:val="1"/>
                <w:color w:val="auto"/>
              </w:rPr>
              <w:t>Technique</w:t>
            </w:r>
          </w:p>
        </w:tc>
        <w:tc>
          <w:tcPr>
            <w:tcW w:w="2240" w:type="dxa"/>
            <w:vAlign w:val="bottom"/>
            <w:gridSpan w:val="2"/>
          </w:tcPr>
          <w:p>
            <w:pPr>
              <w:ind w:left="840"/>
              <w:spacing w:after="0"/>
              <w:rPr>
                <w:sz w:val="20"/>
                <w:szCs w:val="20"/>
                <w:color w:val="auto"/>
              </w:rPr>
            </w:pPr>
            <w:r>
              <w:rPr>
                <w:rFonts w:ascii="Times New Roman" w:cs="Times New Roman" w:eastAsia="Times New Roman" w:hAnsi="Times New Roman"/>
                <w:sz w:val="16"/>
                <w:szCs w:val="16"/>
                <w:b w:val="1"/>
                <w:bCs w:val="1"/>
                <w:color w:val="auto"/>
              </w:rPr>
              <w:t>Inputs</w:t>
            </w:r>
          </w:p>
        </w:tc>
        <w:tc>
          <w:tcPr>
            <w:tcW w:w="2440" w:type="dxa"/>
            <w:vAlign w:val="bottom"/>
            <w:gridSpan w:val="4"/>
            <w:vMerge w:val="continue"/>
          </w:tcPr>
          <w:p>
            <w:pPr>
              <w:spacing w:after="0"/>
              <w:rPr>
                <w:sz w:val="18"/>
                <w:szCs w:val="18"/>
                <w:color w:val="auto"/>
              </w:rPr>
            </w:pPr>
          </w:p>
        </w:tc>
        <w:tc>
          <w:tcPr>
            <w:tcW w:w="2360" w:type="dxa"/>
            <w:vAlign w:val="bottom"/>
            <w:gridSpan w:val="3"/>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57"/>
        </w:trPr>
        <w:tc>
          <w:tcPr>
            <w:tcW w:w="254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46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216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200" w:type="dxa"/>
            <w:vAlign w:val="bottom"/>
            <w:tcBorders>
              <w:top w:val="single" w:sz="8" w:color="auto"/>
            </w:tcBorders>
            <w:gridSpan w:val="2"/>
            <w:vMerge w:val="restart"/>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Range</w:t>
            </w:r>
          </w:p>
        </w:tc>
        <w:tc>
          <w:tcPr>
            <w:tcW w:w="1160" w:type="dxa"/>
            <w:vAlign w:val="bottom"/>
            <w:tcBorders>
              <w:top w:val="single" w:sz="8" w:color="auto"/>
            </w:tcBorders>
          </w:tcPr>
          <w:p>
            <w:pPr>
              <w:jc w:val="center"/>
              <w:spacing w:after="0" w:line="158" w:lineRule="exact"/>
              <w:rPr>
                <w:sz w:val="20"/>
                <w:szCs w:val="20"/>
                <w:color w:val="auto"/>
              </w:rPr>
            </w:pPr>
            <w:r>
              <w:rPr>
                <w:rFonts w:ascii="Times New Roman" w:cs="Times New Roman" w:eastAsia="Times New Roman" w:hAnsi="Times New Roman"/>
                <w:sz w:val="16"/>
                <w:szCs w:val="16"/>
                <w:b w:val="1"/>
                <w:bCs w:val="1"/>
                <w:color w:val="auto"/>
              </w:rPr>
              <w:t>Weighted</w:t>
            </w:r>
          </w:p>
        </w:tc>
        <w:tc>
          <w:tcPr>
            <w:tcW w:w="80" w:type="dxa"/>
            <w:vAlign w:val="bottom"/>
          </w:tcPr>
          <w:p>
            <w:pPr>
              <w:spacing w:after="0"/>
              <w:rPr>
                <w:sz w:val="13"/>
                <w:szCs w:val="13"/>
                <w:color w:val="auto"/>
              </w:rPr>
            </w:pPr>
          </w:p>
        </w:tc>
        <w:tc>
          <w:tcPr>
            <w:tcW w:w="1220" w:type="dxa"/>
            <w:vAlign w:val="bottom"/>
            <w:tcBorders>
              <w:top w:val="single" w:sz="8" w:color="auto"/>
            </w:tcBorders>
            <w:gridSpan w:val="2"/>
            <w:vMerge w:val="restart"/>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Range</w:t>
            </w:r>
          </w:p>
        </w:tc>
        <w:tc>
          <w:tcPr>
            <w:tcW w:w="1140" w:type="dxa"/>
            <w:vAlign w:val="bottom"/>
            <w:tcBorders>
              <w:top w:val="single" w:sz="8" w:color="auto"/>
            </w:tcBorders>
          </w:tcPr>
          <w:p>
            <w:pPr>
              <w:jc w:val="center"/>
              <w:spacing w:after="0" w:line="158" w:lineRule="exact"/>
              <w:rPr>
                <w:sz w:val="20"/>
                <w:szCs w:val="20"/>
                <w:color w:val="auto"/>
              </w:rPr>
            </w:pPr>
            <w:r>
              <w:rPr>
                <w:rFonts w:ascii="Times New Roman" w:cs="Times New Roman" w:eastAsia="Times New Roman" w:hAnsi="Times New Roman"/>
                <w:sz w:val="16"/>
                <w:szCs w:val="16"/>
                <w:b w:val="1"/>
                <w:bCs w:val="1"/>
                <w:color w:val="auto"/>
              </w:rPr>
              <w:t>Weighted</w:t>
            </w:r>
          </w:p>
        </w:tc>
        <w:tc>
          <w:tcPr>
            <w:tcW w:w="0" w:type="dxa"/>
            <w:vAlign w:val="bottom"/>
          </w:tcPr>
          <w:p>
            <w:pPr>
              <w:spacing w:after="0"/>
              <w:rPr>
                <w:sz w:val="1"/>
                <w:szCs w:val="1"/>
                <w:color w:val="auto"/>
              </w:rPr>
            </w:pPr>
          </w:p>
        </w:tc>
      </w:tr>
      <w:tr>
        <w:trPr>
          <w:trHeight w:val="129"/>
        </w:trPr>
        <w:tc>
          <w:tcPr>
            <w:tcW w:w="2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vMerge w:val="continue"/>
          </w:tcPr>
          <w:p>
            <w:pPr>
              <w:spacing w:after="0"/>
              <w:rPr>
                <w:sz w:val="11"/>
                <w:szCs w:val="11"/>
                <w:color w:val="auto"/>
              </w:rPr>
            </w:pPr>
          </w:p>
        </w:tc>
        <w:tc>
          <w:tcPr>
            <w:tcW w:w="124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8"/>
              </w:rPr>
              <w:t>Average</w:t>
            </w:r>
          </w:p>
        </w:tc>
        <w:tc>
          <w:tcPr>
            <w:tcW w:w="1220" w:type="dxa"/>
            <w:vAlign w:val="bottom"/>
            <w:gridSpan w:val="2"/>
            <w:vMerge w:val="continue"/>
          </w:tcPr>
          <w:p>
            <w:pPr>
              <w:spacing w:after="0"/>
              <w:rPr>
                <w:sz w:val="11"/>
                <w:szCs w:val="11"/>
                <w:color w:val="auto"/>
              </w:rPr>
            </w:pPr>
          </w:p>
        </w:tc>
        <w:tc>
          <w:tcPr>
            <w:tcW w:w="114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Average</w:t>
            </w:r>
          </w:p>
        </w:tc>
        <w:tc>
          <w:tcPr>
            <w:tcW w:w="0" w:type="dxa"/>
            <w:vAlign w:val="bottom"/>
          </w:tcPr>
          <w:p>
            <w:pPr>
              <w:spacing w:after="0"/>
              <w:rPr>
                <w:sz w:val="1"/>
                <w:szCs w:val="1"/>
                <w:color w:val="auto"/>
              </w:rPr>
            </w:pPr>
          </w:p>
        </w:tc>
      </w:tr>
      <w:tr>
        <w:trPr>
          <w:trHeight w:val="85"/>
        </w:trPr>
        <w:tc>
          <w:tcPr>
            <w:tcW w:w="2540" w:type="dxa"/>
            <w:vAlign w:val="bottom"/>
          </w:tcPr>
          <w:p>
            <w:pPr>
              <w:spacing w:after="0"/>
              <w:rPr>
                <w:sz w:val="7"/>
                <w:szCs w:val="7"/>
                <w:color w:val="auto"/>
              </w:rPr>
            </w:pPr>
          </w:p>
        </w:tc>
        <w:tc>
          <w:tcPr>
            <w:tcW w:w="80" w:type="dxa"/>
            <w:vAlign w:val="bottom"/>
          </w:tcPr>
          <w:p>
            <w:pPr>
              <w:spacing w:after="0"/>
              <w:rPr>
                <w:sz w:val="7"/>
                <w:szCs w:val="7"/>
                <w:color w:val="auto"/>
              </w:rPr>
            </w:pPr>
          </w:p>
        </w:tc>
        <w:tc>
          <w:tcPr>
            <w:tcW w:w="1460" w:type="dxa"/>
            <w:vAlign w:val="bottom"/>
          </w:tcPr>
          <w:p>
            <w:pPr>
              <w:spacing w:after="0"/>
              <w:rPr>
                <w:sz w:val="7"/>
                <w:szCs w:val="7"/>
                <w:color w:val="auto"/>
              </w:rPr>
            </w:pPr>
          </w:p>
        </w:tc>
        <w:tc>
          <w:tcPr>
            <w:tcW w:w="80" w:type="dxa"/>
            <w:vAlign w:val="bottom"/>
          </w:tcPr>
          <w:p>
            <w:pPr>
              <w:spacing w:after="0"/>
              <w:rPr>
                <w:sz w:val="7"/>
                <w:szCs w:val="7"/>
                <w:color w:val="auto"/>
              </w:rPr>
            </w:pPr>
          </w:p>
        </w:tc>
        <w:tc>
          <w:tcPr>
            <w:tcW w:w="2160" w:type="dxa"/>
            <w:vAlign w:val="bottom"/>
          </w:tcPr>
          <w:p>
            <w:pPr>
              <w:spacing w:after="0"/>
              <w:rPr>
                <w:sz w:val="7"/>
                <w:szCs w:val="7"/>
                <w:color w:val="auto"/>
              </w:rPr>
            </w:pPr>
          </w:p>
        </w:tc>
        <w:tc>
          <w:tcPr>
            <w:tcW w:w="80" w:type="dxa"/>
            <w:vAlign w:val="bottom"/>
          </w:tcPr>
          <w:p>
            <w:pPr>
              <w:spacing w:after="0"/>
              <w:rPr>
                <w:sz w:val="7"/>
                <w:szCs w:val="7"/>
                <w:color w:val="auto"/>
              </w:rPr>
            </w:pPr>
          </w:p>
        </w:tc>
        <w:tc>
          <w:tcPr>
            <w:tcW w:w="1120" w:type="dxa"/>
            <w:vAlign w:val="bottom"/>
          </w:tcPr>
          <w:p>
            <w:pPr>
              <w:spacing w:after="0"/>
              <w:rPr>
                <w:sz w:val="7"/>
                <w:szCs w:val="7"/>
                <w:color w:val="auto"/>
              </w:rPr>
            </w:pPr>
          </w:p>
        </w:tc>
        <w:tc>
          <w:tcPr>
            <w:tcW w:w="80" w:type="dxa"/>
            <w:vAlign w:val="bottom"/>
          </w:tcPr>
          <w:p>
            <w:pPr>
              <w:spacing w:after="0"/>
              <w:rPr>
                <w:sz w:val="7"/>
                <w:szCs w:val="7"/>
                <w:color w:val="auto"/>
              </w:rPr>
            </w:pPr>
          </w:p>
        </w:tc>
        <w:tc>
          <w:tcPr>
            <w:tcW w:w="1240" w:type="dxa"/>
            <w:vAlign w:val="bottom"/>
            <w:gridSpan w:val="2"/>
            <w:vMerge w:val="continue"/>
          </w:tcPr>
          <w:p>
            <w:pPr>
              <w:spacing w:after="0"/>
              <w:rPr>
                <w:sz w:val="7"/>
                <w:szCs w:val="7"/>
                <w:color w:val="auto"/>
              </w:rPr>
            </w:pPr>
          </w:p>
        </w:tc>
        <w:tc>
          <w:tcPr>
            <w:tcW w:w="1140" w:type="dxa"/>
            <w:vAlign w:val="bottom"/>
          </w:tcPr>
          <w:p>
            <w:pPr>
              <w:spacing w:after="0"/>
              <w:rPr>
                <w:sz w:val="7"/>
                <w:szCs w:val="7"/>
                <w:color w:val="auto"/>
              </w:rPr>
            </w:pPr>
          </w:p>
        </w:tc>
        <w:tc>
          <w:tcPr>
            <w:tcW w:w="80" w:type="dxa"/>
            <w:vAlign w:val="bottom"/>
          </w:tcPr>
          <w:p>
            <w:pPr>
              <w:spacing w:after="0"/>
              <w:rPr>
                <w:sz w:val="7"/>
                <w:szCs w:val="7"/>
                <w:color w:val="auto"/>
              </w:rPr>
            </w:pPr>
          </w:p>
        </w:tc>
        <w:tc>
          <w:tcPr>
            <w:tcW w:w="11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11"/>
        </w:trPr>
        <w:tc>
          <w:tcPr>
            <w:tcW w:w="262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Residential mortgage servicing rights</w:t>
            </w:r>
          </w:p>
        </w:tc>
        <w:tc>
          <w:tcPr>
            <w:tcW w:w="154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Discounted cash flow</w:t>
            </w:r>
          </w:p>
        </w:tc>
        <w:tc>
          <w:tcPr>
            <w:tcW w:w="224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Discount rate</w:t>
            </w:r>
          </w:p>
        </w:tc>
        <w:tc>
          <w:tcPr>
            <w:tcW w:w="11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9.5% - 12.5%</w:t>
            </w:r>
          </w:p>
        </w:tc>
        <w:tc>
          <w:tcPr>
            <w:tcW w:w="80" w:type="dxa"/>
            <w:vAlign w:val="bottom"/>
            <w:tcBorders>
              <w:top w:val="single" w:sz="8" w:color="CCEEFF"/>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9.6%</w:t>
            </w:r>
          </w:p>
        </w:tc>
        <w:tc>
          <w:tcPr>
            <w:tcW w:w="8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10.0% - 14.0%</w:t>
            </w:r>
          </w:p>
        </w:tc>
        <w:tc>
          <w:tcPr>
            <w:tcW w:w="8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10.1%</w:t>
            </w:r>
          </w:p>
        </w:tc>
        <w:tc>
          <w:tcPr>
            <w:tcW w:w="0" w:type="dxa"/>
            <w:vAlign w:val="bottom"/>
          </w:tcPr>
          <w:p>
            <w:pPr>
              <w:spacing w:after="0"/>
              <w:rPr>
                <w:sz w:val="1"/>
                <w:szCs w:val="1"/>
                <w:color w:val="auto"/>
              </w:rPr>
            </w:pPr>
          </w:p>
        </w:tc>
      </w:tr>
      <w:tr>
        <w:trPr>
          <w:trHeight w:val="213"/>
        </w:trPr>
        <w:tc>
          <w:tcPr>
            <w:tcW w:w="2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Prepayment rate</w:t>
            </w:r>
          </w:p>
        </w:tc>
        <w:tc>
          <w:tcPr>
            <w:tcW w:w="11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6.5 - 25.2</w:t>
            </w:r>
          </w:p>
        </w:tc>
        <w:tc>
          <w:tcPr>
            <w:tcW w:w="80" w:type="dxa"/>
            <w:vAlign w:val="bottom"/>
          </w:tcPr>
          <w:p>
            <w:pPr>
              <w:spacing w:after="0"/>
              <w:rPr>
                <w:sz w:val="18"/>
                <w:szCs w:val="18"/>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7.6</w:t>
            </w:r>
          </w:p>
        </w:tc>
        <w:tc>
          <w:tcPr>
            <w:tcW w:w="8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6.5 - 77.6</w:t>
            </w:r>
          </w:p>
        </w:tc>
        <w:tc>
          <w:tcPr>
            <w:tcW w:w="8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7.6</w:t>
            </w:r>
          </w:p>
        </w:tc>
        <w:tc>
          <w:tcPr>
            <w:tcW w:w="0" w:type="dxa"/>
            <w:vAlign w:val="bottom"/>
          </w:tcPr>
          <w:p>
            <w:pPr>
              <w:spacing w:after="0"/>
              <w:rPr>
                <w:sz w:val="1"/>
                <w:szCs w:val="1"/>
                <w:color w:val="auto"/>
              </w:rPr>
            </w:pPr>
          </w:p>
        </w:tc>
      </w:tr>
      <w:tr>
        <w:trPr>
          <w:trHeight w:val="219"/>
        </w:trPr>
        <w:tc>
          <w:tcPr>
            <w:tcW w:w="2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Derivative assets - mortgage</w:t>
            </w:r>
          </w:p>
        </w:tc>
        <w:tc>
          <w:tcPr>
            <w:tcW w:w="15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Internal model</w:t>
            </w:r>
          </w:p>
        </w:tc>
        <w:tc>
          <w:tcPr>
            <w:tcW w:w="2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Pull through rate</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65.0 - 100</w:t>
            </w:r>
          </w:p>
        </w:tc>
        <w:tc>
          <w:tcPr>
            <w:tcW w:w="80" w:type="dxa"/>
            <w:vAlign w:val="bottom"/>
            <w:shd w:val="clear" w:color="auto" w:fill="CCEEFF"/>
          </w:tcPr>
          <w:p>
            <w:pPr>
              <w:spacing w:after="0"/>
              <w:rPr>
                <w:sz w:val="19"/>
                <w:szCs w:val="19"/>
                <w:color w:val="auto"/>
              </w:rPr>
            </w:pPr>
          </w:p>
        </w:tc>
        <w:tc>
          <w:tcPr>
            <w:tcW w:w="11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91.6</w:t>
            </w:r>
          </w:p>
        </w:tc>
        <w:tc>
          <w:tcPr>
            <w:tcW w:w="80" w:type="dxa"/>
            <w:vAlign w:val="bottom"/>
            <w:shd w:val="clear" w:color="auto" w:fill="CCEEFF"/>
          </w:tcPr>
          <w:p>
            <w:pPr>
              <w:spacing w:after="0"/>
              <w:rPr>
                <w:sz w:val="19"/>
                <w:szCs w:val="19"/>
                <w:color w:val="auto"/>
              </w:rPr>
            </w:pPr>
          </w:p>
        </w:tc>
        <w:tc>
          <w:tcPr>
            <w:tcW w:w="1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70.4 - 100</w:t>
            </w:r>
          </w:p>
        </w:tc>
        <w:tc>
          <w:tcPr>
            <w:tcW w:w="80" w:type="dxa"/>
            <w:vAlign w:val="bottom"/>
            <w:shd w:val="clear" w:color="auto" w:fill="CCEEFF"/>
          </w:tcPr>
          <w:p>
            <w:pPr>
              <w:spacing w:after="0"/>
              <w:rPr>
                <w:sz w:val="19"/>
                <w:szCs w:val="19"/>
                <w:color w:val="auto"/>
              </w:rPr>
            </w:pPr>
          </w:p>
        </w:tc>
        <w:tc>
          <w:tcPr>
            <w:tcW w:w="1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91.6</w:t>
            </w:r>
          </w:p>
        </w:tc>
        <w:tc>
          <w:tcPr>
            <w:tcW w:w="0" w:type="dxa"/>
            <w:vAlign w:val="bottom"/>
          </w:tcPr>
          <w:p>
            <w:pPr>
              <w:spacing w:after="0"/>
              <w:rPr>
                <w:sz w:val="1"/>
                <w:szCs w:val="1"/>
                <w:color w:val="auto"/>
              </w:rPr>
            </w:pPr>
          </w:p>
        </w:tc>
      </w:tr>
      <w:tr>
        <w:trPr>
          <w:trHeight w:val="213"/>
        </w:trPr>
        <w:tc>
          <w:tcPr>
            <w:tcW w:w="26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Derivative assets and liabilities - other</w:t>
            </w:r>
          </w:p>
        </w:tc>
        <w:tc>
          <w:tcPr>
            <w:tcW w:w="15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Dealer priced</w:t>
            </w:r>
          </w:p>
        </w:tc>
        <w:tc>
          <w:tcPr>
            <w:tcW w:w="22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Dealer priced</w:t>
            </w:r>
          </w:p>
        </w:tc>
        <w:tc>
          <w:tcPr>
            <w:tcW w:w="120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color w:val="auto"/>
              </w:rPr>
              <w:t>N/A</w:t>
            </w:r>
          </w:p>
        </w:tc>
        <w:tc>
          <w:tcPr>
            <w:tcW w:w="124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color w:val="auto"/>
              </w:rPr>
              <w:t>N/A</w:t>
            </w: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rPr>
              <w:t>N/A</w:t>
            </w:r>
          </w:p>
        </w:tc>
        <w:tc>
          <w:tcPr>
            <w:tcW w:w="11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N/A</w:t>
            </w:r>
          </w:p>
        </w:tc>
        <w:tc>
          <w:tcPr>
            <w:tcW w:w="0" w:type="dxa"/>
            <w:vAlign w:val="bottom"/>
          </w:tcPr>
          <w:p>
            <w:pPr>
              <w:spacing w:after="0"/>
              <w:rPr>
                <w:sz w:val="1"/>
                <w:szCs w:val="1"/>
                <w:color w:val="auto"/>
              </w:rPr>
            </w:pPr>
          </w:p>
        </w:tc>
      </w:tr>
      <w:tr>
        <w:trPr>
          <w:trHeight w:val="219"/>
        </w:trPr>
        <w:tc>
          <w:tcPr>
            <w:tcW w:w="2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Contingent consideration receivable</w:t>
            </w:r>
          </w:p>
        </w:tc>
        <w:tc>
          <w:tcPr>
            <w:tcW w:w="15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Discounted cash flow</w:t>
            </w:r>
          </w:p>
        </w:tc>
        <w:tc>
          <w:tcPr>
            <w:tcW w:w="2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Discount rate</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0.0 - 7.1</w:t>
            </w:r>
          </w:p>
        </w:tc>
        <w:tc>
          <w:tcPr>
            <w:tcW w:w="80" w:type="dxa"/>
            <w:vAlign w:val="bottom"/>
            <w:shd w:val="clear" w:color="auto" w:fill="CCEEFF"/>
          </w:tcPr>
          <w:p>
            <w:pPr>
              <w:spacing w:after="0"/>
              <w:rPr>
                <w:sz w:val="19"/>
                <w:szCs w:val="19"/>
                <w:color w:val="auto"/>
              </w:rPr>
            </w:pPr>
          </w:p>
        </w:tc>
        <w:tc>
          <w:tcPr>
            <w:tcW w:w="11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6.4</w:t>
            </w:r>
          </w:p>
        </w:tc>
        <w:tc>
          <w:tcPr>
            <w:tcW w:w="80" w:type="dxa"/>
            <w:vAlign w:val="bottom"/>
            <w:shd w:val="clear" w:color="auto" w:fill="CCEEFF"/>
          </w:tcPr>
          <w:p>
            <w:pPr>
              <w:spacing w:after="0"/>
              <w:rPr>
                <w:sz w:val="19"/>
                <w:szCs w:val="19"/>
                <w:color w:val="auto"/>
              </w:rPr>
            </w:pPr>
          </w:p>
        </w:tc>
        <w:tc>
          <w:tcPr>
            <w:tcW w:w="1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0.0 - 7.1</w:t>
            </w:r>
          </w:p>
        </w:tc>
        <w:tc>
          <w:tcPr>
            <w:tcW w:w="80" w:type="dxa"/>
            <w:vAlign w:val="bottom"/>
            <w:shd w:val="clear" w:color="auto" w:fill="CCEEFF"/>
          </w:tcPr>
          <w:p>
            <w:pPr>
              <w:spacing w:after="0"/>
              <w:rPr>
                <w:sz w:val="19"/>
                <w:szCs w:val="19"/>
                <w:color w:val="auto"/>
              </w:rPr>
            </w:pPr>
          </w:p>
        </w:tc>
        <w:tc>
          <w:tcPr>
            <w:tcW w:w="1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6.4</w:t>
            </w:r>
          </w:p>
        </w:tc>
        <w:tc>
          <w:tcPr>
            <w:tcW w:w="0" w:type="dxa"/>
            <w:vAlign w:val="bottom"/>
          </w:tcPr>
          <w:p>
            <w:pPr>
              <w:spacing w:after="0"/>
              <w:rPr>
                <w:sz w:val="1"/>
                <w:szCs w:val="1"/>
                <w:color w:val="auto"/>
              </w:rPr>
            </w:pPr>
          </w:p>
        </w:tc>
      </w:tr>
      <w:tr>
        <w:trPr>
          <w:trHeight w:val="210"/>
        </w:trPr>
        <w:tc>
          <w:tcPr>
            <w:tcW w:w="2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Probability of achievement</w:t>
            </w:r>
          </w:p>
        </w:tc>
        <w:tc>
          <w:tcPr>
            <w:tcW w:w="11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89.3 - 100</w:t>
            </w:r>
          </w:p>
        </w:tc>
        <w:tc>
          <w:tcPr>
            <w:tcW w:w="80" w:type="dxa"/>
            <w:vAlign w:val="bottom"/>
          </w:tcPr>
          <w:p>
            <w:pPr>
              <w:spacing w:after="0"/>
              <w:rPr>
                <w:sz w:val="18"/>
                <w:szCs w:val="18"/>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92.6</w:t>
            </w:r>
          </w:p>
        </w:tc>
        <w:tc>
          <w:tcPr>
            <w:tcW w:w="8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89.3 - 100</w:t>
            </w:r>
          </w:p>
        </w:tc>
        <w:tc>
          <w:tcPr>
            <w:tcW w:w="8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92.6</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table below presents a reconciliation of the beginning and ending balances of Level 3 assets and liabilities measured at fair value on a recurring basis for the periods indicated.</w:t>
      </w:r>
    </w:p>
    <w:p>
      <w:pPr>
        <w:spacing w:after="0" w:line="83"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134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gridSpan w:val="4"/>
          </w:tcPr>
          <w:p>
            <w:pPr>
              <w:jc w:val="right"/>
              <w:ind w:right="519"/>
              <w:spacing w:after="0"/>
              <w:rPr>
                <w:sz w:val="20"/>
                <w:szCs w:val="20"/>
                <w:color w:val="auto"/>
              </w:rPr>
            </w:pPr>
            <w:r>
              <w:rPr>
                <w:rFonts w:ascii="Times New Roman" w:cs="Times New Roman" w:eastAsia="Times New Roman" w:hAnsi="Times New Roman"/>
                <w:sz w:val="16"/>
                <w:szCs w:val="16"/>
                <w:b w:val="1"/>
                <w:bCs w:val="1"/>
                <w:color w:val="auto"/>
              </w:rPr>
              <w:t>2025</w:t>
            </w:r>
          </w:p>
        </w:tc>
        <w:tc>
          <w:tcPr>
            <w:tcW w:w="8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center"/>
              <w:ind w:right="19"/>
              <w:spacing w:after="0"/>
              <w:rPr>
                <w:sz w:val="20"/>
                <w:szCs w:val="20"/>
                <w:color w:val="auto"/>
              </w:rPr>
            </w:pPr>
            <w:r>
              <w:rPr>
                <w:rFonts w:ascii="Times New Roman" w:cs="Times New Roman" w:eastAsia="Times New Roman" w:hAnsi="Times New Roman"/>
                <w:sz w:val="16"/>
                <w:szCs w:val="16"/>
                <w:b w:val="1"/>
                <w:bCs w:val="1"/>
                <w:color w:val="auto"/>
                <w:w w:val="99"/>
              </w:rPr>
              <w:t>2024</w:t>
            </w:r>
          </w:p>
        </w:tc>
        <w:tc>
          <w:tcPr>
            <w:tcW w:w="8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13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40" w:type="dxa"/>
            <w:vAlign w:val="bottom"/>
            <w:gridSpan w:val="3"/>
          </w:tcPr>
          <w:p>
            <w:pPr>
              <w:ind w:left="40"/>
              <w:spacing w:after="0" w:line="158" w:lineRule="exact"/>
              <w:rPr>
                <w:sz w:val="20"/>
                <w:szCs w:val="20"/>
                <w:color w:val="auto"/>
              </w:rPr>
            </w:pPr>
            <w:r>
              <w:rPr>
                <w:rFonts w:ascii="Times New Roman" w:cs="Times New Roman" w:eastAsia="Times New Roman" w:hAnsi="Times New Roman"/>
                <w:sz w:val="16"/>
                <w:szCs w:val="16"/>
                <w:b w:val="1"/>
                <w:bCs w:val="1"/>
                <w:color w:val="auto"/>
              </w:rPr>
              <w:t>SBA/USDA</w:t>
            </w:r>
          </w:p>
        </w:tc>
        <w:tc>
          <w:tcPr>
            <w:tcW w:w="900" w:type="dxa"/>
            <w:vAlign w:val="bottom"/>
            <w:gridSpan w:val="3"/>
          </w:tcPr>
          <w:p>
            <w:pPr>
              <w:ind w:left="20"/>
              <w:spacing w:after="0" w:line="158" w:lineRule="exact"/>
              <w:rPr>
                <w:sz w:val="20"/>
                <w:szCs w:val="20"/>
                <w:color w:val="auto"/>
              </w:rPr>
            </w:pPr>
            <w:r>
              <w:rPr>
                <w:rFonts w:ascii="Times New Roman" w:cs="Times New Roman" w:eastAsia="Times New Roman" w:hAnsi="Times New Roman"/>
                <w:sz w:val="16"/>
                <w:szCs w:val="16"/>
                <w:b w:val="1"/>
                <w:bCs w:val="1"/>
                <w:color w:val="auto"/>
              </w:rPr>
              <w:t>Residential</w:t>
            </w: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Contingent</w:t>
            </w: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20" w:type="dxa"/>
            <w:vAlign w:val="bottom"/>
            <w:gridSpan w:val="3"/>
          </w:tcPr>
          <w:p>
            <w:pPr>
              <w:ind w:left="20"/>
              <w:spacing w:after="0" w:line="158" w:lineRule="exact"/>
              <w:rPr>
                <w:sz w:val="20"/>
                <w:szCs w:val="20"/>
                <w:color w:val="auto"/>
              </w:rPr>
            </w:pPr>
            <w:r>
              <w:rPr>
                <w:rFonts w:ascii="Times New Roman" w:cs="Times New Roman" w:eastAsia="Times New Roman" w:hAnsi="Times New Roman"/>
                <w:sz w:val="16"/>
                <w:szCs w:val="16"/>
                <w:b w:val="1"/>
                <w:bCs w:val="1"/>
                <w:color w:val="auto"/>
              </w:rPr>
              <w:t>SBA/USDA</w:t>
            </w:r>
          </w:p>
        </w:tc>
        <w:tc>
          <w:tcPr>
            <w:tcW w:w="920" w:type="dxa"/>
            <w:vAlign w:val="bottom"/>
            <w:gridSpan w:val="3"/>
          </w:tcPr>
          <w:p>
            <w:pPr>
              <w:ind w:left="40"/>
              <w:spacing w:after="0" w:line="158" w:lineRule="exact"/>
              <w:rPr>
                <w:sz w:val="20"/>
                <w:szCs w:val="20"/>
                <w:color w:val="auto"/>
              </w:rPr>
            </w:pPr>
            <w:r>
              <w:rPr>
                <w:rFonts w:ascii="Times New Roman" w:cs="Times New Roman" w:eastAsia="Times New Roman" w:hAnsi="Times New Roman"/>
                <w:sz w:val="16"/>
                <w:szCs w:val="16"/>
                <w:b w:val="1"/>
                <w:bCs w:val="1"/>
                <w:color w:val="auto"/>
              </w:rPr>
              <w:t>Residential</w:t>
            </w: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1340" w:type="dxa"/>
            <w:vAlign w:val="bottom"/>
          </w:tcPr>
          <w:p>
            <w:pPr>
              <w:spacing w:after="0"/>
              <w:rPr>
                <w:sz w:val="14"/>
                <w:szCs w:val="14"/>
                <w:color w:val="auto"/>
              </w:rPr>
            </w:pPr>
          </w:p>
        </w:tc>
        <w:tc>
          <w:tcPr>
            <w:tcW w:w="860" w:type="dxa"/>
            <w:vAlign w:val="bottom"/>
            <w:gridSpan w:val="3"/>
            <w:vMerge w:val="restart"/>
          </w:tcPr>
          <w:p>
            <w:pPr>
              <w:ind w:left="40"/>
              <w:spacing w:after="0"/>
              <w:rPr>
                <w:sz w:val="20"/>
                <w:szCs w:val="20"/>
                <w:color w:val="auto"/>
              </w:rPr>
            </w:pPr>
            <w:r>
              <w:rPr>
                <w:rFonts w:ascii="Times New Roman" w:cs="Times New Roman" w:eastAsia="Times New Roman" w:hAnsi="Times New Roman"/>
                <w:sz w:val="16"/>
                <w:szCs w:val="16"/>
                <w:b w:val="1"/>
                <w:bCs w:val="1"/>
                <w:color w:val="auto"/>
              </w:rPr>
              <w:t>Derivative</w:t>
            </w:r>
          </w:p>
        </w:tc>
        <w:tc>
          <w:tcPr>
            <w:tcW w:w="880" w:type="dxa"/>
            <w:vAlign w:val="bottom"/>
            <w:gridSpan w:val="3"/>
            <w:vMerge w:val="restart"/>
          </w:tcPr>
          <w:p>
            <w:pPr>
              <w:ind w:left="40"/>
              <w:spacing w:after="0"/>
              <w:rPr>
                <w:sz w:val="20"/>
                <w:szCs w:val="20"/>
                <w:color w:val="auto"/>
              </w:rPr>
            </w:pPr>
            <w:r>
              <w:rPr>
                <w:rFonts w:ascii="Times New Roman" w:cs="Times New Roman" w:eastAsia="Times New Roman" w:hAnsi="Times New Roman"/>
                <w:sz w:val="16"/>
                <w:szCs w:val="16"/>
                <w:b w:val="1"/>
                <w:bCs w:val="1"/>
                <w:color w:val="auto"/>
              </w:rPr>
              <w:t>Derivative</w:t>
            </w:r>
          </w:p>
        </w:tc>
        <w:tc>
          <w:tcPr>
            <w:tcW w:w="100" w:type="dxa"/>
            <w:vAlign w:val="bottom"/>
          </w:tcPr>
          <w:p>
            <w:pPr>
              <w:spacing w:after="0"/>
              <w:rPr>
                <w:sz w:val="14"/>
                <w:szCs w:val="14"/>
                <w:color w:val="auto"/>
              </w:rPr>
            </w:pPr>
          </w:p>
        </w:tc>
        <w:tc>
          <w:tcPr>
            <w:tcW w:w="840" w:type="dxa"/>
            <w:vAlign w:val="bottom"/>
            <w:gridSpan w:val="2"/>
          </w:tcPr>
          <w:p>
            <w:pPr>
              <w:jc w:val="center"/>
              <w:ind w:right="160"/>
              <w:spacing w:after="0" w:line="162" w:lineRule="exact"/>
              <w:rPr>
                <w:sz w:val="20"/>
                <w:szCs w:val="20"/>
                <w:color w:val="auto"/>
              </w:rPr>
            </w:pPr>
            <w:r>
              <w:rPr>
                <w:rFonts w:ascii="Times New Roman" w:cs="Times New Roman" w:eastAsia="Times New Roman" w:hAnsi="Times New Roman"/>
                <w:sz w:val="16"/>
                <w:szCs w:val="16"/>
                <w:b w:val="1"/>
                <w:bCs w:val="1"/>
                <w:color w:val="auto"/>
              </w:rPr>
              <w:t>Loan</w:t>
            </w:r>
          </w:p>
        </w:tc>
        <w:tc>
          <w:tcPr>
            <w:tcW w:w="900" w:type="dxa"/>
            <w:vAlign w:val="bottom"/>
            <w:gridSpan w:val="3"/>
          </w:tcPr>
          <w:p>
            <w:pPr>
              <w:jc w:val="center"/>
              <w:ind w:right="80"/>
              <w:spacing w:after="0" w:line="162" w:lineRule="exact"/>
              <w:rPr>
                <w:sz w:val="20"/>
                <w:szCs w:val="20"/>
                <w:color w:val="auto"/>
              </w:rPr>
            </w:pPr>
            <w:r>
              <w:rPr>
                <w:rFonts w:ascii="Times New Roman" w:cs="Times New Roman" w:eastAsia="Times New Roman" w:hAnsi="Times New Roman"/>
                <w:sz w:val="16"/>
                <w:szCs w:val="16"/>
                <w:b w:val="1"/>
                <w:bCs w:val="1"/>
                <w:color w:val="auto"/>
                <w:w w:val="98"/>
              </w:rPr>
              <w:t>Mortgage</w:t>
            </w:r>
          </w:p>
        </w:tc>
        <w:tc>
          <w:tcPr>
            <w:tcW w:w="860" w:type="dxa"/>
            <w:vAlign w:val="bottom"/>
            <w:gridSpan w:val="3"/>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Corporate</w:t>
            </w:r>
          </w:p>
        </w:tc>
        <w:tc>
          <w:tcPr>
            <w:tcW w:w="100" w:type="dxa"/>
            <w:vAlign w:val="bottom"/>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880" w:type="dxa"/>
            <w:vAlign w:val="bottom"/>
            <w:gridSpan w:val="3"/>
            <w:vMerge w:val="restart"/>
          </w:tcPr>
          <w:p>
            <w:pPr>
              <w:ind w:left="40"/>
              <w:spacing w:after="0"/>
              <w:rPr>
                <w:sz w:val="20"/>
                <w:szCs w:val="20"/>
                <w:color w:val="auto"/>
              </w:rPr>
            </w:pPr>
            <w:r>
              <w:rPr>
                <w:rFonts w:ascii="Times New Roman" w:cs="Times New Roman" w:eastAsia="Times New Roman" w:hAnsi="Times New Roman"/>
                <w:sz w:val="16"/>
                <w:szCs w:val="16"/>
                <w:b w:val="1"/>
                <w:bCs w:val="1"/>
                <w:color w:val="auto"/>
              </w:rPr>
              <w:t>Derivative</w:t>
            </w:r>
          </w:p>
        </w:tc>
        <w:tc>
          <w:tcPr>
            <w:tcW w:w="880" w:type="dxa"/>
            <w:vAlign w:val="bottom"/>
            <w:gridSpan w:val="3"/>
            <w:vMerge w:val="restart"/>
          </w:tcPr>
          <w:p>
            <w:pPr>
              <w:ind w:left="40"/>
              <w:spacing w:after="0"/>
              <w:rPr>
                <w:sz w:val="20"/>
                <w:szCs w:val="20"/>
                <w:color w:val="auto"/>
              </w:rPr>
            </w:pPr>
            <w:r>
              <w:rPr>
                <w:rFonts w:ascii="Times New Roman" w:cs="Times New Roman" w:eastAsia="Times New Roman" w:hAnsi="Times New Roman"/>
                <w:sz w:val="16"/>
                <w:szCs w:val="16"/>
                <w:b w:val="1"/>
                <w:bCs w:val="1"/>
                <w:color w:val="auto"/>
              </w:rPr>
              <w:t>Derivative</w:t>
            </w:r>
          </w:p>
        </w:tc>
        <w:tc>
          <w:tcPr>
            <w:tcW w:w="100" w:type="dxa"/>
            <w:vAlign w:val="bottom"/>
          </w:tcPr>
          <w:p>
            <w:pPr>
              <w:spacing w:after="0"/>
              <w:rPr>
                <w:sz w:val="14"/>
                <w:szCs w:val="14"/>
                <w:color w:val="auto"/>
              </w:rPr>
            </w:pPr>
          </w:p>
        </w:tc>
        <w:tc>
          <w:tcPr>
            <w:tcW w:w="820" w:type="dxa"/>
            <w:vAlign w:val="bottom"/>
            <w:gridSpan w:val="2"/>
          </w:tcPr>
          <w:p>
            <w:pPr>
              <w:jc w:val="center"/>
              <w:ind w:right="180"/>
              <w:spacing w:after="0" w:line="162" w:lineRule="exact"/>
              <w:rPr>
                <w:sz w:val="20"/>
                <w:szCs w:val="20"/>
                <w:color w:val="auto"/>
              </w:rPr>
            </w:pPr>
            <w:r>
              <w:rPr>
                <w:rFonts w:ascii="Times New Roman" w:cs="Times New Roman" w:eastAsia="Times New Roman" w:hAnsi="Times New Roman"/>
                <w:sz w:val="16"/>
                <w:szCs w:val="16"/>
                <w:b w:val="1"/>
                <w:bCs w:val="1"/>
                <w:color w:val="auto"/>
              </w:rPr>
              <w:t>Loan</w:t>
            </w:r>
          </w:p>
        </w:tc>
        <w:tc>
          <w:tcPr>
            <w:tcW w:w="920" w:type="dxa"/>
            <w:vAlign w:val="bottom"/>
            <w:gridSpan w:val="3"/>
          </w:tcPr>
          <w:p>
            <w:pPr>
              <w:jc w:val="center"/>
              <w:ind w:right="80"/>
              <w:spacing w:after="0" w:line="162" w:lineRule="exact"/>
              <w:rPr>
                <w:sz w:val="20"/>
                <w:szCs w:val="20"/>
                <w:color w:val="auto"/>
              </w:rPr>
            </w:pPr>
            <w:r>
              <w:rPr>
                <w:rFonts w:ascii="Times New Roman" w:cs="Times New Roman" w:eastAsia="Times New Roman" w:hAnsi="Times New Roman"/>
                <w:sz w:val="16"/>
                <w:szCs w:val="16"/>
                <w:b w:val="1"/>
                <w:bCs w:val="1"/>
                <w:color w:val="auto"/>
              </w:rPr>
              <w:t>Mortgage</w:t>
            </w:r>
          </w:p>
        </w:tc>
        <w:tc>
          <w:tcPr>
            <w:tcW w:w="76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Corporate</w:t>
            </w:r>
          </w:p>
        </w:tc>
        <w:tc>
          <w:tcPr>
            <w:tcW w:w="0" w:type="dxa"/>
            <w:vAlign w:val="bottom"/>
          </w:tcPr>
          <w:p>
            <w:pPr>
              <w:spacing w:after="0"/>
              <w:rPr>
                <w:sz w:val="1"/>
                <w:szCs w:val="1"/>
                <w:color w:val="auto"/>
              </w:rPr>
            </w:pPr>
          </w:p>
        </w:tc>
      </w:tr>
      <w:tr>
        <w:trPr>
          <w:trHeight w:val="162"/>
        </w:trPr>
        <w:tc>
          <w:tcPr>
            <w:tcW w:w="1340" w:type="dxa"/>
            <w:vAlign w:val="bottom"/>
            <w:vMerge w:val="restart"/>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860" w:type="dxa"/>
            <w:vAlign w:val="bottom"/>
            <w:gridSpan w:val="3"/>
            <w:vMerge w:val="continue"/>
          </w:tcPr>
          <w:p>
            <w:pPr>
              <w:spacing w:after="0"/>
              <w:rPr>
                <w:sz w:val="14"/>
                <w:szCs w:val="14"/>
                <w:color w:val="auto"/>
              </w:rPr>
            </w:pPr>
          </w:p>
        </w:tc>
        <w:tc>
          <w:tcPr>
            <w:tcW w:w="880" w:type="dxa"/>
            <w:vAlign w:val="bottom"/>
            <w:gridSpan w:val="3"/>
            <w:vMerge w:val="continue"/>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gridSpan w:val="2"/>
          </w:tcPr>
          <w:p>
            <w:pPr>
              <w:jc w:val="center"/>
              <w:ind w:right="180"/>
              <w:spacing w:after="0" w:line="162" w:lineRule="exact"/>
              <w:rPr>
                <w:sz w:val="20"/>
                <w:szCs w:val="20"/>
                <w:color w:val="auto"/>
              </w:rPr>
            </w:pPr>
            <w:r>
              <w:rPr>
                <w:rFonts w:ascii="Times New Roman" w:cs="Times New Roman" w:eastAsia="Times New Roman" w:hAnsi="Times New Roman"/>
                <w:sz w:val="16"/>
                <w:szCs w:val="16"/>
                <w:b w:val="1"/>
                <w:bCs w:val="1"/>
                <w:color w:val="auto"/>
              </w:rPr>
              <w:t>Servicing</w:t>
            </w:r>
          </w:p>
        </w:tc>
        <w:tc>
          <w:tcPr>
            <w:tcW w:w="900" w:type="dxa"/>
            <w:vAlign w:val="bottom"/>
            <w:gridSpan w:val="3"/>
          </w:tcPr>
          <w:p>
            <w:pPr>
              <w:jc w:val="center"/>
              <w:ind w:right="80"/>
              <w:spacing w:after="0" w:line="162" w:lineRule="exact"/>
              <w:rPr>
                <w:sz w:val="20"/>
                <w:szCs w:val="20"/>
                <w:color w:val="auto"/>
              </w:rPr>
            </w:pPr>
            <w:r>
              <w:rPr>
                <w:rFonts w:ascii="Times New Roman" w:cs="Times New Roman" w:eastAsia="Times New Roman" w:hAnsi="Times New Roman"/>
                <w:sz w:val="16"/>
                <w:szCs w:val="16"/>
                <w:b w:val="1"/>
                <w:bCs w:val="1"/>
                <w:color w:val="auto"/>
              </w:rPr>
              <w:t>Servicing</w:t>
            </w:r>
          </w:p>
        </w:tc>
        <w:tc>
          <w:tcPr>
            <w:tcW w:w="860" w:type="dxa"/>
            <w:vAlign w:val="bottom"/>
            <w:gridSpan w:val="3"/>
            <w:vMerge w:val="continue"/>
          </w:tcPr>
          <w:p>
            <w:pPr>
              <w:spacing w:after="0"/>
              <w:rPr>
                <w:sz w:val="14"/>
                <w:szCs w:val="14"/>
                <w:color w:val="auto"/>
              </w:rPr>
            </w:pPr>
          </w:p>
        </w:tc>
        <w:tc>
          <w:tcPr>
            <w:tcW w:w="1100" w:type="dxa"/>
            <w:vAlign w:val="bottom"/>
            <w:gridSpan w:val="3"/>
          </w:tcPr>
          <w:p>
            <w:pPr>
              <w:ind w:left="20"/>
              <w:spacing w:after="0" w:line="162" w:lineRule="exact"/>
              <w:rPr>
                <w:sz w:val="20"/>
                <w:szCs w:val="20"/>
                <w:color w:val="auto"/>
              </w:rPr>
            </w:pPr>
            <w:r>
              <w:rPr>
                <w:rFonts w:ascii="Times New Roman" w:cs="Times New Roman" w:eastAsia="Times New Roman" w:hAnsi="Times New Roman"/>
                <w:sz w:val="16"/>
                <w:szCs w:val="16"/>
                <w:b w:val="1"/>
                <w:bCs w:val="1"/>
                <w:color w:val="auto"/>
              </w:rPr>
              <w:t>Consideration</w:t>
            </w:r>
          </w:p>
        </w:tc>
        <w:tc>
          <w:tcPr>
            <w:tcW w:w="880" w:type="dxa"/>
            <w:vAlign w:val="bottom"/>
            <w:gridSpan w:val="3"/>
            <w:vMerge w:val="continue"/>
          </w:tcPr>
          <w:p>
            <w:pPr>
              <w:spacing w:after="0"/>
              <w:rPr>
                <w:sz w:val="14"/>
                <w:szCs w:val="14"/>
                <w:color w:val="auto"/>
              </w:rPr>
            </w:pPr>
          </w:p>
        </w:tc>
        <w:tc>
          <w:tcPr>
            <w:tcW w:w="880" w:type="dxa"/>
            <w:vAlign w:val="bottom"/>
            <w:gridSpan w:val="3"/>
            <w:vMerge w:val="continue"/>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gridSpan w:val="2"/>
          </w:tcPr>
          <w:p>
            <w:pPr>
              <w:jc w:val="center"/>
              <w:ind w:right="180"/>
              <w:spacing w:after="0" w:line="162" w:lineRule="exact"/>
              <w:rPr>
                <w:sz w:val="20"/>
                <w:szCs w:val="20"/>
                <w:color w:val="auto"/>
              </w:rPr>
            </w:pPr>
            <w:r>
              <w:rPr>
                <w:rFonts w:ascii="Times New Roman" w:cs="Times New Roman" w:eastAsia="Times New Roman" w:hAnsi="Times New Roman"/>
                <w:sz w:val="16"/>
                <w:szCs w:val="16"/>
                <w:b w:val="1"/>
                <w:bCs w:val="1"/>
                <w:color w:val="auto"/>
                <w:w w:val="99"/>
              </w:rPr>
              <w:t>Servicing</w:t>
            </w:r>
          </w:p>
        </w:tc>
        <w:tc>
          <w:tcPr>
            <w:tcW w:w="920" w:type="dxa"/>
            <w:vAlign w:val="bottom"/>
            <w:gridSpan w:val="3"/>
          </w:tcPr>
          <w:p>
            <w:pPr>
              <w:jc w:val="center"/>
              <w:ind w:right="80"/>
              <w:spacing w:after="0" w:line="162" w:lineRule="exact"/>
              <w:rPr>
                <w:sz w:val="20"/>
                <w:szCs w:val="20"/>
                <w:color w:val="auto"/>
              </w:rPr>
            </w:pPr>
            <w:r>
              <w:rPr>
                <w:rFonts w:ascii="Times New Roman" w:cs="Times New Roman" w:eastAsia="Times New Roman" w:hAnsi="Times New Roman"/>
                <w:sz w:val="16"/>
                <w:szCs w:val="16"/>
                <w:b w:val="1"/>
                <w:bCs w:val="1"/>
                <w:color w:val="auto"/>
                <w:w w:val="99"/>
              </w:rPr>
              <w:t>Servicing</w:t>
            </w:r>
          </w:p>
        </w:tc>
        <w:tc>
          <w:tcPr>
            <w:tcW w:w="7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4"/>
        </w:trPr>
        <w:tc>
          <w:tcPr>
            <w:tcW w:w="1340" w:type="dxa"/>
            <w:vAlign w:val="bottom"/>
            <w:vMerge w:val="continue"/>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80" w:type="dxa"/>
            <w:vAlign w:val="bottom"/>
          </w:tcPr>
          <w:p>
            <w:pPr>
              <w:spacing w:after="0"/>
              <w:rPr>
                <w:sz w:val="18"/>
                <w:szCs w:val="18"/>
                <w:color w:val="auto"/>
              </w:rPr>
            </w:pPr>
          </w:p>
        </w:tc>
        <w:tc>
          <w:tcPr>
            <w:tcW w:w="80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Liabilities</w:t>
            </w:r>
          </w:p>
        </w:tc>
        <w:tc>
          <w:tcPr>
            <w:tcW w:w="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Rights</w:t>
            </w:r>
          </w:p>
        </w:tc>
        <w:tc>
          <w:tcPr>
            <w:tcW w:w="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Rights</w:t>
            </w:r>
          </w:p>
        </w:tc>
        <w:tc>
          <w:tcPr>
            <w:tcW w:w="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Bonds</w:t>
            </w:r>
          </w:p>
        </w:tc>
        <w:tc>
          <w:tcPr>
            <w:tcW w:w="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Receivable</w:t>
            </w:r>
          </w:p>
        </w:tc>
        <w:tc>
          <w:tcPr>
            <w:tcW w:w="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80" w:type="dxa"/>
            <w:vAlign w:val="bottom"/>
          </w:tcPr>
          <w:p>
            <w:pPr>
              <w:spacing w:after="0"/>
              <w:rPr>
                <w:sz w:val="18"/>
                <w:szCs w:val="18"/>
                <w:color w:val="auto"/>
              </w:rPr>
            </w:pPr>
          </w:p>
        </w:tc>
        <w:tc>
          <w:tcPr>
            <w:tcW w:w="80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Liabilities</w:t>
            </w:r>
          </w:p>
        </w:tc>
        <w:tc>
          <w:tcPr>
            <w:tcW w:w="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center"/>
              <w:ind w:right="19"/>
              <w:spacing w:after="0"/>
              <w:rPr>
                <w:sz w:val="20"/>
                <w:szCs w:val="20"/>
                <w:color w:val="auto"/>
              </w:rPr>
            </w:pPr>
            <w:r>
              <w:rPr>
                <w:rFonts w:ascii="Times New Roman" w:cs="Times New Roman" w:eastAsia="Times New Roman" w:hAnsi="Times New Roman"/>
                <w:sz w:val="16"/>
                <w:szCs w:val="16"/>
                <w:b w:val="1"/>
                <w:bCs w:val="1"/>
                <w:color w:val="auto"/>
                <w:w w:val="98"/>
              </w:rPr>
              <w:t>Rights</w:t>
            </w:r>
          </w:p>
        </w:tc>
        <w:tc>
          <w:tcPr>
            <w:tcW w:w="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center"/>
              <w:ind w:right="39"/>
              <w:spacing w:after="0"/>
              <w:rPr>
                <w:sz w:val="20"/>
                <w:szCs w:val="20"/>
                <w:color w:val="auto"/>
              </w:rPr>
            </w:pPr>
            <w:r>
              <w:rPr>
                <w:rFonts w:ascii="Times New Roman" w:cs="Times New Roman" w:eastAsia="Times New Roman" w:hAnsi="Times New Roman"/>
                <w:sz w:val="16"/>
                <w:szCs w:val="16"/>
                <w:b w:val="1"/>
                <w:bCs w:val="1"/>
                <w:color w:val="auto"/>
                <w:w w:val="98"/>
              </w:rPr>
              <w:t>Rights</w:t>
            </w: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Bonds</w:t>
            </w:r>
          </w:p>
        </w:tc>
        <w:tc>
          <w:tcPr>
            <w:tcW w:w="0" w:type="dxa"/>
            <w:vAlign w:val="bottom"/>
          </w:tcPr>
          <w:p>
            <w:pPr>
              <w:spacing w:after="0"/>
              <w:rPr>
                <w:sz w:val="1"/>
                <w:szCs w:val="1"/>
                <w:color w:val="auto"/>
              </w:rPr>
            </w:pPr>
          </w:p>
        </w:tc>
      </w:tr>
      <w:tr>
        <w:trPr>
          <w:trHeight w:val="210"/>
        </w:trPr>
        <w:tc>
          <w:tcPr>
            <w:tcW w:w="2120" w:type="dxa"/>
            <w:vAlign w:val="bottom"/>
            <w:gridSpan w:val="3"/>
          </w:tcPr>
          <w:p>
            <w:pPr>
              <w:ind w:left="20"/>
              <w:spacing w:after="0"/>
              <w:rPr>
                <w:sz w:val="20"/>
                <w:szCs w:val="20"/>
                <w:color w:val="auto"/>
              </w:rPr>
            </w:pPr>
            <w:r>
              <w:rPr>
                <w:rFonts w:ascii="Times New Roman" w:cs="Times New Roman" w:eastAsia="Times New Roman" w:hAnsi="Times New Roman"/>
                <w:sz w:val="16"/>
                <w:szCs w:val="16"/>
                <w:b w:val="1"/>
                <w:bCs w:val="1"/>
                <w:color w:val="auto"/>
                <w:w w:val="93"/>
              </w:rPr>
              <w:t>Three Months Ended September</w:t>
            </w:r>
          </w:p>
        </w:tc>
        <w:tc>
          <w:tcPr>
            <w:tcW w:w="80" w:type="dxa"/>
            <w:vAlign w:val="bottom"/>
          </w:tcPr>
          <w:p>
            <w:pPr>
              <w:spacing w:after="0"/>
              <w:rPr>
                <w:sz w:val="18"/>
                <w:szCs w:val="18"/>
                <w:color w:val="auto"/>
              </w:rPr>
            </w:pPr>
          </w:p>
        </w:tc>
        <w:tc>
          <w:tcPr>
            <w:tcW w:w="800" w:type="dxa"/>
            <w:vAlign w:val="bottom"/>
            <w:gridSpan w:val="2"/>
          </w:tcPr>
          <w:p>
            <w:pPr>
              <w:jc w:val="right"/>
              <w:ind w:right="399"/>
              <w:spacing w:after="0"/>
              <w:rPr>
                <w:sz w:val="20"/>
                <w:szCs w:val="20"/>
                <w:color w:val="auto"/>
              </w:rPr>
            </w:pPr>
            <w:r>
              <w:rPr>
                <w:rFonts w:ascii="Times New Roman" w:cs="Times New Roman" w:eastAsia="Times New Roman" w:hAnsi="Times New Roman"/>
                <w:sz w:val="16"/>
                <w:szCs w:val="16"/>
                <w:b w:val="1"/>
                <w:bCs w:val="1"/>
                <w:color w:val="auto"/>
              </w:rPr>
              <w:t>30,</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1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Beginning balance</w:t>
            </w:r>
          </w:p>
        </w:tc>
        <w:tc>
          <w:tcPr>
            <w:tcW w:w="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9,130</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9,217</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4,806</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39,677</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1,235</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7,297</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12,933</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13,313</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w w:val="74"/>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5,247</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38,014</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2,197</w:t>
            </w:r>
          </w:p>
        </w:tc>
        <w:tc>
          <w:tcPr>
            <w:tcW w:w="0" w:type="dxa"/>
            <w:vAlign w:val="bottom"/>
          </w:tcPr>
          <w:p>
            <w:pPr>
              <w:spacing w:after="0"/>
              <w:rPr>
                <w:sz w:val="1"/>
                <w:szCs w:val="1"/>
                <w:color w:val="auto"/>
              </w:rPr>
            </w:pPr>
          </w:p>
        </w:tc>
      </w:tr>
      <w:tr>
        <w:trPr>
          <w:trHeight w:val="213"/>
        </w:trPr>
        <w:tc>
          <w:tcPr>
            <w:tcW w:w="13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Additions</w:t>
            </w: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1,202</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288</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1,439</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1,274</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235</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1,091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65"/>
        </w:trPr>
        <w:tc>
          <w:tcPr>
            <w:tcW w:w="1340" w:type="dxa"/>
            <w:vAlign w:val="bottom"/>
            <w:shd w:val="clear" w:color="auto" w:fill="CCEEFF"/>
          </w:tcPr>
          <w:p>
            <w:pPr>
              <w:ind w:left="140"/>
              <w:spacing w:after="0" w:line="165" w:lineRule="exact"/>
              <w:rPr>
                <w:sz w:val="20"/>
                <w:szCs w:val="20"/>
                <w:color w:val="auto"/>
              </w:rPr>
            </w:pPr>
            <w:r>
              <w:rPr>
                <w:rFonts w:ascii="Times New Roman" w:cs="Times New Roman" w:eastAsia="Times New Roman" w:hAnsi="Times New Roman"/>
                <w:sz w:val="16"/>
                <w:szCs w:val="16"/>
                <w:color w:val="auto"/>
              </w:rPr>
              <w:t>Sales and</w:t>
            </w:r>
          </w:p>
        </w:tc>
        <w:tc>
          <w:tcPr>
            <w:tcW w:w="140" w:type="dxa"/>
            <w:vAlign w:val="bottom"/>
            <w:shd w:val="clear" w:color="auto" w:fill="CCEEFF"/>
          </w:tcPr>
          <w:p>
            <w:pPr>
              <w:spacing w:after="0"/>
              <w:rPr>
                <w:sz w:val="14"/>
                <w:szCs w:val="14"/>
                <w:color w:val="auto"/>
              </w:rPr>
            </w:pPr>
          </w:p>
        </w:tc>
        <w:tc>
          <w:tcPr>
            <w:tcW w:w="6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(1,464)</w:t>
            </w: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6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4"/>
                <w:szCs w:val="14"/>
                <w:color w:val="auto"/>
              </w:rPr>
            </w:pP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(118)</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(689)</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(750)</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(2,064)</w:t>
            </w: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4"/>
                <w:szCs w:val="14"/>
                <w:color w:val="auto"/>
              </w:rPr>
            </w:pP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(197)</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(1,095)</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6"/>
        </w:trPr>
        <w:tc>
          <w:tcPr>
            <w:tcW w:w="13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settlements</w:t>
            </w:r>
          </w:p>
        </w:tc>
        <w:tc>
          <w:tcPr>
            <w:tcW w:w="140" w:type="dxa"/>
            <w:vAlign w:val="bottom"/>
            <w:shd w:val="clear" w:color="auto" w:fill="CCEEFF"/>
          </w:tcPr>
          <w:p>
            <w:pPr>
              <w:spacing w:after="0"/>
              <w:rPr>
                <w:sz w:val="18"/>
                <w:szCs w:val="18"/>
                <w:color w:val="auto"/>
              </w:rPr>
            </w:pPr>
          </w:p>
        </w:tc>
        <w:tc>
          <w:tcPr>
            <w:tcW w:w="64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2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1340" w:type="dxa"/>
            <w:vAlign w:val="bottom"/>
          </w:tcPr>
          <w:p>
            <w:pPr>
              <w:ind w:left="140"/>
              <w:spacing w:after="0" w:line="162" w:lineRule="exact"/>
              <w:rPr>
                <w:sz w:val="20"/>
                <w:szCs w:val="20"/>
                <w:color w:val="auto"/>
              </w:rPr>
            </w:pPr>
            <w:r>
              <w:rPr>
                <w:rFonts w:ascii="Times New Roman" w:cs="Times New Roman" w:eastAsia="Times New Roman" w:hAnsi="Times New Roman"/>
                <w:sz w:val="16"/>
                <w:szCs w:val="16"/>
                <w:color w:val="auto"/>
              </w:rPr>
              <w:t>Fair value</w:t>
            </w: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340" w:type="dxa"/>
            <w:vAlign w:val="bottom"/>
          </w:tcPr>
          <w:p>
            <w:pPr>
              <w:ind w:left="140"/>
              <w:spacing w:after="0" w:line="162" w:lineRule="exact"/>
              <w:rPr>
                <w:sz w:val="20"/>
                <w:szCs w:val="20"/>
                <w:color w:val="auto"/>
              </w:rPr>
            </w:pPr>
            <w:r>
              <w:rPr>
                <w:rFonts w:ascii="Times New Roman" w:cs="Times New Roman" w:eastAsia="Times New Roman" w:hAnsi="Times New Roman"/>
                <w:sz w:val="16"/>
                <w:szCs w:val="16"/>
                <w:color w:val="auto"/>
              </w:rPr>
              <w:t>adjustments</w:t>
            </w:r>
          </w:p>
        </w:tc>
        <w:tc>
          <w:tcPr>
            <w:tcW w:w="140" w:type="dxa"/>
            <w:vAlign w:val="bottom"/>
          </w:tcPr>
          <w:p>
            <w:pPr>
              <w:spacing w:after="0"/>
              <w:rPr>
                <w:sz w:val="14"/>
                <w:szCs w:val="14"/>
                <w:color w:val="auto"/>
              </w:rPr>
            </w:pPr>
          </w:p>
        </w:tc>
        <w:tc>
          <w:tcPr>
            <w:tcW w:w="7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4"/>
                <w:szCs w:val="14"/>
                <w:color w:val="auto"/>
              </w:rPr>
            </w:pPr>
          </w:p>
        </w:tc>
        <w:tc>
          <w:tcPr>
            <w:tcW w:w="6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4"/>
                <w:szCs w:val="14"/>
                <w:color w:val="auto"/>
              </w:rPr>
            </w:pPr>
          </w:p>
        </w:tc>
        <w:tc>
          <w:tcPr>
            <w:tcW w:w="8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4"/>
                <w:szCs w:val="14"/>
                <w:color w:val="auto"/>
              </w:rPr>
            </w:pPr>
          </w:p>
        </w:tc>
        <w:tc>
          <w:tcPr>
            <w:tcW w:w="7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4"/>
                <w:szCs w:val="14"/>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4"/>
                <w:szCs w:val="14"/>
                <w:color w:val="auto"/>
              </w:rPr>
            </w:pPr>
          </w:p>
        </w:tc>
        <w:tc>
          <w:tcPr>
            <w:tcW w:w="7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4"/>
                <w:szCs w:val="14"/>
                <w:color w:val="auto"/>
              </w:rPr>
            </w:pPr>
          </w:p>
        </w:tc>
        <w:tc>
          <w:tcPr>
            <w:tcW w:w="7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4"/>
                <w:szCs w:val="14"/>
                <w:color w:val="auto"/>
              </w:rPr>
            </w:pPr>
          </w:p>
        </w:tc>
        <w:tc>
          <w:tcPr>
            <w:tcW w:w="8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4"/>
                <w:szCs w:val="14"/>
                <w:color w:val="auto"/>
              </w:rPr>
            </w:pPr>
          </w:p>
        </w:tc>
        <w:tc>
          <w:tcPr>
            <w:tcW w:w="7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4"/>
                <w:szCs w:val="14"/>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29</w:t>
            </w:r>
          </w:p>
        </w:tc>
        <w:tc>
          <w:tcPr>
            <w:tcW w:w="0" w:type="dxa"/>
            <w:vAlign w:val="bottom"/>
          </w:tcPr>
          <w:p>
            <w:pPr>
              <w:spacing w:after="0"/>
              <w:rPr>
                <w:sz w:val="1"/>
                <w:szCs w:val="1"/>
                <w:color w:val="auto"/>
              </w:rPr>
            </w:pPr>
          </w:p>
        </w:tc>
      </w:tr>
      <w:tr>
        <w:trPr>
          <w:trHeight w:val="213"/>
        </w:trPr>
        <w:tc>
          <w:tcPr>
            <w:tcW w:w="13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included in OCI</w:t>
            </w:r>
          </w:p>
        </w:tc>
        <w:tc>
          <w:tcPr>
            <w:tcW w:w="140" w:type="dxa"/>
            <w:vAlign w:val="bottom"/>
          </w:tcPr>
          <w:p>
            <w:pPr>
              <w:spacing w:after="0"/>
              <w:rPr>
                <w:sz w:val="18"/>
                <w:szCs w:val="18"/>
                <w:color w:val="auto"/>
              </w:rPr>
            </w:pPr>
          </w:p>
        </w:tc>
        <w:tc>
          <w:tcPr>
            <w:tcW w:w="720" w:type="dxa"/>
            <w:vAlign w:val="bottom"/>
            <w:gridSpan w:val="2"/>
            <w:vMerge w:val="continue"/>
          </w:tcPr>
          <w:p>
            <w:pPr>
              <w:spacing w:after="0"/>
              <w:rPr>
                <w:sz w:val="18"/>
                <w:szCs w:val="18"/>
                <w:color w:val="auto"/>
              </w:rPr>
            </w:pPr>
          </w:p>
        </w:tc>
        <w:tc>
          <w:tcPr>
            <w:tcW w:w="260" w:type="dxa"/>
            <w:vAlign w:val="bottom"/>
          </w:tcPr>
          <w:p>
            <w:pPr>
              <w:spacing w:after="0"/>
              <w:rPr>
                <w:sz w:val="18"/>
                <w:szCs w:val="18"/>
                <w:color w:val="auto"/>
              </w:rPr>
            </w:pPr>
          </w:p>
        </w:tc>
        <w:tc>
          <w:tcPr>
            <w:tcW w:w="62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5"/>
        </w:trPr>
        <w:tc>
          <w:tcPr>
            <w:tcW w:w="1340" w:type="dxa"/>
            <w:vAlign w:val="bottom"/>
            <w:shd w:val="clear" w:color="auto" w:fill="CCEEFF"/>
          </w:tcPr>
          <w:p>
            <w:pPr>
              <w:ind w:left="140"/>
              <w:spacing w:after="0" w:line="165" w:lineRule="exact"/>
              <w:rPr>
                <w:sz w:val="20"/>
                <w:szCs w:val="20"/>
                <w:color w:val="auto"/>
              </w:rPr>
            </w:pPr>
            <w:r>
              <w:rPr>
                <w:rFonts w:ascii="Times New Roman" w:cs="Times New Roman" w:eastAsia="Times New Roman" w:hAnsi="Times New Roman"/>
                <w:sz w:val="16"/>
                <w:szCs w:val="16"/>
                <w:color w:val="auto"/>
              </w:rPr>
              <w:t>Fair value</w:t>
            </w:r>
          </w:p>
        </w:tc>
        <w:tc>
          <w:tcPr>
            <w:tcW w:w="14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340" w:type="dxa"/>
            <w:vAlign w:val="bottom"/>
            <w:shd w:val="clear" w:color="auto" w:fill="CCEEFF"/>
          </w:tcPr>
          <w:p>
            <w:pPr>
              <w:ind w:left="140"/>
              <w:spacing w:after="0" w:line="162" w:lineRule="exact"/>
              <w:rPr>
                <w:sz w:val="20"/>
                <w:szCs w:val="20"/>
                <w:color w:val="auto"/>
              </w:rPr>
            </w:pPr>
            <w:r>
              <w:rPr>
                <w:rFonts w:ascii="Times New Roman" w:cs="Times New Roman" w:eastAsia="Times New Roman" w:hAnsi="Times New Roman"/>
                <w:sz w:val="16"/>
                <w:szCs w:val="16"/>
                <w:color w:val="auto"/>
              </w:rPr>
              <w:t>adjustments</w:t>
            </w:r>
          </w:p>
        </w:tc>
        <w:tc>
          <w:tcPr>
            <w:tcW w:w="14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340" w:type="dxa"/>
            <w:vAlign w:val="bottom"/>
            <w:shd w:val="clear" w:color="auto" w:fill="CCEEFF"/>
          </w:tcPr>
          <w:p>
            <w:pPr>
              <w:ind w:left="140"/>
              <w:spacing w:after="0" w:line="162" w:lineRule="exact"/>
              <w:rPr>
                <w:sz w:val="20"/>
                <w:szCs w:val="20"/>
                <w:color w:val="auto"/>
              </w:rPr>
            </w:pPr>
            <w:r>
              <w:rPr>
                <w:rFonts w:ascii="Times New Roman" w:cs="Times New Roman" w:eastAsia="Times New Roman" w:hAnsi="Times New Roman"/>
                <w:sz w:val="16"/>
                <w:szCs w:val="16"/>
                <w:color w:val="auto"/>
              </w:rPr>
              <w:t>included in</w:t>
            </w:r>
          </w:p>
        </w:tc>
        <w:tc>
          <w:tcPr>
            <w:tcW w:w="140" w:type="dxa"/>
            <w:vAlign w:val="bottom"/>
            <w:shd w:val="clear" w:color="auto" w:fill="CCEEFF"/>
          </w:tcPr>
          <w:p>
            <w:pPr>
              <w:spacing w:after="0"/>
              <w:rPr>
                <w:sz w:val="14"/>
                <w:szCs w:val="14"/>
                <w:color w:val="auto"/>
              </w:rPr>
            </w:pPr>
          </w:p>
        </w:tc>
        <w:tc>
          <w:tcPr>
            <w:tcW w:w="6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(458)</w:t>
            </w: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5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(511)</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(154)</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365</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4"/>
                <w:szCs w:val="14"/>
                <w:color w:val="auto"/>
              </w:rPr>
            </w:pPr>
          </w:p>
        </w:tc>
        <w:tc>
          <w:tcPr>
            <w:tcW w:w="10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4"/>
                <w:szCs w:val="14"/>
                <w:color w:val="auto"/>
              </w:rPr>
            </w:pPr>
          </w:p>
        </w:tc>
        <w:tc>
          <w:tcPr>
            <w:tcW w:w="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(1,988)</w:t>
            </w: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(2,814)</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(348)</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(2,632)</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13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earnings</w:t>
            </w:r>
          </w:p>
        </w:tc>
        <w:tc>
          <w:tcPr>
            <w:tcW w:w="140" w:type="dxa"/>
            <w:vAlign w:val="bottom"/>
            <w:shd w:val="clear" w:color="auto" w:fill="CCEEFF"/>
          </w:tcPr>
          <w:p>
            <w:pPr>
              <w:spacing w:after="0"/>
              <w:rPr>
                <w:sz w:val="18"/>
                <w:szCs w:val="18"/>
                <w:color w:val="auto"/>
              </w:rPr>
            </w:pPr>
          </w:p>
        </w:tc>
        <w:tc>
          <w:tcPr>
            <w:tcW w:w="64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4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13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Ending balance</w:t>
            </w:r>
          </w:p>
        </w:tc>
        <w:tc>
          <w:tcPr>
            <w:tcW w:w="14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8,410</w:t>
            </w:r>
          </w:p>
        </w:tc>
        <w:tc>
          <w:tcPr>
            <w:tcW w:w="80" w:type="dxa"/>
            <w:vAlign w:val="bottom"/>
          </w:tcPr>
          <w:p>
            <w:pPr>
              <w:spacing w:after="0"/>
              <w:rPr>
                <w:sz w:val="18"/>
                <w:szCs w:val="18"/>
                <w:color w:val="auto"/>
              </w:rPr>
            </w:pPr>
          </w:p>
        </w:tc>
        <w:tc>
          <w:tcPr>
            <w:tcW w:w="26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8,706</w:t>
            </w:r>
          </w:p>
        </w:tc>
        <w:tc>
          <w:tcPr>
            <w:tcW w:w="80" w:type="dxa"/>
            <w:vAlign w:val="bottom"/>
          </w:tcPr>
          <w:p>
            <w:pPr>
              <w:spacing w:after="0"/>
              <w:rPr>
                <w:sz w:val="18"/>
                <w:szCs w:val="18"/>
                <w:color w:val="auto"/>
              </w:rPr>
            </w:pPr>
          </w:p>
        </w:tc>
        <w:tc>
          <w:tcPr>
            <w:tcW w:w="10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4,822</w:t>
            </w:r>
          </w:p>
        </w:tc>
        <w:tc>
          <w:tcPr>
            <w:tcW w:w="80" w:type="dxa"/>
            <w:vAlign w:val="bottom"/>
          </w:tcPr>
          <w:p>
            <w:pPr>
              <w:spacing w:after="0"/>
              <w:rPr>
                <w:sz w:val="18"/>
                <w:szCs w:val="18"/>
                <w:color w:val="auto"/>
              </w:rPr>
            </w:pPr>
          </w:p>
        </w:tc>
        <w:tc>
          <w:tcPr>
            <w:tcW w:w="14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40,792</w:t>
            </w:r>
          </w:p>
        </w:tc>
        <w:tc>
          <w:tcPr>
            <w:tcW w:w="80" w:type="dxa"/>
            <w:vAlign w:val="bottom"/>
          </w:tcPr>
          <w:p>
            <w:pPr>
              <w:spacing w:after="0"/>
              <w:rPr>
                <w:sz w:val="18"/>
                <w:szCs w:val="18"/>
                <w:color w:val="auto"/>
              </w:rPr>
            </w:pPr>
          </w:p>
        </w:tc>
        <w:tc>
          <w:tcPr>
            <w:tcW w:w="14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489</w:t>
            </w:r>
          </w:p>
        </w:tc>
        <w:tc>
          <w:tcPr>
            <w:tcW w:w="80" w:type="dxa"/>
            <w:vAlign w:val="bottom"/>
          </w:tcPr>
          <w:p>
            <w:pPr>
              <w:spacing w:after="0"/>
              <w:rPr>
                <w:sz w:val="18"/>
                <w:szCs w:val="18"/>
                <w:color w:val="auto"/>
              </w:rPr>
            </w:pPr>
          </w:p>
        </w:tc>
        <w:tc>
          <w:tcPr>
            <w:tcW w:w="10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7,236</w:t>
            </w:r>
          </w:p>
        </w:tc>
        <w:tc>
          <w:tcPr>
            <w:tcW w:w="80" w:type="dxa"/>
            <w:vAlign w:val="bottom"/>
          </w:tcPr>
          <w:p>
            <w:pPr>
              <w:spacing w:after="0"/>
              <w:rPr>
                <w:sz w:val="18"/>
                <w:szCs w:val="18"/>
                <w:color w:val="auto"/>
              </w:rPr>
            </w:pPr>
          </w:p>
        </w:tc>
        <w:tc>
          <w:tcPr>
            <w:tcW w:w="14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10,155</w:t>
            </w:r>
          </w:p>
        </w:tc>
        <w:tc>
          <w:tcPr>
            <w:tcW w:w="80" w:type="dxa"/>
            <w:vAlign w:val="bottom"/>
          </w:tcPr>
          <w:p>
            <w:pPr>
              <w:spacing w:after="0"/>
              <w:rPr>
                <w:sz w:val="18"/>
                <w:szCs w:val="18"/>
                <w:color w:val="auto"/>
              </w:rPr>
            </w:pPr>
          </w:p>
        </w:tc>
        <w:tc>
          <w:tcPr>
            <w:tcW w:w="18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10,557</w:t>
            </w:r>
          </w:p>
        </w:tc>
        <w:tc>
          <w:tcPr>
            <w:tcW w:w="80" w:type="dxa"/>
            <w:vAlign w:val="bottom"/>
          </w:tcPr>
          <w:p>
            <w:pPr>
              <w:spacing w:after="0"/>
              <w:rPr>
                <w:sz w:val="18"/>
                <w:szCs w:val="18"/>
                <w:color w:val="auto"/>
              </w:rPr>
            </w:pPr>
          </w:p>
        </w:tc>
        <w:tc>
          <w:tcPr>
            <w:tcW w:w="10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w w:val="74"/>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4,937</w:t>
            </w:r>
          </w:p>
        </w:tc>
        <w:tc>
          <w:tcPr>
            <w:tcW w:w="80" w:type="dxa"/>
            <w:vAlign w:val="bottom"/>
          </w:tcPr>
          <w:p>
            <w:pPr>
              <w:spacing w:after="0"/>
              <w:rPr>
                <w:sz w:val="18"/>
                <w:szCs w:val="18"/>
                <w:color w:val="auto"/>
              </w:rPr>
            </w:pPr>
          </w:p>
        </w:tc>
        <w:tc>
          <w:tcPr>
            <w:tcW w:w="14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35,378</w:t>
            </w:r>
          </w:p>
        </w:tc>
        <w:tc>
          <w:tcPr>
            <w:tcW w:w="10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2,226</w:t>
            </w:r>
          </w:p>
        </w:tc>
        <w:tc>
          <w:tcPr>
            <w:tcW w:w="0" w:type="dxa"/>
            <w:vAlign w:val="bottom"/>
          </w:tcPr>
          <w:p>
            <w:pPr>
              <w:spacing w:after="0"/>
              <w:rPr>
                <w:sz w:val="1"/>
                <w:szCs w:val="1"/>
                <w:color w:val="auto"/>
              </w:rPr>
            </w:pPr>
          </w:p>
        </w:tc>
      </w:tr>
      <w:tr>
        <w:trPr>
          <w:trHeight w:val="20"/>
        </w:trPr>
        <w:tc>
          <w:tcPr>
            <w:tcW w:w="134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13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4"/>
        </w:trPr>
        <w:tc>
          <w:tcPr>
            <w:tcW w:w="2460" w:type="dxa"/>
            <w:vAlign w:val="bottom"/>
            <w:gridSpan w:val="5"/>
          </w:tcPr>
          <w:p>
            <w:pPr>
              <w:ind w:left="20"/>
              <w:spacing w:after="0"/>
              <w:rPr>
                <w:sz w:val="20"/>
                <w:szCs w:val="20"/>
                <w:color w:val="auto"/>
              </w:rPr>
            </w:pPr>
            <w:r>
              <w:rPr>
                <w:rFonts w:ascii="Times New Roman" w:cs="Times New Roman" w:eastAsia="Times New Roman" w:hAnsi="Times New Roman"/>
                <w:sz w:val="16"/>
                <w:szCs w:val="16"/>
                <w:b w:val="1"/>
                <w:bCs w:val="1"/>
                <w:color w:val="auto"/>
              </w:rPr>
              <w:t>Nine Months Ended September 30,</w:t>
            </w: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13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Beginning balance</w:t>
            </w:r>
          </w:p>
        </w:tc>
        <w:tc>
          <w:tcPr>
            <w:tcW w:w="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11,656</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12,286</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4,697</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39,294</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2,226</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7,470</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10,642</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11,172</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w w:val="74"/>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5,444</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35,897</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2,205</w:t>
            </w:r>
          </w:p>
        </w:tc>
        <w:tc>
          <w:tcPr>
            <w:tcW w:w="0" w:type="dxa"/>
            <w:vAlign w:val="bottom"/>
          </w:tcPr>
          <w:p>
            <w:pPr>
              <w:spacing w:after="0"/>
              <w:rPr>
                <w:sz w:val="1"/>
                <w:szCs w:val="1"/>
                <w:color w:val="auto"/>
              </w:rPr>
            </w:pPr>
          </w:p>
        </w:tc>
      </w:tr>
      <w:tr>
        <w:trPr>
          <w:trHeight w:val="213"/>
        </w:trPr>
        <w:tc>
          <w:tcPr>
            <w:tcW w:w="13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Additions</w:t>
            </w: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4,447</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321</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1,140</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3,931</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4,102</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750</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2,869</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65"/>
        </w:trPr>
        <w:tc>
          <w:tcPr>
            <w:tcW w:w="1340" w:type="dxa"/>
            <w:vAlign w:val="bottom"/>
            <w:shd w:val="clear" w:color="auto" w:fill="CCEEFF"/>
          </w:tcPr>
          <w:p>
            <w:pPr>
              <w:ind w:left="140"/>
              <w:spacing w:after="0" w:line="165" w:lineRule="exact"/>
              <w:rPr>
                <w:sz w:val="20"/>
                <w:szCs w:val="20"/>
                <w:color w:val="auto"/>
              </w:rPr>
            </w:pPr>
            <w:r>
              <w:rPr>
                <w:rFonts w:ascii="Times New Roman" w:cs="Times New Roman" w:eastAsia="Times New Roman" w:hAnsi="Times New Roman"/>
                <w:sz w:val="16"/>
                <w:szCs w:val="16"/>
                <w:color w:val="auto"/>
              </w:rPr>
              <w:t>Transfers from</w:t>
            </w:r>
          </w:p>
        </w:tc>
        <w:tc>
          <w:tcPr>
            <w:tcW w:w="140" w:type="dxa"/>
            <w:vAlign w:val="bottom"/>
            <w:shd w:val="clear" w:color="auto" w:fill="CCEEFF"/>
          </w:tcPr>
          <w:p>
            <w:pPr>
              <w:spacing w:after="0"/>
              <w:rPr>
                <w:sz w:val="14"/>
                <w:szCs w:val="14"/>
                <w:color w:val="auto"/>
              </w:rPr>
            </w:pPr>
          </w:p>
        </w:tc>
        <w:tc>
          <w:tcPr>
            <w:tcW w:w="7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14"/>
                <w:szCs w:val="14"/>
                <w:color w:val="auto"/>
              </w:rPr>
            </w:pPr>
          </w:p>
        </w:tc>
        <w:tc>
          <w:tcPr>
            <w:tcW w:w="6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4"/>
                <w:szCs w:val="14"/>
                <w:color w:val="auto"/>
              </w:rPr>
            </w:pPr>
          </w:p>
        </w:tc>
        <w:tc>
          <w:tcPr>
            <w:tcW w:w="84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4"/>
                <w:szCs w:val="14"/>
                <w:color w:val="auto"/>
              </w:rPr>
            </w:pPr>
          </w:p>
        </w:tc>
        <w:tc>
          <w:tcPr>
            <w:tcW w:w="7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4"/>
                <w:szCs w:val="14"/>
                <w:color w:val="auto"/>
              </w:rPr>
            </w:pPr>
          </w:p>
        </w:tc>
        <w:tc>
          <w:tcPr>
            <w:tcW w:w="7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4"/>
                <w:szCs w:val="14"/>
                <w:color w:val="auto"/>
              </w:rPr>
            </w:pPr>
          </w:p>
        </w:tc>
        <w:tc>
          <w:tcPr>
            <w:tcW w:w="10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4"/>
                <w:szCs w:val="14"/>
                <w:color w:val="auto"/>
              </w:rPr>
            </w:pPr>
          </w:p>
        </w:tc>
        <w:tc>
          <w:tcPr>
            <w:tcW w:w="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484</w:t>
            </w: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925</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4"/>
                <w:szCs w:val="14"/>
                <w:color w:val="auto"/>
              </w:rPr>
            </w:pPr>
          </w:p>
        </w:tc>
        <w:tc>
          <w:tcPr>
            <w:tcW w:w="7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4"/>
                <w:szCs w:val="14"/>
                <w:color w:val="auto"/>
              </w:rPr>
            </w:pPr>
          </w:p>
        </w:tc>
        <w:tc>
          <w:tcPr>
            <w:tcW w:w="6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6"/>
        </w:trPr>
        <w:tc>
          <w:tcPr>
            <w:tcW w:w="13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Level 2</w:t>
            </w:r>
          </w:p>
        </w:tc>
        <w:tc>
          <w:tcPr>
            <w:tcW w:w="140" w:type="dxa"/>
            <w:vAlign w:val="bottom"/>
            <w:shd w:val="clear" w:color="auto" w:fill="CCEEFF"/>
          </w:tcPr>
          <w:p>
            <w:pPr>
              <w:spacing w:after="0"/>
              <w:rPr>
                <w:sz w:val="18"/>
                <w:szCs w:val="18"/>
                <w:color w:val="auto"/>
              </w:rPr>
            </w:pPr>
          </w:p>
        </w:tc>
        <w:tc>
          <w:tcPr>
            <w:tcW w:w="720" w:type="dxa"/>
            <w:vAlign w:val="bottom"/>
            <w:gridSpan w:val="2"/>
            <w:vMerge w:val="continue"/>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2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1340" w:type="dxa"/>
            <w:vAlign w:val="bottom"/>
          </w:tcPr>
          <w:p>
            <w:pPr>
              <w:ind w:left="140"/>
              <w:spacing w:after="0" w:line="162" w:lineRule="exact"/>
              <w:rPr>
                <w:sz w:val="20"/>
                <w:szCs w:val="20"/>
                <w:color w:val="auto"/>
              </w:rPr>
            </w:pPr>
            <w:r>
              <w:rPr>
                <w:rFonts w:ascii="Times New Roman" w:cs="Times New Roman" w:eastAsia="Times New Roman" w:hAnsi="Times New Roman"/>
                <w:sz w:val="16"/>
                <w:szCs w:val="16"/>
                <w:color w:val="auto"/>
              </w:rPr>
              <w:t>Sales and</w:t>
            </w:r>
          </w:p>
        </w:tc>
        <w:tc>
          <w:tcPr>
            <w:tcW w:w="140" w:type="dxa"/>
            <w:vAlign w:val="bottom"/>
          </w:tcPr>
          <w:p>
            <w:pPr>
              <w:spacing w:after="0"/>
              <w:rPr>
                <w:sz w:val="14"/>
                <w:szCs w:val="14"/>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(4,059)</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4"/>
                <w:szCs w:val="14"/>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(476)</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(1,950)</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(1,750)</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(234)</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(4,381)</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4"/>
                <w:szCs w:val="14"/>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(751)</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(2,892)</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13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settlements</w:t>
            </w:r>
          </w:p>
        </w:tc>
        <w:tc>
          <w:tcPr>
            <w:tcW w:w="140" w:type="dxa"/>
            <w:vAlign w:val="bottom"/>
          </w:tcPr>
          <w:p>
            <w:pPr>
              <w:spacing w:after="0"/>
              <w:rPr>
                <w:sz w:val="18"/>
                <w:szCs w:val="18"/>
                <w:color w:val="auto"/>
              </w:rPr>
            </w:pPr>
          </w:p>
        </w:tc>
        <w:tc>
          <w:tcPr>
            <w:tcW w:w="64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2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5"/>
        </w:trPr>
        <w:tc>
          <w:tcPr>
            <w:tcW w:w="1340" w:type="dxa"/>
            <w:vAlign w:val="bottom"/>
            <w:shd w:val="clear" w:color="auto" w:fill="CCEEFF"/>
          </w:tcPr>
          <w:p>
            <w:pPr>
              <w:ind w:left="140"/>
              <w:spacing w:after="0" w:line="165" w:lineRule="exact"/>
              <w:rPr>
                <w:sz w:val="20"/>
                <w:szCs w:val="20"/>
                <w:color w:val="auto"/>
              </w:rPr>
            </w:pPr>
            <w:r>
              <w:rPr>
                <w:rFonts w:ascii="Times New Roman" w:cs="Times New Roman" w:eastAsia="Times New Roman" w:hAnsi="Times New Roman"/>
                <w:sz w:val="16"/>
                <w:szCs w:val="16"/>
                <w:color w:val="auto"/>
              </w:rPr>
              <w:t>Fair value</w:t>
            </w:r>
          </w:p>
        </w:tc>
        <w:tc>
          <w:tcPr>
            <w:tcW w:w="14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340" w:type="dxa"/>
            <w:vAlign w:val="bottom"/>
            <w:shd w:val="clear" w:color="auto" w:fill="CCEEFF"/>
          </w:tcPr>
          <w:p>
            <w:pPr>
              <w:ind w:left="140"/>
              <w:spacing w:after="0" w:line="162" w:lineRule="exact"/>
              <w:rPr>
                <w:sz w:val="20"/>
                <w:szCs w:val="20"/>
                <w:color w:val="auto"/>
              </w:rPr>
            </w:pPr>
            <w:r>
              <w:rPr>
                <w:rFonts w:ascii="Times New Roman" w:cs="Times New Roman" w:eastAsia="Times New Roman" w:hAnsi="Times New Roman"/>
                <w:sz w:val="16"/>
                <w:szCs w:val="16"/>
                <w:color w:val="auto"/>
              </w:rPr>
              <w:t>adjustments</w:t>
            </w:r>
          </w:p>
        </w:tc>
        <w:tc>
          <w:tcPr>
            <w:tcW w:w="140" w:type="dxa"/>
            <w:vAlign w:val="bottom"/>
            <w:shd w:val="clear" w:color="auto" w:fill="CCEEFF"/>
          </w:tcPr>
          <w:p>
            <w:pPr>
              <w:spacing w:after="0"/>
              <w:rPr>
                <w:sz w:val="14"/>
                <w:szCs w:val="14"/>
                <w:color w:val="auto"/>
              </w:rPr>
            </w:pPr>
          </w:p>
        </w:tc>
        <w:tc>
          <w:tcPr>
            <w:tcW w:w="7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14"/>
                <w:szCs w:val="14"/>
                <w:color w:val="auto"/>
              </w:rPr>
            </w:pPr>
          </w:p>
        </w:tc>
        <w:tc>
          <w:tcPr>
            <w:tcW w:w="6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4"/>
                <w:szCs w:val="14"/>
                <w:color w:val="auto"/>
              </w:rPr>
            </w:pPr>
          </w:p>
        </w:tc>
        <w:tc>
          <w:tcPr>
            <w:tcW w:w="84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4"/>
                <w:szCs w:val="14"/>
                <w:color w:val="auto"/>
              </w:rPr>
            </w:pPr>
          </w:p>
        </w:tc>
        <w:tc>
          <w:tcPr>
            <w:tcW w:w="7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4"/>
                <w:szCs w:val="14"/>
                <w:color w:val="auto"/>
              </w:rPr>
            </w:pPr>
          </w:p>
        </w:tc>
        <w:tc>
          <w:tcPr>
            <w:tcW w:w="6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4"/>
                <w:szCs w:val="14"/>
                <w:color w:val="auto"/>
              </w:rPr>
            </w:pPr>
          </w:p>
        </w:tc>
        <w:tc>
          <w:tcPr>
            <w:tcW w:w="74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4"/>
                <w:szCs w:val="14"/>
                <w:color w:val="auto"/>
              </w:rPr>
            </w:pPr>
          </w:p>
        </w:tc>
        <w:tc>
          <w:tcPr>
            <w:tcW w:w="7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4"/>
                <w:szCs w:val="14"/>
                <w:color w:val="auto"/>
              </w:rPr>
            </w:pPr>
          </w:p>
        </w:tc>
        <w:tc>
          <w:tcPr>
            <w:tcW w:w="8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4"/>
                <w:szCs w:val="14"/>
                <w:color w:val="auto"/>
              </w:rPr>
            </w:pPr>
          </w:p>
        </w:tc>
        <w:tc>
          <w:tcPr>
            <w:tcW w:w="7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4"/>
                <w:szCs w:val="14"/>
                <w:color w:val="auto"/>
              </w:rPr>
            </w:pPr>
          </w:p>
        </w:tc>
        <w:tc>
          <w:tcPr>
            <w:tcW w:w="6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w:t>
            </w:r>
          </w:p>
        </w:tc>
        <w:tc>
          <w:tcPr>
            <w:tcW w:w="0" w:type="dxa"/>
            <w:vAlign w:val="bottom"/>
          </w:tcPr>
          <w:p>
            <w:pPr>
              <w:spacing w:after="0"/>
              <w:rPr>
                <w:sz w:val="1"/>
                <w:szCs w:val="1"/>
                <w:color w:val="auto"/>
              </w:rPr>
            </w:pPr>
          </w:p>
        </w:tc>
      </w:tr>
      <w:tr>
        <w:trPr>
          <w:trHeight w:val="216"/>
        </w:trPr>
        <w:tc>
          <w:tcPr>
            <w:tcW w:w="13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included in OCI</w:t>
            </w:r>
          </w:p>
        </w:tc>
        <w:tc>
          <w:tcPr>
            <w:tcW w:w="140" w:type="dxa"/>
            <w:vAlign w:val="bottom"/>
            <w:shd w:val="clear" w:color="auto" w:fill="CCEEFF"/>
          </w:tcPr>
          <w:p>
            <w:pPr>
              <w:spacing w:after="0"/>
              <w:rPr>
                <w:sz w:val="18"/>
                <w:szCs w:val="18"/>
                <w:color w:val="auto"/>
              </w:rPr>
            </w:pPr>
          </w:p>
        </w:tc>
        <w:tc>
          <w:tcPr>
            <w:tcW w:w="720" w:type="dxa"/>
            <w:vAlign w:val="bottom"/>
            <w:gridSpan w:val="2"/>
            <w:vMerge w:val="continue"/>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2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2"/>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1340" w:type="dxa"/>
            <w:vAlign w:val="bottom"/>
          </w:tcPr>
          <w:p>
            <w:pPr>
              <w:ind w:left="140"/>
              <w:spacing w:after="0" w:line="162" w:lineRule="exact"/>
              <w:rPr>
                <w:sz w:val="20"/>
                <w:szCs w:val="20"/>
                <w:color w:val="auto"/>
              </w:rPr>
            </w:pPr>
            <w:r>
              <w:rPr>
                <w:rFonts w:ascii="Times New Roman" w:cs="Times New Roman" w:eastAsia="Times New Roman" w:hAnsi="Times New Roman"/>
                <w:sz w:val="16"/>
                <w:szCs w:val="16"/>
                <w:color w:val="auto"/>
              </w:rPr>
              <w:t>Fair value</w:t>
            </w: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340" w:type="dxa"/>
            <w:vAlign w:val="bottom"/>
          </w:tcPr>
          <w:p>
            <w:pPr>
              <w:ind w:left="140"/>
              <w:spacing w:after="0" w:line="162" w:lineRule="exact"/>
              <w:rPr>
                <w:sz w:val="20"/>
                <w:szCs w:val="20"/>
                <w:color w:val="auto"/>
              </w:rPr>
            </w:pPr>
            <w:r>
              <w:rPr>
                <w:rFonts w:ascii="Times New Roman" w:cs="Times New Roman" w:eastAsia="Times New Roman" w:hAnsi="Times New Roman"/>
                <w:sz w:val="16"/>
                <w:szCs w:val="16"/>
                <w:color w:val="auto"/>
              </w:rPr>
              <w:t>adjustments</w:t>
            </w: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340" w:type="dxa"/>
            <w:vAlign w:val="bottom"/>
          </w:tcPr>
          <w:p>
            <w:pPr>
              <w:ind w:left="140"/>
              <w:spacing w:after="0" w:line="162" w:lineRule="exact"/>
              <w:rPr>
                <w:sz w:val="20"/>
                <w:szCs w:val="20"/>
                <w:color w:val="auto"/>
              </w:rPr>
            </w:pPr>
            <w:r>
              <w:rPr>
                <w:rFonts w:ascii="Times New Roman" w:cs="Times New Roman" w:eastAsia="Times New Roman" w:hAnsi="Times New Roman"/>
                <w:sz w:val="16"/>
                <w:szCs w:val="16"/>
                <w:color w:val="auto"/>
              </w:rPr>
              <w:t>included in</w:t>
            </w:r>
          </w:p>
        </w:tc>
        <w:tc>
          <w:tcPr>
            <w:tcW w:w="140" w:type="dxa"/>
            <w:vAlign w:val="bottom"/>
          </w:tcPr>
          <w:p>
            <w:pPr>
              <w:spacing w:after="0"/>
              <w:rPr>
                <w:sz w:val="14"/>
                <w:szCs w:val="14"/>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(3,634)</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(3,901)</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(539)</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(483)</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4"/>
                <w:szCs w:val="14"/>
                <w:color w:val="auto"/>
              </w:rPr>
            </w:pPr>
          </w:p>
        </w:tc>
        <w:tc>
          <w:tcPr>
            <w:tcW w:w="10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4"/>
                <w:szCs w:val="14"/>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(692)</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(1,598)</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(506)</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(496)</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13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earnings</w:t>
            </w:r>
          </w:p>
        </w:tc>
        <w:tc>
          <w:tcPr>
            <w:tcW w:w="140" w:type="dxa"/>
            <w:vAlign w:val="bottom"/>
          </w:tcPr>
          <w:p>
            <w:pPr>
              <w:spacing w:after="0"/>
              <w:rPr>
                <w:sz w:val="18"/>
                <w:szCs w:val="18"/>
                <w:color w:val="auto"/>
              </w:rPr>
            </w:pPr>
          </w:p>
        </w:tc>
        <w:tc>
          <w:tcPr>
            <w:tcW w:w="64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4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3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Ending balance</w:t>
            </w:r>
          </w:p>
        </w:tc>
        <w:tc>
          <w:tcPr>
            <w:tcW w:w="14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8,410</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26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8,706</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4,822</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40,792</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489</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7,236</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10,155</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10,557</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w w:val="74"/>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4,937</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35,378</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2,226</w:t>
            </w:r>
          </w:p>
        </w:tc>
        <w:tc>
          <w:tcPr>
            <w:tcW w:w="0" w:type="dxa"/>
            <w:vAlign w:val="bottom"/>
          </w:tcPr>
          <w:p>
            <w:pPr>
              <w:spacing w:after="0"/>
              <w:rPr>
                <w:sz w:val="1"/>
                <w:szCs w:val="1"/>
                <w:color w:val="auto"/>
              </w:rPr>
            </w:pPr>
          </w:p>
        </w:tc>
      </w:tr>
      <w:tr>
        <w:trPr>
          <w:trHeight w:val="20"/>
        </w:trPr>
        <w:tc>
          <w:tcPr>
            <w:tcW w:w="13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0" w:name="page31"/>
    <w:bookmarkEnd w:id="30"/>
    <w:p>
      <w:pPr>
        <w:jc w:val="center"/>
        <w:spacing w:after="0"/>
        <w:rPr>
          <w:sz w:val="20"/>
          <w:szCs w:val="20"/>
          <w:color w:val="auto"/>
        </w:rPr>
      </w:pPr>
      <w:r>
        <w:rPr>
          <w:rFonts w:ascii="Times New Roman" w:cs="Times New Roman" w:eastAsia="Times New Roman" w:hAnsi="Times New Roman"/>
          <w:sz w:val="18"/>
          <w:szCs w:val="18"/>
          <w:b w:val="1"/>
          <w:bCs w:val="1"/>
          <w:color w:val="auto"/>
        </w:rPr>
        <w:t>UNITED COMMUNITY BANKS,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Fair Value Option</w:t>
      </w:r>
    </w:p>
    <w:p>
      <w:pPr>
        <w:spacing w:after="0" w:line="3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United generally records mortgage loans held for sale at fair value under the fair value option. Interest income on these loans is calculated based on the note rate of the loan and is recorded in interest revenue. The following tables present the fair value and outstanding principal balance of loans accounted for under the fair value option, as well as the gain or loss recognized from the change in fair value for the periods indicated.</w:t>
      </w:r>
    </w:p>
    <w:p>
      <w:pPr>
        <w:spacing w:after="0" w:line="13"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8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2420" w:type="dxa"/>
            <w:vAlign w:val="bottom"/>
            <w:tcBorders>
              <w:bottom w:val="single" w:sz="8" w:color="auto"/>
            </w:tcBorders>
          </w:tcPr>
          <w:p>
            <w:pPr>
              <w:spacing w:after="0"/>
              <w:rPr>
                <w:sz w:val="18"/>
                <w:szCs w:val="18"/>
                <w:color w:val="auto"/>
              </w:rPr>
            </w:pPr>
          </w:p>
        </w:tc>
        <w:tc>
          <w:tcPr>
            <w:tcW w:w="2880" w:type="dxa"/>
            <w:vAlign w:val="bottom"/>
            <w:tcBorders>
              <w:bottom w:val="single" w:sz="8" w:color="auto"/>
            </w:tcBorders>
            <w:gridSpan w:val="5"/>
          </w:tcPr>
          <w:p>
            <w:pPr>
              <w:jc w:val="center"/>
              <w:ind w:left="19"/>
              <w:spacing w:after="0"/>
              <w:rPr>
                <w:sz w:val="20"/>
                <w:szCs w:val="20"/>
                <w:color w:val="auto"/>
              </w:rPr>
            </w:pPr>
            <w:r>
              <w:rPr>
                <w:rFonts w:ascii="Times New Roman" w:cs="Times New Roman" w:eastAsia="Times New Roman" w:hAnsi="Times New Roman"/>
                <w:sz w:val="16"/>
                <w:szCs w:val="16"/>
                <w:b w:val="1"/>
                <w:bCs w:val="1"/>
                <w:color w:val="auto"/>
              </w:rPr>
              <w:t>Mortgage Loans Held for Sale</w:t>
            </w:r>
          </w:p>
        </w:tc>
        <w:tc>
          <w:tcPr>
            <w:tcW w:w="1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80" w:type="dxa"/>
            <w:vAlign w:val="bottom"/>
            <w:tcBorders>
              <w:bottom w:val="single" w:sz="8" w:color="CCEEFF"/>
            </w:tcBorders>
          </w:tcPr>
          <w:p>
            <w:pPr>
              <w:spacing w:after="0"/>
              <w:rPr>
                <w:sz w:val="18"/>
                <w:szCs w:val="18"/>
                <w:color w:val="auto"/>
              </w:rPr>
            </w:pPr>
          </w:p>
        </w:tc>
        <w:tc>
          <w:tcPr>
            <w:tcW w:w="1620" w:type="dxa"/>
            <w:vAlign w:val="bottom"/>
            <w:tcBorders>
              <w:bottom w:val="single" w:sz="8" w:color="CCEEFF"/>
            </w:tcBorders>
          </w:tcPr>
          <w:p>
            <w:pPr>
              <w:spacing w:after="0"/>
              <w:rPr>
                <w:sz w:val="18"/>
                <w:szCs w:val="18"/>
                <w:color w:val="auto"/>
              </w:rPr>
            </w:pPr>
          </w:p>
        </w:tc>
        <w:tc>
          <w:tcPr>
            <w:tcW w:w="24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820" w:type="dxa"/>
            <w:vAlign w:val="bottom"/>
            <w:tcBorders>
              <w:bottom w:val="single" w:sz="8" w:color="CCEEFF"/>
            </w:tcBorders>
          </w:tcPr>
          <w:p>
            <w:pPr>
              <w:spacing w:after="0"/>
              <w:rPr>
                <w:sz w:val="18"/>
                <w:szCs w:val="18"/>
                <w:color w:val="auto"/>
              </w:rPr>
            </w:pPr>
          </w:p>
        </w:tc>
        <w:tc>
          <w:tcPr>
            <w:tcW w:w="2060" w:type="dxa"/>
            <w:vAlign w:val="bottom"/>
            <w:tcBorders>
              <w:bottom w:val="single" w:sz="8" w:color="auto"/>
            </w:tcBorders>
            <w:gridSpan w:val="4"/>
          </w:tcPr>
          <w:p>
            <w:pPr>
              <w:ind w:left="440"/>
              <w:spacing w:after="0"/>
              <w:rPr>
                <w:sz w:val="20"/>
                <w:szCs w:val="20"/>
                <w:color w:val="auto"/>
              </w:rPr>
            </w:pPr>
            <w:r>
              <w:rPr>
                <w:rFonts w:ascii="Times New Roman" w:cs="Times New Roman" w:eastAsia="Times New Roman" w:hAnsi="Times New Roman"/>
                <w:sz w:val="16"/>
                <w:szCs w:val="16"/>
                <w:b w:val="1"/>
                <w:bCs w:val="1"/>
                <w:color w:val="auto"/>
              </w:rPr>
              <w:t>September 30, 2025</w:t>
            </w:r>
          </w:p>
        </w:tc>
        <w:tc>
          <w:tcPr>
            <w:tcW w:w="18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780" w:type="dxa"/>
            <w:vAlign w:val="bottom"/>
            <w:tcBorders>
              <w:bottom w:val="single" w:sz="8" w:color="auto"/>
            </w:tcBorders>
            <w:gridSpan w:val="4"/>
          </w:tcPr>
          <w:p>
            <w:pPr>
              <w:jc w:val="right"/>
              <w:ind w:right="379"/>
              <w:spacing w:after="0"/>
              <w:rPr>
                <w:sz w:val="20"/>
                <w:szCs w:val="20"/>
                <w:color w:val="auto"/>
              </w:rPr>
            </w:pPr>
            <w:r>
              <w:rPr>
                <w:rFonts w:ascii="Times New Roman" w:cs="Times New Roman" w:eastAsia="Times New Roman" w:hAnsi="Times New Roman"/>
                <w:sz w:val="16"/>
                <w:szCs w:val="16"/>
                <w:b w:val="1"/>
                <w:bCs w:val="1"/>
                <w:color w:val="auto"/>
              </w:rPr>
              <w:t>December 31, 2024</w:t>
            </w:r>
          </w:p>
        </w:tc>
        <w:tc>
          <w:tcPr>
            <w:tcW w:w="14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500" w:type="dxa"/>
            <w:vAlign w:val="bottom"/>
            <w:tcBorders>
              <w:bottom w:val="single" w:sz="8" w:color="CCEEFF"/>
            </w:tcBorders>
          </w:tcPr>
          <w:p>
            <w:pPr>
              <w:spacing w:after="0"/>
              <w:rPr>
                <w:sz w:val="18"/>
                <w:szCs w:val="18"/>
                <w:color w:val="auto"/>
              </w:rPr>
            </w:pPr>
          </w:p>
        </w:tc>
        <w:tc>
          <w:tcPr>
            <w:tcW w:w="92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8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2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Outstanding principal balance</w:t>
            </w:r>
          </w:p>
        </w:tc>
        <w:tc>
          <w:tcPr>
            <w:tcW w:w="82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619"/>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33,814</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ind w:right="279"/>
              <w:spacing w:after="0"/>
              <w:rPr>
                <w:sz w:val="20"/>
                <w:szCs w:val="20"/>
                <w:color w:val="auto"/>
              </w:rPr>
            </w:pPr>
            <w:r>
              <w:rPr>
                <w:rFonts w:ascii="Times New Roman" w:cs="Times New Roman" w:eastAsia="Times New Roman" w:hAnsi="Times New Roman"/>
                <w:sz w:val="16"/>
                <w:szCs w:val="16"/>
                <w:color w:val="auto"/>
                <w:w w:val="99"/>
              </w:rPr>
              <w:t>$</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56,097</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24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Fair value</w:t>
            </w:r>
          </w:p>
        </w:tc>
        <w:tc>
          <w:tcPr>
            <w:tcW w:w="8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8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34,802</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57,534</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83"/>
        </w:trPr>
        <w:tc>
          <w:tcPr>
            <w:tcW w:w="80" w:type="dxa"/>
            <w:vAlign w:val="bottom"/>
          </w:tcPr>
          <w:p>
            <w:pPr>
              <w:spacing w:after="0"/>
              <w:rPr>
                <w:sz w:val="24"/>
                <w:szCs w:val="24"/>
                <w:color w:val="auto"/>
              </w:rPr>
            </w:pPr>
          </w:p>
        </w:tc>
        <w:tc>
          <w:tcPr>
            <w:tcW w:w="1620" w:type="dxa"/>
            <w:vAlign w:val="bottom"/>
            <w:tcBorders>
              <w:bottom w:val="single" w:sz="8" w:color="auto"/>
            </w:tcBorders>
          </w:tcPr>
          <w:p>
            <w:pPr>
              <w:spacing w:after="0"/>
              <w:rPr>
                <w:sz w:val="24"/>
                <w:szCs w:val="24"/>
                <w:color w:val="auto"/>
              </w:rPr>
            </w:pPr>
          </w:p>
        </w:tc>
        <w:tc>
          <w:tcPr>
            <w:tcW w:w="6560" w:type="dxa"/>
            <w:vAlign w:val="bottom"/>
            <w:tcBorders>
              <w:bottom w:val="single" w:sz="8" w:color="auto"/>
            </w:tcBorders>
            <w:gridSpan w:val="11"/>
          </w:tcPr>
          <w:p>
            <w:pPr>
              <w:jc w:val="center"/>
              <w:ind w:left="1199"/>
              <w:spacing w:after="0"/>
              <w:rPr>
                <w:sz w:val="20"/>
                <w:szCs w:val="20"/>
                <w:color w:val="auto"/>
              </w:rPr>
            </w:pPr>
            <w:r>
              <w:rPr>
                <w:rFonts w:ascii="Times New Roman" w:cs="Times New Roman" w:eastAsia="Times New Roman" w:hAnsi="Times New Roman"/>
                <w:sz w:val="16"/>
                <w:szCs w:val="16"/>
                <w:b w:val="1"/>
                <w:bCs w:val="1"/>
                <w:color w:val="auto"/>
              </w:rPr>
              <w:t>Gain (Loss) from Change in Fair Value on Mortgage Loans Held for Sale</w:t>
            </w:r>
          </w:p>
        </w:tc>
        <w:tc>
          <w:tcPr>
            <w:tcW w:w="3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9"/>
        </w:trPr>
        <w:tc>
          <w:tcPr>
            <w:tcW w:w="80" w:type="dxa"/>
            <w:vAlign w:val="bottom"/>
          </w:tcPr>
          <w:p>
            <w:pPr>
              <w:spacing w:after="0"/>
              <w:rPr>
                <w:sz w:val="13"/>
                <w:szCs w:val="13"/>
                <w:color w:val="auto"/>
              </w:rPr>
            </w:pPr>
          </w:p>
        </w:tc>
        <w:tc>
          <w:tcPr>
            <w:tcW w:w="1620" w:type="dxa"/>
            <w:vAlign w:val="bottom"/>
          </w:tcPr>
          <w:p>
            <w:pPr>
              <w:spacing w:after="0"/>
              <w:rPr>
                <w:sz w:val="13"/>
                <w:szCs w:val="13"/>
                <w:color w:val="auto"/>
              </w:rPr>
            </w:pPr>
          </w:p>
        </w:tc>
        <w:tc>
          <w:tcPr>
            <w:tcW w:w="2420" w:type="dxa"/>
            <w:vAlign w:val="bottom"/>
            <w:vMerge w:val="restart"/>
          </w:tcPr>
          <w:p>
            <w:pPr>
              <w:ind w:left="900"/>
              <w:spacing w:after="0"/>
              <w:rPr>
                <w:sz w:val="20"/>
                <w:szCs w:val="20"/>
                <w:color w:val="auto"/>
              </w:rPr>
            </w:pPr>
            <w:r>
              <w:rPr>
                <w:rFonts w:ascii="Times New Roman" w:cs="Times New Roman" w:eastAsia="Times New Roman" w:hAnsi="Times New Roman"/>
                <w:sz w:val="16"/>
                <w:szCs w:val="16"/>
                <w:b w:val="1"/>
                <w:bCs w:val="1"/>
                <w:color w:val="auto"/>
              </w:rPr>
              <w:t>Location</w:t>
            </w:r>
          </w:p>
        </w:tc>
        <w:tc>
          <w:tcPr>
            <w:tcW w:w="8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000" w:type="dxa"/>
            <w:vAlign w:val="bottom"/>
            <w:gridSpan w:val="6"/>
          </w:tcPr>
          <w:p>
            <w:pPr>
              <w:jc w:val="center"/>
              <w:ind w:left="319"/>
              <w:spacing w:after="0" w:line="158" w:lineRule="exact"/>
              <w:rPr>
                <w:sz w:val="20"/>
                <w:szCs w:val="20"/>
                <w:color w:val="auto"/>
              </w:rPr>
            </w:pPr>
            <w:r>
              <w:rPr>
                <w:rFonts w:ascii="Times New Roman" w:cs="Times New Roman" w:eastAsia="Times New Roman" w:hAnsi="Times New Roman"/>
                <w:sz w:val="16"/>
                <w:szCs w:val="16"/>
                <w:b w:val="1"/>
                <w:bCs w:val="1"/>
                <w:color w:val="auto"/>
              </w:rPr>
              <w:t>Three Months Ended</w:t>
            </w: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620" w:type="dxa"/>
            <w:vAlign w:val="bottom"/>
            <w:gridSpan w:val="5"/>
          </w:tcPr>
          <w:p>
            <w:pPr>
              <w:ind w:left="460"/>
              <w:spacing w:after="0" w:line="158" w:lineRule="exact"/>
              <w:rPr>
                <w:sz w:val="20"/>
                <w:szCs w:val="20"/>
                <w:color w:val="auto"/>
              </w:rPr>
            </w:pPr>
            <w:r>
              <w:rPr>
                <w:rFonts w:ascii="Times New Roman" w:cs="Times New Roman" w:eastAsia="Times New Roman" w:hAnsi="Times New Roman"/>
                <w:sz w:val="16"/>
                <w:szCs w:val="16"/>
                <w:b w:val="1"/>
                <w:bCs w:val="1"/>
                <w:color w:val="auto"/>
              </w:rPr>
              <w:t>Nine Months Ended</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2"/>
        </w:trPr>
        <w:tc>
          <w:tcPr>
            <w:tcW w:w="8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2420" w:type="dxa"/>
            <w:vAlign w:val="bottom"/>
            <w:vMerge w:val="continue"/>
          </w:tcPr>
          <w:p>
            <w:pPr>
              <w:spacing w:after="0"/>
              <w:rPr>
                <w:sz w:val="18"/>
                <w:szCs w:val="18"/>
                <w:color w:val="auto"/>
              </w:rPr>
            </w:pPr>
          </w:p>
        </w:tc>
        <w:tc>
          <w:tcPr>
            <w:tcW w:w="8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0" w:type="dxa"/>
            <w:vAlign w:val="bottom"/>
            <w:tcBorders>
              <w:bottom w:val="single" w:sz="8" w:color="auto"/>
            </w:tcBorders>
            <w:gridSpan w:val="6"/>
          </w:tcPr>
          <w:p>
            <w:pPr>
              <w:jc w:val="center"/>
              <w:ind w:left="319"/>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40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gridSpan w:val="4"/>
          </w:tcPr>
          <w:p>
            <w:pPr>
              <w:ind w:left="66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920" w:type="dxa"/>
            <w:vAlign w:val="bottom"/>
            <w:tcBorders>
              <w:bottom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80" w:type="dxa"/>
            <w:vAlign w:val="bottom"/>
          </w:tcPr>
          <w:p>
            <w:pPr>
              <w:spacing w:after="0"/>
              <w:rPr>
                <w:sz w:val="18"/>
                <w:szCs w:val="18"/>
                <w:color w:val="auto"/>
              </w:rPr>
            </w:pPr>
          </w:p>
        </w:tc>
        <w:tc>
          <w:tcPr>
            <w:tcW w:w="404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1620" w:type="dxa"/>
            <w:vAlign w:val="bottom"/>
            <w:tcBorders>
              <w:bottom w:val="single" w:sz="8" w:color="CCEEFF"/>
            </w:tcBorders>
            <w:gridSpan w:val="2"/>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2025</w:t>
            </w:r>
          </w:p>
        </w:tc>
        <w:tc>
          <w:tcPr>
            <w:tcW w:w="40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2024</w:t>
            </w:r>
          </w:p>
        </w:tc>
        <w:tc>
          <w:tcPr>
            <w:tcW w:w="40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1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4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459"/>
              <w:spacing w:after="0"/>
              <w:rPr>
                <w:sz w:val="20"/>
                <w:szCs w:val="20"/>
                <w:color w:val="auto"/>
              </w:rPr>
            </w:pPr>
            <w:r>
              <w:rPr>
                <w:rFonts w:ascii="Times New Roman" w:cs="Times New Roman" w:eastAsia="Times New Roman" w:hAnsi="Times New Roman"/>
                <w:sz w:val="16"/>
                <w:szCs w:val="16"/>
                <w:b w:val="1"/>
                <w:bCs w:val="1"/>
                <w:color w:val="auto"/>
              </w:rPr>
              <w:t>2024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80" w:type="dxa"/>
            <w:vAlign w:val="bottom"/>
          </w:tcPr>
          <w:p>
            <w:pPr>
              <w:spacing w:after="0"/>
              <w:rPr>
                <w:sz w:val="18"/>
                <w:szCs w:val="18"/>
                <w:color w:val="auto"/>
              </w:rPr>
            </w:pPr>
          </w:p>
        </w:tc>
        <w:tc>
          <w:tcPr>
            <w:tcW w:w="404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Mortgage loan (losses) gains and other related fees</w:t>
            </w:r>
          </w:p>
        </w:tc>
        <w:tc>
          <w:tcPr>
            <w:tcW w:w="1620" w:type="dxa"/>
            <w:vAlign w:val="bottom"/>
            <w:gridSpan w:val="2"/>
            <w:shd w:val="clear" w:color="auto" w:fill="CCEEFF"/>
          </w:tcPr>
          <w:p>
            <w:pPr>
              <w:spacing w:after="0"/>
              <w:rPr>
                <w:sz w:val="18"/>
                <w:szCs w:val="18"/>
                <w:color w:val="auto"/>
              </w:rPr>
            </w:pPr>
          </w:p>
        </w:tc>
        <w:tc>
          <w:tcPr>
            <w:tcW w:w="760" w:type="dxa"/>
            <w:vAlign w:val="bottom"/>
            <w:shd w:val="clear" w:color="auto" w:fill="CCEEFF"/>
          </w:tcPr>
          <w:p>
            <w:pPr>
              <w:jc w:val="right"/>
              <w:ind w:right="579"/>
              <w:spacing w:after="0"/>
              <w:rPr>
                <w:sz w:val="20"/>
                <w:szCs w:val="20"/>
                <w:color w:val="auto"/>
              </w:rPr>
            </w:pPr>
            <w:r>
              <w:rPr>
                <w:rFonts w:ascii="Times New Roman" w:cs="Times New Roman" w:eastAsia="Times New Roman" w:hAnsi="Times New Roman"/>
                <w:sz w:val="16"/>
                <w:szCs w:val="16"/>
                <w:color w:val="auto"/>
                <w:w w:val="99"/>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7"/>
              </w:rPr>
              <w:t>(270)</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180</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(449)</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ind w:right="31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30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Changes in fair value were mostly offset by hedging activities. An immaterial portion of these amounts was attributable to changes in instrument-specific credit risk.</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Assets and Liabilities Measured at Fair Value on a Nonrecurring Basis</w:t>
      </w:r>
    </w:p>
    <w:p>
      <w:pPr>
        <w:spacing w:after="0" w:line="3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United may be required, from time to time, to measure certain assets at fair value on a nonrecurring basis. These adjustments to fair value usually result from the application of the lower of the amortized cost or fair value accounting or write-downs of individual assets due to impairment. The following table presents the fair value hierarchy and carrying value of assets that were still held as of September 30, 2025 and December 31, 2024, for which a nonrecurring fair value adjustment was recorded during the year-to-date periods presented.</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1700" w:type="dxa"/>
            <w:vAlign w:val="bottom"/>
          </w:tcPr>
          <w:p>
            <w:pPr>
              <w:spacing w:after="0"/>
              <w:rPr>
                <w:sz w:val="18"/>
                <w:szCs w:val="18"/>
                <w:color w:val="auto"/>
              </w:rPr>
            </w:pPr>
          </w:p>
        </w:tc>
        <w:tc>
          <w:tcPr>
            <w:tcW w:w="3480" w:type="dxa"/>
            <w:vAlign w:val="bottom"/>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Level 1</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Level 2</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Level 3</w:t>
            </w:r>
          </w:p>
        </w:tc>
        <w:tc>
          <w:tcPr>
            <w:tcW w:w="200" w:type="dxa"/>
            <w:vAlign w:val="bottom"/>
          </w:tcPr>
          <w:p>
            <w:pPr>
              <w:spacing w:after="0"/>
              <w:rPr>
                <w:sz w:val="18"/>
                <w:szCs w:val="18"/>
                <w:color w:val="auto"/>
              </w:rPr>
            </w:pPr>
          </w:p>
        </w:tc>
        <w:tc>
          <w:tcPr>
            <w:tcW w:w="2500" w:type="dxa"/>
            <w:vAlign w:val="bottom"/>
            <w:gridSpan w:val="2"/>
          </w:tcPr>
          <w:p>
            <w:pPr>
              <w:ind w:left="120"/>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213"/>
        </w:trPr>
        <w:tc>
          <w:tcPr>
            <w:tcW w:w="1700" w:type="dxa"/>
            <w:vAlign w:val="bottom"/>
            <w:tcBorders>
              <w:top w:val="single" w:sz="8" w:color="CCEEFF"/>
            </w:tcBorders>
            <w:shd w:val="clear" w:color="auto" w:fill="CCEEFF"/>
          </w:tcPr>
          <w:p>
            <w:pPr>
              <w:spacing w:after="0"/>
              <w:rPr>
                <w:sz w:val="18"/>
                <w:szCs w:val="18"/>
                <w:color w:val="auto"/>
              </w:rPr>
            </w:pPr>
          </w:p>
        </w:tc>
        <w:tc>
          <w:tcPr>
            <w:tcW w:w="3480" w:type="dxa"/>
            <w:vAlign w:val="bottom"/>
            <w:tcBorders>
              <w:top w:val="single" w:sz="8" w:color="CCEEFF"/>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September 30, 2025</w:t>
            </w:r>
          </w:p>
        </w:tc>
        <w:tc>
          <w:tcPr>
            <w:tcW w:w="10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1720" w:type="dxa"/>
            <w:vAlign w:val="bottom"/>
            <w:tcBorders>
              <w:top w:val="single" w:sz="8" w:color="CCEEFF"/>
            </w:tcBorders>
            <w:shd w:val="clear" w:color="auto" w:fill="CCEEFF"/>
          </w:tcPr>
          <w:p>
            <w:pPr>
              <w:spacing w:after="0"/>
              <w:rPr>
                <w:sz w:val="18"/>
                <w:szCs w:val="18"/>
                <w:color w:val="auto"/>
              </w:rPr>
            </w:pPr>
          </w:p>
        </w:tc>
      </w:tr>
      <w:tr>
        <w:trPr>
          <w:trHeight w:val="207"/>
        </w:trPr>
        <w:tc>
          <w:tcPr>
            <w:tcW w:w="1700" w:type="dxa"/>
            <w:vAlign w:val="bottom"/>
          </w:tcPr>
          <w:p>
            <w:pPr>
              <w:spacing w:after="0"/>
              <w:rPr>
                <w:sz w:val="17"/>
                <w:szCs w:val="17"/>
                <w:color w:val="auto"/>
              </w:rPr>
            </w:pPr>
          </w:p>
        </w:tc>
        <w:tc>
          <w:tcPr>
            <w:tcW w:w="34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Loans held for investment</w:t>
            </w:r>
          </w:p>
        </w:tc>
        <w:tc>
          <w:tcPr>
            <w:tcW w:w="860" w:type="dxa"/>
            <w:vAlign w:val="bottom"/>
            <w:gridSpan w:val="2"/>
          </w:tcPr>
          <w:p>
            <w:pPr>
              <w:jc w:val="right"/>
              <w:ind w:right="579"/>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Pr>
          <w:p>
            <w:pPr>
              <w:jc w:val="right"/>
              <w:ind w:right="539"/>
              <w:spacing w:after="0"/>
              <w:rPr>
                <w:sz w:val="20"/>
                <w:szCs w:val="20"/>
                <w:color w:val="auto"/>
              </w:rPr>
            </w:pPr>
            <w:r>
              <w:rPr>
                <w:rFonts w:ascii="Times New Roman" w:cs="Times New Roman" w:eastAsia="Times New Roman" w:hAnsi="Times New Roman"/>
                <w:sz w:val="16"/>
                <w:szCs w:val="16"/>
                <w:color w:val="auto"/>
                <w:w w:val="99"/>
              </w:rPr>
              <w:t>$</w:t>
            </w:r>
          </w:p>
        </w:tc>
        <w:tc>
          <w:tcPr>
            <w:tcW w:w="3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23,538</w:t>
            </w:r>
          </w:p>
        </w:tc>
        <w:tc>
          <w:tcPr>
            <w:tcW w:w="100" w:type="dxa"/>
            <w:vAlign w:val="bottom"/>
          </w:tcPr>
          <w:p>
            <w:pPr>
              <w:spacing w:after="0"/>
              <w:rPr>
                <w:sz w:val="17"/>
                <w:szCs w:val="17"/>
                <w:color w:val="auto"/>
              </w:rPr>
            </w:pP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23,538</w:t>
            </w:r>
          </w:p>
        </w:tc>
        <w:tc>
          <w:tcPr>
            <w:tcW w:w="1720" w:type="dxa"/>
            <w:vAlign w:val="bottom"/>
          </w:tcPr>
          <w:p>
            <w:pPr>
              <w:spacing w:after="0"/>
              <w:rPr>
                <w:sz w:val="17"/>
                <w:szCs w:val="17"/>
                <w:color w:val="auto"/>
              </w:rPr>
            </w:pPr>
          </w:p>
        </w:tc>
      </w:tr>
      <w:tr>
        <w:trPr>
          <w:trHeight w:val="219"/>
        </w:trPr>
        <w:tc>
          <w:tcPr>
            <w:tcW w:w="1700" w:type="dxa"/>
            <w:vAlign w:val="bottom"/>
            <w:shd w:val="clear" w:color="auto" w:fill="CCEEFF"/>
          </w:tcPr>
          <w:p>
            <w:pPr>
              <w:spacing w:after="0"/>
              <w:rPr>
                <w:sz w:val="19"/>
                <w:szCs w:val="19"/>
                <w:color w:val="auto"/>
              </w:rPr>
            </w:pPr>
          </w:p>
        </w:tc>
        <w:tc>
          <w:tcPr>
            <w:tcW w:w="3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720" w:type="dxa"/>
            <w:vAlign w:val="bottom"/>
            <w:shd w:val="clear" w:color="auto" w:fill="CCEEFF"/>
          </w:tcPr>
          <w:p>
            <w:pPr>
              <w:spacing w:after="0"/>
              <w:rPr>
                <w:sz w:val="19"/>
                <w:szCs w:val="19"/>
                <w:color w:val="auto"/>
              </w:rPr>
            </w:pPr>
          </w:p>
        </w:tc>
      </w:tr>
      <w:tr>
        <w:trPr>
          <w:trHeight w:val="214"/>
        </w:trPr>
        <w:tc>
          <w:tcPr>
            <w:tcW w:w="1700" w:type="dxa"/>
            <w:vAlign w:val="bottom"/>
            <w:tcBorders>
              <w:bottom w:val="single" w:sz="8" w:color="CCEEFF"/>
            </w:tcBorders>
          </w:tcPr>
          <w:p>
            <w:pPr>
              <w:spacing w:after="0"/>
              <w:rPr>
                <w:sz w:val="18"/>
                <w:szCs w:val="18"/>
                <w:color w:val="auto"/>
              </w:rPr>
            </w:pPr>
          </w:p>
        </w:tc>
        <w:tc>
          <w:tcPr>
            <w:tcW w:w="34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December 31, 2024</w:t>
            </w:r>
          </w:p>
        </w:tc>
        <w:tc>
          <w:tcPr>
            <w:tcW w:w="100" w:type="dxa"/>
            <w:vAlign w:val="bottom"/>
            <w:tcBorders>
              <w:bottom w:val="single" w:sz="8" w:color="CCEEFF"/>
            </w:tcBorders>
          </w:tcPr>
          <w:p>
            <w:pPr>
              <w:spacing w:after="0"/>
              <w:rPr>
                <w:sz w:val="18"/>
                <w:szCs w:val="18"/>
                <w:color w:val="auto"/>
              </w:rPr>
            </w:pPr>
          </w:p>
        </w:tc>
        <w:tc>
          <w:tcPr>
            <w:tcW w:w="760" w:type="dxa"/>
            <w:vAlign w:val="bottom"/>
            <w:tcBorders>
              <w:bottom w:val="single" w:sz="8" w:color="CCEEFF"/>
            </w:tcBorders>
          </w:tcPr>
          <w:p>
            <w:pPr>
              <w:spacing w:after="0"/>
              <w:rPr>
                <w:sz w:val="18"/>
                <w:szCs w:val="18"/>
                <w:color w:val="auto"/>
              </w:rPr>
            </w:pPr>
          </w:p>
        </w:tc>
        <w:tc>
          <w:tcPr>
            <w:tcW w:w="24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720" w:type="dxa"/>
            <w:vAlign w:val="bottom"/>
            <w:tcBorders>
              <w:bottom w:val="single" w:sz="8" w:color="CCEEFF"/>
            </w:tcBorders>
          </w:tcPr>
          <w:p>
            <w:pPr>
              <w:spacing w:after="0"/>
              <w:rPr>
                <w:sz w:val="18"/>
                <w:szCs w:val="18"/>
                <w:color w:val="auto"/>
              </w:rPr>
            </w:pPr>
          </w:p>
        </w:tc>
        <w:tc>
          <w:tcPr>
            <w:tcW w:w="24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8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780" w:type="dxa"/>
            <w:vAlign w:val="bottom"/>
            <w:tcBorders>
              <w:bottom w:val="single" w:sz="8" w:color="CCEEFF"/>
            </w:tcBorders>
          </w:tcPr>
          <w:p>
            <w:pPr>
              <w:spacing w:after="0"/>
              <w:rPr>
                <w:sz w:val="18"/>
                <w:szCs w:val="18"/>
                <w:color w:val="auto"/>
              </w:rPr>
            </w:pPr>
          </w:p>
        </w:tc>
        <w:tc>
          <w:tcPr>
            <w:tcW w:w="1720" w:type="dxa"/>
            <w:vAlign w:val="bottom"/>
            <w:tcBorders>
              <w:bottom w:val="single" w:sz="8" w:color="CCEEFF"/>
            </w:tcBorders>
          </w:tcPr>
          <w:p>
            <w:pPr>
              <w:spacing w:after="0"/>
              <w:rPr>
                <w:sz w:val="18"/>
                <w:szCs w:val="18"/>
                <w:color w:val="auto"/>
              </w:rPr>
            </w:pPr>
          </w:p>
        </w:tc>
      </w:tr>
      <w:tr>
        <w:trPr>
          <w:trHeight w:val="211"/>
        </w:trPr>
        <w:tc>
          <w:tcPr>
            <w:tcW w:w="1700" w:type="dxa"/>
            <w:vAlign w:val="bottom"/>
            <w:shd w:val="clear" w:color="auto" w:fill="CCEEFF"/>
          </w:tcPr>
          <w:p>
            <w:pPr>
              <w:spacing w:after="0"/>
              <w:rPr>
                <w:sz w:val="18"/>
                <w:szCs w:val="18"/>
                <w:color w:val="auto"/>
              </w:rPr>
            </w:pPr>
          </w:p>
        </w:tc>
        <w:tc>
          <w:tcPr>
            <w:tcW w:w="3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Loans held for investment</w:t>
            </w:r>
          </w:p>
        </w:tc>
        <w:tc>
          <w:tcPr>
            <w:tcW w:w="860" w:type="dxa"/>
            <w:vAlign w:val="bottom"/>
            <w:gridSpan w:val="2"/>
            <w:shd w:val="clear" w:color="auto" w:fill="CCEEFF"/>
          </w:tcPr>
          <w:p>
            <w:pPr>
              <w:jc w:val="right"/>
              <w:ind w:right="579"/>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shd w:val="clear" w:color="auto" w:fill="CCEEFF"/>
          </w:tcPr>
          <w:p>
            <w:pPr>
              <w:jc w:val="right"/>
              <w:ind w:right="539"/>
              <w:spacing w:after="0"/>
              <w:rPr>
                <w:sz w:val="20"/>
                <w:szCs w:val="20"/>
                <w:color w:val="auto"/>
              </w:rPr>
            </w:pPr>
            <w:r>
              <w:rPr>
                <w:rFonts w:ascii="Times New Roman" w:cs="Times New Roman" w:eastAsia="Times New Roman" w:hAnsi="Times New Roman"/>
                <w:sz w:val="16"/>
                <w:szCs w:val="16"/>
                <w:color w:val="auto"/>
                <w:w w:val="99"/>
              </w:rPr>
              <w:t>$</w:t>
            </w:r>
          </w:p>
        </w:tc>
        <w:tc>
          <w:tcPr>
            <w:tcW w:w="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27,313</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27,313</w:t>
            </w:r>
          </w:p>
        </w:tc>
        <w:tc>
          <w:tcPr>
            <w:tcW w:w="1720" w:type="dxa"/>
            <w:vAlign w:val="bottom"/>
            <w:shd w:val="clear" w:color="auto" w:fill="CCEEFF"/>
          </w:tcPr>
          <w:p>
            <w:pPr>
              <w:spacing w:after="0"/>
              <w:rPr>
                <w:sz w:val="18"/>
                <w:szCs w:val="18"/>
                <w:color w:val="auto"/>
              </w:rPr>
            </w:pPr>
          </w:p>
        </w:tc>
      </w:tr>
    </w:tbl>
    <w:p>
      <w:pPr>
        <w:spacing w:after="0" w:line="31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Loans held for investment that are reported above are generally impaired loans that have either been partially charged off or have specific reserves assigned to them.</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Assets and Liabilities Not Measured at Fair Value</w:t>
      </w:r>
    </w:p>
    <w:p>
      <w:pPr>
        <w:spacing w:after="0" w:line="3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following disclosure provides estimated fair values for financial instruments not carried at fair value on the Consolidated Balance Sheets. Fair value estimates are made at a specific point in time, based on relevant market information and information about the financial instrument. These estimates do not reflect the premium or discount on any particular financial instrument that could result from the sale of United’s entire holdings. All estimates are inherently subjective in nature. Changes in assumptions could significantly affect the estimates.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1" w:name="page32"/>
    <w:bookmarkEnd w:id="31"/>
    <w:p>
      <w:pPr>
        <w:jc w:val="center"/>
        <w:spacing w:after="0"/>
        <w:rPr>
          <w:sz w:val="20"/>
          <w:szCs w:val="20"/>
          <w:color w:val="auto"/>
        </w:rPr>
      </w:pPr>
      <w:r>
        <w:rPr>
          <w:rFonts w:ascii="Times New Roman" w:cs="Times New Roman" w:eastAsia="Times New Roman" w:hAnsi="Times New Roman"/>
          <w:sz w:val="18"/>
          <w:szCs w:val="18"/>
          <w:b w:val="1"/>
          <w:bCs w:val="1"/>
          <w:color w:val="auto"/>
        </w:rPr>
        <w:t>UNITED COMMUNITY BANKS,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(Unaudited)</w:t>
      </w:r>
    </w:p>
    <w:p>
      <w:pPr>
        <w:spacing w:after="0" w:line="200" w:lineRule="exact"/>
        <w:rPr>
          <w:sz w:val="20"/>
          <w:szCs w:val="20"/>
          <w:color w:val="auto"/>
        </w:rPr>
      </w:pPr>
    </w:p>
    <w:p>
      <w:pPr>
        <w:spacing w:after="0" w:line="320"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3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2660" w:type="dxa"/>
            <w:vAlign w:val="bottom"/>
            <w:tcBorders>
              <w:bottom w:val="single" w:sz="8" w:color="auto"/>
            </w:tcBorders>
            <w:gridSpan w:val="5"/>
          </w:tcPr>
          <w:p>
            <w:pPr>
              <w:ind w:left="580"/>
              <w:spacing w:after="0"/>
              <w:rPr>
                <w:sz w:val="20"/>
                <w:szCs w:val="20"/>
                <w:color w:val="auto"/>
              </w:rPr>
            </w:pPr>
            <w:r>
              <w:rPr>
                <w:rFonts w:ascii="Times New Roman" w:cs="Times New Roman" w:eastAsia="Times New Roman" w:hAnsi="Times New Roman"/>
                <w:sz w:val="16"/>
                <w:szCs w:val="16"/>
                <w:b w:val="1"/>
                <w:bCs w:val="1"/>
                <w:color w:val="auto"/>
              </w:rPr>
              <w:t>Fair Value Level</w:t>
            </w: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r>
      <w:tr>
        <w:trPr>
          <w:trHeight w:val="214"/>
        </w:trPr>
        <w:tc>
          <w:tcPr>
            <w:tcW w:w="3820" w:type="dxa"/>
            <w:vAlign w:val="bottom"/>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Carrying Amount</w:t>
            </w:r>
          </w:p>
        </w:tc>
        <w:tc>
          <w:tcPr>
            <w:tcW w:w="280" w:type="dxa"/>
            <w:vAlign w:val="bottom"/>
          </w:tcPr>
          <w:p>
            <w:pPr>
              <w:spacing w:after="0"/>
              <w:rPr>
                <w:sz w:val="18"/>
                <w:szCs w:val="18"/>
                <w:color w:val="auto"/>
              </w:rPr>
            </w:pPr>
          </w:p>
        </w:tc>
        <w:tc>
          <w:tcPr>
            <w:tcW w:w="1180" w:type="dxa"/>
            <w:vAlign w:val="bottom"/>
            <w:gridSpan w:val="2"/>
          </w:tcPr>
          <w:p>
            <w:pPr>
              <w:ind w:left="160"/>
              <w:spacing w:after="0"/>
              <w:rPr>
                <w:sz w:val="20"/>
                <w:szCs w:val="20"/>
                <w:color w:val="auto"/>
              </w:rPr>
            </w:pPr>
            <w:r>
              <w:rPr>
                <w:rFonts w:ascii="Times New Roman" w:cs="Times New Roman" w:eastAsia="Times New Roman" w:hAnsi="Times New Roman"/>
                <w:sz w:val="16"/>
                <w:szCs w:val="16"/>
                <w:b w:val="1"/>
                <w:bCs w:val="1"/>
                <w:color w:val="auto"/>
              </w:rPr>
              <w:t>Level 1</w:t>
            </w:r>
          </w:p>
        </w:tc>
        <w:tc>
          <w:tcPr>
            <w:tcW w:w="260" w:type="dxa"/>
            <w:vAlign w:val="bottom"/>
          </w:tcPr>
          <w:p>
            <w:pPr>
              <w:spacing w:after="0"/>
              <w:rPr>
                <w:sz w:val="18"/>
                <w:szCs w:val="18"/>
                <w:color w:val="auto"/>
              </w:rPr>
            </w:pPr>
          </w:p>
        </w:tc>
        <w:tc>
          <w:tcPr>
            <w:tcW w:w="1200" w:type="dxa"/>
            <w:vAlign w:val="bottom"/>
            <w:gridSpan w:val="2"/>
          </w:tcPr>
          <w:p>
            <w:pPr>
              <w:ind w:left="180"/>
              <w:spacing w:after="0"/>
              <w:rPr>
                <w:sz w:val="20"/>
                <w:szCs w:val="20"/>
                <w:color w:val="auto"/>
              </w:rPr>
            </w:pPr>
            <w:r>
              <w:rPr>
                <w:rFonts w:ascii="Times New Roman" w:cs="Times New Roman" w:eastAsia="Times New Roman" w:hAnsi="Times New Roman"/>
                <w:sz w:val="16"/>
                <w:szCs w:val="16"/>
                <w:b w:val="1"/>
                <w:bCs w:val="1"/>
                <w:color w:val="auto"/>
              </w:rPr>
              <w:t>Level 2</w:t>
            </w:r>
          </w:p>
        </w:tc>
        <w:tc>
          <w:tcPr>
            <w:tcW w:w="260" w:type="dxa"/>
            <w:vAlign w:val="bottom"/>
          </w:tcPr>
          <w:p>
            <w:pPr>
              <w:spacing w:after="0"/>
              <w:rPr>
                <w:sz w:val="18"/>
                <w:szCs w:val="18"/>
                <w:color w:val="auto"/>
              </w:rPr>
            </w:pPr>
          </w:p>
        </w:tc>
        <w:tc>
          <w:tcPr>
            <w:tcW w:w="1200" w:type="dxa"/>
            <w:vAlign w:val="bottom"/>
            <w:gridSpan w:val="2"/>
          </w:tcPr>
          <w:p>
            <w:pPr>
              <w:ind w:left="180"/>
              <w:spacing w:after="0"/>
              <w:rPr>
                <w:sz w:val="20"/>
                <w:szCs w:val="20"/>
                <w:color w:val="auto"/>
              </w:rPr>
            </w:pPr>
            <w:r>
              <w:rPr>
                <w:rFonts w:ascii="Times New Roman" w:cs="Times New Roman" w:eastAsia="Times New Roman" w:hAnsi="Times New Roman"/>
                <w:sz w:val="16"/>
                <w:szCs w:val="16"/>
                <w:b w:val="1"/>
                <w:bCs w:val="1"/>
                <w:color w:val="auto"/>
              </w:rPr>
              <w:t>Level 3</w:t>
            </w:r>
          </w:p>
        </w:tc>
        <w:tc>
          <w:tcPr>
            <w:tcW w:w="300" w:type="dxa"/>
            <w:vAlign w:val="bottom"/>
          </w:tcPr>
          <w:p>
            <w:pPr>
              <w:spacing w:after="0"/>
              <w:rPr>
                <w:sz w:val="18"/>
                <w:szCs w:val="18"/>
                <w:color w:val="auto"/>
              </w:rPr>
            </w:pPr>
          </w:p>
        </w:tc>
        <w:tc>
          <w:tcPr>
            <w:tcW w:w="1060" w:type="dxa"/>
            <w:vAlign w:val="bottom"/>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208"/>
        </w:trPr>
        <w:tc>
          <w:tcPr>
            <w:tcW w:w="3820" w:type="dxa"/>
            <w:vAlign w:val="bottom"/>
            <w:tcBorders>
              <w:top w:val="single" w:sz="8" w:color="CCEEFF"/>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September 30, 2025</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r>
      <w:tr>
        <w:trPr>
          <w:trHeight w:val="210"/>
        </w:trPr>
        <w:tc>
          <w:tcPr>
            <w:tcW w:w="38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Assets:</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19"/>
        </w:trPr>
        <w:tc>
          <w:tcPr>
            <w:tcW w:w="38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HTM debt securities</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2,274,099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18,880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1,918,173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1,937,053</w:t>
            </w:r>
          </w:p>
        </w:tc>
      </w:tr>
      <w:tr>
        <w:trPr>
          <w:trHeight w:val="213"/>
        </w:trPr>
        <w:tc>
          <w:tcPr>
            <w:tcW w:w="38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Loans and leases, net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18,959,003</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8"/>
                <w:szCs w:val="18"/>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18,399,997</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18,399,997</w:t>
            </w:r>
          </w:p>
        </w:tc>
      </w:tr>
      <w:tr>
        <w:trPr>
          <w:trHeight w:val="219"/>
        </w:trPr>
        <w:tc>
          <w:tcPr>
            <w:tcW w:w="38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r>
      <w:tr>
        <w:trPr>
          <w:trHeight w:val="213"/>
        </w:trPr>
        <w:tc>
          <w:tcPr>
            <w:tcW w:w="38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Liabilities:</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19"/>
        </w:trPr>
        <w:tc>
          <w:tcPr>
            <w:tcW w:w="38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Deposits</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24,020,618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24,014,897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24,014,897</w:t>
            </w:r>
          </w:p>
        </w:tc>
      </w:tr>
      <w:tr>
        <w:trPr>
          <w:trHeight w:val="213"/>
        </w:trPr>
        <w:tc>
          <w:tcPr>
            <w:tcW w:w="38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Long-term debt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155,251</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8"/>
                <w:szCs w:val="18"/>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152,675</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152,675</w:t>
            </w:r>
          </w:p>
        </w:tc>
      </w:tr>
      <w:tr>
        <w:trPr>
          <w:trHeight w:val="219"/>
        </w:trPr>
        <w:tc>
          <w:tcPr>
            <w:tcW w:w="38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r>
      <w:tr>
        <w:trPr>
          <w:trHeight w:val="214"/>
        </w:trPr>
        <w:tc>
          <w:tcPr>
            <w:tcW w:w="38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December 31, 2024</w:t>
            </w: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34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CCEEFF"/>
            </w:tcBorders>
          </w:tcPr>
          <w:p>
            <w:pPr>
              <w:spacing w:after="0"/>
              <w:rPr>
                <w:sz w:val="18"/>
                <w:szCs w:val="18"/>
                <w:color w:val="auto"/>
              </w:rPr>
            </w:pPr>
          </w:p>
        </w:tc>
        <w:tc>
          <w:tcPr>
            <w:tcW w:w="108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CCEEFF"/>
            </w:tcBorders>
          </w:tcPr>
          <w:p>
            <w:pPr>
              <w:spacing w:after="0"/>
              <w:rPr>
                <w:sz w:val="18"/>
                <w:szCs w:val="18"/>
                <w:color w:val="auto"/>
              </w:rPr>
            </w:pPr>
          </w:p>
        </w:tc>
        <w:tc>
          <w:tcPr>
            <w:tcW w:w="11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CCEEFF"/>
            </w:tcBorders>
          </w:tcPr>
          <w:p>
            <w:pPr>
              <w:spacing w:after="0"/>
              <w:rPr>
                <w:sz w:val="18"/>
                <w:szCs w:val="18"/>
                <w:color w:val="auto"/>
              </w:rPr>
            </w:pPr>
          </w:p>
        </w:tc>
        <w:tc>
          <w:tcPr>
            <w:tcW w:w="11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CCEEFF"/>
            </w:tcBorders>
          </w:tcPr>
          <w:p>
            <w:pPr>
              <w:spacing w:after="0"/>
              <w:rPr>
                <w:sz w:val="18"/>
                <w:szCs w:val="18"/>
                <w:color w:val="auto"/>
              </w:rPr>
            </w:pPr>
          </w:p>
        </w:tc>
        <w:tc>
          <w:tcPr>
            <w:tcW w:w="1060" w:type="dxa"/>
            <w:vAlign w:val="bottom"/>
            <w:tcBorders>
              <w:bottom w:val="single" w:sz="8" w:color="CCEEFF"/>
            </w:tcBorders>
          </w:tcPr>
          <w:p>
            <w:pPr>
              <w:spacing w:after="0"/>
              <w:rPr>
                <w:sz w:val="18"/>
                <w:szCs w:val="18"/>
                <w:color w:val="auto"/>
              </w:rPr>
            </w:pPr>
          </w:p>
        </w:tc>
      </w:tr>
      <w:tr>
        <w:trPr>
          <w:trHeight w:val="211"/>
        </w:trPr>
        <w:tc>
          <w:tcPr>
            <w:tcW w:w="3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Assets:</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r>
      <w:tr>
        <w:trPr>
          <w:trHeight w:val="213"/>
        </w:trPr>
        <w:tc>
          <w:tcPr>
            <w:tcW w:w="38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HTM debt securities</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2,368,107</w:t>
            </w:r>
          </w:p>
        </w:tc>
        <w:tc>
          <w:tcPr>
            <w:tcW w:w="100" w:type="dxa"/>
            <w:vAlign w:val="bottom"/>
          </w:tcPr>
          <w:p>
            <w:pPr>
              <w:spacing w:after="0"/>
              <w:rPr>
                <w:sz w:val="18"/>
                <w:szCs w:val="18"/>
                <w:color w:val="auto"/>
              </w:rPr>
            </w:pP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18,162</w:t>
            </w:r>
          </w:p>
        </w:tc>
        <w:tc>
          <w:tcPr>
            <w:tcW w:w="100" w:type="dxa"/>
            <w:vAlign w:val="bottom"/>
          </w:tcPr>
          <w:p>
            <w:pPr>
              <w:spacing w:after="0"/>
              <w:rPr>
                <w:sz w:val="18"/>
                <w:szCs w:val="18"/>
                <w:color w:val="auto"/>
              </w:rPr>
            </w:pP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1,925,964</w:t>
            </w:r>
          </w:p>
        </w:tc>
        <w:tc>
          <w:tcPr>
            <w:tcW w:w="100" w:type="dxa"/>
            <w:vAlign w:val="bottom"/>
          </w:tcPr>
          <w:p>
            <w:pPr>
              <w:spacing w:after="0"/>
              <w:rPr>
                <w:sz w:val="18"/>
                <w:szCs w:val="18"/>
                <w:color w:val="auto"/>
              </w:rPr>
            </w:pP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1,944,126</w:t>
            </w:r>
          </w:p>
        </w:tc>
      </w:tr>
      <w:tr>
        <w:trPr>
          <w:trHeight w:val="219"/>
        </w:trPr>
        <w:tc>
          <w:tcPr>
            <w:tcW w:w="38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Loans and leases, net</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17,968,982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17,325,630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17,325,630</w:t>
            </w:r>
          </w:p>
        </w:tc>
      </w:tr>
      <w:tr>
        <w:trPr>
          <w:trHeight w:val="216"/>
        </w:trPr>
        <w:tc>
          <w:tcPr>
            <w:tcW w:w="3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16"/>
        </w:trPr>
        <w:tc>
          <w:tcPr>
            <w:tcW w:w="3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Liabilities:</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r>
      <w:tr>
        <w:trPr>
          <w:trHeight w:val="213"/>
        </w:trPr>
        <w:tc>
          <w:tcPr>
            <w:tcW w:w="38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Deposits</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23,460,975</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23,453,487</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23,453,487</w:t>
            </w:r>
          </w:p>
        </w:tc>
      </w:tr>
      <w:tr>
        <w:trPr>
          <w:trHeight w:val="219"/>
        </w:trPr>
        <w:tc>
          <w:tcPr>
            <w:tcW w:w="38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Long-term debt</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254,152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248,657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248,657</w:t>
            </w:r>
          </w:p>
        </w:tc>
      </w:tr>
    </w:tbl>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 – Reclassifications Out of AOCI</w:t>
      </w:r>
    </w:p>
    <w:p>
      <w:pPr>
        <w:spacing w:after="0" w:line="256"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8"/>
          <w:szCs w:val="18"/>
          <w:color w:val="auto"/>
        </w:rPr>
        <w:t>The following table presents the details regarding amounts reclassified out of AOCI for the periods indicated. Amounts shown in parentheses reduce earnings.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3700" w:type="dxa"/>
            <w:vAlign w:val="bottom"/>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180" w:type="dxa"/>
            <w:vAlign w:val="bottom"/>
          </w:tcPr>
          <w:p>
            <w:pPr>
              <w:spacing w:after="0"/>
              <w:rPr>
                <w:sz w:val="18"/>
                <w:szCs w:val="18"/>
                <w:color w:val="auto"/>
              </w:rPr>
            </w:pPr>
          </w:p>
        </w:tc>
      </w:tr>
      <w:tr>
        <w:trPr>
          <w:trHeight w:val="168"/>
        </w:trPr>
        <w:tc>
          <w:tcPr>
            <w:tcW w:w="3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20" w:type="dxa"/>
            <w:vAlign w:val="bottom"/>
            <w:gridSpan w:val="5"/>
          </w:tcPr>
          <w:p>
            <w:pPr>
              <w:jc w:val="center"/>
              <w:ind w:right="320"/>
              <w:spacing w:after="0" w:line="168" w:lineRule="exact"/>
              <w:rPr>
                <w:sz w:val="20"/>
                <w:szCs w:val="20"/>
                <w:color w:val="auto"/>
              </w:rPr>
            </w:pPr>
            <w:r>
              <w:rPr>
                <w:rFonts w:ascii="Times New Roman" w:cs="Times New Roman" w:eastAsia="Times New Roman" w:hAnsi="Times New Roman"/>
                <w:sz w:val="16"/>
                <w:szCs w:val="16"/>
                <w:b w:val="1"/>
                <w:bCs w:val="1"/>
                <w:color w:val="auto"/>
              </w:rPr>
              <w:t>Three Months Ended</w:t>
            </w:r>
          </w:p>
        </w:tc>
        <w:tc>
          <w:tcPr>
            <w:tcW w:w="220" w:type="dxa"/>
            <w:vAlign w:val="bottom"/>
          </w:tcPr>
          <w:p>
            <w:pPr>
              <w:spacing w:after="0"/>
              <w:rPr>
                <w:sz w:val="14"/>
                <w:szCs w:val="14"/>
                <w:color w:val="auto"/>
              </w:rPr>
            </w:pPr>
          </w:p>
        </w:tc>
        <w:tc>
          <w:tcPr>
            <w:tcW w:w="1920" w:type="dxa"/>
            <w:vAlign w:val="bottom"/>
            <w:gridSpan w:val="4"/>
          </w:tcPr>
          <w:p>
            <w:pPr>
              <w:jc w:val="right"/>
              <w:ind w:right="299"/>
              <w:spacing w:after="0" w:line="168" w:lineRule="exact"/>
              <w:rPr>
                <w:sz w:val="20"/>
                <w:szCs w:val="20"/>
                <w:color w:val="auto"/>
              </w:rPr>
            </w:pPr>
            <w:r>
              <w:rPr>
                <w:rFonts w:ascii="Times New Roman" w:cs="Times New Roman" w:eastAsia="Times New Roman" w:hAnsi="Times New Roman"/>
                <w:sz w:val="16"/>
                <w:szCs w:val="16"/>
                <w:b w:val="1"/>
                <w:bCs w:val="1"/>
                <w:color w:val="auto"/>
              </w:rPr>
              <w:t>Nine Months Ended</w:t>
            </w:r>
          </w:p>
        </w:tc>
        <w:tc>
          <w:tcPr>
            <w:tcW w:w="3180" w:type="dxa"/>
            <w:vAlign w:val="bottom"/>
          </w:tcPr>
          <w:p>
            <w:pPr>
              <w:spacing w:after="0"/>
              <w:rPr>
                <w:sz w:val="14"/>
                <w:szCs w:val="14"/>
                <w:color w:val="auto"/>
              </w:rPr>
            </w:pPr>
          </w:p>
        </w:tc>
      </w:tr>
      <w:tr>
        <w:trPr>
          <w:trHeight w:val="216"/>
        </w:trPr>
        <w:tc>
          <w:tcPr>
            <w:tcW w:w="3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20" w:type="dxa"/>
            <w:vAlign w:val="bottom"/>
            <w:gridSpan w:val="5"/>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220" w:type="dxa"/>
            <w:vAlign w:val="bottom"/>
          </w:tcPr>
          <w:p>
            <w:pPr>
              <w:spacing w:after="0"/>
              <w:rPr>
                <w:sz w:val="18"/>
                <w:szCs w:val="18"/>
                <w:color w:val="auto"/>
              </w:rPr>
            </w:pPr>
          </w:p>
        </w:tc>
        <w:tc>
          <w:tcPr>
            <w:tcW w:w="1920" w:type="dxa"/>
            <w:vAlign w:val="bottom"/>
            <w:gridSpan w:val="4"/>
          </w:tcPr>
          <w:p>
            <w:pPr>
              <w:jc w:val="right"/>
              <w:ind w:right="499"/>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3180" w:type="dxa"/>
            <w:vAlign w:val="bottom"/>
          </w:tcPr>
          <w:p>
            <w:pPr>
              <w:ind w:left="140"/>
              <w:spacing w:after="0"/>
              <w:rPr>
                <w:sz w:val="20"/>
                <w:szCs w:val="20"/>
                <w:color w:val="auto"/>
              </w:rPr>
            </w:pPr>
            <w:r>
              <w:rPr>
                <w:rFonts w:ascii="Times New Roman" w:cs="Times New Roman" w:eastAsia="Times New Roman" w:hAnsi="Times New Roman"/>
                <w:sz w:val="16"/>
                <w:szCs w:val="16"/>
                <w:b w:val="1"/>
                <w:bCs w:val="1"/>
                <w:color w:val="auto"/>
              </w:rPr>
              <w:t>Affected Line Item in the Statement Where</w:t>
            </w:r>
          </w:p>
        </w:tc>
      </w:tr>
      <w:tr>
        <w:trPr>
          <w:trHeight w:val="208"/>
        </w:trPr>
        <w:tc>
          <w:tcPr>
            <w:tcW w:w="3700" w:type="dxa"/>
            <w:vAlign w:val="bottom"/>
            <w:tcBorders>
              <w:bottom w:val="single" w:sz="8" w:color="auto"/>
            </w:tcBorders>
          </w:tcPr>
          <w:p>
            <w:pPr>
              <w:ind w:left="660"/>
              <w:spacing w:after="0"/>
              <w:rPr>
                <w:sz w:val="20"/>
                <w:szCs w:val="20"/>
                <w:color w:val="auto"/>
              </w:rPr>
            </w:pPr>
            <w:r>
              <w:rPr>
                <w:rFonts w:ascii="Times New Roman" w:cs="Times New Roman" w:eastAsia="Times New Roman" w:hAnsi="Times New Roman"/>
                <w:sz w:val="16"/>
                <w:szCs w:val="16"/>
                <w:b w:val="1"/>
                <w:bCs w:val="1"/>
                <w:color w:val="auto"/>
              </w:rPr>
              <w:t>Details about AOCI Components</w:t>
            </w:r>
          </w:p>
        </w:tc>
        <w:tc>
          <w:tcPr>
            <w:tcW w:w="20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ind w:right="25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Borders>
              <w:top w:val="single" w:sz="8" w:color="auto"/>
              <w:bottom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ind w:right="27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bottom w:val="single" w:sz="8" w:color="auto"/>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ind w:right="27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Borders>
              <w:top w:val="single" w:sz="8" w:color="auto"/>
              <w:bottom w:val="single" w:sz="8" w:color="auto"/>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ind w:right="279"/>
              <w:spacing w:after="0"/>
              <w:rPr>
                <w:sz w:val="20"/>
                <w:szCs w:val="20"/>
                <w:color w:val="auto"/>
              </w:rPr>
            </w:pPr>
            <w:r>
              <w:rPr>
                <w:rFonts w:ascii="Times New Roman" w:cs="Times New Roman" w:eastAsia="Times New Roman" w:hAnsi="Times New Roman"/>
                <w:sz w:val="16"/>
                <w:szCs w:val="16"/>
                <w:b w:val="1"/>
                <w:bCs w:val="1"/>
                <w:color w:val="auto"/>
              </w:rPr>
              <w:t>2024</w:t>
            </w:r>
          </w:p>
        </w:tc>
        <w:tc>
          <w:tcPr>
            <w:tcW w:w="3180" w:type="dxa"/>
            <w:vAlign w:val="bottom"/>
            <w:tcBorders>
              <w:bottom w:val="single" w:sz="8" w:color="auto"/>
            </w:tcBorders>
          </w:tcPr>
          <w:p>
            <w:pPr>
              <w:ind w:left="800"/>
              <w:spacing w:after="0"/>
              <w:rPr>
                <w:sz w:val="20"/>
                <w:szCs w:val="20"/>
                <w:color w:val="auto"/>
              </w:rPr>
            </w:pPr>
            <w:r>
              <w:rPr>
                <w:rFonts w:ascii="Times New Roman" w:cs="Times New Roman" w:eastAsia="Times New Roman" w:hAnsi="Times New Roman"/>
                <w:sz w:val="16"/>
                <w:szCs w:val="16"/>
                <w:b w:val="1"/>
                <w:bCs w:val="1"/>
                <w:color w:val="auto"/>
              </w:rPr>
              <w:t>Net Income is Presented</w:t>
            </w:r>
          </w:p>
        </w:tc>
      </w:tr>
      <w:tr>
        <w:trPr>
          <w:trHeight w:val="211"/>
        </w:trPr>
        <w:tc>
          <w:tcPr>
            <w:tcW w:w="3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Realized net gains on AFS securities:</w:t>
            </w: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180" w:type="dxa"/>
            <w:vAlign w:val="bottom"/>
            <w:shd w:val="clear" w:color="auto" w:fill="CCEEFF"/>
          </w:tcPr>
          <w:p>
            <w:pPr>
              <w:spacing w:after="0"/>
              <w:rPr>
                <w:sz w:val="18"/>
                <w:szCs w:val="18"/>
                <w:color w:val="auto"/>
              </w:rPr>
            </w:pPr>
          </w:p>
        </w:tc>
      </w:tr>
      <w:tr>
        <w:trPr>
          <w:trHeight w:val="213"/>
        </w:trPr>
        <w:tc>
          <w:tcPr>
            <w:tcW w:w="370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w:t>
            </w:r>
          </w:p>
        </w:tc>
        <w:tc>
          <w:tcPr>
            <w:tcW w:w="10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341</w:t>
            </w:r>
          </w:p>
        </w:tc>
        <w:tc>
          <w:tcPr>
            <w:tcW w:w="100" w:type="dxa"/>
            <w:vAlign w:val="bottom"/>
          </w:tcPr>
          <w:p>
            <w:pPr>
              <w:spacing w:after="0"/>
              <w:rPr>
                <w:sz w:val="18"/>
                <w:szCs w:val="18"/>
                <w:color w:val="auto"/>
              </w:rPr>
            </w:pP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1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Securities gains, net</w:t>
            </w:r>
          </w:p>
        </w:tc>
      </w:tr>
      <w:tr>
        <w:trPr>
          <w:trHeight w:val="219"/>
        </w:trPr>
        <w:tc>
          <w:tcPr>
            <w:tcW w:w="37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1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Income tax expense</w:t>
            </w:r>
          </w:p>
        </w:tc>
      </w:tr>
      <w:tr>
        <w:trPr>
          <w:trHeight w:val="210"/>
        </w:trPr>
        <w:tc>
          <w:tcPr>
            <w:tcW w:w="370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w:t>
            </w:r>
          </w:p>
        </w:tc>
        <w:tc>
          <w:tcPr>
            <w:tcW w:w="10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258</w:t>
            </w:r>
          </w:p>
        </w:tc>
        <w:tc>
          <w:tcPr>
            <w:tcW w:w="10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1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Net of tax</w:t>
            </w:r>
          </w:p>
        </w:tc>
      </w:tr>
      <w:tr>
        <w:trPr>
          <w:trHeight w:val="20"/>
        </w:trPr>
        <w:tc>
          <w:tcPr>
            <w:tcW w:w="37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180" w:type="dxa"/>
            <w:vAlign w:val="bottom"/>
            <w:tcBorders>
              <w:bottom w:val="single" w:sz="8" w:color="CCEEFF"/>
            </w:tcBorders>
          </w:tcPr>
          <w:p>
            <w:pPr>
              <w:spacing w:after="0" w:line="20" w:lineRule="exact"/>
              <w:rPr>
                <w:sz w:val="1"/>
                <w:szCs w:val="1"/>
                <w:color w:val="auto"/>
              </w:rPr>
            </w:pPr>
          </w:p>
        </w:tc>
      </w:tr>
      <w:tr>
        <w:trPr>
          <w:trHeight w:val="183"/>
        </w:trPr>
        <w:tc>
          <w:tcPr>
            <w:tcW w:w="37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3180" w:type="dxa"/>
            <w:vAlign w:val="bottom"/>
            <w:shd w:val="clear" w:color="auto" w:fill="CCEEFF"/>
          </w:tcPr>
          <w:p>
            <w:pPr>
              <w:spacing w:after="0"/>
              <w:rPr>
                <w:sz w:val="15"/>
                <w:szCs w:val="15"/>
                <w:color w:val="auto"/>
              </w:rPr>
            </w:pPr>
          </w:p>
        </w:tc>
      </w:tr>
      <w:tr>
        <w:trPr>
          <w:trHeight w:val="213"/>
        </w:trPr>
        <w:tc>
          <w:tcPr>
            <w:tcW w:w="5040" w:type="dxa"/>
            <w:vAlign w:val="bottom"/>
            <w:gridSpan w:val="5"/>
          </w:tcPr>
          <w:p>
            <w:pPr>
              <w:ind w:left="20"/>
              <w:spacing w:after="0"/>
              <w:rPr>
                <w:sz w:val="20"/>
                <w:szCs w:val="20"/>
                <w:color w:val="auto"/>
              </w:rPr>
            </w:pPr>
            <w:r>
              <w:rPr>
                <w:rFonts w:ascii="Times New Roman" w:cs="Times New Roman" w:eastAsia="Times New Roman" w:hAnsi="Times New Roman"/>
                <w:sz w:val="16"/>
                <w:szCs w:val="16"/>
                <w:color w:val="auto"/>
              </w:rPr>
              <w:t>Amortization of unrealized losses on HTM securities transferred from AFS:</w:t>
            </w: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180" w:type="dxa"/>
            <w:vAlign w:val="bottom"/>
          </w:tcPr>
          <w:p>
            <w:pPr>
              <w:spacing w:after="0"/>
              <w:rPr>
                <w:sz w:val="18"/>
                <w:szCs w:val="18"/>
                <w:color w:val="auto"/>
              </w:rPr>
            </w:pPr>
          </w:p>
        </w:tc>
      </w:tr>
      <w:tr>
        <w:trPr>
          <w:trHeight w:val="219"/>
        </w:trPr>
        <w:tc>
          <w:tcPr>
            <w:tcW w:w="37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(1,993)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(2,235)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(5,918)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(6,772)</w:t>
            </w:r>
          </w:p>
        </w:tc>
        <w:tc>
          <w:tcPr>
            <w:tcW w:w="31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Investment securities interest revenue</w:t>
            </w:r>
          </w:p>
        </w:tc>
      </w:tr>
      <w:tr>
        <w:trPr>
          <w:trHeight w:val="213"/>
        </w:trPr>
        <w:tc>
          <w:tcPr>
            <w:tcW w:w="37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471</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528</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1,400</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1,723</w:t>
            </w:r>
          </w:p>
        </w:tc>
        <w:tc>
          <w:tcPr>
            <w:tcW w:w="318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6"/>
                <w:szCs w:val="16"/>
                <w:color w:val="auto"/>
              </w:rPr>
              <w:t>Income tax expense</w:t>
            </w:r>
          </w:p>
        </w:tc>
      </w:tr>
      <w:tr>
        <w:trPr>
          <w:trHeight w:val="237"/>
        </w:trPr>
        <w:tc>
          <w:tcPr>
            <w:tcW w:w="37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(1,522)</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(1,707)</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(4,518)</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(5,049)</w:t>
            </w:r>
          </w:p>
        </w:tc>
        <w:tc>
          <w:tcPr>
            <w:tcW w:w="318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Net of tax</w:t>
            </w:r>
          </w:p>
        </w:tc>
      </w:tr>
      <w:tr>
        <w:trPr>
          <w:trHeight w:val="20"/>
        </w:trPr>
        <w:tc>
          <w:tcPr>
            <w:tcW w:w="4700" w:type="dxa"/>
            <w:vAlign w:val="bottom"/>
            <w:tcBorders>
              <w:top w:val="single" w:sz="8" w:color="CCEEFF"/>
            </w:tcBorders>
            <w:gridSpan w:val="3"/>
          </w:tcPr>
          <w:p>
            <w:pPr>
              <w:spacing w:after="0" w:line="20" w:lineRule="exact"/>
              <w:rPr>
                <w:sz w:val="1"/>
                <w:szCs w:val="1"/>
                <w:color w:val="auto"/>
              </w:rPr>
            </w:pPr>
          </w:p>
        </w:tc>
        <w:tc>
          <w:tcPr>
            <w:tcW w:w="1120" w:type="dxa"/>
            <w:vAlign w:val="bottom"/>
            <w:tcBorders>
              <w:top w:val="single" w:sz="8" w:color="CCEEFF"/>
            </w:tcBorders>
            <w:gridSpan w:val="3"/>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tcPr>
          <w:p>
            <w:pPr>
              <w:spacing w:after="0" w:line="20" w:lineRule="exact"/>
              <w:rPr>
                <w:sz w:val="1"/>
                <w:szCs w:val="1"/>
                <w:color w:val="auto"/>
              </w:rPr>
            </w:pPr>
          </w:p>
        </w:tc>
        <w:tc>
          <w:tcPr>
            <w:tcW w:w="3180" w:type="dxa"/>
            <w:vAlign w:val="bottom"/>
            <w:tcBorders>
              <w:top w:val="single" w:sz="8" w:color="CCEEFF"/>
            </w:tcBorders>
          </w:tcPr>
          <w:p>
            <w:pPr>
              <w:spacing w:after="0" w:line="20" w:lineRule="exact"/>
              <w:rPr>
                <w:sz w:val="1"/>
                <w:szCs w:val="1"/>
                <w:color w:val="auto"/>
              </w:rPr>
            </w:pPr>
          </w:p>
        </w:tc>
      </w:tr>
      <w:tr>
        <w:trPr>
          <w:trHeight w:val="163"/>
        </w:trPr>
        <w:tc>
          <w:tcPr>
            <w:tcW w:w="370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80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78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80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800" w:type="dxa"/>
            <w:vAlign w:val="bottom"/>
            <w:tcBorders>
              <w:top w:val="single" w:sz="8" w:color="auto"/>
            </w:tcBorders>
          </w:tcPr>
          <w:p>
            <w:pPr>
              <w:spacing w:after="0"/>
              <w:rPr>
                <w:sz w:val="14"/>
                <w:szCs w:val="14"/>
                <w:color w:val="auto"/>
              </w:rPr>
            </w:pPr>
          </w:p>
        </w:tc>
        <w:tc>
          <w:tcPr>
            <w:tcW w:w="3180" w:type="dxa"/>
            <w:vAlign w:val="bottom"/>
          </w:tcPr>
          <w:p>
            <w:pPr>
              <w:spacing w:after="0"/>
              <w:rPr>
                <w:sz w:val="14"/>
                <w:szCs w:val="14"/>
                <w:color w:val="auto"/>
              </w:rPr>
            </w:pPr>
          </w:p>
        </w:tc>
      </w:tr>
      <w:tr>
        <w:trPr>
          <w:trHeight w:val="216"/>
        </w:trPr>
        <w:tc>
          <w:tcPr>
            <w:tcW w:w="5920" w:type="dxa"/>
            <w:vAlign w:val="bottom"/>
            <w:gridSpan w:val="7"/>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Reclassifications related to derivative instruments accounted for as cash flow hedges:</w:t>
            </w: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180" w:type="dxa"/>
            <w:vAlign w:val="bottom"/>
            <w:shd w:val="clear" w:color="auto" w:fill="CCEEFF"/>
          </w:tcPr>
          <w:p>
            <w:pPr>
              <w:spacing w:after="0"/>
              <w:rPr>
                <w:sz w:val="18"/>
                <w:szCs w:val="18"/>
                <w:color w:val="auto"/>
              </w:rPr>
            </w:pPr>
          </w:p>
        </w:tc>
      </w:tr>
      <w:tr>
        <w:trPr>
          <w:trHeight w:val="213"/>
        </w:trPr>
        <w:tc>
          <w:tcPr>
            <w:tcW w:w="37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Interest rate contracts</w:t>
            </w: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1,143</w:t>
            </w:r>
          </w:p>
        </w:tc>
        <w:tc>
          <w:tcPr>
            <w:tcW w:w="10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1,441</w:t>
            </w:r>
          </w:p>
        </w:tc>
        <w:tc>
          <w:tcPr>
            <w:tcW w:w="100" w:type="dxa"/>
            <w:vAlign w:val="bottom"/>
          </w:tcPr>
          <w:p>
            <w:pPr>
              <w:spacing w:after="0"/>
              <w:rPr>
                <w:sz w:val="18"/>
                <w:szCs w:val="18"/>
                <w:color w:val="auto"/>
              </w:rPr>
            </w:pP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3,393</w:t>
            </w:r>
          </w:p>
        </w:tc>
        <w:tc>
          <w:tcPr>
            <w:tcW w:w="100" w:type="dxa"/>
            <w:vAlign w:val="bottom"/>
          </w:tcPr>
          <w:p>
            <w:pPr>
              <w:spacing w:after="0"/>
              <w:rPr>
                <w:sz w:val="18"/>
                <w:szCs w:val="18"/>
                <w:color w:val="auto"/>
              </w:rPr>
            </w:pP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4,319</w:t>
            </w:r>
          </w:p>
        </w:tc>
        <w:tc>
          <w:tcPr>
            <w:tcW w:w="31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Long-term debt interest expense</w:t>
            </w:r>
          </w:p>
        </w:tc>
      </w:tr>
      <w:tr>
        <w:trPr>
          <w:trHeight w:val="216"/>
        </w:trPr>
        <w:tc>
          <w:tcPr>
            <w:tcW w:w="37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(289)</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(364)</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(857)</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(1,095)</w:t>
            </w:r>
          </w:p>
        </w:tc>
        <w:tc>
          <w:tcPr>
            <w:tcW w:w="31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Income tax expense</w:t>
            </w:r>
          </w:p>
        </w:tc>
      </w:tr>
      <w:tr>
        <w:trPr>
          <w:trHeight w:val="212"/>
        </w:trPr>
        <w:tc>
          <w:tcPr>
            <w:tcW w:w="3700" w:type="dxa"/>
            <w:vAlign w:val="bottom"/>
          </w:tcPr>
          <w:p>
            <w:pPr>
              <w:spacing w:after="0"/>
              <w:rPr>
                <w:sz w:val="18"/>
                <w:szCs w:val="18"/>
                <w:color w:val="auto"/>
              </w:rPr>
            </w:pPr>
          </w:p>
        </w:tc>
        <w:tc>
          <w:tcPr>
            <w:tcW w:w="2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854</w:t>
            </w:r>
          </w:p>
        </w:tc>
        <w:tc>
          <w:tcPr>
            <w:tcW w:w="100" w:type="dxa"/>
            <w:vAlign w:val="bottom"/>
          </w:tcPr>
          <w:p>
            <w:pPr>
              <w:spacing w:after="0"/>
              <w:rPr>
                <w:sz w:val="18"/>
                <w:szCs w:val="18"/>
                <w:color w:val="auto"/>
              </w:rPr>
            </w:pPr>
          </w:p>
        </w:tc>
        <w:tc>
          <w:tcPr>
            <w:tcW w:w="2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1,077</w:t>
            </w:r>
          </w:p>
        </w:tc>
        <w:tc>
          <w:tcPr>
            <w:tcW w:w="100" w:type="dxa"/>
            <w:vAlign w:val="bottom"/>
          </w:tcPr>
          <w:p>
            <w:pPr>
              <w:spacing w:after="0"/>
              <w:rPr>
                <w:sz w:val="18"/>
                <w:szCs w:val="18"/>
                <w:color w:val="auto"/>
              </w:rPr>
            </w:pPr>
          </w:p>
        </w:tc>
        <w:tc>
          <w:tcPr>
            <w:tcW w:w="2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2,536</w:t>
            </w:r>
          </w:p>
        </w:tc>
        <w:tc>
          <w:tcPr>
            <w:tcW w:w="100" w:type="dxa"/>
            <w:vAlign w:val="bottom"/>
          </w:tcPr>
          <w:p>
            <w:pPr>
              <w:spacing w:after="0"/>
              <w:rPr>
                <w:sz w:val="18"/>
                <w:szCs w:val="18"/>
                <w:color w:val="auto"/>
              </w:rPr>
            </w:pPr>
          </w:p>
        </w:tc>
        <w:tc>
          <w:tcPr>
            <w:tcW w:w="2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3,224</w:t>
            </w:r>
          </w:p>
        </w:tc>
        <w:tc>
          <w:tcPr>
            <w:tcW w:w="31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Net of tax</w:t>
            </w:r>
          </w:p>
        </w:tc>
      </w:tr>
      <w:tr>
        <w:trPr>
          <w:trHeight w:val="20"/>
        </w:trPr>
        <w:tc>
          <w:tcPr>
            <w:tcW w:w="37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180" w:type="dxa"/>
            <w:vAlign w:val="bottom"/>
            <w:tcBorders>
              <w:bottom w:val="single" w:sz="8" w:color="CCEEFF"/>
            </w:tcBorders>
          </w:tcPr>
          <w:p>
            <w:pPr>
              <w:spacing w:after="0" w:line="20" w:lineRule="exact"/>
              <w:rPr>
                <w:sz w:val="1"/>
                <w:szCs w:val="1"/>
                <w:color w:val="auto"/>
              </w:rPr>
            </w:pPr>
          </w:p>
        </w:tc>
      </w:tr>
      <w:tr>
        <w:trPr>
          <w:trHeight w:val="183"/>
        </w:trPr>
        <w:tc>
          <w:tcPr>
            <w:tcW w:w="37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3180" w:type="dxa"/>
            <w:vAlign w:val="bottom"/>
            <w:shd w:val="clear" w:color="auto" w:fill="CCEEFF"/>
          </w:tcPr>
          <w:p>
            <w:pPr>
              <w:spacing w:after="0"/>
              <w:rPr>
                <w:sz w:val="15"/>
                <w:szCs w:val="15"/>
                <w:color w:val="auto"/>
              </w:rPr>
            </w:pPr>
          </w:p>
        </w:tc>
      </w:tr>
      <w:tr>
        <w:trPr>
          <w:trHeight w:val="213"/>
        </w:trPr>
        <w:tc>
          <w:tcPr>
            <w:tcW w:w="5920" w:type="dxa"/>
            <w:vAlign w:val="bottom"/>
            <w:gridSpan w:val="7"/>
          </w:tcPr>
          <w:p>
            <w:pPr>
              <w:ind w:left="20"/>
              <w:spacing w:after="0"/>
              <w:rPr>
                <w:sz w:val="20"/>
                <w:szCs w:val="20"/>
                <w:color w:val="auto"/>
              </w:rPr>
            </w:pPr>
            <w:r>
              <w:rPr>
                <w:rFonts w:ascii="Times New Roman" w:cs="Times New Roman" w:eastAsia="Times New Roman" w:hAnsi="Times New Roman"/>
                <w:sz w:val="16"/>
                <w:szCs w:val="16"/>
                <w:color w:val="auto"/>
              </w:rPr>
              <w:t>Amortization of defined benefit pension plan net periodic pension cost components:</w:t>
            </w: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180" w:type="dxa"/>
            <w:vAlign w:val="bottom"/>
          </w:tcPr>
          <w:p>
            <w:pPr>
              <w:spacing w:after="0"/>
              <w:rPr>
                <w:sz w:val="18"/>
                <w:szCs w:val="18"/>
                <w:color w:val="auto"/>
              </w:rPr>
            </w:pPr>
          </w:p>
        </w:tc>
      </w:tr>
      <w:tr>
        <w:trPr>
          <w:trHeight w:val="219"/>
        </w:trPr>
        <w:tc>
          <w:tcPr>
            <w:tcW w:w="37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Prior service cost</w:t>
            </w: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(134)</w:t>
            </w:r>
          </w:p>
        </w:tc>
        <w:tc>
          <w:tcPr>
            <w:tcW w:w="31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Salaries and employee benefits expense</w:t>
            </w:r>
          </w:p>
        </w:tc>
      </w:tr>
      <w:tr>
        <w:trPr>
          <w:trHeight w:val="213"/>
        </w:trPr>
        <w:tc>
          <w:tcPr>
            <w:tcW w:w="37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34</w:t>
            </w:r>
          </w:p>
        </w:tc>
        <w:tc>
          <w:tcPr>
            <w:tcW w:w="318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6"/>
                <w:szCs w:val="16"/>
                <w:color w:val="auto"/>
              </w:rPr>
              <w:t>Income tax expense</w:t>
            </w:r>
          </w:p>
        </w:tc>
      </w:tr>
      <w:tr>
        <w:trPr>
          <w:trHeight w:val="237"/>
        </w:trPr>
        <w:tc>
          <w:tcPr>
            <w:tcW w:w="37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w:t>
            </w:r>
          </w:p>
        </w:tc>
        <w:tc>
          <w:tcPr>
            <w:tcW w:w="318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Net of tax</w:t>
            </w:r>
          </w:p>
        </w:tc>
      </w:tr>
      <w:tr>
        <w:trPr>
          <w:trHeight w:val="20"/>
        </w:trPr>
        <w:tc>
          <w:tcPr>
            <w:tcW w:w="37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3180" w:type="dxa"/>
            <w:vAlign w:val="bottom"/>
            <w:tcBorders>
              <w:top w:val="single" w:sz="8" w:color="CCEEFF"/>
            </w:tcBorders>
          </w:tcPr>
          <w:p>
            <w:pPr>
              <w:spacing w:after="0" w:line="20" w:lineRule="exact"/>
              <w:rPr>
                <w:sz w:val="1"/>
                <w:szCs w:val="1"/>
                <w:color w:val="auto"/>
              </w:rPr>
            </w:pPr>
          </w:p>
        </w:tc>
      </w:tr>
      <w:tr>
        <w:trPr>
          <w:trHeight w:val="163"/>
        </w:trPr>
        <w:tc>
          <w:tcPr>
            <w:tcW w:w="3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180" w:type="dxa"/>
            <w:vAlign w:val="bottom"/>
          </w:tcPr>
          <w:p>
            <w:pPr>
              <w:spacing w:after="0"/>
              <w:rPr>
                <w:sz w:val="14"/>
                <w:szCs w:val="14"/>
                <w:color w:val="auto"/>
              </w:rPr>
            </w:pPr>
          </w:p>
        </w:tc>
      </w:tr>
      <w:tr>
        <w:trPr>
          <w:trHeight w:val="241"/>
        </w:trPr>
        <w:tc>
          <w:tcPr>
            <w:tcW w:w="3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reclassifications for the period</w:t>
            </w: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(619)</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(663)</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(1,686)</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(1,925)</w:t>
            </w:r>
          </w:p>
        </w:tc>
        <w:tc>
          <w:tcPr>
            <w:tcW w:w="318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Net of tax</w:t>
            </w:r>
          </w:p>
        </w:tc>
      </w:tr>
      <w:tr>
        <w:trPr>
          <w:trHeight w:val="20"/>
        </w:trPr>
        <w:tc>
          <w:tcPr>
            <w:tcW w:w="37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3180" w:type="dxa"/>
            <w:vAlign w:val="bottom"/>
            <w:tcBorders>
              <w:top w:val="single" w:sz="8" w:color="CCEEFF"/>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2" w:name="page33"/>
    <w:bookmarkEnd w:id="32"/>
    <w:p>
      <w:pPr>
        <w:jc w:val="center"/>
        <w:spacing w:after="0"/>
        <w:rPr>
          <w:sz w:val="20"/>
          <w:szCs w:val="20"/>
          <w:color w:val="auto"/>
        </w:rPr>
      </w:pPr>
      <w:r>
        <w:rPr>
          <w:rFonts w:ascii="Times New Roman" w:cs="Times New Roman" w:eastAsia="Times New Roman" w:hAnsi="Times New Roman"/>
          <w:sz w:val="18"/>
          <w:szCs w:val="18"/>
          <w:b w:val="1"/>
          <w:bCs w:val="1"/>
          <w:color w:val="auto"/>
        </w:rPr>
        <w:t>UNITED COMMUNITY BANKS,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(Unaudited)</w:t>
      </w: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 – Earnings Per Share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the computation of basic and diluted earnings per share for the periods indicated.</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2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720" w:type="dxa"/>
            <w:vAlign w:val="bottom"/>
            <w:gridSpan w:val="5"/>
          </w:tcPr>
          <w:p>
            <w:pPr>
              <w:ind w:left="42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320" w:type="dxa"/>
            <w:vAlign w:val="bottom"/>
          </w:tcPr>
          <w:p>
            <w:pPr>
              <w:spacing w:after="0"/>
              <w:rPr>
                <w:sz w:val="16"/>
                <w:szCs w:val="16"/>
                <w:color w:val="auto"/>
              </w:rPr>
            </w:pPr>
          </w:p>
        </w:tc>
        <w:tc>
          <w:tcPr>
            <w:tcW w:w="2640" w:type="dxa"/>
            <w:vAlign w:val="bottom"/>
            <w:gridSpan w:val="4"/>
          </w:tcPr>
          <w:p>
            <w:pPr>
              <w:jc w:val="right"/>
              <w:ind w:right="699"/>
              <w:spacing w:after="0"/>
              <w:rPr>
                <w:sz w:val="20"/>
                <w:szCs w:val="20"/>
                <w:color w:val="auto"/>
              </w:rPr>
            </w:pPr>
            <w:r>
              <w:rPr>
                <w:rFonts w:ascii="Times New Roman" w:cs="Times New Roman" w:eastAsia="Times New Roman" w:hAnsi="Times New Roman"/>
                <w:sz w:val="16"/>
                <w:szCs w:val="16"/>
                <w:b w:val="1"/>
                <w:bCs w:val="1"/>
                <w:color w:val="auto"/>
              </w:rPr>
              <w:t>Nine Months Ended</w:t>
            </w:r>
          </w:p>
        </w:tc>
      </w:tr>
      <w:tr>
        <w:trPr>
          <w:trHeight w:val="212"/>
        </w:trPr>
        <w:tc>
          <w:tcPr>
            <w:tcW w:w="524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9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940" w:type="dxa"/>
            <w:vAlign w:val="bottom"/>
            <w:tcBorders>
              <w:bottom w:val="single" w:sz="8" w:color="auto"/>
            </w:tcBorders>
          </w:tcPr>
          <w:p>
            <w:pPr>
              <w:spacing w:after="0"/>
              <w:rPr>
                <w:sz w:val="18"/>
                <w:szCs w:val="18"/>
                <w:color w:val="auto"/>
              </w:rPr>
            </w:pPr>
          </w:p>
        </w:tc>
      </w:tr>
      <w:tr>
        <w:trPr>
          <w:trHeight w:val="211"/>
        </w:trPr>
        <w:tc>
          <w:tcPr>
            <w:tcW w:w="5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 except per share data)</w:t>
            </w:r>
          </w:p>
        </w:tc>
        <w:tc>
          <w:tcPr>
            <w:tcW w:w="3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20" w:type="dxa"/>
            <w:vAlign w:val="bottom"/>
            <w:tcBorders>
              <w:bottom w:val="single" w:sz="8" w:color="CCEEFF"/>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5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Borders>
              <w:bottom w:val="single" w:sz="8" w:color="CCEEFF"/>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211"/>
        </w:trPr>
        <w:tc>
          <w:tcPr>
            <w:tcW w:w="5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3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91,494</w:t>
            </w: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ind w:right="31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47,347</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241,640</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ind w:right="31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176,593</w:t>
            </w:r>
          </w:p>
        </w:tc>
      </w:tr>
      <w:tr>
        <w:trPr>
          <w:trHeight w:val="213"/>
        </w:trPr>
        <w:tc>
          <w:tcPr>
            <w:tcW w:w="52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Dividends on preferred stock</w:t>
            </w: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(1,573)</w:t>
            </w: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(1,573)</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(4,719)</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(4,719)</w:t>
            </w:r>
          </w:p>
        </w:tc>
      </w:tr>
      <w:tr>
        <w:trPr>
          <w:trHeight w:val="219"/>
        </w:trPr>
        <w:tc>
          <w:tcPr>
            <w:tcW w:w="5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Deemed dividend on redemption of preferred stock</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(3,275)</w:t>
            </w: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(3,275)</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5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Earnings allocated to participating securities</w:t>
            </w:r>
          </w:p>
        </w:tc>
        <w:tc>
          <w:tcPr>
            <w:tcW w:w="3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(507)</w:t>
            </w:r>
          </w:p>
        </w:tc>
        <w:tc>
          <w:tcPr>
            <w:tcW w:w="120" w:type="dxa"/>
            <w:vAlign w:val="bottom"/>
            <w:tcBorders>
              <w:bottom w:val="single" w:sz="8" w:color="CCEEFF"/>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(272)</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(1,356)</w:t>
            </w:r>
          </w:p>
        </w:tc>
        <w:tc>
          <w:tcPr>
            <w:tcW w:w="100" w:type="dxa"/>
            <w:vAlign w:val="bottom"/>
            <w:tcBorders>
              <w:bottom w:val="single" w:sz="8" w:color="CCEEFF"/>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(988)</w:t>
            </w:r>
          </w:p>
        </w:tc>
      </w:tr>
      <w:tr>
        <w:trPr>
          <w:trHeight w:val="237"/>
        </w:trPr>
        <w:tc>
          <w:tcPr>
            <w:tcW w:w="5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 available to common shareholders</w:t>
            </w: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86,139</w:t>
            </w:r>
          </w:p>
        </w:tc>
        <w:tc>
          <w:tcPr>
            <w:tcW w:w="12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auto"/>
            </w:tcBorders>
            <w:shd w:val="clear" w:color="auto" w:fill="CCEEFF"/>
          </w:tcPr>
          <w:p>
            <w:pPr>
              <w:jc w:val="right"/>
              <w:ind w:right="31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45,502</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232,290</w:t>
            </w:r>
          </w:p>
        </w:tc>
        <w:tc>
          <w:tcPr>
            <w:tcW w:w="10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auto"/>
            </w:tcBorders>
            <w:shd w:val="clear" w:color="auto" w:fill="CCEEFF"/>
          </w:tcPr>
          <w:p>
            <w:pPr>
              <w:jc w:val="right"/>
              <w:ind w:right="31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170,886</w:t>
            </w:r>
          </w:p>
        </w:tc>
      </w:tr>
      <w:tr>
        <w:trPr>
          <w:trHeight w:val="20"/>
        </w:trPr>
        <w:tc>
          <w:tcPr>
            <w:tcW w:w="52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r>
      <w:tr>
        <w:trPr>
          <w:trHeight w:val="163"/>
        </w:trPr>
        <w:tc>
          <w:tcPr>
            <w:tcW w:w="52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216"/>
        </w:trPr>
        <w:tc>
          <w:tcPr>
            <w:tcW w:w="5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Weighted average shares outstanding:</w:t>
            </w: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r>
      <w:tr>
        <w:trPr>
          <w:trHeight w:val="213"/>
        </w:trPr>
        <w:tc>
          <w:tcPr>
            <w:tcW w:w="52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Basic</w:t>
            </w: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122,116</w:t>
            </w: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119,818</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121,186</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119,736</w:t>
            </w:r>
          </w:p>
        </w:tc>
      </w:tr>
      <w:tr>
        <w:trPr>
          <w:trHeight w:val="219"/>
        </w:trPr>
        <w:tc>
          <w:tcPr>
            <w:tcW w:w="5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Effect of dilutive securities:</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r>
      <w:tr>
        <w:trPr>
          <w:trHeight w:val="213"/>
        </w:trPr>
        <w:tc>
          <w:tcPr>
            <w:tcW w:w="52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Stock options</w:t>
            </w: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w:t>
            </w: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84</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w:t>
            </w:r>
          </w:p>
        </w:tc>
      </w:tr>
      <w:tr>
        <w:trPr>
          <w:trHeight w:val="216"/>
        </w:trPr>
        <w:tc>
          <w:tcPr>
            <w:tcW w:w="52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Restricted stock units</w:t>
            </w:r>
          </w:p>
        </w:tc>
        <w:tc>
          <w:tcPr>
            <w:tcW w:w="32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w:t>
            </w:r>
          </w:p>
        </w:tc>
        <w:tc>
          <w:tcPr>
            <w:tcW w:w="120" w:type="dxa"/>
            <w:vAlign w:val="bottom"/>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w:t>
            </w:r>
          </w:p>
        </w:tc>
        <w:tc>
          <w:tcPr>
            <w:tcW w:w="100" w:type="dxa"/>
            <w:vAlign w:val="bottom"/>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w:t>
            </w:r>
          </w:p>
        </w:tc>
      </w:tr>
      <w:tr>
        <w:trPr>
          <w:trHeight w:val="212"/>
        </w:trPr>
        <w:tc>
          <w:tcPr>
            <w:tcW w:w="52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Diluted</w:t>
            </w:r>
          </w:p>
        </w:tc>
        <w:tc>
          <w:tcPr>
            <w:tcW w:w="3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122,252</w:t>
            </w:r>
          </w:p>
        </w:tc>
        <w:tc>
          <w:tcPr>
            <w:tcW w:w="120" w:type="dxa"/>
            <w:vAlign w:val="bottom"/>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119,952</w:t>
            </w: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121,303</w:t>
            </w:r>
          </w:p>
        </w:tc>
        <w:tc>
          <w:tcPr>
            <w:tcW w:w="100" w:type="dxa"/>
            <w:vAlign w:val="bottom"/>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119,827</w:t>
            </w:r>
          </w:p>
        </w:tc>
      </w:tr>
      <w:tr>
        <w:trPr>
          <w:trHeight w:val="20"/>
        </w:trPr>
        <w:tc>
          <w:tcPr>
            <w:tcW w:w="524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r>
        <w:trPr>
          <w:trHeight w:val="183"/>
        </w:trPr>
        <w:tc>
          <w:tcPr>
            <w:tcW w:w="524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r>
      <w:tr>
        <w:trPr>
          <w:trHeight w:val="214"/>
        </w:trPr>
        <w:tc>
          <w:tcPr>
            <w:tcW w:w="52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Net income per common share:</w:t>
            </w:r>
          </w:p>
        </w:tc>
        <w:tc>
          <w:tcPr>
            <w:tcW w:w="3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43"/>
        </w:trPr>
        <w:tc>
          <w:tcPr>
            <w:tcW w:w="52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Basic</w:t>
            </w: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0.71</w:t>
            </w:r>
          </w:p>
        </w:tc>
        <w:tc>
          <w:tcPr>
            <w:tcW w:w="12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auto"/>
            </w:tcBorders>
            <w:shd w:val="clear" w:color="auto" w:fill="CCEEFF"/>
          </w:tcPr>
          <w:p>
            <w:pPr>
              <w:jc w:val="right"/>
              <w:ind w:right="31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0.38</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1.92</w:t>
            </w:r>
          </w:p>
        </w:tc>
        <w:tc>
          <w:tcPr>
            <w:tcW w:w="10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auto"/>
            </w:tcBorders>
            <w:shd w:val="clear" w:color="auto" w:fill="CCEEFF"/>
          </w:tcPr>
          <w:p>
            <w:pPr>
              <w:jc w:val="right"/>
              <w:ind w:right="31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1.43</w:t>
            </w:r>
          </w:p>
        </w:tc>
      </w:tr>
      <w:tr>
        <w:trPr>
          <w:trHeight w:val="20"/>
        </w:trPr>
        <w:tc>
          <w:tcPr>
            <w:tcW w:w="52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r>
      <w:tr>
        <w:trPr>
          <w:trHeight w:val="190"/>
        </w:trPr>
        <w:tc>
          <w:tcPr>
            <w:tcW w:w="52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Diluted</w:t>
            </w:r>
          </w:p>
        </w:tc>
        <w:tc>
          <w:tcPr>
            <w:tcW w:w="32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0.70</w:t>
            </w:r>
          </w:p>
        </w:tc>
        <w:tc>
          <w:tcPr>
            <w:tcW w:w="120" w:type="dxa"/>
            <w:vAlign w:val="bottom"/>
          </w:tcPr>
          <w:p>
            <w:pPr>
              <w:spacing w:after="0"/>
              <w:rPr>
                <w:sz w:val="16"/>
                <w:szCs w:val="16"/>
                <w:color w:val="auto"/>
              </w:rPr>
            </w:pPr>
          </w:p>
        </w:tc>
        <w:tc>
          <w:tcPr>
            <w:tcW w:w="500" w:type="dxa"/>
            <w:vAlign w:val="bottom"/>
            <w:tcBorders>
              <w:bottom w:val="single" w:sz="8" w:color="auto"/>
            </w:tcBorders>
          </w:tcPr>
          <w:p>
            <w:pPr>
              <w:jc w:val="right"/>
              <w:ind w:right="31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0.38</w:t>
            </w:r>
          </w:p>
        </w:tc>
        <w:tc>
          <w:tcPr>
            <w:tcW w:w="100" w:type="dxa"/>
            <w:vAlign w:val="bottom"/>
          </w:tcPr>
          <w:p>
            <w:pPr>
              <w:spacing w:after="0"/>
              <w:rPr>
                <w:sz w:val="16"/>
                <w:szCs w:val="16"/>
                <w:color w:val="auto"/>
              </w:rPr>
            </w:pPr>
          </w:p>
        </w:tc>
        <w:tc>
          <w:tcPr>
            <w:tcW w:w="32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1.91</w:t>
            </w:r>
          </w:p>
        </w:tc>
        <w:tc>
          <w:tcPr>
            <w:tcW w:w="100" w:type="dxa"/>
            <w:vAlign w:val="bottom"/>
          </w:tcPr>
          <w:p>
            <w:pPr>
              <w:spacing w:after="0"/>
              <w:rPr>
                <w:sz w:val="16"/>
                <w:szCs w:val="16"/>
                <w:color w:val="auto"/>
              </w:rPr>
            </w:pPr>
          </w:p>
        </w:tc>
        <w:tc>
          <w:tcPr>
            <w:tcW w:w="500" w:type="dxa"/>
            <w:vAlign w:val="bottom"/>
            <w:tcBorders>
              <w:bottom w:val="single" w:sz="8" w:color="auto"/>
            </w:tcBorders>
          </w:tcPr>
          <w:p>
            <w:pPr>
              <w:jc w:val="right"/>
              <w:ind w:right="31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1.43</w:t>
            </w:r>
          </w:p>
        </w:tc>
      </w:tr>
      <w:tr>
        <w:trPr>
          <w:trHeight w:val="21"/>
        </w:trPr>
        <w:tc>
          <w:tcPr>
            <w:tcW w:w="52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27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No potentially dilutive shares of common stock issuable upon exercise of stock options were excluded from the computation of earnings per share because of their antidilutive effect, except for 1,968 shares for nine months ended September 30, 2024.</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 – Regulatory Matters</w:t>
      </w:r>
    </w:p>
    <w:p>
      <w:pPr>
        <w:spacing w:after="0" w:line="2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of September 30, 2025, United and the Bank were categorized as well-capitalized under the regulatory requirements in effect at that time. To be categorized as well-capitalized, United and the Bank must have exceeded the well-capitalized guideline ratios in effect at the time, as set forth in the table below, and have met certain other requirements. Management believes that United and the Bank exceeded all well-capitalized requirements at September 30, 2025, and there have been no conditions or events since quarter-end that would change the status of well-capitalized.</w:t>
      </w:r>
    </w:p>
    <w:p>
      <w:pPr>
        <w:spacing w:after="0" w:line="20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Regulatory capital ratios at September 30, 2025 and December 31, 2024, along with the minimum amounts required for capital adequacy purposes and to be well-capitalized under regulatory requirements in effect at such times, are presented below for United and the Bank:</w:t>
      </w:r>
    </w:p>
    <w:p>
      <w:pPr>
        <w:spacing w:after="0" w:line="6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9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780" w:type="dxa"/>
            <w:vAlign w:val="bottom"/>
            <w:gridSpan w:val="5"/>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United Community Banks, Inc.</w:t>
            </w:r>
          </w:p>
        </w:tc>
        <w:tc>
          <w:tcPr>
            <w:tcW w:w="140" w:type="dxa"/>
            <w:vAlign w:val="bottom"/>
          </w:tcPr>
          <w:p>
            <w:pPr>
              <w:spacing w:after="0"/>
              <w:rPr>
                <w:sz w:val="16"/>
                <w:szCs w:val="16"/>
                <w:color w:val="auto"/>
              </w:rPr>
            </w:pPr>
          </w:p>
        </w:tc>
        <w:tc>
          <w:tcPr>
            <w:tcW w:w="2660" w:type="dxa"/>
            <w:vAlign w:val="bottom"/>
            <w:gridSpan w:val="4"/>
            <w:vMerge w:val="restart"/>
          </w:tcPr>
          <w:p>
            <w:pPr>
              <w:jc w:val="right"/>
              <w:ind w:right="459"/>
              <w:spacing w:after="0"/>
              <w:rPr>
                <w:sz w:val="20"/>
                <w:szCs w:val="20"/>
                <w:color w:val="auto"/>
              </w:rPr>
            </w:pPr>
            <w:r>
              <w:rPr>
                <w:rFonts w:ascii="Times New Roman" w:cs="Times New Roman" w:eastAsia="Times New Roman" w:hAnsi="Times New Roman"/>
                <w:sz w:val="16"/>
                <w:szCs w:val="16"/>
                <w:b w:val="1"/>
                <w:bCs w:val="1"/>
                <w:color w:val="auto"/>
              </w:rPr>
              <w:t>United Community Bank</w:t>
            </w:r>
          </w:p>
        </w:tc>
        <w:tc>
          <w:tcPr>
            <w:tcW w:w="0" w:type="dxa"/>
            <w:vAlign w:val="bottom"/>
          </w:tcPr>
          <w:p>
            <w:pPr>
              <w:spacing w:after="0"/>
              <w:rPr>
                <w:sz w:val="1"/>
                <w:szCs w:val="1"/>
                <w:color w:val="auto"/>
              </w:rPr>
            </w:pPr>
          </w:p>
        </w:tc>
      </w:tr>
      <w:tr>
        <w:trPr>
          <w:trHeight w:val="214"/>
        </w:trPr>
        <w:tc>
          <w:tcPr>
            <w:tcW w:w="29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780" w:type="dxa"/>
            <w:vAlign w:val="bottom"/>
            <w:gridSpan w:val="5"/>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9"/>
              </w:rPr>
              <w:t>(Consolidated)</w:t>
            </w:r>
          </w:p>
        </w:tc>
        <w:tc>
          <w:tcPr>
            <w:tcW w:w="140" w:type="dxa"/>
            <w:vAlign w:val="bottom"/>
          </w:tcPr>
          <w:p>
            <w:pPr>
              <w:spacing w:after="0"/>
              <w:rPr>
                <w:sz w:val="18"/>
                <w:szCs w:val="18"/>
                <w:color w:val="auto"/>
              </w:rPr>
            </w:pPr>
          </w:p>
        </w:tc>
        <w:tc>
          <w:tcPr>
            <w:tcW w:w="2660" w:type="dxa"/>
            <w:vAlign w:val="bottom"/>
            <w:gridSpan w:val="4"/>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57"/>
        </w:trPr>
        <w:tc>
          <w:tcPr>
            <w:tcW w:w="2920" w:type="dxa"/>
            <w:vAlign w:val="bottom"/>
            <w:vMerge w:val="restart"/>
          </w:tcPr>
          <w:p>
            <w:pPr>
              <w:ind w:left="20"/>
              <w:spacing w:after="0"/>
              <w:rPr>
                <w:sz w:val="20"/>
                <w:szCs w:val="20"/>
                <w:color w:val="auto"/>
              </w:rPr>
            </w:pPr>
            <w:r>
              <w:rPr>
                <w:rFonts w:ascii="Times New Roman" w:cs="Times New Roman" w:eastAsia="Times New Roman" w:hAnsi="Times New Roman"/>
                <w:sz w:val="16"/>
                <w:szCs w:val="16"/>
                <w:i w:val="1"/>
                <w:iCs w:val="1"/>
                <w:color w:val="auto"/>
              </w:rPr>
              <w:t>(dollars in thousands)</w:t>
            </w:r>
          </w:p>
        </w:tc>
        <w:tc>
          <w:tcPr>
            <w:tcW w:w="1280" w:type="dxa"/>
            <w:vAlign w:val="bottom"/>
            <w:tcBorders>
              <w:top w:val="single" w:sz="8" w:color="auto"/>
            </w:tcBorders>
            <w:gridSpan w:val="2"/>
            <w:vMerge w:val="restart"/>
          </w:tcPr>
          <w:p>
            <w:pPr>
              <w:ind w:left="160"/>
              <w:spacing w:after="0"/>
              <w:rPr>
                <w:sz w:val="20"/>
                <w:szCs w:val="20"/>
                <w:color w:val="auto"/>
              </w:rPr>
            </w:pPr>
            <w:r>
              <w:rPr>
                <w:rFonts w:ascii="Times New Roman" w:cs="Times New Roman" w:eastAsia="Times New Roman" w:hAnsi="Times New Roman"/>
                <w:sz w:val="16"/>
                <w:szCs w:val="16"/>
                <w:b w:val="1"/>
                <w:bCs w:val="1"/>
                <w:color w:val="auto"/>
              </w:rPr>
              <w:t xml:space="preserve">Minimum </w:t>
            </w:r>
            <w:r>
              <w:rPr>
                <w:rFonts w:ascii="Times New Roman" w:cs="Times New Roman" w:eastAsia="Times New Roman" w:hAnsi="Times New Roman"/>
                <w:sz w:val="21"/>
                <w:szCs w:val="21"/>
                <w:b w:val="1"/>
                <w:bCs w:val="1"/>
                <w:color w:val="auto"/>
                <w:vertAlign w:val="superscript"/>
              </w:rPr>
              <w:t>(1)</w:t>
            </w:r>
          </w:p>
        </w:tc>
        <w:tc>
          <w:tcPr>
            <w:tcW w:w="1200" w:type="dxa"/>
            <w:vAlign w:val="bottom"/>
            <w:tcBorders>
              <w:top w:val="single" w:sz="8" w:color="auto"/>
            </w:tcBorders>
          </w:tcPr>
          <w:p>
            <w:pPr>
              <w:jc w:val="center"/>
              <w:spacing w:after="0" w:line="158" w:lineRule="exact"/>
              <w:rPr>
                <w:sz w:val="20"/>
                <w:szCs w:val="20"/>
                <w:color w:val="auto"/>
              </w:rPr>
            </w:pPr>
            <w:r>
              <w:rPr>
                <w:rFonts w:ascii="Times New Roman" w:cs="Times New Roman" w:eastAsia="Times New Roman" w:hAnsi="Times New Roman"/>
                <w:sz w:val="16"/>
                <w:szCs w:val="16"/>
                <w:b w:val="1"/>
                <w:bCs w:val="1"/>
                <w:color w:val="auto"/>
              </w:rPr>
              <w:t>Well-</w:t>
            </w:r>
          </w:p>
        </w:tc>
        <w:tc>
          <w:tcPr>
            <w:tcW w:w="12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320" w:type="dxa"/>
            <w:vAlign w:val="bottom"/>
            <w:tcBorders>
              <w:top w:val="single" w:sz="8" w:color="auto"/>
            </w:tcBorders>
            <w:gridSpan w:val="2"/>
          </w:tcPr>
          <w:p>
            <w:pPr>
              <w:ind w:left="40"/>
              <w:spacing w:after="0" w:line="158" w:lineRule="exact"/>
              <w:rPr>
                <w:sz w:val="20"/>
                <w:szCs w:val="20"/>
                <w:color w:val="auto"/>
              </w:rPr>
            </w:pPr>
            <w:r>
              <w:rPr>
                <w:rFonts w:ascii="Times New Roman" w:cs="Times New Roman" w:eastAsia="Times New Roman" w:hAnsi="Times New Roman"/>
                <w:sz w:val="16"/>
                <w:szCs w:val="16"/>
                <w:b w:val="1"/>
                <w:bCs w:val="1"/>
                <w:color w:val="auto"/>
              </w:rPr>
              <w:t>September 30,</w:t>
            </w:r>
          </w:p>
        </w:tc>
        <w:tc>
          <w:tcPr>
            <w:tcW w:w="140" w:type="dxa"/>
            <w:vAlign w:val="bottom"/>
            <w:tcBorders>
              <w:top w:val="single" w:sz="8" w:color="auto"/>
            </w:tcBorders>
          </w:tcPr>
          <w:p>
            <w:pPr>
              <w:spacing w:after="0"/>
              <w:rPr>
                <w:sz w:val="13"/>
                <w:szCs w:val="13"/>
                <w:color w:val="auto"/>
              </w:rPr>
            </w:pPr>
          </w:p>
        </w:tc>
        <w:tc>
          <w:tcPr>
            <w:tcW w:w="1200" w:type="dxa"/>
            <w:vAlign w:val="bottom"/>
            <w:tcBorders>
              <w:top w:val="single" w:sz="8" w:color="auto"/>
            </w:tcBorders>
          </w:tcPr>
          <w:p>
            <w:pPr>
              <w:jc w:val="right"/>
              <w:ind w:right="139"/>
              <w:spacing w:after="0" w:line="158" w:lineRule="exact"/>
              <w:rPr>
                <w:sz w:val="20"/>
                <w:szCs w:val="20"/>
                <w:color w:val="auto"/>
              </w:rPr>
            </w:pPr>
            <w:r>
              <w:rPr>
                <w:rFonts w:ascii="Times New Roman" w:cs="Times New Roman" w:eastAsia="Times New Roman" w:hAnsi="Times New Roman"/>
                <w:sz w:val="16"/>
                <w:szCs w:val="16"/>
                <w:b w:val="1"/>
                <w:bCs w:val="1"/>
                <w:color w:val="auto"/>
              </w:rPr>
              <w:t>December 31,</w:t>
            </w:r>
          </w:p>
        </w:tc>
        <w:tc>
          <w:tcPr>
            <w:tcW w:w="12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300" w:type="dxa"/>
            <w:vAlign w:val="bottom"/>
            <w:tcBorders>
              <w:top w:val="single" w:sz="8" w:color="auto"/>
            </w:tcBorders>
            <w:gridSpan w:val="2"/>
          </w:tcPr>
          <w:p>
            <w:pPr>
              <w:ind w:left="40"/>
              <w:spacing w:after="0" w:line="158" w:lineRule="exact"/>
              <w:rPr>
                <w:sz w:val="20"/>
                <w:szCs w:val="20"/>
                <w:color w:val="auto"/>
              </w:rPr>
            </w:pPr>
            <w:r>
              <w:rPr>
                <w:rFonts w:ascii="Times New Roman" w:cs="Times New Roman" w:eastAsia="Times New Roman" w:hAnsi="Times New Roman"/>
                <w:sz w:val="16"/>
                <w:szCs w:val="16"/>
                <w:b w:val="1"/>
                <w:bCs w:val="1"/>
                <w:color w:val="auto"/>
              </w:rPr>
              <w:t>September 30,</w:t>
            </w:r>
          </w:p>
        </w:tc>
        <w:tc>
          <w:tcPr>
            <w:tcW w:w="160" w:type="dxa"/>
            <w:vAlign w:val="bottom"/>
            <w:tcBorders>
              <w:top w:val="single" w:sz="8" w:color="auto"/>
            </w:tcBorders>
          </w:tcPr>
          <w:p>
            <w:pPr>
              <w:spacing w:after="0"/>
              <w:rPr>
                <w:sz w:val="13"/>
                <w:szCs w:val="13"/>
                <w:color w:val="auto"/>
              </w:rPr>
            </w:pPr>
          </w:p>
        </w:tc>
        <w:tc>
          <w:tcPr>
            <w:tcW w:w="1200" w:type="dxa"/>
            <w:vAlign w:val="bottom"/>
            <w:tcBorders>
              <w:top w:val="single" w:sz="8" w:color="auto"/>
            </w:tcBorders>
          </w:tcPr>
          <w:p>
            <w:pPr>
              <w:jc w:val="right"/>
              <w:ind w:right="139"/>
              <w:spacing w:after="0" w:line="158" w:lineRule="exact"/>
              <w:rPr>
                <w:sz w:val="20"/>
                <w:szCs w:val="20"/>
                <w:color w:val="auto"/>
              </w:rPr>
            </w:pPr>
            <w:r>
              <w:rPr>
                <w:rFonts w:ascii="Times New Roman" w:cs="Times New Roman" w:eastAsia="Times New Roman" w:hAnsi="Times New Roman"/>
                <w:sz w:val="16"/>
                <w:szCs w:val="16"/>
                <w:b w:val="1"/>
                <w:bCs w:val="1"/>
                <w:color w:val="auto"/>
              </w:rPr>
              <w:t>December 31,</w:t>
            </w:r>
          </w:p>
        </w:tc>
        <w:tc>
          <w:tcPr>
            <w:tcW w:w="0" w:type="dxa"/>
            <w:vAlign w:val="bottom"/>
          </w:tcPr>
          <w:p>
            <w:pPr>
              <w:spacing w:after="0"/>
              <w:rPr>
                <w:sz w:val="1"/>
                <w:szCs w:val="1"/>
                <w:color w:val="auto"/>
              </w:rPr>
            </w:pPr>
          </w:p>
        </w:tc>
      </w:tr>
      <w:tr>
        <w:trPr>
          <w:trHeight w:val="216"/>
        </w:trPr>
        <w:tc>
          <w:tcPr>
            <w:tcW w:w="2920" w:type="dxa"/>
            <w:vAlign w:val="bottom"/>
            <w:vMerge w:val="continue"/>
          </w:tcPr>
          <w:p>
            <w:pPr>
              <w:spacing w:after="0"/>
              <w:rPr>
                <w:sz w:val="18"/>
                <w:szCs w:val="18"/>
                <w:color w:val="auto"/>
              </w:rPr>
            </w:pPr>
          </w:p>
        </w:tc>
        <w:tc>
          <w:tcPr>
            <w:tcW w:w="1280" w:type="dxa"/>
            <w:vAlign w:val="bottom"/>
            <w:gridSpan w:val="2"/>
            <w:vMerge w:val="continue"/>
          </w:tcPr>
          <w:p>
            <w:pPr>
              <w:spacing w:after="0"/>
              <w:rPr>
                <w:sz w:val="18"/>
                <w:szCs w:val="18"/>
                <w:color w:val="auto"/>
              </w:rPr>
            </w:pPr>
          </w:p>
        </w:tc>
        <w:tc>
          <w:tcPr>
            <w:tcW w:w="132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9"/>
              </w:rPr>
              <w:t>Capitalized</w:t>
            </w:r>
          </w:p>
        </w:tc>
        <w:tc>
          <w:tcPr>
            <w:tcW w:w="140" w:type="dxa"/>
            <w:vAlign w:val="bottom"/>
          </w:tcPr>
          <w:p>
            <w:pPr>
              <w:spacing w:after="0"/>
              <w:rPr>
                <w:sz w:val="18"/>
                <w:szCs w:val="18"/>
                <w:color w:val="auto"/>
              </w:rPr>
            </w:pPr>
          </w:p>
        </w:tc>
        <w:tc>
          <w:tcPr>
            <w:tcW w:w="1200" w:type="dxa"/>
            <w:vAlign w:val="bottom"/>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rPr>
              <w:t>2024</w:t>
            </w:r>
          </w:p>
        </w:tc>
        <w:tc>
          <w:tcPr>
            <w:tcW w:w="0" w:type="dxa"/>
            <w:vAlign w:val="bottom"/>
          </w:tcPr>
          <w:p>
            <w:pPr>
              <w:spacing w:after="0"/>
              <w:rPr>
                <w:sz w:val="1"/>
                <w:szCs w:val="1"/>
                <w:color w:val="auto"/>
              </w:rPr>
            </w:pPr>
          </w:p>
        </w:tc>
      </w:tr>
      <w:tr>
        <w:trPr>
          <w:trHeight w:val="196"/>
        </w:trPr>
        <w:tc>
          <w:tcPr>
            <w:tcW w:w="29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Risk-based ratios:</w:t>
            </w:r>
          </w:p>
        </w:tc>
        <w:tc>
          <w:tcPr>
            <w:tcW w:w="11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20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20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20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2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20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9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CET1 capital</w:t>
            </w:r>
          </w:p>
        </w:tc>
        <w:tc>
          <w:tcPr>
            <w:tcW w:w="1180" w:type="dxa"/>
            <w:vAlign w:val="bottom"/>
          </w:tcPr>
          <w:p>
            <w:pPr>
              <w:ind w:left="780"/>
              <w:spacing w:after="0"/>
              <w:rPr>
                <w:sz w:val="20"/>
                <w:szCs w:val="20"/>
                <w:color w:val="auto"/>
              </w:rPr>
            </w:pPr>
            <w:r>
              <w:rPr>
                <w:rFonts w:ascii="Times New Roman" w:cs="Times New Roman" w:eastAsia="Times New Roman" w:hAnsi="Times New Roman"/>
                <w:sz w:val="16"/>
                <w:szCs w:val="16"/>
                <w:color w:val="auto"/>
              </w:rPr>
              <w:t>4.5 %</w:t>
            </w:r>
          </w:p>
        </w:tc>
        <w:tc>
          <w:tcPr>
            <w:tcW w:w="1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6.5 %</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13.44 %</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13.27 %</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12.48 %</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13.05 %</w:t>
            </w:r>
          </w:p>
        </w:tc>
        <w:tc>
          <w:tcPr>
            <w:tcW w:w="0" w:type="dxa"/>
            <w:vAlign w:val="bottom"/>
          </w:tcPr>
          <w:p>
            <w:pPr>
              <w:spacing w:after="0"/>
              <w:rPr>
                <w:sz w:val="1"/>
                <w:szCs w:val="1"/>
                <w:color w:val="auto"/>
              </w:rPr>
            </w:pPr>
          </w:p>
        </w:tc>
      </w:tr>
      <w:tr>
        <w:trPr>
          <w:trHeight w:val="219"/>
        </w:trPr>
        <w:tc>
          <w:tcPr>
            <w:tcW w:w="29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Tier 1 capital</w:t>
            </w:r>
          </w:p>
        </w:tc>
        <w:tc>
          <w:tcPr>
            <w:tcW w:w="1180" w:type="dxa"/>
            <w:vAlign w:val="bottom"/>
            <w:shd w:val="clear" w:color="auto" w:fill="CCEEFF"/>
          </w:tcPr>
          <w:p>
            <w:pPr>
              <w:ind w:left="780"/>
              <w:spacing w:after="0"/>
              <w:rPr>
                <w:sz w:val="20"/>
                <w:szCs w:val="20"/>
                <w:color w:val="auto"/>
              </w:rPr>
            </w:pPr>
            <w:r>
              <w:rPr>
                <w:rFonts w:ascii="Times New Roman" w:cs="Times New Roman" w:eastAsia="Times New Roman" w:hAnsi="Times New Roman"/>
                <w:sz w:val="16"/>
                <w:szCs w:val="16"/>
                <w:color w:val="auto"/>
              </w:rPr>
              <w:t>6.0</w:t>
            </w: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8.0</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13.44</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13.72</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12.48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13.05</w:t>
            </w:r>
          </w:p>
        </w:tc>
        <w:tc>
          <w:tcPr>
            <w:tcW w:w="0" w:type="dxa"/>
            <w:vAlign w:val="bottom"/>
          </w:tcPr>
          <w:p>
            <w:pPr>
              <w:spacing w:after="0"/>
              <w:rPr>
                <w:sz w:val="1"/>
                <w:szCs w:val="1"/>
                <w:color w:val="auto"/>
              </w:rPr>
            </w:pPr>
          </w:p>
        </w:tc>
      </w:tr>
      <w:tr>
        <w:trPr>
          <w:trHeight w:val="213"/>
        </w:trPr>
        <w:tc>
          <w:tcPr>
            <w:tcW w:w="29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Total capital</w:t>
            </w:r>
          </w:p>
        </w:tc>
        <w:tc>
          <w:tcPr>
            <w:tcW w:w="1180" w:type="dxa"/>
            <w:vAlign w:val="bottom"/>
          </w:tcPr>
          <w:p>
            <w:pPr>
              <w:ind w:left="780"/>
              <w:spacing w:after="0"/>
              <w:rPr>
                <w:sz w:val="20"/>
                <w:szCs w:val="20"/>
                <w:color w:val="auto"/>
              </w:rPr>
            </w:pPr>
            <w:r>
              <w:rPr>
                <w:rFonts w:ascii="Times New Roman" w:cs="Times New Roman" w:eastAsia="Times New Roman" w:hAnsi="Times New Roman"/>
                <w:sz w:val="16"/>
                <w:szCs w:val="16"/>
                <w:color w:val="auto"/>
              </w:rPr>
              <w:t>8.0</w:t>
            </w:r>
          </w:p>
        </w:tc>
        <w:tc>
          <w:tcPr>
            <w:tcW w:w="100" w:type="dxa"/>
            <w:vAlign w:val="bottom"/>
          </w:tcPr>
          <w:p>
            <w:pPr>
              <w:spacing w:after="0"/>
              <w:rPr>
                <w:sz w:val="18"/>
                <w:szCs w:val="18"/>
                <w:color w:val="auto"/>
              </w:rPr>
            </w:pPr>
          </w:p>
        </w:tc>
        <w:tc>
          <w:tcPr>
            <w:tcW w:w="12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10.0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14.79</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15.17</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13.53</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14.08</w:t>
            </w:r>
          </w:p>
        </w:tc>
        <w:tc>
          <w:tcPr>
            <w:tcW w:w="0" w:type="dxa"/>
            <w:vAlign w:val="bottom"/>
          </w:tcPr>
          <w:p>
            <w:pPr>
              <w:spacing w:after="0"/>
              <w:rPr>
                <w:sz w:val="1"/>
                <w:szCs w:val="1"/>
                <w:color w:val="auto"/>
              </w:rPr>
            </w:pPr>
          </w:p>
        </w:tc>
      </w:tr>
      <w:tr>
        <w:trPr>
          <w:trHeight w:val="219"/>
        </w:trPr>
        <w:tc>
          <w:tcPr>
            <w:tcW w:w="2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Leverage ratio</w:t>
            </w:r>
          </w:p>
        </w:tc>
        <w:tc>
          <w:tcPr>
            <w:tcW w:w="1180" w:type="dxa"/>
            <w:vAlign w:val="bottom"/>
            <w:shd w:val="clear" w:color="auto" w:fill="CCEEFF"/>
          </w:tcPr>
          <w:p>
            <w:pPr>
              <w:ind w:left="780"/>
              <w:spacing w:after="0"/>
              <w:rPr>
                <w:sz w:val="20"/>
                <w:szCs w:val="20"/>
                <w:color w:val="auto"/>
              </w:rPr>
            </w:pPr>
            <w:r>
              <w:rPr>
                <w:rFonts w:ascii="Times New Roman" w:cs="Times New Roman" w:eastAsia="Times New Roman" w:hAnsi="Times New Roman"/>
                <w:sz w:val="16"/>
                <w:szCs w:val="16"/>
                <w:color w:val="auto"/>
              </w:rPr>
              <w:t>4.0</w:t>
            </w: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5.0</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10.26</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9.96</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9.52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9.46</w:t>
            </w:r>
          </w:p>
        </w:tc>
        <w:tc>
          <w:tcPr>
            <w:tcW w:w="0" w:type="dxa"/>
            <w:vAlign w:val="bottom"/>
          </w:tcPr>
          <w:p>
            <w:pPr>
              <w:spacing w:after="0"/>
              <w:rPr>
                <w:sz w:val="1"/>
                <w:szCs w:val="1"/>
                <w:color w:val="auto"/>
              </w:rPr>
            </w:pPr>
          </w:p>
        </w:tc>
      </w:tr>
      <w:tr>
        <w:trPr>
          <w:trHeight w:val="216"/>
        </w:trPr>
        <w:tc>
          <w:tcPr>
            <w:tcW w:w="29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CET1 capital</w:t>
            </w: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2,791,739</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2,608,136</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2,583,132</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2,555,941</w:t>
            </w:r>
          </w:p>
        </w:tc>
        <w:tc>
          <w:tcPr>
            <w:tcW w:w="0" w:type="dxa"/>
            <w:vAlign w:val="bottom"/>
          </w:tcPr>
          <w:p>
            <w:pPr>
              <w:spacing w:after="0"/>
              <w:rPr>
                <w:sz w:val="1"/>
                <w:szCs w:val="1"/>
                <w:color w:val="auto"/>
              </w:rPr>
            </w:pPr>
          </w:p>
        </w:tc>
      </w:tr>
      <w:tr>
        <w:trPr>
          <w:trHeight w:val="213"/>
        </w:trPr>
        <w:tc>
          <w:tcPr>
            <w:tcW w:w="29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Tier 1 capital</w:t>
            </w: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2,791,739</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2,696,402</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2,583,132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2,555,941</w:t>
            </w:r>
          </w:p>
        </w:tc>
        <w:tc>
          <w:tcPr>
            <w:tcW w:w="0" w:type="dxa"/>
            <w:vAlign w:val="bottom"/>
          </w:tcPr>
          <w:p>
            <w:pPr>
              <w:spacing w:after="0"/>
              <w:rPr>
                <w:sz w:val="1"/>
                <w:szCs w:val="1"/>
                <w:color w:val="auto"/>
              </w:rPr>
            </w:pPr>
          </w:p>
        </w:tc>
      </w:tr>
      <w:tr>
        <w:trPr>
          <w:trHeight w:val="219"/>
        </w:trPr>
        <w:tc>
          <w:tcPr>
            <w:tcW w:w="2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capital</w:t>
            </w: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3,073,175</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2,982,273</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2,799,568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2,756,811</w:t>
            </w:r>
          </w:p>
        </w:tc>
        <w:tc>
          <w:tcPr>
            <w:tcW w:w="0" w:type="dxa"/>
            <w:vAlign w:val="bottom"/>
          </w:tcPr>
          <w:p>
            <w:pPr>
              <w:spacing w:after="0"/>
              <w:rPr>
                <w:sz w:val="1"/>
                <w:szCs w:val="1"/>
                <w:color w:val="auto"/>
              </w:rPr>
            </w:pPr>
          </w:p>
        </w:tc>
      </w:tr>
      <w:tr>
        <w:trPr>
          <w:trHeight w:val="213"/>
        </w:trPr>
        <w:tc>
          <w:tcPr>
            <w:tcW w:w="29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Risk-weighted assets</w:t>
            </w: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20,774,042</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19,655,227</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20,696,806</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19,582,815</w:t>
            </w:r>
          </w:p>
        </w:tc>
        <w:tc>
          <w:tcPr>
            <w:tcW w:w="0" w:type="dxa"/>
            <w:vAlign w:val="bottom"/>
          </w:tcPr>
          <w:p>
            <w:pPr>
              <w:spacing w:after="0"/>
              <w:rPr>
                <w:sz w:val="1"/>
                <w:szCs w:val="1"/>
                <w:color w:val="auto"/>
              </w:rPr>
            </w:pPr>
          </w:p>
        </w:tc>
      </w:tr>
      <w:tr>
        <w:trPr>
          <w:trHeight w:val="219"/>
        </w:trPr>
        <w:tc>
          <w:tcPr>
            <w:tcW w:w="2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Average total assets for the leverage ratio</w:t>
            </w: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27,207,223</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27,059,513</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27,138,211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27,014,385</w:t>
            </w:r>
          </w:p>
        </w:tc>
        <w:tc>
          <w:tcPr>
            <w:tcW w:w="0" w:type="dxa"/>
            <w:vAlign w:val="bottom"/>
          </w:tcPr>
          <w:p>
            <w:pPr>
              <w:spacing w:after="0"/>
              <w:rPr>
                <w:sz w:val="1"/>
                <w:szCs w:val="1"/>
                <w:color w:val="auto"/>
              </w:rPr>
            </w:pPr>
          </w:p>
        </w:tc>
      </w:tr>
    </w:tbl>
    <w:p>
      <w:pPr>
        <w:spacing w:after="0" w:line="73" w:lineRule="exact"/>
        <w:rPr>
          <w:sz w:val="20"/>
          <w:szCs w:val="20"/>
          <w:color w:val="auto"/>
        </w:rPr>
      </w:pPr>
    </w:p>
    <w:p>
      <w:pPr>
        <w:ind w:left="160" w:hanging="152"/>
        <w:spacing w:after="0"/>
        <w:tabs>
          <w:tab w:leader="none" w:pos="160" w:val="left"/>
        </w:tabs>
        <w:numPr>
          <w:ilvl w:val="0"/>
          <w:numId w:val="11"/>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5"/>
          <w:szCs w:val="15"/>
          <w:color w:val="auto"/>
        </w:rPr>
        <w:t>As of September 30, 2025 and December 31, 2024, the minimum ratios as presented were subject to an additional capital conservation buffer of 2.50%</w:t>
      </w:r>
    </w:p>
    <w:p>
      <w:pPr>
        <w:sectPr>
          <w:pgSz w:w="11900" w:h="16838" w:orient="portrait"/>
          <w:cols w:equalWidth="0" w:num="1">
            <w:col w:w="11240"/>
          </w:cols>
          <w:pgMar w:left="320" w:top="11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33" w:name="page34"/>
    <w:bookmarkEnd w:id="33"/>
    <w:p>
      <w:pPr>
        <w:jc w:val="center"/>
        <w:spacing w:after="0"/>
        <w:rPr>
          <w:sz w:val="20"/>
          <w:szCs w:val="20"/>
          <w:color w:val="auto"/>
        </w:rPr>
      </w:pPr>
      <w:r>
        <w:rPr>
          <w:rFonts w:ascii="Times New Roman" w:cs="Times New Roman" w:eastAsia="Times New Roman" w:hAnsi="Times New Roman"/>
          <w:sz w:val="18"/>
          <w:szCs w:val="18"/>
          <w:b w:val="1"/>
          <w:bCs w:val="1"/>
          <w:color w:val="auto"/>
        </w:rPr>
        <w:t>UNITED COMMUNITY BANKS,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(Unaudited)</w:t>
      </w: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12 – Preferred Stock</w:t>
      </w:r>
    </w:p>
    <w:p>
      <w:pPr>
        <w:spacing w:after="0" w:line="256"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On September 15, 2025, United redeemed all outstanding shares of its 6.875% Series I non-cumulative perpetual preferred stock and corresponding depositary shares, each representing a 1/1000th interest in a preferred stock share (the “Preferred Stock”). The redemption resulted in a cash payment of $91.5 million, reflecting an aggregate liquidation preference of $25,000 per share. At the time of redemption, the Preferred Stock had a carrying value of $88.3 million, which was net of issuance costs of $3.27 million. The write-off of the issuance costs associated with the Preferred Stock was considered a deemed dividend to preferred shareholders for purposes of earnings per share.</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13 – Commitments and Contingencies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United is party to financial instruments with off-balance sheet risk in the normal course of business to meet the financing needs of its customers. These financial instruments include commitments to extend credit and letters of credit. United uses the same credit policies in making commitments and conditional obligations as it uses for underwriting on-balance sheet instruments. In most cases, collateral or other security is required to support financial instruments with credit risk.</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contractual amount of significant off-balance sheet instruments as of the dates indicated.</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380" w:type="dxa"/>
            <w:vAlign w:val="bottom"/>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180" w:type="dxa"/>
            <w:vAlign w:val="bottom"/>
          </w:tcPr>
          <w:p>
            <w:pPr>
              <w:spacing w:after="0"/>
              <w:rPr>
                <w:sz w:val="18"/>
                <w:szCs w:val="18"/>
                <w:color w:val="auto"/>
              </w:rPr>
            </w:pPr>
          </w:p>
        </w:tc>
        <w:tc>
          <w:tcPr>
            <w:tcW w:w="180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September 30, 2025</w:t>
            </w:r>
          </w:p>
        </w:tc>
        <w:tc>
          <w:tcPr>
            <w:tcW w:w="200" w:type="dxa"/>
            <w:vAlign w:val="bottom"/>
          </w:tcPr>
          <w:p>
            <w:pPr>
              <w:spacing w:after="0"/>
              <w:rPr>
                <w:sz w:val="18"/>
                <w:szCs w:val="18"/>
                <w:color w:val="auto"/>
              </w:rPr>
            </w:pPr>
          </w:p>
        </w:tc>
        <w:tc>
          <w:tcPr>
            <w:tcW w:w="1680" w:type="dxa"/>
            <w:vAlign w:val="bottom"/>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December 31, 2024</w:t>
            </w:r>
          </w:p>
        </w:tc>
      </w:tr>
      <w:tr>
        <w:trPr>
          <w:trHeight w:val="212"/>
        </w:trPr>
        <w:tc>
          <w:tcPr>
            <w:tcW w:w="73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Financial instruments whose contract amounts represent credit risk:</w:t>
            </w:r>
          </w:p>
        </w:tc>
        <w:tc>
          <w:tcPr>
            <w:tcW w:w="180" w:type="dxa"/>
            <w:vAlign w:val="bottom"/>
            <w:tcBorders>
              <w:top w:val="single" w:sz="8" w:color="auto"/>
            </w:tcBorders>
            <w:shd w:val="clear" w:color="auto" w:fill="CCEEFF"/>
          </w:tcPr>
          <w:p>
            <w:pPr>
              <w:spacing w:after="0"/>
              <w:rPr>
                <w:sz w:val="18"/>
                <w:szCs w:val="18"/>
                <w:color w:val="auto"/>
              </w:rPr>
            </w:pPr>
          </w:p>
        </w:tc>
        <w:tc>
          <w:tcPr>
            <w:tcW w:w="17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680" w:type="dxa"/>
            <w:vAlign w:val="bottom"/>
            <w:tcBorders>
              <w:top w:val="single" w:sz="8" w:color="auto"/>
            </w:tcBorders>
            <w:shd w:val="clear" w:color="auto" w:fill="CCEEFF"/>
          </w:tcPr>
          <w:p>
            <w:pPr>
              <w:spacing w:after="0"/>
              <w:rPr>
                <w:sz w:val="18"/>
                <w:szCs w:val="18"/>
                <w:color w:val="auto"/>
              </w:rPr>
            </w:pPr>
          </w:p>
        </w:tc>
      </w:tr>
      <w:tr>
        <w:trPr>
          <w:trHeight w:val="213"/>
        </w:trPr>
        <w:tc>
          <w:tcPr>
            <w:tcW w:w="73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Commitments to extend credit</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4,632,829</w:t>
            </w:r>
          </w:p>
        </w:tc>
        <w:tc>
          <w:tcPr>
            <w:tcW w:w="10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3,970,991</w:t>
            </w:r>
          </w:p>
        </w:tc>
      </w:tr>
      <w:tr>
        <w:trPr>
          <w:trHeight w:val="219"/>
        </w:trPr>
        <w:tc>
          <w:tcPr>
            <w:tcW w:w="73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Letters of credit</w:t>
            </w:r>
          </w:p>
        </w:tc>
        <w:tc>
          <w:tcPr>
            <w:tcW w:w="18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50,137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57,983</w:t>
            </w:r>
          </w:p>
        </w:tc>
      </w:tr>
    </w:tbl>
    <w:p>
      <w:pPr>
        <w:spacing w:after="0" w:line="31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United, in the normal course of business, is subject to various pending and threatened lawsuits in which claims for monetary damages are asserted. Although it is not possible to predict the outcome of these lawsuits, or the range of any possible loss, management, after consultation with legal counsel, does not anticipate that the ultimate aggregate liability, if any, arising from these lawsuits will have a material adverse effect on United’s financial position or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4" w:name="page35"/>
    <w:bookmarkEnd w:id="34"/>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Management’s Discussion and Analysis of Financial Condition and Results of Operations</w:t>
      </w:r>
    </w:p>
    <w:p>
      <w:pPr>
        <w:spacing w:after="0" w:line="25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following is a discussion of our financial condition at September 30, 2025 and December 31, 2024 and our results of operations for the three and nine months ended September 30, 2025 and 2024. The purpose of this discussion is to focus on information about our financial condition and results of operations which is not otherwise apparent from our consolidated financial statements and is intended to provide insight into our results of operations and financial condition. The following discussion and analysis should be read along with our consolidated financial statements and related notes included in Part I - Item 1 of this Report, “Cautionary Note Regarding Forward-Looking Statements” and the risk factors discussed in our 2024 10-K and the other reports we have filed with the SEC after we filed the 2024 10-K.</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Unless the context otherwise requires, the terms “we,” “our,” “us” refer to United on a consolidated basis.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offer a wide array of commercial and consumer banking services and investment advisory solutions through a network of 199 banking offices in Georgia, South Carolina, North Carolina, Tennessee, Florida and Alabama. Our equipment finance and SBA/USDA lending businesses operate throughout the United States. At September 30, 2025, we had consolidated total assets of $28.1 billion and 3,058 full-time equivalent employees.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 Developments</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September 15, 2025, we redeemed all outstanding shares of our Series I preferred stock, which had a carrying value of $88.3 million. The redemption reflects our ongoing capital management strategy.</w:t>
      </w:r>
    </w:p>
    <w:p>
      <w:pPr>
        <w:spacing w:after="0" w:line="203"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On July 4, 2025, the U.S. enacted the One Big Beautiful Bill Act, which includes a broad range of tax reform provisions affecting businesses. Of note, the 21% corporate tax rate provided by the Tax Cuts and Jobs Act of 2017, which was scheduled to sunset on December 31, 2025, was made permanent with the passing of this law.</w:t>
      </w:r>
    </w:p>
    <w:p>
      <w:pPr>
        <w:spacing w:after="0" w:line="21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May 1, 2025, we completed the acquisition of ANB, which was headquartered in Oakland Park, Florida where it operated one banking location. We acquired $447 million of assets, including goodwill, and assumed $381 million of liabilities in the acquisition, which included $301 million in loans and $374 million in deposits. Our operating results for the three and nine months ended September 30, 2025 include ANB’s operating results for the period subsequent to the acquisition date.</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Results of Operations</w:t>
      </w:r>
    </w:p>
    <w:p>
      <w:pPr>
        <w:spacing w:after="0" w:line="243"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8"/>
          <w:szCs w:val="18"/>
          <w:color w:val="auto"/>
        </w:rPr>
        <w:t>We reported net income and diluted earnings per common share of $91.5 million and $0.70, respectively, for the third quarter of 2025, compared to $47.3 million and $0.38, respectively, for the same period in 2024. For the nine months ended September 30, 2025, we reported net income and diluted earnings per common share of $242 million and $1.91, respectively, compared to $177 million and $1.43, respectively, in the same periods of 2024. The third quarter and first nine months of 2024 included a $27.2 million loss on the sale of substantially all of our manufactured housing loan portfolio which lowered diluted earnings per common share for those periods by approximately 18 cents, affecting comparability between 2025 and 2024.</w:t>
      </w:r>
    </w:p>
    <w:p>
      <w:pPr>
        <w:spacing w:after="0" w:line="211"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8"/>
          <w:szCs w:val="18"/>
          <w:color w:val="auto"/>
        </w:rPr>
        <w:t>Net income - operating and diluted earnings per common share - operating for the third quarter of 2025 were $94.2 million and $0.75, respectively, compared to $70.5 million and $0.57, respectively, for the third quarter of 2024. For the nine months ended September 30, 2025, we reported net income - operating and diluted earnings per common share - operating of $249 million and $2.00, respectively, compared to $206 million and $1.67, respectively, for the same periods of 2024. Net income - operating for the periods of 2025 excludes merger-related and other charges, while the periods of 2024 also exclude additional items, notably the loss on the sale of the manufactured housing loans of $27.2 million discussed above. See Table 1 of MD&amp;A for the Non-GAAP Performance Measures Reconciliation for further detail.</w:t>
      </w:r>
    </w:p>
    <w:p>
      <w:pPr>
        <w:spacing w:after="0" w:line="22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Net interest revenue for the third quarter and first nine months of 2025 was $234 million and $671 million, respectively, compared to $209 million and $617 million, respectively, for the same periods of 2024. The increase in net interest revenue was mostly driven by lower deposit interest expense.</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Net interest margin for the third quarter and first nine months of 2025 increased to 3.58% and 3.48%, respectively, from 3.33% and 3.30%, respectively, for the comparable 2024 periods. The increases in net interest margin were primarily due to the larger decrease in interest rates paid on deposits compared to the decrease in interest rates earned on loans.</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35" w:name="page36"/>
    <w:bookmarkEnd w:id="35"/>
    <w:p>
      <w:pPr>
        <w:jc w:val="both"/>
        <w:spacing w:after="0" w:line="266" w:lineRule="auto"/>
        <w:rPr>
          <w:sz w:val="20"/>
          <w:szCs w:val="20"/>
          <w:color w:val="auto"/>
        </w:rPr>
      </w:pPr>
      <w:r>
        <w:rPr>
          <w:rFonts w:ascii="Times New Roman" w:cs="Times New Roman" w:eastAsia="Times New Roman" w:hAnsi="Times New Roman"/>
          <w:sz w:val="18"/>
          <w:szCs w:val="18"/>
          <w:color w:val="auto"/>
        </w:rPr>
        <w:t>We recorded a provision for credit losses of $7.91 million and $35.1 million for the third quarter and first nine months of 2025, respectively. The nine months ended September 30, 2025 included $2.49 million for the initial ACL for ANB non-PCD loans and unfunded commitments. Provision expense for the comparable periods of 2024 was $14.4 million and $39.6 million, respectively, and included $9.89 million for the Hurricane Helene reserve.</w:t>
      </w:r>
    </w:p>
    <w:p>
      <w:pPr>
        <w:spacing w:after="0" w:line="20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Noninterest income of $43.2 million and $114 million for the third quarter and first nine months of 2025 increased by $35.1 million and $29.3 million, respectively, compared to the same periods of 2024. The periods of 2024 included a $27.2 million loss on the manufactured housing loan portfolio sale. In addition, the third quarter of 2025 included more favorable fair value adjustments to our mortgage servicing asset, which resulted in a $3.00 million increase in mortgage loan gains and related fees compared to the third quarter of 2024.</w:t>
      </w:r>
    </w:p>
    <w:p>
      <w:pPr>
        <w:spacing w:after="0" w:line="20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Noninterest expense of $151 million and $440 million in the third quarter and first nine months of 2025 were up 5% and 1%, respectively, compared to the same periods of 2024. Salaries and employee benefits expense contributed to much of the increase for the three and nine months of 2025, reflecting the acquisition of ANB and annual merit increases as well as higher incentive compensation reflecting improvement in financial performance. The increase for the nine months ended September 30, 2025 was partially offset by a decrease in other noninterest expense as the comparable period of 2024 included a $5.10 million goodwill write-down related to the sale of FinTrust.</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Results for the third quarter and first nine months of 2025 are discussed in further detail throughout the following sections of MD&amp;A.</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Estimates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preparing the consolidated financial statements, management is required to make estimates and assumptions that affect the reported amounts of assets and liabilities as of the date of the balance sheet and revenues and expenses for the period. Our accounting and reporting estimates are in accordance with GAAP and conform to customary practices within the banking industry. Estimates that are susceptible to significant changes include accounting for the ACL and fair value measurements, both of which require significant judgments by management. Actual results could differ significantly from those estimates. Also, different assumptions in the application of these accounting estimates could result in material changes in our consolidated financial position or consolidated results of operations. Our critical accounting estimates are discussed in MD&amp;A in our 2024 10-K.</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Non-GAAP Reconciliation and Explanation</w:t>
      </w:r>
    </w:p>
    <w:p>
      <w:pPr>
        <w:spacing w:after="0" w:line="256"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This Report contains financial information determined by methods other than in accordance with GAAP. Such non-GAAP financial information includes the following measures: “tangible book value per common share,” and “tangible common equity to tangible assets.” In addition, management presents non-GAAP operating performance measures, which exclude merger-related and other items that are not part of our ongoing business operations. Operating performance measures include “noninterest income - operating,” “noninterest expense - operating,” “net income – operating,” “diluted income per common share – operating,” “tangible book value per common share,” “return on common equity – operating,” “return on tangible common equity – operating,” “return on assets – operating,” “efficiency ratio – operating” and “tangible common equity to tangible assets” We have developed internal policies and procedures to accurately capture and account for merger-related and other charges and those charges are reviewed with the Audit Committee of our Board each quarter. We use these non-GAAP measures because we believe they provide useful supplemental information for evaluating our operations and performance over periods of time, as well as in managing and evaluating our business and in discussions about our operations and performance. We believe these non-GAAP measures may also provide users of our financial information with a meaningful measure for assessing our financial results and credit trends, as well as a comparison to financial results for prior periods. Nevertheless, non-GAAP measures have inherent limitations, are not required to be uniformly applied and are not audited. These non-GAAP measures should be viewed in addition to, and not as an alternative to or substitute for, measures determined in accordance with GAAP. In addition, because non-GAAP measures are not standardized, it may not be possible to compare our non-GAAP measures to similarly titled measures used by other companies. To the extent applicable, reconciliations of these non-GAAP measures to the most directly comparable measures as reported in accordance with GAAP are included in Table 1 of MD&amp;A.</w:t>
      </w: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36" w:name="page37"/>
    <w:bookmarkEnd w:id="36"/>
    <w:p>
      <w:pPr>
        <w:ind w:left="20"/>
        <w:spacing w:after="0"/>
        <w:rPr>
          <w:sz w:val="20"/>
          <w:szCs w:val="20"/>
          <w:color w:val="auto"/>
        </w:rPr>
      </w:pPr>
      <w:r>
        <w:rPr>
          <w:rFonts w:ascii="Times New Roman" w:cs="Times New Roman" w:eastAsia="Times New Roman" w:hAnsi="Times New Roman"/>
          <w:sz w:val="14"/>
          <w:szCs w:val="14"/>
          <w:b w:val="1"/>
          <w:bCs w:val="1"/>
          <w:color w:val="auto"/>
        </w:rPr>
        <w:t>UNITED COMMUNITY BANKS, INC.</w:t>
      </w:r>
    </w:p>
    <w:p>
      <w:pPr>
        <w:spacing w:after="0" w:line="2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auto"/>
        </w:rPr>
        <w:t>Table 1 - Financial Highlights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159385</wp:posOffset>
            </wp:positionV>
            <wp:extent cx="713232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420" w:type="dxa"/>
            <w:vAlign w:val="bottom"/>
            <w:gridSpan w:val="2"/>
          </w:tcPr>
          <w:p>
            <w:pPr>
              <w:ind w:left="60"/>
              <w:spacing w:after="0"/>
              <w:rPr>
                <w:sz w:val="20"/>
                <w:szCs w:val="20"/>
                <w:color w:val="auto"/>
              </w:rPr>
            </w:pPr>
            <w:r>
              <w:rPr>
                <w:rFonts w:ascii="Times New Roman" w:cs="Times New Roman" w:eastAsia="Times New Roman" w:hAnsi="Times New Roman"/>
                <w:sz w:val="14"/>
                <w:szCs w:val="14"/>
                <w:i w:val="1"/>
                <w:iCs w:val="1"/>
                <w:color w:val="auto"/>
              </w:rPr>
              <w:t>(dollars in thousands, except per share</w:t>
            </w:r>
          </w:p>
        </w:tc>
        <w:tc>
          <w:tcPr>
            <w:tcW w:w="1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00" w:type="dxa"/>
            <w:vAlign w:val="bottom"/>
            <w:gridSpan w:val="4"/>
          </w:tcPr>
          <w:p>
            <w:pPr>
              <w:jc w:val="right"/>
              <w:ind w:right="190"/>
              <w:spacing w:after="0"/>
              <w:rPr>
                <w:sz w:val="20"/>
                <w:szCs w:val="20"/>
                <w:color w:val="auto"/>
              </w:rPr>
            </w:pPr>
            <w:r>
              <w:rPr>
                <w:rFonts w:ascii="Times New Roman" w:cs="Times New Roman" w:eastAsia="Times New Roman" w:hAnsi="Times New Roman"/>
                <w:sz w:val="14"/>
                <w:szCs w:val="14"/>
                <w:b w:val="1"/>
                <w:bCs w:val="1"/>
                <w:color w:val="auto"/>
              </w:rPr>
              <w:t>For the Nine Months Ended</w:t>
            </w:r>
          </w:p>
        </w:tc>
        <w:tc>
          <w:tcPr>
            <w:tcW w:w="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2420" w:type="dxa"/>
            <w:vAlign w:val="bottom"/>
            <w:gridSpan w:val="2"/>
          </w:tcPr>
          <w:p>
            <w:pPr>
              <w:ind w:left="20"/>
              <w:spacing w:after="0" w:line="149" w:lineRule="exact"/>
              <w:rPr>
                <w:sz w:val="20"/>
                <w:szCs w:val="20"/>
                <w:color w:val="auto"/>
              </w:rPr>
            </w:pPr>
            <w:r>
              <w:rPr>
                <w:rFonts w:ascii="Times New Roman" w:cs="Times New Roman" w:eastAsia="Times New Roman" w:hAnsi="Times New Roman"/>
                <w:sz w:val="14"/>
                <w:szCs w:val="14"/>
                <w:i w:val="1"/>
                <w:iCs w:val="1"/>
                <w:color w:val="auto"/>
              </w:rPr>
              <w:t>data)</w:t>
            </w: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jc w:val="center"/>
              <w:ind w:right="50"/>
              <w:spacing w:after="0" w:line="149" w:lineRule="exact"/>
              <w:rPr>
                <w:sz w:val="20"/>
                <w:szCs w:val="20"/>
                <w:color w:val="auto"/>
              </w:rPr>
            </w:pPr>
            <w:r>
              <w:rPr>
                <w:rFonts w:ascii="Times New Roman" w:cs="Times New Roman" w:eastAsia="Times New Roman" w:hAnsi="Times New Roman"/>
                <w:sz w:val="14"/>
                <w:szCs w:val="14"/>
                <w:b w:val="1"/>
                <w:bCs w:val="1"/>
                <w:color w:val="auto"/>
                <w:w w:val="99"/>
              </w:rPr>
              <w:t>2025</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gridSpan w:val="3"/>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2024</w:t>
            </w: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w w:val="96"/>
              </w:rPr>
              <w:t>Third</w:t>
            </w:r>
          </w:p>
        </w:tc>
        <w:tc>
          <w:tcPr>
            <w:tcW w:w="180" w:type="dxa"/>
            <w:vAlign w:val="bottom"/>
          </w:tcPr>
          <w:p>
            <w:pPr>
              <w:spacing w:after="0"/>
              <w:rPr>
                <w:sz w:val="12"/>
                <w:szCs w:val="12"/>
                <w:color w:val="auto"/>
              </w:rPr>
            </w:pPr>
          </w:p>
        </w:tc>
        <w:tc>
          <w:tcPr>
            <w:tcW w:w="2000" w:type="dxa"/>
            <w:vAlign w:val="bottom"/>
            <w:gridSpan w:val="4"/>
          </w:tcPr>
          <w:p>
            <w:pPr>
              <w:jc w:val="right"/>
              <w:ind w:right="590"/>
              <w:spacing w:after="0" w:line="149" w:lineRule="exact"/>
              <w:rPr>
                <w:sz w:val="20"/>
                <w:szCs w:val="20"/>
                <w:color w:val="auto"/>
              </w:rPr>
            </w:pPr>
            <w:r>
              <w:rPr>
                <w:rFonts w:ascii="Times New Roman" w:cs="Times New Roman" w:eastAsia="Times New Roman" w:hAnsi="Times New Roman"/>
                <w:sz w:val="14"/>
                <w:szCs w:val="14"/>
                <w:b w:val="1"/>
                <w:bCs w:val="1"/>
                <w:color w:val="auto"/>
              </w:rPr>
              <w:t>September 30,</w:t>
            </w: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54"/>
        </w:trPr>
        <w:tc>
          <w:tcPr>
            <w:tcW w:w="234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80" w:type="dxa"/>
            <w:vAlign w:val="bottom"/>
            <w:vMerge w:val="restart"/>
          </w:tcPr>
          <w:p>
            <w:pPr>
              <w:spacing w:after="0"/>
              <w:rPr>
                <w:sz w:val="4"/>
                <w:szCs w:val="4"/>
                <w:color w:val="auto"/>
              </w:rPr>
            </w:pPr>
          </w:p>
        </w:tc>
        <w:tc>
          <w:tcPr>
            <w:tcW w:w="900" w:type="dxa"/>
            <w:vAlign w:val="bottom"/>
            <w:gridSpan w:val="2"/>
            <w:vMerge w:val="restart"/>
          </w:tcPr>
          <w:p>
            <w:pPr>
              <w:jc w:val="center"/>
              <w:ind w:right="80"/>
              <w:spacing w:after="0" w:line="141" w:lineRule="exact"/>
              <w:rPr>
                <w:sz w:val="20"/>
                <w:szCs w:val="20"/>
                <w:color w:val="auto"/>
              </w:rPr>
            </w:pPr>
            <w:r>
              <w:rPr>
                <w:rFonts w:ascii="Times New Roman" w:cs="Times New Roman" w:eastAsia="Times New Roman" w:hAnsi="Times New Roman"/>
                <w:sz w:val="14"/>
                <w:szCs w:val="14"/>
                <w:b w:val="1"/>
                <w:bCs w:val="1"/>
                <w:color w:val="auto"/>
              </w:rPr>
              <w:t>Quarter</w:t>
            </w:r>
          </w:p>
        </w:tc>
        <w:tc>
          <w:tcPr>
            <w:tcW w:w="18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7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67"/>
        </w:trPr>
        <w:tc>
          <w:tcPr>
            <w:tcW w:w="2340" w:type="dxa"/>
            <w:vAlign w:val="bottom"/>
          </w:tcPr>
          <w:p>
            <w:pPr>
              <w:spacing w:after="0"/>
              <w:rPr>
                <w:sz w:val="5"/>
                <w:szCs w:val="5"/>
                <w:color w:val="auto"/>
              </w:rPr>
            </w:pPr>
          </w:p>
        </w:tc>
        <w:tc>
          <w:tcPr>
            <w:tcW w:w="80" w:type="dxa"/>
            <w:vAlign w:val="bottom"/>
          </w:tcPr>
          <w:p>
            <w:pPr>
              <w:spacing w:after="0"/>
              <w:rPr>
                <w:sz w:val="5"/>
                <w:szCs w:val="5"/>
                <w:color w:val="auto"/>
              </w:rPr>
            </w:pPr>
          </w:p>
        </w:tc>
        <w:tc>
          <w:tcPr>
            <w:tcW w:w="140" w:type="dxa"/>
            <w:vAlign w:val="bottom"/>
          </w:tcPr>
          <w:p>
            <w:pPr>
              <w:spacing w:after="0"/>
              <w:rPr>
                <w:sz w:val="5"/>
                <w:szCs w:val="5"/>
                <w:color w:val="auto"/>
              </w:rPr>
            </w:pPr>
          </w:p>
        </w:tc>
        <w:tc>
          <w:tcPr>
            <w:tcW w:w="84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6"/>
              </w:rPr>
              <w:t>Third</w:t>
            </w:r>
          </w:p>
        </w:tc>
        <w:tc>
          <w:tcPr>
            <w:tcW w:w="140" w:type="dxa"/>
            <w:vAlign w:val="bottom"/>
          </w:tcPr>
          <w:p>
            <w:pPr>
              <w:spacing w:after="0"/>
              <w:rPr>
                <w:sz w:val="5"/>
                <w:szCs w:val="5"/>
                <w:color w:val="auto"/>
              </w:rPr>
            </w:pPr>
          </w:p>
        </w:tc>
        <w:tc>
          <w:tcPr>
            <w:tcW w:w="84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8"/>
              </w:rPr>
              <w:t>Second</w:t>
            </w:r>
          </w:p>
        </w:tc>
        <w:tc>
          <w:tcPr>
            <w:tcW w:w="18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 w:type="dxa"/>
            <w:vAlign w:val="bottom"/>
          </w:tcPr>
          <w:p>
            <w:pPr>
              <w:spacing w:after="0"/>
              <w:rPr>
                <w:sz w:val="5"/>
                <w:szCs w:val="5"/>
                <w:color w:val="auto"/>
              </w:rPr>
            </w:pPr>
          </w:p>
        </w:tc>
        <w:tc>
          <w:tcPr>
            <w:tcW w:w="160" w:type="dxa"/>
            <w:vAlign w:val="bottom"/>
          </w:tcPr>
          <w:p>
            <w:pPr>
              <w:spacing w:after="0"/>
              <w:rPr>
                <w:sz w:val="5"/>
                <w:szCs w:val="5"/>
                <w:color w:val="auto"/>
              </w:rPr>
            </w:pPr>
          </w:p>
        </w:tc>
        <w:tc>
          <w:tcPr>
            <w:tcW w:w="84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5"/>
              </w:rPr>
              <w:t>Fourth</w:t>
            </w:r>
          </w:p>
        </w:tc>
        <w:tc>
          <w:tcPr>
            <w:tcW w:w="140" w:type="dxa"/>
            <w:vAlign w:val="bottom"/>
          </w:tcPr>
          <w:p>
            <w:pPr>
              <w:spacing w:after="0"/>
              <w:rPr>
                <w:sz w:val="5"/>
                <w:szCs w:val="5"/>
                <w:color w:val="auto"/>
              </w:rPr>
            </w:pPr>
          </w:p>
        </w:tc>
        <w:tc>
          <w:tcPr>
            <w:tcW w:w="760" w:type="dxa"/>
            <w:vAlign w:val="bottom"/>
            <w:vMerge w:val="restart"/>
          </w:tcPr>
          <w:p>
            <w:pPr>
              <w:jc w:val="right"/>
              <w:ind w:right="210"/>
              <w:spacing w:after="0"/>
              <w:rPr>
                <w:sz w:val="20"/>
                <w:szCs w:val="20"/>
                <w:color w:val="auto"/>
              </w:rPr>
            </w:pPr>
            <w:r>
              <w:rPr>
                <w:rFonts w:ascii="Times New Roman" w:cs="Times New Roman" w:eastAsia="Times New Roman" w:hAnsi="Times New Roman"/>
                <w:sz w:val="14"/>
                <w:szCs w:val="14"/>
                <w:b w:val="1"/>
                <w:bCs w:val="1"/>
                <w:color w:val="auto"/>
              </w:rPr>
              <w:t>Third</w:t>
            </w:r>
          </w:p>
        </w:tc>
        <w:tc>
          <w:tcPr>
            <w:tcW w:w="80" w:type="dxa"/>
            <w:vAlign w:val="bottom"/>
            <w:vMerge w:val="continue"/>
          </w:tcPr>
          <w:p>
            <w:pPr>
              <w:spacing w:after="0"/>
              <w:rPr>
                <w:sz w:val="5"/>
                <w:szCs w:val="5"/>
                <w:color w:val="auto"/>
              </w:rPr>
            </w:pPr>
          </w:p>
        </w:tc>
        <w:tc>
          <w:tcPr>
            <w:tcW w:w="900" w:type="dxa"/>
            <w:vAlign w:val="bottom"/>
            <w:gridSpan w:val="2"/>
            <w:vMerge w:val="continue"/>
          </w:tcPr>
          <w:p>
            <w:pPr>
              <w:spacing w:after="0"/>
              <w:rPr>
                <w:sz w:val="5"/>
                <w:szCs w:val="5"/>
                <w:color w:val="auto"/>
              </w:rPr>
            </w:pPr>
          </w:p>
        </w:tc>
        <w:tc>
          <w:tcPr>
            <w:tcW w:w="180" w:type="dxa"/>
            <w:vAlign w:val="bottom"/>
          </w:tcPr>
          <w:p>
            <w:pPr>
              <w:spacing w:after="0"/>
              <w:rPr>
                <w:sz w:val="5"/>
                <w:szCs w:val="5"/>
                <w:color w:val="auto"/>
              </w:rPr>
            </w:pPr>
          </w:p>
        </w:tc>
        <w:tc>
          <w:tcPr>
            <w:tcW w:w="84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900" w:type="dxa"/>
            <w:vAlign w:val="bottom"/>
          </w:tcPr>
          <w:p>
            <w:pPr>
              <w:spacing w:after="0"/>
              <w:rPr>
                <w:sz w:val="5"/>
                <w:szCs w:val="5"/>
                <w:color w:val="auto"/>
              </w:rPr>
            </w:pPr>
          </w:p>
        </w:tc>
        <w:tc>
          <w:tcPr>
            <w:tcW w:w="80" w:type="dxa"/>
            <w:vAlign w:val="bottom"/>
          </w:tcPr>
          <w:p>
            <w:pPr>
              <w:spacing w:after="0"/>
              <w:rPr>
                <w:sz w:val="5"/>
                <w:szCs w:val="5"/>
                <w:color w:val="auto"/>
              </w:rPr>
            </w:pPr>
          </w:p>
        </w:tc>
        <w:tc>
          <w:tcPr>
            <w:tcW w:w="740" w:type="dxa"/>
            <w:vAlign w:val="bottom"/>
            <w:vMerge w:val="restart"/>
          </w:tcPr>
          <w:p>
            <w:pPr>
              <w:jc w:val="right"/>
              <w:ind w:right="150"/>
              <w:spacing w:after="0"/>
              <w:rPr>
                <w:sz w:val="20"/>
                <w:szCs w:val="20"/>
                <w:color w:val="auto"/>
              </w:rPr>
            </w:pPr>
            <w:r>
              <w:rPr>
                <w:rFonts w:ascii="Times New Roman" w:cs="Times New Roman" w:eastAsia="Times New Roman" w:hAnsi="Times New Roman"/>
                <w:sz w:val="14"/>
                <w:szCs w:val="14"/>
                <w:b w:val="1"/>
                <w:bCs w:val="1"/>
                <w:color w:val="auto"/>
              </w:rPr>
              <w:t>YTD</w:t>
            </w:r>
          </w:p>
        </w:tc>
        <w:tc>
          <w:tcPr>
            <w:tcW w:w="0" w:type="dxa"/>
            <w:vAlign w:val="bottom"/>
          </w:tcPr>
          <w:p>
            <w:pPr>
              <w:spacing w:after="0"/>
              <w:rPr>
                <w:sz w:val="1"/>
                <w:szCs w:val="1"/>
                <w:color w:val="auto"/>
              </w:rPr>
            </w:pPr>
          </w:p>
        </w:tc>
      </w:tr>
      <w:tr>
        <w:trPr>
          <w:trHeight w:val="140"/>
        </w:trPr>
        <w:tc>
          <w:tcPr>
            <w:tcW w:w="2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980" w:type="dxa"/>
            <w:vAlign w:val="bottom"/>
            <w:gridSpan w:val="3"/>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First Quarter</w:t>
            </w:r>
          </w:p>
        </w:tc>
        <w:tc>
          <w:tcPr>
            <w:tcW w:w="160" w:type="dxa"/>
            <w:vAlign w:val="bottom"/>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vMerge w:val="continue"/>
          </w:tcPr>
          <w:p>
            <w:pPr>
              <w:spacing w:after="0"/>
              <w:rPr>
                <w:sz w:val="12"/>
                <w:szCs w:val="12"/>
                <w:color w:val="auto"/>
              </w:rPr>
            </w:pPr>
          </w:p>
        </w:tc>
        <w:tc>
          <w:tcPr>
            <w:tcW w:w="900" w:type="dxa"/>
            <w:vAlign w:val="bottom"/>
            <w:gridSpan w:val="2"/>
          </w:tcPr>
          <w:p>
            <w:pPr>
              <w:jc w:val="center"/>
              <w:ind w:left="10"/>
              <w:spacing w:after="0" w:line="139" w:lineRule="exact"/>
              <w:rPr>
                <w:sz w:val="20"/>
                <w:szCs w:val="20"/>
                <w:color w:val="auto"/>
              </w:rPr>
            </w:pPr>
            <w:r>
              <w:rPr>
                <w:rFonts w:ascii="Times New Roman" w:cs="Times New Roman" w:eastAsia="Times New Roman" w:hAnsi="Times New Roman"/>
                <w:sz w:val="14"/>
                <w:szCs w:val="14"/>
                <w:b w:val="1"/>
                <w:bCs w:val="1"/>
                <w:color w:val="auto"/>
                <w:w w:val="97"/>
              </w:rPr>
              <w:t>2025 - 2024</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vMerge w:val="restart"/>
          </w:tcPr>
          <w:p>
            <w:pPr>
              <w:jc w:val="right"/>
              <w:ind w:right="310"/>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00" w:type="dxa"/>
            <w:vAlign w:val="bottom"/>
            <w:vMerge w:val="restart"/>
          </w:tcPr>
          <w:p>
            <w:pPr>
              <w:jc w:val="right"/>
              <w:ind w:right="330"/>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2"/>
                <w:szCs w:val="12"/>
                <w:color w:val="auto"/>
              </w:rPr>
            </w:pPr>
          </w:p>
        </w:tc>
        <w:tc>
          <w:tcPr>
            <w:tcW w:w="7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23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Quarter</w:t>
            </w:r>
          </w:p>
        </w:tc>
        <w:tc>
          <w:tcPr>
            <w:tcW w:w="140" w:type="dxa"/>
            <w:vAlign w:val="bottom"/>
          </w:tcPr>
          <w:p>
            <w:pPr>
              <w:spacing w:after="0"/>
              <w:rPr>
                <w:sz w:val="16"/>
                <w:szCs w:val="16"/>
                <w:color w:val="auto"/>
              </w:rPr>
            </w:pPr>
          </w:p>
        </w:tc>
        <w:tc>
          <w:tcPr>
            <w:tcW w:w="8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Quarter</w:t>
            </w:r>
          </w:p>
        </w:tc>
        <w:tc>
          <w:tcPr>
            <w:tcW w:w="980" w:type="dxa"/>
            <w:vAlign w:val="bottom"/>
            <w:gridSpan w:val="3"/>
            <w:vMerge w:val="continue"/>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7"/>
              </w:rPr>
              <w:t>Quarter</w:t>
            </w:r>
          </w:p>
        </w:tc>
        <w:tc>
          <w:tcPr>
            <w:tcW w:w="140" w:type="dxa"/>
            <w:vAlign w:val="bottom"/>
          </w:tcPr>
          <w:p>
            <w:pPr>
              <w:spacing w:after="0"/>
              <w:rPr>
                <w:sz w:val="16"/>
                <w:szCs w:val="16"/>
                <w:color w:val="auto"/>
              </w:rPr>
            </w:pPr>
          </w:p>
        </w:tc>
        <w:tc>
          <w:tcPr>
            <w:tcW w:w="760" w:type="dxa"/>
            <w:vAlign w:val="bottom"/>
          </w:tcPr>
          <w:p>
            <w:pPr>
              <w:jc w:val="right"/>
              <w:ind w:right="150"/>
              <w:spacing w:after="0"/>
              <w:rPr>
                <w:sz w:val="20"/>
                <w:szCs w:val="20"/>
                <w:color w:val="auto"/>
              </w:rPr>
            </w:pPr>
            <w:r>
              <w:rPr>
                <w:rFonts w:ascii="Times New Roman" w:cs="Times New Roman" w:eastAsia="Times New Roman" w:hAnsi="Times New Roman"/>
                <w:sz w:val="14"/>
                <w:szCs w:val="14"/>
                <w:b w:val="1"/>
                <w:bCs w:val="1"/>
                <w:color w:val="auto"/>
              </w:rPr>
              <w:t>Quarter</w:t>
            </w:r>
          </w:p>
        </w:tc>
        <w:tc>
          <w:tcPr>
            <w:tcW w:w="80" w:type="dxa"/>
            <w:vAlign w:val="bottom"/>
          </w:tcPr>
          <w:p>
            <w:pPr>
              <w:spacing w:after="0"/>
              <w:rPr>
                <w:sz w:val="16"/>
                <w:szCs w:val="16"/>
                <w:color w:val="auto"/>
              </w:rPr>
            </w:pPr>
          </w:p>
        </w:tc>
        <w:tc>
          <w:tcPr>
            <w:tcW w:w="90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80" w:type="dxa"/>
            <w:vAlign w:val="bottom"/>
          </w:tcPr>
          <w:p>
            <w:pPr>
              <w:spacing w:after="0"/>
              <w:rPr>
                <w:sz w:val="16"/>
                <w:szCs w:val="16"/>
                <w:color w:val="auto"/>
              </w:rPr>
            </w:pPr>
          </w:p>
        </w:tc>
        <w:tc>
          <w:tcPr>
            <w:tcW w:w="8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jc w:val="right"/>
              <w:ind w:right="7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83"/>
        </w:trPr>
        <w:tc>
          <w:tcPr>
            <w:tcW w:w="24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INCOME SUMMARY</w:t>
            </w:r>
          </w:p>
        </w:tc>
        <w:tc>
          <w:tcPr>
            <w:tcW w:w="140" w:type="dxa"/>
            <w:vAlign w:val="bottom"/>
            <w:tcBorders>
              <w:top w:val="single" w:sz="8" w:color="auto"/>
            </w:tcBorders>
          </w:tcPr>
          <w:p>
            <w:pPr>
              <w:spacing w:after="0"/>
              <w:rPr>
                <w:sz w:val="15"/>
                <w:szCs w:val="15"/>
                <w:color w:val="auto"/>
              </w:rPr>
            </w:pPr>
          </w:p>
        </w:tc>
        <w:tc>
          <w:tcPr>
            <w:tcW w:w="76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76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72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76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76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84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90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24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Interest revenue</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353,850</w:t>
            </w: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4"/>
                <w:szCs w:val="14"/>
                <w:color w:val="auto"/>
              </w:rPr>
              <w:t>347,365</w:t>
            </w: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4"/>
                <w:szCs w:val="14"/>
                <w:color w:val="auto"/>
              </w:rPr>
              <w:t>335,357</w:t>
            </w: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344,962</w:t>
            </w: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349,086</w:t>
            </w:r>
          </w:p>
        </w:tc>
        <w:tc>
          <w:tcPr>
            <w:tcW w:w="8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1,036,572</w:t>
            </w: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4"/>
                <w:szCs w:val="14"/>
                <w:color w:val="auto"/>
              </w:rPr>
              <w:t>1,032,779</w:t>
            </w:r>
          </w:p>
        </w:tc>
        <w:tc>
          <w:tcPr>
            <w:tcW w:w="8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24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4"/>
                <w:szCs w:val="14"/>
                <w:color w:val="auto"/>
              </w:rPr>
              <w:t>Interest expense</w:t>
            </w:r>
          </w:p>
        </w:tc>
        <w:tc>
          <w:tcPr>
            <w:tcW w:w="1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4"/>
                <w:szCs w:val="14"/>
                <w:color w:val="auto"/>
              </w:rPr>
              <w:t>120,221</w:t>
            </w:r>
          </w:p>
        </w:tc>
        <w:tc>
          <w:tcPr>
            <w:tcW w:w="8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4"/>
                <w:szCs w:val="14"/>
                <w:color w:val="auto"/>
              </w:rPr>
              <w:t>121,834</w:t>
            </w:r>
          </w:p>
        </w:tc>
        <w:tc>
          <w:tcPr>
            <w:tcW w:w="8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4"/>
                <w:szCs w:val="14"/>
                <w:color w:val="auto"/>
              </w:rPr>
              <w:t>123,336</w:t>
            </w:r>
          </w:p>
        </w:tc>
        <w:tc>
          <w:tcPr>
            <w:tcW w:w="8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4"/>
                <w:szCs w:val="14"/>
                <w:color w:val="auto"/>
              </w:rPr>
              <w:t>134,629</w:t>
            </w:r>
          </w:p>
        </w:tc>
        <w:tc>
          <w:tcPr>
            <w:tcW w:w="8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4"/>
                <w:szCs w:val="14"/>
                <w:color w:val="auto"/>
              </w:rPr>
              <w:t>139,900</w:t>
            </w:r>
          </w:p>
        </w:tc>
        <w:tc>
          <w:tcPr>
            <w:tcW w:w="80" w:type="dxa"/>
            <w:vAlign w:val="bottom"/>
            <w:tcBorders>
              <w:bottom w:val="single" w:sz="8" w:color="CCEEFF"/>
            </w:tcBorders>
          </w:tcPr>
          <w:p>
            <w:pPr>
              <w:spacing w:after="0"/>
              <w:rPr>
                <w:sz w:val="16"/>
                <w:szCs w:val="16"/>
                <w:color w:val="auto"/>
              </w:rPr>
            </w:pPr>
          </w:p>
        </w:tc>
        <w:tc>
          <w:tcPr>
            <w:tcW w:w="82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4"/>
                <w:szCs w:val="14"/>
                <w:color w:val="auto"/>
              </w:rPr>
              <w:t>365,391</w:t>
            </w:r>
          </w:p>
        </w:tc>
        <w:tc>
          <w:tcPr>
            <w:tcW w:w="8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4"/>
                <w:szCs w:val="14"/>
                <w:color w:val="auto"/>
              </w:rPr>
              <w:t>415,744</w:t>
            </w:r>
          </w:p>
        </w:tc>
        <w:tc>
          <w:tcPr>
            <w:tcW w:w="80" w:type="dxa"/>
            <w:vAlign w:val="bottom"/>
            <w:tcBorders>
              <w:bottom w:val="single" w:sz="8" w:color="CCEEFF"/>
            </w:tcBorders>
          </w:tcPr>
          <w:p>
            <w:pPr>
              <w:spacing w:after="0"/>
              <w:rPr>
                <w:sz w:val="16"/>
                <w:szCs w:val="16"/>
                <w:color w:val="auto"/>
              </w:rPr>
            </w:pPr>
          </w:p>
        </w:tc>
        <w:tc>
          <w:tcPr>
            <w:tcW w:w="740" w:type="dxa"/>
            <w:vAlign w:val="bottom"/>
            <w:tcBorders>
              <w:bottom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24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Net interest revenue</w:t>
            </w:r>
          </w:p>
        </w:tc>
        <w:tc>
          <w:tcPr>
            <w:tcW w:w="140" w:type="dxa"/>
            <w:vAlign w:val="bottom"/>
            <w:shd w:val="clear" w:color="auto" w:fill="CCEEFF"/>
          </w:tcPr>
          <w:p>
            <w:pPr>
              <w:spacing w:after="0"/>
              <w:rPr>
                <w:sz w:val="16"/>
                <w:szCs w:val="16"/>
                <w:color w:val="auto"/>
              </w:rPr>
            </w:pPr>
          </w:p>
        </w:tc>
        <w:tc>
          <w:tcPr>
            <w:tcW w:w="76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233,629</w:t>
            </w: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6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4"/>
                <w:szCs w:val="14"/>
                <w:color w:val="auto"/>
              </w:rPr>
              <w:t>225,531</w:t>
            </w: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2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4"/>
                <w:szCs w:val="14"/>
                <w:color w:val="auto"/>
              </w:rPr>
              <w:t>212,021</w:t>
            </w: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6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210,333</w:t>
            </w: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6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209,186</w:t>
            </w: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12 %</w:t>
            </w: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4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671,181</w:t>
            </w: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617,035</w:t>
            </w: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9 %</w:t>
            </w:r>
          </w:p>
        </w:tc>
        <w:tc>
          <w:tcPr>
            <w:tcW w:w="0" w:type="dxa"/>
            <w:vAlign w:val="bottom"/>
          </w:tcPr>
          <w:p>
            <w:pPr>
              <w:spacing w:after="0"/>
              <w:rPr>
                <w:sz w:val="1"/>
                <w:szCs w:val="1"/>
                <w:color w:val="auto"/>
              </w:rPr>
            </w:pPr>
          </w:p>
        </w:tc>
      </w:tr>
      <w:tr>
        <w:trPr>
          <w:trHeight w:val="186"/>
        </w:trPr>
        <w:tc>
          <w:tcPr>
            <w:tcW w:w="24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4"/>
                <w:szCs w:val="14"/>
                <w:color w:val="auto"/>
              </w:rPr>
              <w:t>Noninterest income</w:t>
            </w:r>
          </w:p>
        </w:tc>
        <w:tc>
          <w:tcPr>
            <w:tcW w:w="1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4"/>
                <w:szCs w:val="14"/>
                <w:color w:val="auto"/>
              </w:rPr>
              <w:t>43,219</w:t>
            </w:r>
          </w:p>
        </w:tc>
        <w:tc>
          <w:tcPr>
            <w:tcW w:w="8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4"/>
                <w:szCs w:val="14"/>
                <w:color w:val="auto"/>
              </w:rPr>
              <w:t>34,708</w:t>
            </w:r>
          </w:p>
        </w:tc>
        <w:tc>
          <w:tcPr>
            <w:tcW w:w="8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4"/>
                <w:szCs w:val="14"/>
                <w:color w:val="auto"/>
              </w:rPr>
              <w:t>35,656</w:t>
            </w:r>
          </w:p>
        </w:tc>
        <w:tc>
          <w:tcPr>
            <w:tcW w:w="8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4"/>
                <w:szCs w:val="14"/>
                <w:color w:val="auto"/>
              </w:rPr>
              <w:t>40,522</w:t>
            </w:r>
          </w:p>
        </w:tc>
        <w:tc>
          <w:tcPr>
            <w:tcW w:w="8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4"/>
                <w:szCs w:val="14"/>
                <w:color w:val="auto"/>
              </w:rPr>
              <w:t>8,091</w:t>
            </w:r>
          </w:p>
        </w:tc>
        <w:tc>
          <w:tcPr>
            <w:tcW w:w="80" w:type="dxa"/>
            <w:vAlign w:val="bottom"/>
            <w:tcBorders>
              <w:bottom w:val="single" w:sz="8" w:color="CCEEFF"/>
            </w:tcBorders>
          </w:tcPr>
          <w:p>
            <w:pPr>
              <w:spacing w:after="0"/>
              <w:rPr>
                <w:sz w:val="16"/>
                <w:szCs w:val="16"/>
                <w:color w:val="auto"/>
              </w:rPr>
            </w:pPr>
          </w:p>
        </w:tc>
        <w:tc>
          <w:tcPr>
            <w:tcW w:w="900" w:type="dxa"/>
            <w:vAlign w:val="bottom"/>
            <w:tcBorders>
              <w:bottom w:val="single" w:sz="8" w:color="CCEEFF"/>
            </w:tcBorders>
            <w:gridSpan w:val="2"/>
          </w:tcPr>
          <w:p>
            <w:pPr>
              <w:ind w:left="480"/>
              <w:spacing w:after="0"/>
              <w:rPr>
                <w:sz w:val="20"/>
                <w:szCs w:val="20"/>
                <w:color w:val="auto"/>
              </w:rPr>
            </w:pPr>
            <w:r>
              <w:rPr>
                <w:rFonts w:ascii="Times New Roman" w:cs="Times New Roman" w:eastAsia="Times New Roman" w:hAnsi="Times New Roman"/>
                <w:sz w:val="14"/>
                <w:szCs w:val="14"/>
                <w:color w:val="auto"/>
              </w:rPr>
              <w:t>n/m</w:t>
            </w:r>
          </w:p>
        </w:tc>
        <w:tc>
          <w:tcPr>
            <w:tcW w:w="18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4"/>
                <w:szCs w:val="14"/>
                <w:color w:val="auto"/>
              </w:rPr>
              <w:t>113,583</w:t>
            </w:r>
          </w:p>
        </w:tc>
        <w:tc>
          <w:tcPr>
            <w:tcW w:w="8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4"/>
                <w:szCs w:val="14"/>
                <w:color w:val="auto"/>
              </w:rPr>
              <w:t>84,234</w:t>
            </w:r>
          </w:p>
        </w:tc>
        <w:tc>
          <w:tcPr>
            <w:tcW w:w="820" w:type="dxa"/>
            <w:vAlign w:val="bottom"/>
            <w:tcBorders>
              <w:bottom w:val="single" w:sz="8" w:color="CCEEFF"/>
            </w:tcBorders>
            <w:gridSpan w:val="2"/>
          </w:tcPr>
          <w:p>
            <w:pPr>
              <w:jc w:val="right"/>
              <w:ind w:right="90"/>
              <w:spacing w:after="0"/>
              <w:rPr>
                <w:sz w:val="20"/>
                <w:szCs w:val="20"/>
                <w:color w:val="auto"/>
              </w:rPr>
            </w:pPr>
            <w:r>
              <w:rPr>
                <w:rFonts w:ascii="Times New Roman" w:cs="Times New Roman" w:eastAsia="Times New Roman" w:hAnsi="Times New Roman"/>
                <w:sz w:val="14"/>
                <w:szCs w:val="14"/>
                <w:color w:val="auto"/>
              </w:rPr>
              <w:t>35</w:t>
            </w:r>
          </w:p>
        </w:tc>
        <w:tc>
          <w:tcPr>
            <w:tcW w:w="0" w:type="dxa"/>
            <w:vAlign w:val="bottom"/>
          </w:tcPr>
          <w:p>
            <w:pPr>
              <w:spacing w:after="0"/>
              <w:rPr>
                <w:sz w:val="1"/>
                <w:szCs w:val="1"/>
                <w:color w:val="auto"/>
              </w:rPr>
            </w:pPr>
          </w:p>
        </w:tc>
      </w:tr>
      <w:tr>
        <w:trPr>
          <w:trHeight w:val="186"/>
        </w:trPr>
        <w:tc>
          <w:tcPr>
            <w:tcW w:w="24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b w:val="1"/>
                <w:bCs w:val="1"/>
                <w:color w:val="auto"/>
              </w:rPr>
              <w:t>Total revenue</w:t>
            </w:r>
          </w:p>
        </w:tc>
        <w:tc>
          <w:tcPr>
            <w:tcW w:w="140" w:type="dxa"/>
            <w:vAlign w:val="bottom"/>
            <w:shd w:val="clear" w:color="auto" w:fill="CCEEFF"/>
          </w:tcPr>
          <w:p>
            <w:pPr>
              <w:spacing w:after="0"/>
              <w:rPr>
                <w:sz w:val="16"/>
                <w:szCs w:val="16"/>
                <w:color w:val="auto"/>
              </w:rPr>
            </w:pPr>
          </w:p>
        </w:tc>
        <w:tc>
          <w:tcPr>
            <w:tcW w:w="76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276,848</w:t>
            </w: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6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4"/>
                <w:szCs w:val="14"/>
                <w:color w:val="auto"/>
              </w:rPr>
              <w:t>260,239</w:t>
            </w: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2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4"/>
                <w:szCs w:val="14"/>
                <w:color w:val="auto"/>
              </w:rPr>
              <w:t>247,677</w:t>
            </w: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6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250,855</w:t>
            </w: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6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217,277</w:t>
            </w:r>
          </w:p>
        </w:tc>
        <w:tc>
          <w:tcPr>
            <w:tcW w:w="90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4"/>
                <w:szCs w:val="14"/>
                <w:color w:val="auto"/>
              </w:rPr>
              <w:t>27</w:t>
            </w: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4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784,764</w:t>
            </w: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701,269</w:t>
            </w:r>
          </w:p>
        </w:tc>
        <w:tc>
          <w:tcPr>
            <w:tcW w:w="82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4"/>
                <w:szCs w:val="14"/>
                <w:color w:val="auto"/>
              </w:rPr>
              <w:t>12</w:t>
            </w:r>
          </w:p>
        </w:tc>
        <w:tc>
          <w:tcPr>
            <w:tcW w:w="0" w:type="dxa"/>
            <w:vAlign w:val="bottom"/>
          </w:tcPr>
          <w:p>
            <w:pPr>
              <w:spacing w:after="0"/>
              <w:rPr>
                <w:sz w:val="1"/>
                <w:szCs w:val="1"/>
                <w:color w:val="auto"/>
              </w:rPr>
            </w:pPr>
          </w:p>
        </w:tc>
      </w:tr>
      <w:tr>
        <w:trPr>
          <w:trHeight w:val="186"/>
        </w:trPr>
        <w:tc>
          <w:tcPr>
            <w:tcW w:w="24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Provision for credit losses</w:t>
            </w:r>
          </w:p>
        </w:tc>
        <w:tc>
          <w:tcPr>
            <w:tcW w:w="140" w:type="dxa"/>
            <w:vAlign w:val="bottom"/>
          </w:tcPr>
          <w:p>
            <w:pPr>
              <w:spacing w:after="0"/>
              <w:rPr>
                <w:sz w:val="16"/>
                <w:szCs w:val="16"/>
                <w:color w:val="auto"/>
              </w:rPr>
            </w:pPr>
          </w:p>
        </w:tc>
        <w:tc>
          <w:tcPr>
            <w:tcW w:w="76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7,907</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jc w:val="right"/>
              <w:ind w:right="90"/>
              <w:spacing w:after="0"/>
              <w:rPr>
                <w:sz w:val="20"/>
                <w:szCs w:val="20"/>
                <w:color w:val="auto"/>
              </w:rPr>
            </w:pPr>
            <w:r>
              <w:rPr>
                <w:rFonts w:ascii="Times New Roman" w:cs="Times New Roman" w:eastAsia="Times New Roman" w:hAnsi="Times New Roman"/>
                <w:sz w:val="14"/>
                <w:szCs w:val="14"/>
                <w:color w:val="auto"/>
              </w:rPr>
              <w:t>11,818</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jc w:val="right"/>
              <w:ind w:right="90"/>
              <w:spacing w:after="0"/>
              <w:rPr>
                <w:sz w:val="20"/>
                <w:szCs w:val="20"/>
                <w:color w:val="auto"/>
              </w:rPr>
            </w:pPr>
            <w:r>
              <w:rPr>
                <w:rFonts w:ascii="Times New Roman" w:cs="Times New Roman" w:eastAsia="Times New Roman" w:hAnsi="Times New Roman"/>
                <w:sz w:val="14"/>
                <w:szCs w:val="14"/>
                <w:color w:val="auto"/>
              </w:rPr>
              <w:t>15,419</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11,389</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14,428</w:t>
            </w:r>
          </w:p>
        </w:tc>
        <w:tc>
          <w:tcPr>
            <w:tcW w:w="900" w:type="dxa"/>
            <w:vAlign w:val="bottom"/>
            <w:gridSpan w:val="2"/>
          </w:tcPr>
          <w:p>
            <w:pPr>
              <w:jc w:val="right"/>
              <w:ind w:right="70"/>
              <w:spacing w:after="0"/>
              <w:rPr>
                <w:sz w:val="20"/>
                <w:szCs w:val="20"/>
                <w:color w:val="auto"/>
              </w:rPr>
            </w:pPr>
            <w:r>
              <w:rPr>
                <w:rFonts w:ascii="Times New Roman" w:cs="Times New Roman" w:eastAsia="Times New Roman" w:hAnsi="Times New Roman"/>
                <w:sz w:val="14"/>
                <w:szCs w:val="14"/>
                <w:color w:val="auto"/>
              </w:rPr>
              <w:t>(45)</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35,144</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39,562</w:t>
            </w:r>
          </w:p>
        </w:tc>
        <w:tc>
          <w:tcPr>
            <w:tcW w:w="820" w:type="dxa"/>
            <w:vAlign w:val="bottom"/>
            <w:gridSpan w:val="2"/>
          </w:tcPr>
          <w:p>
            <w:pPr>
              <w:jc w:val="right"/>
              <w:ind w:right="70"/>
              <w:spacing w:after="0"/>
              <w:rPr>
                <w:sz w:val="20"/>
                <w:szCs w:val="20"/>
                <w:color w:val="auto"/>
              </w:rPr>
            </w:pPr>
            <w:r>
              <w:rPr>
                <w:rFonts w:ascii="Times New Roman" w:cs="Times New Roman" w:eastAsia="Times New Roman" w:hAnsi="Times New Roman"/>
                <w:sz w:val="14"/>
                <w:szCs w:val="14"/>
                <w:color w:val="auto"/>
              </w:rPr>
              <w:t>(11)</w:t>
            </w:r>
          </w:p>
        </w:tc>
        <w:tc>
          <w:tcPr>
            <w:tcW w:w="0" w:type="dxa"/>
            <w:vAlign w:val="bottom"/>
          </w:tcPr>
          <w:p>
            <w:pPr>
              <w:spacing w:after="0"/>
              <w:rPr>
                <w:sz w:val="1"/>
                <w:szCs w:val="1"/>
                <w:color w:val="auto"/>
              </w:rPr>
            </w:pPr>
          </w:p>
        </w:tc>
      </w:tr>
      <w:tr>
        <w:trPr>
          <w:trHeight w:val="192"/>
        </w:trPr>
        <w:tc>
          <w:tcPr>
            <w:tcW w:w="24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Noninterest expense</w:t>
            </w:r>
          </w:p>
        </w:tc>
        <w:tc>
          <w:tcPr>
            <w:tcW w:w="140" w:type="dxa"/>
            <w:vAlign w:val="bottom"/>
            <w:tcBorders>
              <w:bottom w:val="single" w:sz="8" w:color="auto"/>
            </w:tcBorders>
            <w:shd w:val="clear" w:color="auto" w:fill="CCEEFF"/>
          </w:tcPr>
          <w:p>
            <w:pPr>
              <w:spacing w:after="0"/>
              <w:rPr>
                <w:sz w:val="16"/>
                <w:szCs w:val="16"/>
                <w:color w:val="auto"/>
              </w:rPr>
            </w:pPr>
          </w:p>
        </w:tc>
        <w:tc>
          <w:tcPr>
            <w:tcW w:w="76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150,868</w:t>
            </w:r>
          </w:p>
        </w:tc>
        <w:tc>
          <w:tcPr>
            <w:tcW w:w="8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76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4"/>
                <w:szCs w:val="14"/>
                <w:color w:val="auto"/>
              </w:rPr>
              <w:t>147,919</w:t>
            </w:r>
          </w:p>
        </w:tc>
        <w:tc>
          <w:tcPr>
            <w:tcW w:w="8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72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4"/>
                <w:szCs w:val="14"/>
                <w:color w:val="auto"/>
              </w:rPr>
              <w:t>141,099</w:t>
            </w:r>
          </w:p>
        </w:tc>
        <w:tc>
          <w:tcPr>
            <w:tcW w:w="8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76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143,056</w:t>
            </w:r>
          </w:p>
        </w:tc>
        <w:tc>
          <w:tcPr>
            <w:tcW w:w="8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76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143,065</w:t>
            </w:r>
          </w:p>
        </w:tc>
        <w:tc>
          <w:tcPr>
            <w:tcW w:w="90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4"/>
                <w:szCs w:val="14"/>
                <w:color w:val="auto"/>
              </w:rPr>
              <w:t>5</w:t>
            </w:r>
          </w:p>
        </w:tc>
        <w:tc>
          <w:tcPr>
            <w:tcW w:w="8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84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439,886</w:t>
            </w:r>
          </w:p>
        </w:tc>
        <w:tc>
          <w:tcPr>
            <w:tcW w:w="8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9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435,111</w:t>
            </w:r>
          </w:p>
        </w:tc>
        <w:tc>
          <w:tcPr>
            <w:tcW w:w="82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4"/>
                <w:szCs w:val="14"/>
                <w:color w:val="auto"/>
              </w:rPr>
              <w:t>1</w:t>
            </w:r>
          </w:p>
        </w:tc>
        <w:tc>
          <w:tcPr>
            <w:tcW w:w="0" w:type="dxa"/>
            <w:vAlign w:val="bottom"/>
          </w:tcPr>
          <w:p>
            <w:pPr>
              <w:spacing w:after="0"/>
              <w:rPr>
                <w:sz w:val="1"/>
                <w:szCs w:val="1"/>
                <w:color w:val="auto"/>
              </w:rPr>
            </w:pPr>
          </w:p>
        </w:tc>
      </w:tr>
      <w:tr>
        <w:trPr>
          <w:trHeight w:val="179"/>
        </w:trPr>
        <w:tc>
          <w:tcPr>
            <w:tcW w:w="242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Income before income tax expense</w:t>
            </w:r>
          </w:p>
        </w:tc>
        <w:tc>
          <w:tcPr>
            <w:tcW w:w="140" w:type="dxa"/>
            <w:vAlign w:val="bottom"/>
          </w:tcPr>
          <w:p>
            <w:pPr>
              <w:spacing w:after="0"/>
              <w:rPr>
                <w:sz w:val="15"/>
                <w:szCs w:val="15"/>
                <w:color w:val="auto"/>
              </w:rPr>
            </w:pPr>
          </w:p>
        </w:tc>
        <w:tc>
          <w:tcPr>
            <w:tcW w:w="76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118,073</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jc w:val="right"/>
              <w:ind w:right="90"/>
              <w:spacing w:after="0"/>
              <w:rPr>
                <w:sz w:val="20"/>
                <w:szCs w:val="20"/>
                <w:color w:val="auto"/>
              </w:rPr>
            </w:pPr>
            <w:r>
              <w:rPr>
                <w:rFonts w:ascii="Times New Roman" w:cs="Times New Roman" w:eastAsia="Times New Roman" w:hAnsi="Times New Roman"/>
                <w:sz w:val="14"/>
                <w:szCs w:val="14"/>
                <w:color w:val="auto"/>
              </w:rPr>
              <w:t>100,502</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jc w:val="right"/>
              <w:ind w:right="90"/>
              <w:spacing w:after="0"/>
              <w:rPr>
                <w:sz w:val="20"/>
                <w:szCs w:val="20"/>
                <w:color w:val="auto"/>
              </w:rPr>
            </w:pPr>
            <w:r>
              <w:rPr>
                <w:rFonts w:ascii="Times New Roman" w:cs="Times New Roman" w:eastAsia="Times New Roman" w:hAnsi="Times New Roman"/>
                <w:sz w:val="14"/>
                <w:szCs w:val="14"/>
                <w:color w:val="auto"/>
              </w:rPr>
              <w:t>91,159</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96,410</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59,784</w:t>
            </w:r>
          </w:p>
        </w:tc>
        <w:tc>
          <w:tcPr>
            <w:tcW w:w="900" w:type="dxa"/>
            <w:vAlign w:val="bottom"/>
            <w:gridSpan w:val="2"/>
          </w:tcPr>
          <w:p>
            <w:pPr>
              <w:jc w:val="right"/>
              <w:ind w:right="90"/>
              <w:spacing w:after="0"/>
              <w:rPr>
                <w:sz w:val="20"/>
                <w:szCs w:val="20"/>
                <w:color w:val="auto"/>
              </w:rPr>
            </w:pPr>
            <w:r>
              <w:rPr>
                <w:rFonts w:ascii="Times New Roman" w:cs="Times New Roman" w:eastAsia="Times New Roman" w:hAnsi="Times New Roman"/>
                <w:sz w:val="14"/>
                <w:szCs w:val="14"/>
                <w:color w:val="auto"/>
              </w:rPr>
              <w:t>97</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309,734</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0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226,596</w:t>
            </w:r>
          </w:p>
        </w:tc>
        <w:tc>
          <w:tcPr>
            <w:tcW w:w="820" w:type="dxa"/>
            <w:vAlign w:val="bottom"/>
            <w:gridSpan w:val="2"/>
          </w:tcPr>
          <w:p>
            <w:pPr>
              <w:jc w:val="right"/>
              <w:ind w:right="90"/>
              <w:spacing w:after="0"/>
              <w:rPr>
                <w:sz w:val="20"/>
                <w:szCs w:val="20"/>
                <w:color w:val="auto"/>
              </w:rPr>
            </w:pPr>
            <w:r>
              <w:rPr>
                <w:rFonts w:ascii="Times New Roman" w:cs="Times New Roman" w:eastAsia="Times New Roman" w:hAnsi="Times New Roman"/>
                <w:sz w:val="14"/>
                <w:szCs w:val="14"/>
                <w:color w:val="auto"/>
              </w:rPr>
              <w:t>37</w:t>
            </w:r>
          </w:p>
        </w:tc>
        <w:tc>
          <w:tcPr>
            <w:tcW w:w="0" w:type="dxa"/>
            <w:vAlign w:val="bottom"/>
          </w:tcPr>
          <w:p>
            <w:pPr>
              <w:spacing w:after="0"/>
              <w:rPr>
                <w:sz w:val="1"/>
                <w:szCs w:val="1"/>
                <w:color w:val="auto"/>
              </w:rPr>
            </w:pPr>
          </w:p>
        </w:tc>
      </w:tr>
      <w:tr>
        <w:trPr>
          <w:trHeight w:val="192"/>
        </w:trPr>
        <w:tc>
          <w:tcPr>
            <w:tcW w:w="24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Income tax expense</w:t>
            </w:r>
          </w:p>
        </w:tc>
        <w:tc>
          <w:tcPr>
            <w:tcW w:w="140" w:type="dxa"/>
            <w:vAlign w:val="bottom"/>
            <w:tcBorders>
              <w:bottom w:val="single" w:sz="8" w:color="auto"/>
            </w:tcBorders>
            <w:shd w:val="clear" w:color="auto" w:fill="CCEEFF"/>
          </w:tcPr>
          <w:p>
            <w:pPr>
              <w:spacing w:after="0"/>
              <w:rPr>
                <w:sz w:val="16"/>
                <w:szCs w:val="16"/>
                <w:color w:val="auto"/>
              </w:rPr>
            </w:pPr>
          </w:p>
        </w:tc>
        <w:tc>
          <w:tcPr>
            <w:tcW w:w="76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26,579</w:t>
            </w:r>
          </w:p>
        </w:tc>
        <w:tc>
          <w:tcPr>
            <w:tcW w:w="8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76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4"/>
                <w:szCs w:val="14"/>
                <w:color w:val="auto"/>
              </w:rPr>
              <w:t>21,769</w:t>
            </w:r>
          </w:p>
        </w:tc>
        <w:tc>
          <w:tcPr>
            <w:tcW w:w="8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72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4"/>
                <w:szCs w:val="14"/>
                <w:color w:val="auto"/>
              </w:rPr>
              <w:t>19,746</w:t>
            </w:r>
          </w:p>
        </w:tc>
        <w:tc>
          <w:tcPr>
            <w:tcW w:w="8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76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20,606</w:t>
            </w:r>
          </w:p>
        </w:tc>
        <w:tc>
          <w:tcPr>
            <w:tcW w:w="8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76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12,437</w:t>
            </w:r>
          </w:p>
        </w:tc>
        <w:tc>
          <w:tcPr>
            <w:tcW w:w="90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4"/>
                <w:szCs w:val="14"/>
                <w:color w:val="auto"/>
              </w:rPr>
              <w:t>114</w:t>
            </w:r>
          </w:p>
        </w:tc>
        <w:tc>
          <w:tcPr>
            <w:tcW w:w="8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84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68,094</w:t>
            </w:r>
          </w:p>
        </w:tc>
        <w:tc>
          <w:tcPr>
            <w:tcW w:w="8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9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50,003</w:t>
            </w:r>
          </w:p>
        </w:tc>
        <w:tc>
          <w:tcPr>
            <w:tcW w:w="82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4"/>
                <w:szCs w:val="14"/>
                <w:color w:val="auto"/>
              </w:rPr>
              <w:t>36</w:t>
            </w:r>
          </w:p>
        </w:tc>
        <w:tc>
          <w:tcPr>
            <w:tcW w:w="0" w:type="dxa"/>
            <w:vAlign w:val="bottom"/>
          </w:tcPr>
          <w:p>
            <w:pPr>
              <w:spacing w:after="0"/>
              <w:rPr>
                <w:sz w:val="1"/>
                <w:szCs w:val="1"/>
                <w:color w:val="auto"/>
              </w:rPr>
            </w:pPr>
          </w:p>
        </w:tc>
      </w:tr>
      <w:tr>
        <w:trPr>
          <w:trHeight w:val="179"/>
        </w:trPr>
        <w:tc>
          <w:tcPr>
            <w:tcW w:w="242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Net income</w:t>
            </w:r>
          </w:p>
        </w:tc>
        <w:tc>
          <w:tcPr>
            <w:tcW w:w="140" w:type="dxa"/>
            <w:vAlign w:val="bottom"/>
          </w:tcPr>
          <w:p>
            <w:pPr>
              <w:spacing w:after="0"/>
              <w:rPr>
                <w:sz w:val="15"/>
                <w:szCs w:val="15"/>
                <w:color w:val="auto"/>
              </w:rPr>
            </w:pPr>
          </w:p>
        </w:tc>
        <w:tc>
          <w:tcPr>
            <w:tcW w:w="76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91,494</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jc w:val="right"/>
              <w:ind w:right="90"/>
              <w:spacing w:after="0"/>
              <w:rPr>
                <w:sz w:val="20"/>
                <w:szCs w:val="20"/>
                <w:color w:val="auto"/>
              </w:rPr>
            </w:pPr>
            <w:r>
              <w:rPr>
                <w:rFonts w:ascii="Times New Roman" w:cs="Times New Roman" w:eastAsia="Times New Roman" w:hAnsi="Times New Roman"/>
                <w:sz w:val="14"/>
                <w:szCs w:val="14"/>
                <w:color w:val="auto"/>
              </w:rPr>
              <w:t>78,733</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jc w:val="right"/>
              <w:ind w:right="90"/>
              <w:spacing w:after="0"/>
              <w:rPr>
                <w:sz w:val="20"/>
                <w:szCs w:val="20"/>
                <w:color w:val="auto"/>
              </w:rPr>
            </w:pPr>
            <w:r>
              <w:rPr>
                <w:rFonts w:ascii="Times New Roman" w:cs="Times New Roman" w:eastAsia="Times New Roman" w:hAnsi="Times New Roman"/>
                <w:sz w:val="14"/>
                <w:szCs w:val="14"/>
                <w:color w:val="auto"/>
              </w:rPr>
              <w:t>71,413</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75,804</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47,347</w:t>
            </w:r>
          </w:p>
        </w:tc>
        <w:tc>
          <w:tcPr>
            <w:tcW w:w="900" w:type="dxa"/>
            <w:vAlign w:val="bottom"/>
            <w:gridSpan w:val="2"/>
          </w:tcPr>
          <w:p>
            <w:pPr>
              <w:jc w:val="right"/>
              <w:ind w:right="90"/>
              <w:spacing w:after="0"/>
              <w:rPr>
                <w:sz w:val="20"/>
                <w:szCs w:val="20"/>
                <w:color w:val="auto"/>
              </w:rPr>
            </w:pPr>
            <w:r>
              <w:rPr>
                <w:rFonts w:ascii="Times New Roman" w:cs="Times New Roman" w:eastAsia="Times New Roman" w:hAnsi="Times New Roman"/>
                <w:sz w:val="14"/>
                <w:szCs w:val="14"/>
                <w:color w:val="auto"/>
              </w:rPr>
              <w:t>93</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241,640</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0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176,593</w:t>
            </w:r>
          </w:p>
        </w:tc>
        <w:tc>
          <w:tcPr>
            <w:tcW w:w="820" w:type="dxa"/>
            <w:vAlign w:val="bottom"/>
            <w:gridSpan w:val="2"/>
          </w:tcPr>
          <w:p>
            <w:pPr>
              <w:jc w:val="right"/>
              <w:ind w:right="90"/>
              <w:spacing w:after="0"/>
              <w:rPr>
                <w:sz w:val="20"/>
                <w:szCs w:val="20"/>
                <w:color w:val="auto"/>
              </w:rPr>
            </w:pPr>
            <w:r>
              <w:rPr>
                <w:rFonts w:ascii="Times New Roman" w:cs="Times New Roman" w:eastAsia="Times New Roman" w:hAnsi="Times New Roman"/>
                <w:sz w:val="14"/>
                <w:szCs w:val="14"/>
                <w:color w:val="auto"/>
              </w:rPr>
              <w:t>37</w:t>
            </w:r>
          </w:p>
        </w:tc>
        <w:tc>
          <w:tcPr>
            <w:tcW w:w="0" w:type="dxa"/>
            <w:vAlign w:val="bottom"/>
          </w:tcPr>
          <w:p>
            <w:pPr>
              <w:spacing w:after="0"/>
              <w:rPr>
                <w:sz w:val="1"/>
                <w:szCs w:val="1"/>
                <w:color w:val="auto"/>
              </w:rPr>
            </w:pPr>
          </w:p>
        </w:tc>
      </w:tr>
      <w:tr>
        <w:trPr>
          <w:trHeight w:val="192"/>
        </w:trPr>
        <w:tc>
          <w:tcPr>
            <w:tcW w:w="24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Non-operating items</w:t>
            </w:r>
          </w:p>
        </w:tc>
        <w:tc>
          <w:tcPr>
            <w:tcW w:w="140" w:type="dxa"/>
            <w:vAlign w:val="bottom"/>
            <w:shd w:val="clear" w:color="auto" w:fill="CCEEFF"/>
          </w:tcPr>
          <w:p>
            <w:pPr>
              <w:spacing w:after="0"/>
              <w:rPr>
                <w:sz w:val="16"/>
                <w:szCs w:val="16"/>
                <w:color w:val="auto"/>
              </w:rPr>
            </w:pPr>
          </w:p>
        </w:tc>
        <w:tc>
          <w:tcPr>
            <w:tcW w:w="76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3,468</w:t>
            </w: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6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4"/>
                <w:szCs w:val="14"/>
                <w:color w:val="auto"/>
              </w:rPr>
              <w:t>4,833</w:t>
            </w: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2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4"/>
                <w:szCs w:val="14"/>
                <w:color w:val="auto"/>
              </w:rPr>
              <w:t>1,297</w:t>
            </w: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6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2,203</w:t>
            </w: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6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29,385</w:t>
            </w:r>
          </w:p>
        </w:tc>
        <w:tc>
          <w:tcPr>
            <w:tcW w:w="80" w:type="dxa"/>
            <w:vAlign w:val="bottom"/>
            <w:shd w:val="clear" w:color="auto" w:fill="CCEEFF"/>
          </w:tcPr>
          <w:p>
            <w:pPr>
              <w:spacing w:after="0"/>
              <w:rPr>
                <w:sz w:val="16"/>
                <w:szCs w:val="16"/>
                <w:color w:val="auto"/>
              </w:rPr>
            </w:pPr>
          </w:p>
        </w:tc>
        <w:tc>
          <w:tcPr>
            <w:tcW w:w="90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4"/>
                <w:szCs w:val="14"/>
                <w:color w:val="auto"/>
              </w:rPr>
              <w:t>n/m</w:t>
            </w:r>
          </w:p>
        </w:tc>
        <w:tc>
          <w:tcPr>
            <w:tcW w:w="180" w:type="dxa"/>
            <w:vAlign w:val="bottom"/>
            <w:shd w:val="clear" w:color="auto" w:fill="CCEEFF"/>
          </w:tcPr>
          <w:p>
            <w:pPr>
              <w:spacing w:after="0"/>
              <w:rPr>
                <w:sz w:val="16"/>
                <w:szCs w:val="16"/>
                <w:color w:val="auto"/>
              </w:rPr>
            </w:pPr>
          </w:p>
        </w:tc>
        <w:tc>
          <w:tcPr>
            <w:tcW w:w="84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9,598</w:t>
            </w: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38,065</w:t>
            </w:r>
          </w:p>
        </w:tc>
        <w:tc>
          <w:tcPr>
            <w:tcW w:w="80" w:type="dxa"/>
            <w:vAlign w:val="bottom"/>
            <w:shd w:val="clear" w:color="auto" w:fill="CCEEFF"/>
          </w:tcPr>
          <w:p>
            <w:pPr>
              <w:spacing w:after="0"/>
              <w:rPr>
                <w:sz w:val="16"/>
                <w:szCs w:val="16"/>
                <w:color w:val="auto"/>
              </w:rPr>
            </w:pPr>
          </w:p>
        </w:tc>
        <w:tc>
          <w:tcPr>
            <w:tcW w:w="7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color w:val="auto"/>
              </w:rPr>
              <w:t>n/m</w:t>
            </w:r>
          </w:p>
        </w:tc>
        <w:tc>
          <w:tcPr>
            <w:tcW w:w="0" w:type="dxa"/>
            <w:vAlign w:val="bottom"/>
          </w:tcPr>
          <w:p>
            <w:pPr>
              <w:spacing w:after="0"/>
              <w:rPr>
                <w:sz w:val="1"/>
                <w:szCs w:val="1"/>
                <w:color w:val="auto"/>
              </w:rPr>
            </w:pPr>
          </w:p>
        </w:tc>
      </w:tr>
      <w:tr>
        <w:trPr>
          <w:trHeight w:val="135"/>
        </w:trPr>
        <w:tc>
          <w:tcPr>
            <w:tcW w:w="2420" w:type="dxa"/>
            <w:vAlign w:val="bottom"/>
            <w:gridSpan w:val="2"/>
          </w:tcPr>
          <w:p>
            <w:pPr>
              <w:ind w:left="20"/>
              <w:spacing w:after="0" w:line="135" w:lineRule="exact"/>
              <w:rPr>
                <w:sz w:val="20"/>
                <w:szCs w:val="20"/>
                <w:color w:val="auto"/>
              </w:rPr>
            </w:pPr>
            <w:r>
              <w:rPr>
                <w:rFonts w:ascii="Times New Roman" w:cs="Times New Roman" w:eastAsia="Times New Roman" w:hAnsi="Times New Roman"/>
                <w:sz w:val="14"/>
                <w:szCs w:val="14"/>
                <w:color w:val="auto"/>
              </w:rPr>
              <w:t>Income tax benefit of non-operating</w:t>
            </w: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7"/>
        </w:trPr>
        <w:tc>
          <w:tcPr>
            <w:tcW w:w="24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4"/>
                <w:szCs w:val="14"/>
                <w:color w:val="auto"/>
              </w:rPr>
              <w:t>items</w:t>
            </w:r>
          </w:p>
        </w:tc>
        <w:tc>
          <w:tcPr>
            <w:tcW w:w="14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4"/>
                <w:szCs w:val="14"/>
                <w:color w:val="auto"/>
              </w:rPr>
              <w:t>(751)</w:t>
            </w:r>
          </w:p>
        </w:tc>
        <w:tc>
          <w:tcPr>
            <w:tcW w:w="8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4"/>
                <w:szCs w:val="14"/>
                <w:color w:val="auto"/>
              </w:rPr>
              <w:t>(1,047)</w:t>
            </w:r>
          </w:p>
        </w:tc>
        <w:tc>
          <w:tcPr>
            <w:tcW w:w="8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4"/>
                <w:szCs w:val="14"/>
                <w:color w:val="auto"/>
              </w:rPr>
              <w:t>(281)</w:t>
            </w:r>
          </w:p>
        </w:tc>
        <w:tc>
          <w:tcPr>
            <w:tcW w:w="8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4"/>
                <w:szCs w:val="14"/>
                <w:color w:val="auto"/>
              </w:rPr>
              <w:t>(471)</w:t>
            </w:r>
          </w:p>
        </w:tc>
        <w:tc>
          <w:tcPr>
            <w:tcW w:w="8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4"/>
                <w:szCs w:val="14"/>
                <w:color w:val="auto"/>
              </w:rPr>
              <w:t>(6,276)</w:t>
            </w:r>
          </w:p>
        </w:tc>
        <w:tc>
          <w:tcPr>
            <w:tcW w:w="80" w:type="dxa"/>
            <w:vAlign w:val="bottom"/>
            <w:tcBorders>
              <w:bottom w:val="single" w:sz="8" w:color="CCEEFF"/>
            </w:tcBorders>
          </w:tcPr>
          <w:p>
            <w:pPr>
              <w:spacing w:after="0"/>
              <w:rPr>
                <w:sz w:val="17"/>
                <w:szCs w:val="17"/>
                <w:color w:val="auto"/>
              </w:rPr>
            </w:pPr>
          </w:p>
        </w:tc>
        <w:tc>
          <w:tcPr>
            <w:tcW w:w="900" w:type="dxa"/>
            <w:vAlign w:val="bottom"/>
            <w:tcBorders>
              <w:bottom w:val="single" w:sz="8" w:color="CCEEFF"/>
            </w:tcBorders>
            <w:gridSpan w:val="2"/>
          </w:tcPr>
          <w:p>
            <w:pPr>
              <w:ind w:left="480"/>
              <w:spacing w:after="0"/>
              <w:rPr>
                <w:sz w:val="20"/>
                <w:szCs w:val="20"/>
                <w:color w:val="auto"/>
              </w:rPr>
            </w:pPr>
            <w:r>
              <w:rPr>
                <w:rFonts w:ascii="Times New Roman" w:cs="Times New Roman" w:eastAsia="Times New Roman" w:hAnsi="Times New Roman"/>
                <w:sz w:val="14"/>
                <w:szCs w:val="14"/>
                <w:color w:val="auto"/>
              </w:rPr>
              <w:t>n/m</w:t>
            </w:r>
          </w:p>
        </w:tc>
        <w:tc>
          <w:tcPr>
            <w:tcW w:w="18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4"/>
                <w:szCs w:val="14"/>
                <w:color w:val="auto"/>
              </w:rPr>
              <w:t>(2,079)</w:t>
            </w:r>
          </w:p>
        </w:tc>
        <w:tc>
          <w:tcPr>
            <w:tcW w:w="8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4"/>
                <w:szCs w:val="14"/>
                <w:color w:val="auto"/>
              </w:rPr>
              <w:t>(8,231)</w:t>
            </w:r>
          </w:p>
        </w:tc>
        <w:tc>
          <w:tcPr>
            <w:tcW w:w="80" w:type="dxa"/>
            <w:vAlign w:val="bottom"/>
            <w:tcBorders>
              <w:bottom w:val="single" w:sz="8" w:color="CCEEFF"/>
            </w:tcBorders>
          </w:tcPr>
          <w:p>
            <w:pPr>
              <w:spacing w:after="0"/>
              <w:rPr>
                <w:sz w:val="17"/>
                <w:szCs w:val="17"/>
                <w:color w:val="auto"/>
              </w:rPr>
            </w:pPr>
          </w:p>
        </w:tc>
        <w:tc>
          <w:tcPr>
            <w:tcW w:w="740" w:type="dxa"/>
            <w:vAlign w:val="bottom"/>
            <w:tcBorders>
              <w:bottom w:val="single" w:sz="8" w:color="CCEEFF"/>
            </w:tcBorders>
          </w:tcPr>
          <w:p>
            <w:pPr>
              <w:jc w:val="right"/>
              <w:ind w:right="50"/>
              <w:spacing w:after="0"/>
              <w:rPr>
                <w:sz w:val="20"/>
                <w:szCs w:val="20"/>
                <w:color w:val="auto"/>
              </w:rPr>
            </w:pPr>
            <w:r>
              <w:rPr>
                <w:rFonts w:ascii="Times New Roman" w:cs="Times New Roman" w:eastAsia="Times New Roman" w:hAnsi="Times New Roman"/>
                <w:sz w:val="14"/>
                <w:szCs w:val="14"/>
                <w:color w:val="auto"/>
              </w:rPr>
              <w:t>n/m</w:t>
            </w:r>
          </w:p>
        </w:tc>
        <w:tc>
          <w:tcPr>
            <w:tcW w:w="0" w:type="dxa"/>
            <w:vAlign w:val="bottom"/>
          </w:tcPr>
          <w:p>
            <w:pPr>
              <w:spacing w:after="0"/>
              <w:rPr>
                <w:sz w:val="1"/>
                <w:szCs w:val="1"/>
                <w:color w:val="auto"/>
              </w:rPr>
            </w:pPr>
          </w:p>
        </w:tc>
      </w:tr>
      <w:tr>
        <w:trPr>
          <w:trHeight w:val="213"/>
        </w:trPr>
        <w:tc>
          <w:tcPr>
            <w:tcW w:w="2420" w:type="dxa"/>
            <w:vAlign w:val="bottom"/>
            <w:tcBorders>
              <w:bottom w:val="single" w:sz="8" w:color="CCEEFF"/>
            </w:tcBorders>
            <w:gridSpan w:val="2"/>
            <w:shd w:val="clear" w:color="auto" w:fill="CCEEFF"/>
          </w:tcPr>
          <w:p>
            <w:pPr>
              <w:ind w:left="140"/>
              <w:spacing w:after="0" w:line="189" w:lineRule="exact"/>
              <w:rPr>
                <w:sz w:val="20"/>
                <w:szCs w:val="20"/>
                <w:color w:val="auto"/>
              </w:rPr>
            </w:pPr>
            <w:r>
              <w:rPr>
                <w:rFonts w:ascii="Times New Roman" w:cs="Times New Roman" w:eastAsia="Times New Roman" w:hAnsi="Times New Roman"/>
                <w:sz w:val="14"/>
                <w:szCs w:val="14"/>
                <w:b w:val="1"/>
                <w:bCs w:val="1"/>
                <w:color w:val="auto"/>
              </w:rPr>
              <w:t xml:space="preserve">Net income - operating </w:t>
            </w:r>
            <w:r>
              <w:rPr>
                <w:rFonts w:ascii="Times New Roman" w:cs="Times New Roman" w:eastAsia="Times New Roman" w:hAnsi="Times New Roman"/>
                <w:sz w:val="18"/>
                <w:szCs w:val="18"/>
                <w:b w:val="1"/>
                <w:bCs w:val="1"/>
                <w:color w:val="auto"/>
                <w:vertAlign w:val="superscript"/>
              </w:rPr>
              <w:t>(1)</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76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b w:val="1"/>
                <w:bCs w:val="1"/>
                <w:color w:val="auto"/>
              </w:rPr>
              <w:t>94,211</w:t>
            </w:r>
          </w:p>
        </w:tc>
        <w:tc>
          <w:tcPr>
            <w:tcW w:w="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76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4"/>
                <w:szCs w:val="14"/>
                <w:b w:val="1"/>
                <w:bCs w:val="1"/>
                <w:color w:val="auto"/>
              </w:rPr>
              <w:t>82,519</w:t>
            </w: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72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4"/>
                <w:szCs w:val="14"/>
                <w:b w:val="1"/>
                <w:bCs w:val="1"/>
                <w:color w:val="auto"/>
              </w:rPr>
              <w:t>72,429</w:t>
            </w: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76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b w:val="1"/>
                <w:bCs w:val="1"/>
                <w:color w:val="auto"/>
              </w:rPr>
              <w:t>77,536</w:t>
            </w:r>
          </w:p>
        </w:tc>
        <w:tc>
          <w:tcPr>
            <w:tcW w:w="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76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b w:val="1"/>
                <w:bCs w:val="1"/>
                <w:color w:val="auto"/>
              </w:rPr>
              <w:t>70,456</w:t>
            </w:r>
          </w:p>
        </w:tc>
        <w:tc>
          <w:tcPr>
            <w:tcW w:w="900" w:type="dxa"/>
            <w:vAlign w:val="bottom"/>
            <w:tcBorders>
              <w:bottom w:val="single" w:sz="8" w:color="CCEEFF"/>
            </w:tcBorders>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4"/>
                <w:szCs w:val="14"/>
                <w:color w:val="auto"/>
              </w:rPr>
              <w:t>34</w:t>
            </w: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w:t>
            </w:r>
          </w:p>
        </w:tc>
        <w:tc>
          <w:tcPr>
            <w:tcW w:w="84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b w:val="1"/>
                <w:bCs w:val="1"/>
                <w:color w:val="auto"/>
              </w:rPr>
              <w:t>249,159</w:t>
            </w: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9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b w:val="1"/>
                <w:bCs w:val="1"/>
                <w:color w:val="auto"/>
              </w:rPr>
              <w:t>206,427</w:t>
            </w:r>
          </w:p>
        </w:tc>
        <w:tc>
          <w:tcPr>
            <w:tcW w:w="820" w:type="dxa"/>
            <w:vAlign w:val="bottom"/>
            <w:tcBorders>
              <w:bottom w:val="single" w:sz="8" w:color="CCEEFF"/>
            </w:tcBorders>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4"/>
                <w:szCs w:val="14"/>
                <w:color w:val="auto"/>
              </w:rPr>
              <w:t>21</w:t>
            </w:r>
          </w:p>
        </w:tc>
        <w:tc>
          <w:tcPr>
            <w:tcW w:w="0" w:type="dxa"/>
            <w:vAlign w:val="bottom"/>
          </w:tcPr>
          <w:p>
            <w:pPr>
              <w:spacing w:after="0"/>
              <w:rPr>
                <w:sz w:val="1"/>
                <w:szCs w:val="1"/>
                <w:color w:val="auto"/>
              </w:rPr>
            </w:pPr>
          </w:p>
        </w:tc>
      </w:tr>
      <w:tr>
        <w:trPr>
          <w:trHeight w:val="20"/>
        </w:trPr>
        <w:tc>
          <w:tcPr>
            <w:tcW w:w="23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5"/>
        </w:trPr>
        <w:tc>
          <w:tcPr>
            <w:tcW w:w="2340" w:type="dxa"/>
            <w:vAlign w:val="bottom"/>
          </w:tcPr>
          <w:p>
            <w:pPr>
              <w:spacing w:after="0"/>
              <w:rPr>
                <w:sz w:val="4"/>
                <w:szCs w:val="4"/>
                <w:color w:val="auto"/>
              </w:rPr>
            </w:pPr>
          </w:p>
        </w:tc>
        <w:tc>
          <w:tcPr>
            <w:tcW w:w="80" w:type="dxa"/>
            <w:vAlign w:val="bottom"/>
          </w:tcPr>
          <w:p>
            <w:pPr>
              <w:spacing w:after="0"/>
              <w:rPr>
                <w:sz w:val="4"/>
                <w:szCs w:val="4"/>
                <w:color w:val="auto"/>
              </w:rPr>
            </w:pPr>
          </w:p>
        </w:tc>
        <w:tc>
          <w:tcPr>
            <w:tcW w:w="140" w:type="dxa"/>
            <w:vAlign w:val="bottom"/>
          </w:tcPr>
          <w:p>
            <w:pPr>
              <w:spacing w:after="0"/>
              <w:rPr>
                <w:sz w:val="4"/>
                <w:szCs w:val="4"/>
                <w:color w:val="auto"/>
              </w:rPr>
            </w:pPr>
          </w:p>
        </w:tc>
        <w:tc>
          <w:tcPr>
            <w:tcW w:w="760" w:type="dxa"/>
            <w:vAlign w:val="bottom"/>
          </w:tcPr>
          <w:p>
            <w:pPr>
              <w:spacing w:after="0"/>
              <w:rPr>
                <w:sz w:val="4"/>
                <w:szCs w:val="4"/>
                <w:color w:val="auto"/>
              </w:rPr>
            </w:pPr>
          </w:p>
        </w:tc>
        <w:tc>
          <w:tcPr>
            <w:tcW w:w="80" w:type="dxa"/>
            <w:vAlign w:val="bottom"/>
          </w:tcPr>
          <w:p>
            <w:pPr>
              <w:spacing w:after="0"/>
              <w:rPr>
                <w:sz w:val="4"/>
                <w:szCs w:val="4"/>
                <w:color w:val="auto"/>
              </w:rPr>
            </w:pPr>
          </w:p>
        </w:tc>
        <w:tc>
          <w:tcPr>
            <w:tcW w:w="140" w:type="dxa"/>
            <w:vAlign w:val="bottom"/>
          </w:tcPr>
          <w:p>
            <w:pPr>
              <w:spacing w:after="0"/>
              <w:rPr>
                <w:sz w:val="4"/>
                <w:szCs w:val="4"/>
                <w:color w:val="auto"/>
              </w:rPr>
            </w:pPr>
          </w:p>
        </w:tc>
        <w:tc>
          <w:tcPr>
            <w:tcW w:w="76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 w:type="dxa"/>
            <w:vAlign w:val="bottom"/>
          </w:tcPr>
          <w:p>
            <w:pPr>
              <w:spacing w:after="0"/>
              <w:rPr>
                <w:sz w:val="4"/>
                <w:szCs w:val="4"/>
                <w:color w:val="auto"/>
              </w:rPr>
            </w:pPr>
          </w:p>
        </w:tc>
        <w:tc>
          <w:tcPr>
            <w:tcW w:w="160" w:type="dxa"/>
            <w:vAlign w:val="bottom"/>
          </w:tcPr>
          <w:p>
            <w:pPr>
              <w:spacing w:after="0"/>
              <w:rPr>
                <w:sz w:val="4"/>
                <w:szCs w:val="4"/>
                <w:color w:val="auto"/>
              </w:rPr>
            </w:pPr>
          </w:p>
        </w:tc>
        <w:tc>
          <w:tcPr>
            <w:tcW w:w="760" w:type="dxa"/>
            <w:vAlign w:val="bottom"/>
          </w:tcPr>
          <w:p>
            <w:pPr>
              <w:spacing w:after="0"/>
              <w:rPr>
                <w:sz w:val="4"/>
                <w:szCs w:val="4"/>
                <w:color w:val="auto"/>
              </w:rPr>
            </w:pPr>
          </w:p>
        </w:tc>
        <w:tc>
          <w:tcPr>
            <w:tcW w:w="80" w:type="dxa"/>
            <w:vAlign w:val="bottom"/>
          </w:tcPr>
          <w:p>
            <w:pPr>
              <w:spacing w:after="0"/>
              <w:rPr>
                <w:sz w:val="4"/>
                <w:szCs w:val="4"/>
                <w:color w:val="auto"/>
              </w:rPr>
            </w:pPr>
          </w:p>
        </w:tc>
        <w:tc>
          <w:tcPr>
            <w:tcW w:w="140" w:type="dxa"/>
            <w:vAlign w:val="bottom"/>
          </w:tcPr>
          <w:p>
            <w:pPr>
              <w:spacing w:after="0"/>
              <w:rPr>
                <w:sz w:val="4"/>
                <w:szCs w:val="4"/>
                <w:color w:val="auto"/>
              </w:rPr>
            </w:pPr>
          </w:p>
        </w:tc>
        <w:tc>
          <w:tcPr>
            <w:tcW w:w="760" w:type="dxa"/>
            <w:vAlign w:val="bottom"/>
          </w:tcPr>
          <w:p>
            <w:pPr>
              <w:spacing w:after="0"/>
              <w:rPr>
                <w:sz w:val="4"/>
                <w:szCs w:val="4"/>
                <w:color w:val="auto"/>
              </w:rPr>
            </w:pPr>
          </w:p>
        </w:tc>
        <w:tc>
          <w:tcPr>
            <w:tcW w:w="80" w:type="dxa"/>
            <w:vAlign w:val="bottom"/>
          </w:tcPr>
          <w:p>
            <w:pPr>
              <w:spacing w:after="0"/>
              <w:rPr>
                <w:sz w:val="4"/>
                <w:szCs w:val="4"/>
                <w:color w:val="auto"/>
              </w:rPr>
            </w:pPr>
          </w:p>
        </w:tc>
        <w:tc>
          <w:tcPr>
            <w:tcW w:w="82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84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900" w:type="dxa"/>
            <w:vAlign w:val="bottom"/>
          </w:tcPr>
          <w:p>
            <w:pPr>
              <w:spacing w:after="0"/>
              <w:rPr>
                <w:sz w:val="4"/>
                <w:szCs w:val="4"/>
                <w:color w:val="auto"/>
              </w:rPr>
            </w:pPr>
          </w:p>
        </w:tc>
        <w:tc>
          <w:tcPr>
            <w:tcW w:w="80" w:type="dxa"/>
            <w:vAlign w:val="bottom"/>
          </w:tcPr>
          <w:p>
            <w:pPr>
              <w:spacing w:after="0"/>
              <w:rPr>
                <w:sz w:val="4"/>
                <w:szCs w:val="4"/>
                <w:color w:val="auto"/>
              </w:rPr>
            </w:pPr>
          </w:p>
        </w:tc>
        <w:tc>
          <w:tcPr>
            <w:tcW w:w="7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24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PERFORMANCE MEASURES</w:t>
            </w:r>
          </w:p>
        </w:tc>
        <w:tc>
          <w:tcPr>
            <w:tcW w:w="14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242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Per common share:</w:t>
            </w: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4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Diluted net income - GAAP</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0.70</w:t>
            </w: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4"/>
                <w:szCs w:val="14"/>
                <w:color w:val="auto"/>
              </w:rPr>
              <w:t>0.63</w:t>
            </w: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4"/>
                <w:szCs w:val="14"/>
                <w:color w:val="auto"/>
              </w:rPr>
              <w:t>0.58</w:t>
            </w: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0.61</w:t>
            </w: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0.38</w:t>
            </w:r>
          </w:p>
        </w:tc>
        <w:tc>
          <w:tcPr>
            <w:tcW w:w="90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4"/>
                <w:szCs w:val="14"/>
                <w:color w:val="auto"/>
              </w:rPr>
              <w:t>84</w:t>
            </w: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1.91</w:t>
            </w: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1.43</w:t>
            </w:r>
          </w:p>
        </w:tc>
        <w:tc>
          <w:tcPr>
            <w:tcW w:w="82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4"/>
                <w:szCs w:val="14"/>
                <w:color w:val="auto"/>
              </w:rPr>
              <w:t>34</w:t>
            </w:r>
          </w:p>
        </w:tc>
        <w:tc>
          <w:tcPr>
            <w:tcW w:w="0" w:type="dxa"/>
            <w:vAlign w:val="bottom"/>
          </w:tcPr>
          <w:p>
            <w:pPr>
              <w:spacing w:after="0"/>
              <w:rPr>
                <w:sz w:val="1"/>
                <w:szCs w:val="1"/>
                <w:color w:val="auto"/>
              </w:rPr>
            </w:pPr>
          </w:p>
        </w:tc>
      </w:tr>
      <w:tr>
        <w:trPr>
          <w:trHeight w:val="189"/>
        </w:trPr>
        <w:tc>
          <w:tcPr>
            <w:tcW w:w="2420" w:type="dxa"/>
            <w:vAlign w:val="bottom"/>
            <w:gridSpan w:val="2"/>
          </w:tcPr>
          <w:p>
            <w:pPr>
              <w:ind w:left="220"/>
              <w:spacing w:after="0" w:line="189" w:lineRule="exact"/>
              <w:rPr>
                <w:sz w:val="20"/>
                <w:szCs w:val="20"/>
                <w:color w:val="auto"/>
              </w:rPr>
            </w:pPr>
            <w:r>
              <w:rPr>
                <w:rFonts w:ascii="Times New Roman" w:cs="Times New Roman" w:eastAsia="Times New Roman" w:hAnsi="Times New Roman"/>
                <w:sz w:val="14"/>
                <w:szCs w:val="14"/>
                <w:color w:val="auto"/>
              </w:rPr>
              <w:t xml:space="preserve">Diluted net income - operating </w:t>
            </w:r>
            <w:r>
              <w:rPr>
                <w:rFonts w:ascii="Times New Roman" w:cs="Times New Roman" w:eastAsia="Times New Roman" w:hAnsi="Times New Roman"/>
                <w:sz w:val="18"/>
                <w:szCs w:val="18"/>
                <w:color w:val="auto"/>
                <w:vertAlign w:val="superscript"/>
              </w:rPr>
              <w:t>(1)</w:t>
            </w:r>
          </w:p>
        </w:tc>
        <w:tc>
          <w:tcPr>
            <w:tcW w:w="140" w:type="dxa"/>
            <w:vAlign w:val="bottom"/>
          </w:tcPr>
          <w:p>
            <w:pPr>
              <w:spacing w:after="0"/>
              <w:rPr>
                <w:sz w:val="16"/>
                <w:szCs w:val="16"/>
                <w:color w:val="auto"/>
              </w:rPr>
            </w:pPr>
          </w:p>
        </w:tc>
        <w:tc>
          <w:tcPr>
            <w:tcW w:w="76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0.75</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jc w:val="right"/>
              <w:ind w:right="90"/>
              <w:spacing w:after="0"/>
              <w:rPr>
                <w:sz w:val="20"/>
                <w:szCs w:val="20"/>
                <w:color w:val="auto"/>
              </w:rPr>
            </w:pPr>
            <w:r>
              <w:rPr>
                <w:rFonts w:ascii="Times New Roman" w:cs="Times New Roman" w:eastAsia="Times New Roman" w:hAnsi="Times New Roman"/>
                <w:sz w:val="14"/>
                <w:szCs w:val="14"/>
                <w:color w:val="auto"/>
              </w:rPr>
              <w:t>0.66</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jc w:val="right"/>
              <w:ind w:right="90"/>
              <w:spacing w:after="0"/>
              <w:rPr>
                <w:sz w:val="20"/>
                <w:szCs w:val="20"/>
                <w:color w:val="auto"/>
              </w:rPr>
            </w:pPr>
            <w:r>
              <w:rPr>
                <w:rFonts w:ascii="Times New Roman" w:cs="Times New Roman" w:eastAsia="Times New Roman" w:hAnsi="Times New Roman"/>
                <w:sz w:val="14"/>
                <w:szCs w:val="14"/>
                <w:color w:val="auto"/>
              </w:rPr>
              <w:t>0.59</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0.63</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0.57</w:t>
            </w:r>
          </w:p>
        </w:tc>
        <w:tc>
          <w:tcPr>
            <w:tcW w:w="900" w:type="dxa"/>
            <w:vAlign w:val="bottom"/>
            <w:gridSpan w:val="2"/>
          </w:tcPr>
          <w:p>
            <w:pPr>
              <w:jc w:val="right"/>
              <w:ind w:right="90"/>
              <w:spacing w:after="0"/>
              <w:rPr>
                <w:sz w:val="20"/>
                <w:szCs w:val="20"/>
                <w:color w:val="auto"/>
              </w:rPr>
            </w:pPr>
            <w:r>
              <w:rPr>
                <w:rFonts w:ascii="Times New Roman" w:cs="Times New Roman" w:eastAsia="Times New Roman" w:hAnsi="Times New Roman"/>
                <w:sz w:val="14"/>
                <w:szCs w:val="14"/>
                <w:color w:val="auto"/>
              </w:rPr>
              <w:t>32</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2.00</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1.67</w:t>
            </w:r>
          </w:p>
        </w:tc>
        <w:tc>
          <w:tcPr>
            <w:tcW w:w="820" w:type="dxa"/>
            <w:vAlign w:val="bottom"/>
            <w:gridSpan w:val="2"/>
          </w:tcPr>
          <w:p>
            <w:pPr>
              <w:jc w:val="right"/>
              <w:ind w:right="90"/>
              <w:spacing w:after="0"/>
              <w:rPr>
                <w:sz w:val="20"/>
                <w:szCs w:val="20"/>
                <w:color w:val="auto"/>
              </w:rPr>
            </w:pPr>
            <w:r>
              <w:rPr>
                <w:rFonts w:ascii="Times New Roman" w:cs="Times New Roman" w:eastAsia="Times New Roman" w:hAnsi="Times New Roman"/>
                <w:sz w:val="14"/>
                <w:szCs w:val="14"/>
                <w:color w:val="auto"/>
              </w:rPr>
              <w:t>20</w:t>
            </w:r>
          </w:p>
        </w:tc>
        <w:tc>
          <w:tcPr>
            <w:tcW w:w="0" w:type="dxa"/>
            <w:vAlign w:val="bottom"/>
          </w:tcPr>
          <w:p>
            <w:pPr>
              <w:spacing w:after="0"/>
              <w:rPr>
                <w:sz w:val="1"/>
                <w:szCs w:val="1"/>
                <w:color w:val="auto"/>
              </w:rPr>
            </w:pPr>
          </w:p>
        </w:tc>
      </w:tr>
      <w:tr>
        <w:trPr>
          <w:trHeight w:val="189"/>
        </w:trPr>
        <w:tc>
          <w:tcPr>
            <w:tcW w:w="24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Cash dividends declared</w:t>
            </w:r>
          </w:p>
        </w:tc>
        <w:tc>
          <w:tcPr>
            <w:tcW w:w="140" w:type="dxa"/>
            <w:vAlign w:val="bottom"/>
            <w:shd w:val="clear" w:color="auto" w:fill="CCEEFF"/>
          </w:tcPr>
          <w:p>
            <w:pPr>
              <w:spacing w:after="0"/>
              <w:rPr>
                <w:sz w:val="16"/>
                <w:szCs w:val="16"/>
                <w:color w:val="auto"/>
              </w:rPr>
            </w:pPr>
          </w:p>
        </w:tc>
        <w:tc>
          <w:tcPr>
            <w:tcW w:w="76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0.25</w:t>
            </w: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6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4"/>
                <w:szCs w:val="14"/>
                <w:color w:val="auto"/>
              </w:rPr>
              <w:t>0.24</w:t>
            </w: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2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4"/>
                <w:szCs w:val="14"/>
                <w:color w:val="auto"/>
              </w:rPr>
              <w:t>0.24</w:t>
            </w: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6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0.24</w:t>
            </w: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6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0.24</w:t>
            </w:r>
          </w:p>
        </w:tc>
        <w:tc>
          <w:tcPr>
            <w:tcW w:w="90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4"/>
                <w:szCs w:val="14"/>
                <w:color w:val="auto"/>
              </w:rPr>
              <w:t>4</w:t>
            </w: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4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0.73</w:t>
            </w: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0.70</w:t>
            </w:r>
          </w:p>
        </w:tc>
        <w:tc>
          <w:tcPr>
            <w:tcW w:w="82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4"/>
                <w:szCs w:val="14"/>
                <w:color w:val="auto"/>
              </w:rPr>
              <w:t>4</w:t>
            </w:r>
          </w:p>
        </w:tc>
        <w:tc>
          <w:tcPr>
            <w:tcW w:w="0" w:type="dxa"/>
            <w:vAlign w:val="bottom"/>
          </w:tcPr>
          <w:p>
            <w:pPr>
              <w:spacing w:after="0"/>
              <w:rPr>
                <w:sz w:val="1"/>
                <w:szCs w:val="1"/>
                <w:color w:val="auto"/>
              </w:rPr>
            </w:pPr>
          </w:p>
        </w:tc>
      </w:tr>
      <w:tr>
        <w:trPr>
          <w:trHeight w:val="186"/>
        </w:trPr>
        <w:tc>
          <w:tcPr>
            <w:tcW w:w="2420" w:type="dxa"/>
            <w:vAlign w:val="bottom"/>
            <w:gridSpan w:val="2"/>
          </w:tcPr>
          <w:p>
            <w:pPr>
              <w:ind w:left="220"/>
              <w:spacing w:after="0"/>
              <w:rPr>
                <w:sz w:val="20"/>
                <w:szCs w:val="20"/>
                <w:color w:val="auto"/>
              </w:rPr>
            </w:pPr>
            <w:r>
              <w:rPr>
                <w:rFonts w:ascii="Times New Roman" w:cs="Times New Roman" w:eastAsia="Times New Roman" w:hAnsi="Times New Roman"/>
                <w:sz w:val="14"/>
                <w:szCs w:val="14"/>
                <w:color w:val="auto"/>
              </w:rPr>
              <w:t>Book value</w:t>
            </w:r>
          </w:p>
        </w:tc>
        <w:tc>
          <w:tcPr>
            <w:tcW w:w="140" w:type="dxa"/>
            <w:vAlign w:val="bottom"/>
          </w:tcPr>
          <w:p>
            <w:pPr>
              <w:spacing w:after="0"/>
              <w:rPr>
                <w:sz w:val="16"/>
                <w:szCs w:val="16"/>
                <w:color w:val="auto"/>
              </w:rPr>
            </w:pPr>
          </w:p>
        </w:tc>
        <w:tc>
          <w:tcPr>
            <w:tcW w:w="76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29.44</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jc w:val="right"/>
              <w:ind w:right="90"/>
              <w:spacing w:after="0"/>
              <w:rPr>
                <w:sz w:val="20"/>
                <w:szCs w:val="20"/>
                <w:color w:val="auto"/>
              </w:rPr>
            </w:pPr>
            <w:r>
              <w:rPr>
                <w:rFonts w:ascii="Times New Roman" w:cs="Times New Roman" w:eastAsia="Times New Roman" w:hAnsi="Times New Roman"/>
                <w:sz w:val="14"/>
                <w:szCs w:val="14"/>
                <w:color w:val="auto"/>
              </w:rPr>
              <w:t>28.89</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jc w:val="right"/>
              <w:ind w:right="90"/>
              <w:spacing w:after="0"/>
              <w:rPr>
                <w:sz w:val="20"/>
                <w:szCs w:val="20"/>
                <w:color w:val="auto"/>
              </w:rPr>
            </w:pPr>
            <w:r>
              <w:rPr>
                <w:rFonts w:ascii="Times New Roman" w:cs="Times New Roman" w:eastAsia="Times New Roman" w:hAnsi="Times New Roman"/>
                <w:sz w:val="14"/>
                <w:szCs w:val="14"/>
                <w:color w:val="auto"/>
              </w:rPr>
              <w:t>28.42</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27.87</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27.68</w:t>
            </w:r>
          </w:p>
        </w:tc>
        <w:tc>
          <w:tcPr>
            <w:tcW w:w="900" w:type="dxa"/>
            <w:vAlign w:val="bottom"/>
            <w:gridSpan w:val="2"/>
          </w:tcPr>
          <w:p>
            <w:pPr>
              <w:jc w:val="right"/>
              <w:ind w:right="90"/>
              <w:spacing w:after="0"/>
              <w:rPr>
                <w:sz w:val="20"/>
                <w:szCs w:val="20"/>
                <w:color w:val="auto"/>
              </w:rPr>
            </w:pPr>
            <w:r>
              <w:rPr>
                <w:rFonts w:ascii="Times New Roman" w:cs="Times New Roman" w:eastAsia="Times New Roman" w:hAnsi="Times New Roman"/>
                <w:sz w:val="14"/>
                <w:szCs w:val="14"/>
                <w:color w:val="auto"/>
              </w:rPr>
              <w:t>6</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29.44</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27.68</w:t>
            </w:r>
          </w:p>
        </w:tc>
        <w:tc>
          <w:tcPr>
            <w:tcW w:w="820" w:type="dxa"/>
            <w:vAlign w:val="bottom"/>
            <w:gridSpan w:val="2"/>
          </w:tcPr>
          <w:p>
            <w:pPr>
              <w:jc w:val="right"/>
              <w:ind w:right="90"/>
              <w:spacing w:after="0"/>
              <w:rPr>
                <w:sz w:val="20"/>
                <w:szCs w:val="20"/>
                <w:color w:val="auto"/>
              </w:rPr>
            </w:pPr>
            <w:r>
              <w:rPr>
                <w:rFonts w:ascii="Times New Roman" w:cs="Times New Roman" w:eastAsia="Times New Roman" w:hAnsi="Times New Roman"/>
                <w:sz w:val="14"/>
                <w:szCs w:val="14"/>
                <w:color w:val="auto"/>
              </w:rPr>
              <w:t>6</w:t>
            </w:r>
          </w:p>
        </w:tc>
        <w:tc>
          <w:tcPr>
            <w:tcW w:w="0" w:type="dxa"/>
            <w:vAlign w:val="bottom"/>
          </w:tcPr>
          <w:p>
            <w:pPr>
              <w:spacing w:after="0"/>
              <w:rPr>
                <w:sz w:val="1"/>
                <w:szCs w:val="1"/>
                <w:color w:val="auto"/>
              </w:rPr>
            </w:pPr>
          </w:p>
        </w:tc>
      </w:tr>
      <w:tr>
        <w:trPr>
          <w:trHeight w:val="192"/>
        </w:trPr>
        <w:tc>
          <w:tcPr>
            <w:tcW w:w="2420" w:type="dxa"/>
            <w:vAlign w:val="bottom"/>
            <w:gridSpan w:val="2"/>
            <w:shd w:val="clear" w:color="auto" w:fill="CCEEFF"/>
          </w:tcPr>
          <w:p>
            <w:pPr>
              <w:ind w:left="220"/>
              <w:spacing w:after="0" w:line="193" w:lineRule="exact"/>
              <w:rPr>
                <w:sz w:val="20"/>
                <w:szCs w:val="20"/>
                <w:color w:val="auto"/>
              </w:rPr>
            </w:pPr>
            <w:r>
              <w:rPr>
                <w:rFonts w:ascii="Times New Roman" w:cs="Times New Roman" w:eastAsia="Times New Roman" w:hAnsi="Times New Roman"/>
                <w:sz w:val="14"/>
                <w:szCs w:val="14"/>
                <w:color w:val="auto"/>
              </w:rPr>
              <w:t xml:space="preserve">Tangible book value </w:t>
            </w:r>
            <w:r>
              <w:rPr>
                <w:rFonts w:ascii="Times New Roman" w:cs="Times New Roman" w:eastAsia="Times New Roman" w:hAnsi="Times New Roman"/>
                <w:sz w:val="18"/>
                <w:szCs w:val="18"/>
                <w:color w:val="auto"/>
                <w:vertAlign w:val="superscript"/>
              </w:rPr>
              <w:t>(3)</w:t>
            </w:r>
          </w:p>
        </w:tc>
        <w:tc>
          <w:tcPr>
            <w:tcW w:w="140" w:type="dxa"/>
            <w:vAlign w:val="bottom"/>
            <w:shd w:val="clear" w:color="auto" w:fill="CCEEFF"/>
          </w:tcPr>
          <w:p>
            <w:pPr>
              <w:spacing w:after="0"/>
              <w:rPr>
                <w:sz w:val="16"/>
                <w:szCs w:val="16"/>
                <w:color w:val="auto"/>
              </w:rPr>
            </w:pPr>
          </w:p>
        </w:tc>
        <w:tc>
          <w:tcPr>
            <w:tcW w:w="76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21.59</w:t>
            </w: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6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4"/>
                <w:szCs w:val="14"/>
                <w:color w:val="auto"/>
              </w:rPr>
              <w:t>21.00</w:t>
            </w: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2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4"/>
                <w:szCs w:val="14"/>
                <w:color w:val="auto"/>
              </w:rPr>
              <w:t>20.58</w:t>
            </w: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6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20.00</w:t>
            </w: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6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19.66</w:t>
            </w:r>
          </w:p>
        </w:tc>
        <w:tc>
          <w:tcPr>
            <w:tcW w:w="90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4"/>
                <w:szCs w:val="14"/>
                <w:color w:val="auto"/>
              </w:rPr>
              <w:t>10</w:t>
            </w: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4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21.59</w:t>
            </w: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19.66</w:t>
            </w:r>
          </w:p>
        </w:tc>
        <w:tc>
          <w:tcPr>
            <w:tcW w:w="82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4"/>
                <w:szCs w:val="14"/>
                <w:color w:val="auto"/>
              </w:rPr>
              <w:t>10</w:t>
            </w:r>
          </w:p>
        </w:tc>
        <w:tc>
          <w:tcPr>
            <w:tcW w:w="0" w:type="dxa"/>
            <w:vAlign w:val="bottom"/>
          </w:tcPr>
          <w:p>
            <w:pPr>
              <w:spacing w:after="0"/>
              <w:rPr>
                <w:sz w:val="1"/>
                <w:szCs w:val="1"/>
                <w:color w:val="auto"/>
              </w:rPr>
            </w:pPr>
          </w:p>
        </w:tc>
      </w:tr>
      <w:tr>
        <w:trPr>
          <w:trHeight w:val="186"/>
        </w:trPr>
        <w:tc>
          <w:tcPr>
            <w:tcW w:w="242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Key performance ratios:</w:t>
            </w: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8"/>
        </w:trPr>
        <w:tc>
          <w:tcPr>
            <w:tcW w:w="2420" w:type="dxa"/>
            <w:vAlign w:val="bottom"/>
            <w:gridSpan w:val="2"/>
            <w:shd w:val="clear" w:color="auto" w:fill="CCEEFF"/>
          </w:tcPr>
          <w:p>
            <w:pPr>
              <w:ind w:left="220"/>
              <w:spacing w:after="0" w:line="138" w:lineRule="exact"/>
              <w:rPr>
                <w:sz w:val="20"/>
                <w:szCs w:val="20"/>
                <w:color w:val="auto"/>
              </w:rPr>
            </w:pPr>
            <w:r>
              <w:rPr>
                <w:rFonts w:ascii="Times New Roman" w:cs="Times New Roman" w:eastAsia="Times New Roman" w:hAnsi="Times New Roman"/>
                <w:sz w:val="13"/>
                <w:szCs w:val="13"/>
                <w:color w:val="auto"/>
              </w:rPr>
              <w:t xml:space="preserve">Return on common equity - GAAP </w:t>
            </w:r>
            <w:r>
              <w:rPr>
                <w:rFonts w:ascii="Times New Roman" w:cs="Times New Roman" w:eastAsia="Times New Roman" w:hAnsi="Times New Roman"/>
                <w:sz w:val="16"/>
                <w:szCs w:val="16"/>
                <w:color w:val="auto"/>
                <w:vertAlign w:val="superscript"/>
              </w:rPr>
              <w:t>(2)</w:t>
            </w:r>
          </w:p>
        </w:tc>
        <w:tc>
          <w:tcPr>
            <w:tcW w:w="140" w:type="dxa"/>
            <w:vAlign w:val="bottom"/>
            <w:shd w:val="clear" w:color="auto" w:fill="CCEEFF"/>
          </w:tcPr>
          <w:p>
            <w:pPr>
              <w:spacing w:after="0"/>
              <w:rPr>
                <w:sz w:val="12"/>
                <w:szCs w:val="12"/>
                <w:color w:val="auto"/>
              </w:rPr>
            </w:pP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9.20 %</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8.45 %</w:t>
            </w: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7.89 %</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8.40 %</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5.20 %</w:t>
            </w: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8.53 %</w:t>
            </w: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6.61 %</w:t>
            </w: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3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9"/>
                <w:szCs w:val="9"/>
                <w:color w:val="auto"/>
              </w:rPr>
              <w:t>(4)</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vMerge w:val="continue"/>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vMerge w:val="continue"/>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20" w:type="dxa"/>
            <w:vAlign w:val="bottom"/>
            <w:vMerge w:val="continue"/>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vMerge w:val="continue"/>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vMerge w:val="continue"/>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40" w:type="dxa"/>
            <w:vAlign w:val="bottom"/>
            <w:vMerge w:val="continue"/>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00" w:type="dxa"/>
            <w:vAlign w:val="bottom"/>
            <w:vMerge w:val="continue"/>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420" w:type="dxa"/>
            <w:vAlign w:val="bottom"/>
            <w:gridSpan w:val="2"/>
          </w:tcPr>
          <w:p>
            <w:pPr>
              <w:ind w:left="220"/>
              <w:spacing w:after="0" w:line="135" w:lineRule="exact"/>
              <w:rPr>
                <w:sz w:val="20"/>
                <w:szCs w:val="20"/>
                <w:color w:val="auto"/>
              </w:rPr>
            </w:pPr>
            <w:r>
              <w:rPr>
                <w:rFonts w:ascii="Times New Roman" w:cs="Times New Roman" w:eastAsia="Times New Roman" w:hAnsi="Times New Roman"/>
                <w:sz w:val="14"/>
                <w:szCs w:val="14"/>
                <w:color w:val="auto"/>
              </w:rPr>
              <w:t>Return on common equity -</w:t>
            </w: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3"/>
        </w:trPr>
        <w:tc>
          <w:tcPr>
            <w:tcW w:w="2420" w:type="dxa"/>
            <w:vAlign w:val="bottom"/>
            <w:gridSpan w:val="2"/>
          </w:tcPr>
          <w:p>
            <w:pPr>
              <w:ind w:left="220"/>
              <w:spacing w:after="0" w:line="202" w:lineRule="exact"/>
              <w:rPr>
                <w:sz w:val="20"/>
                <w:szCs w:val="20"/>
                <w:color w:val="auto"/>
              </w:rPr>
            </w:pPr>
            <w:r>
              <w:rPr>
                <w:rFonts w:ascii="Times New Roman" w:cs="Times New Roman" w:eastAsia="Times New Roman" w:hAnsi="Times New Roman"/>
                <w:sz w:val="23"/>
                <w:szCs w:val="23"/>
                <w:color w:val="auto"/>
                <w:vertAlign w:val="subscript"/>
              </w:rPr>
              <w:t>operating</w:t>
            </w:r>
            <w:r>
              <w:rPr>
                <w:rFonts w:ascii="Times New Roman" w:cs="Times New Roman" w:eastAsia="Times New Roman" w:hAnsi="Times New Roman"/>
                <w:sz w:val="8"/>
                <w:szCs w:val="8"/>
                <w:color w:val="auto"/>
              </w:rPr>
              <w:t xml:space="preserve"> (1)(2)(4)</w:t>
            </w:r>
          </w:p>
        </w:tc>
        <w:tc>
          <w:tcPr>
            <w:tcW w:w="140" w:type="dxa"/>
            <w:vAlign w:val="bottom"/>
          </w:tcPr>
          <w:p>
            <w:pPr>
              <w:spacing w:after="0"/>
              <w:rPr>
                <w:sz w:val="17"/>
                <w:szCs w:val="17"/>
                <w:color w:val="auto"/>
              </w:rPr>
            </w:pPr>
          </w:p>
        </w:tc>
        <w:tc>
          <w:tcPr>
            <w:tcW w:w="76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9.83</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jc w:val="right"/>
              <w:ind w:right="90"/>
              <w:spacing w:after="0"/>
              <w:rPr>
                <w:sz w:val="20"/>
                <w:szCs w:val="20"/>
                <w:color w:val="auto"/>
              </w:rPr>
            </w:pPr>
            <w:r>
              <w:rPr>
                <w:rFonts w:ascii="Times New Roman" w:cs="Times New Roman" w:eastAsia="Times New Roman" w:hAnsi="Times New Roman"/>
                <w:sz w:val="14"/>
                <w:szCs w:val="14"/>
                <w:color w:val="auto"/>
              </w:rPr>
              <w:t>8.87</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jc w:val="right"/>
              <w:ind w:right="90"/>
              <w:spacing w:after="0"/>
              <w:rPr>
                <w:sz w:val="20"/>
                <w:szCs w:val="20"/>
                <w:color w:val="auto"/>
              </w:rPr>
            </w:pPr>
            <w:r>
              <w:rPr>
                <w:rFonts w:ascii="Times New Roman" w:cs="Times New Roman" w:eastAsia="Times New Roman" w:hAnsi="Times New Roman"/>
                <w:sz w:val="14"/>
                <w:szCs w:val="14"/>
                <w:color w:val="auto"/>
              </w:rPr>
              <w:t>8.01</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8.60</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7.82</w:t>
            </w: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8.92</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7.76</w:t>
            </w: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35"/>
        </w:trPr>
        <w:tc>
          <w:tcPr>
            <w:tcW w:w="2420" w:type="dxa"/>
            <w:vAlign w:val="bottom"/>
            <w:gridSpan w:val="2"/>
            <w:shd w:val="clear" w:color="auto" w:fill="CCEEFF"/>
          </w:tcPr>
          <w:p>
            <w:pPr>
              <w:ind w:left="220"/>
              <w:spacing w:after="0" w:line="135" w:lineRule="exact"/>
              <w:rPr>
                <w:sz w:val="20"/>
                <w:szCs w:val="20"/>
                <w:color w:val="auto"/>
              </w:rPr>
            </w:pPr>
            <w:r>
              <w:rPr>
                <w:rFonts w:ascii="Times New Roman" w:cs="Times New Roman" w:eastAsia="Times New Roman" w:hAnsi="Times New Roman"/>
                <w:sz w:val="14"/>
                <w:szCs w:val="14"/>
                <w:color w:val="auto"/>
              </w:rPr>
              <w:t>Return on tangible common equity -</w:t>
            </w:r>
          </w:p>
        </w:tc>
        <w:tc>
          <w:tcPr>
            <w:tcW w:w="14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03"/>
        </w:trPr>
        <w:tc>
          <w:tcPr>
            <w:tcW w:w="2420" w:type="dxa"/>
            <w:vAlign w:val="bottom"/>
            <w:gridSpan w:val="2"/>
            <w:shd w:val="clear" w:color="auto" w:fill="CCEEFF"/>
          </w:tcPr>
          <w:p>
            <w:pPr>
              <w:ind w:left="220"/>
              <w:spacing w:after="0" w:line="202" w:lineRule="exact"/>
              <w:rPr>
                <w:sz w:val="20"/>
                <w:szCs w:val="20"/>
                <w:color w:val="auto"/>
              </w:rPr>
            </w:pPr>
            <w:r>
              <w:rPr>
                <w:rFonts w:ascii="Times New Roman" w:cs="Times New Roman" w:eastAsia="Times New Roman" w:hAnsi="Times New Roman"/>
                <w:sz w:val="23"/>
                <w:szCs w:val="23"/>
                <w:color w:val="auto"/>
                <w:vertAlign w:val="subscript"/>
              </w:rPr>
              <w:t>operating</w:t>
            </w:r>
            <w:r>
              <w:rPr>
                <w:rFonts w:ascii="Times New Roman" w:cs="Times New Roman" w:eastAsia="Times New Roman" w:hAnsi="Times New Roman"/>
                <w:sz w:val="8"/>
                <w:szCs w:val="8"/>
                <w:color w:val="auto"/>
              </w:rPr>
              <w:t xml:space="preserve"> (1)(2)(3)(4)</w:t>
            </w: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13.56</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4"/>
                <w:szCs w:val="14"/>
                <w:color w:val="auto"/>
              </w:rPr>
              <w:t>12.34</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4"/>
                <w:szCs w:val="14"/>
                <w:color w:val="auto"/>
              </w:rPr>
              <w:t>11.21</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12.12</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11.17</w:t>
            </w: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12.57</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11.18</w:t>
            </w: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2420" w:type="dxa"/>
            <w:vAlign w:val="bottom"/>
            <w:gridSpan w:val="2"/>
          </w:tcPr>
          <w:p>
            <w:pPr>
              <w:ind w:left="220"/>
              <w:spacing w:after="0" w:line="189" w:lineRule="exact"/>
              <w:rPr>
                <w:sz w:val="20"/>
                <w:szCs w:val="20"/>
                <w:color w:val="auto"/>
              </w:rPr>
            </w:pPr>
            <w:r>
              <w:rPr>
                <w:rFonts w:ascii="Times New Roman" w:cs="Times New Roman" w:eastAsia="Times New Roman" w:hAnsi="Times New Roman"/>
                <w:sz w:val="14"/>
                <w:szCs w:val="14"/>
                <w:color w:val="auto"/>
              </w:rPr>
              <w:t xml:space="preserve">Return on assets - GAAP </w:t>
            </w:r>
            <w:r>
              <w:rPr>
                <w:rFonts w:ascii="Times New Roman" w:cs="Times New Roman" w:eastAsia="Times New Roman" w:hAnsi="Times New Roman"/>
                <w:sz w:val="18"/>
                <w:szCs w:val="18"/>
                <w:color w:val="auto"/>
                <w:vertAlign w:val="superscript"/>
              </w:rPr>
              <w:t>(4)</w:t>
            </w:r>
          </w:p>
        </w:tc>
        <w:tc>
          <w:tcPr>
            <w:tcW w:w="140" w:type="dxa"/>
            <w:vAlign w:val="bottom"/>
          </w:tcPr>
          <w:p>
            <w:pPr>
              <w:spacing w:after="0"/>
              <w:rPr>
                <w:sz w:val="16"/>
                <w:szCs w:val="16"/>
                <w:color w:val="auto"/>
              </w:rPr>
            </w:pPr>
          </w:p>
        </w:tc>
        <w:tc>
          <w:tcPr>
            <w:tcW w:w="76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1.29</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jc w:val="right"/>
              <w:ind w:right="90"/>
              <w:spacing w:after="0"/>
              <w:rPr>
                <w:sz w:val="20"/>
                <w:szCs w:val="20"/>
                <w:color w:val="auto"/>
              </w:rPr>
            </w:pPr>
            <w:r>
              <w:rPr>
                <w:rFonts w:ascii="Times New Roman" w:cs="Times New Roman" w:eastAsia="Times New Roman" w:hAnsi="Times New Roman"/>
                <w:sz w:val="14"/>
                <w:szCs w:val="14"/>
                <w:color w:val="auto"/>
              </w:rPr>
              <w:t>1.11</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jc w:val="right"/>
              <w:ind w:right="90"/>
              <w:spacing w:after="0"/>
              <w:rPr>
                <w:sz w:val="20"/>
                <w:szCs w:val="20"/>
                <w:color w:val="auto"/>
              </w:rPr>
            </w:pPr>
            <w:r>
              <w:rPr>
                <w:rFonts w:ascii="Times New Roman" w:cs="Times New Roman" w:eastAsia="Times New Roman" w:hAnsi="Times New Roman"/>
                <w:sz w:val="14"/>
                <w:szCs w:val="14"/>
                <w:color w:val="auto"/>
              </w:rPr>
              <w:t>1.02</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1.06</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0.67</w:t>
            </w:r>
          </w:p>
        </w:tc>
        <w:tc>
          <w:tcPr>
            <w:tcW w:w="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1.16</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0.85</w:t>
            </w:r>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420" w:type="dxa"/>
            <w:vAlign w:val="bottom"/>
            <w:gridSpan w:val="2"/>
            <w:shd w:val="clear" w:color="auto" w:fill="CCEEFF"/>
          </w:tcPr>
          <w:p>
            <w:pPr>
              <w:ind w:left="220"/>
              <w:spacing w:after="0" w:line="189" w:lineRule="exact"/>
              <w:rPr>
                <w:sz w:val="20"/>
                <w:szCs w:val="20"/>
                <w:color w:val="auto"/>
              </w:rPr>
            </w:pPr>
            <w:r>
              <w:rPr>
                <w:rFonts w:ascii="Times New Roman" w:cs="Times New Roman" w:eastAsia="Times New Roman" w:hAnsi="Times New Roman"/>
                <w:sz w:val="14"/>
                <w:szCs w:val="14"/>
                <w:color w:val="auto"/>
              </w:rPr>
              <w:t xml:space="preserve">Return on assets - operating </w:t>
            </w:r>
            <w:r>
              <w:rPr>
                <w:rFonts w:ascii="Times New Roman" w:cs="Times New Roman" w:eastAsia="Times New Roman" w:hAnsi="Times New Roman"/>
                <w:sz w:val="18"/>
                <w:szCs w:val="18"/>
                <w:color w:val="auto"/>
                <w:vertAlign w:val="superscript"/>
              </w:rPr>
              <w:t>(1)(4)</w:t>
            </w:r>
          </w:p>
        </w:tc>
        <w:tc>
          <w:tcPr>
            <w:tcW w:w="140" w:type="dxa"/>
            <w:vAlign w:val="bottom"/>
            <w:shd w:val="clear" w:color="auto" w:fill="CCEEFF"/>
          </w:tcPr>
          <w:p>
            <w:pPr>
              <w:spacing w:after="0"/>
              <w:rPr>
                <w:sz w:val="16"/>
                <w:szCs w:val="16"/>
                <w:color w:val="auto"/>
              </w:rPr>
            </w:pPr>
          </w:p>
        </w:tc>
        <w:tc>
          <w:tcPr>
            <w:tcW w:w="76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1.33</w:t>
            </w: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6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4"/>
                <w:szCs w:val="14"/>
                <w:color w:val="auto"/>
              </w:rPr>
              <w:t>1.16</w:t>
            </w: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2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4"/>
                <w:szCs w:val="14"/>
                <w:color w:val="auto"/>
              </w:rPr>
              <w:t>1.04</w:t>
            </w: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6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1.08</w:t>
            </w: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6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1.01</w:t>
            </w:r>
          </w:p>
        </w:tc>
        <w:tc>
          <w:tcPr>
            <w:tcW w:w="8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4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1.19</w:t>
            </w: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0.99</w:t>
            </w:r>
          </w:p>
        </w:tc>
        <w:tc>
          <w:tcPr>
            <w:tcW w:w="8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420" w:type="dxa"/>
            <w:vAlign w:val="bottom"/>
            <w:gridSpan w:val="2"/>
          </w:tcPr>
          <w:p>
            <w:pPr>
              <w:ind w:left="220"/>
              <w:spacing w:after="0" w:line="189" w:lineRule="exact"/>
              <w:rPr>
                <w:sz w:val="20"/>
                <w:szCs w:val="20"/>
                <w:color w:val="auto"/>
              </w:rPr>
            </w:pPr>
            <w:r>
              <w:rPr>
                <w:rFonts w:ascii="Times New Roman" w:cs="Times New Roman" w:eastAsia="Times New Roman" w:hAnsi="Times New Roman"/>
                <w:sz w:val="14"/>
                <w:szCs w:val="14"/>
                <w:color w:val="auto"/>
              </w:rPr>
              <w:t xml:space="preserve">Net interest margin (FTE) </w:t>
            </w:r>
            <w:r>
              <w:rPr>
                <w:rFonts w:ascii="Times New Roman" w:cs="Times New Roman" w:eastAsia="Times New Roman" w:hAnsi="Times New Roman"/>
                <w:sz w:val="18"/>
                <w:szCs w:val="18"/>
                <w:color w:val="auto"/>
                <w:vertAlign w:val="superscript"/>
              </w:rPr>
              <w:t>(4)</w:t>
            </w:r>
          </w:p>
        </w:tc>
        <w:tc>
          <w:tcPr>
            <w:tcW w:w="140" w:type="dxa"/>
            <w:vAlign w:val="bottom"/>
          </w:tcPr>
          <w:p>
            <w:pPr>
              <w:spacing w:after="0"/>
              <w:rPr>
                <w:sz w:val="16"/>
                <w:szCs w:val="16"/>
                <w:color w:val="auto"/>
              </w:rPr>
            </w:pPr>
          </w:p>
        </w:tc>
        <w:tc>
          <w:tcPr>
            <w:tcW w:w="76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3.58</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jc w:val="right"/>
              <w:ind w:right="90"/>
              <w:spacing w:after="0"/>
              <w:rPr>
                <w:sz w:val="20"/>
                <w:szCs w:val="20"/>
                <w:color w:val="auto"/>
              </w:rPr>
            </w:pPr>
            <w:r>
              <w:rPr>
                <w:rFonts w:ascii="Times New Roman" w:cs="Times New Roman" w:eastAsia="Times New Roman" w:hAnsi="Times New Roman"/>
                <w:sz w:val="14"/>
                <w:szCs w:val="14"/>
                <w:color w:val="auto"/>
              </w:rPr>
              <w:t>3.50</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jc w:val="right"/>
              <w:ind w:right="90"/>
              <w:spacing w:after="0"/>
              <w:rPr>
                <w:sz w:val="20"/>
                <w:szCs w:val="20"/>
                <w:color w:val="auto"/>
              </w:rPr>
            </w:pPr>
            <w:r>
              <w:rPr>
                <w:rFonts w:ascii="Times New Roman" w:cs="Times New Roman" w:eastAsia="Times New Roman" w:hAnsi="Times New Roman"/>
                <w:sz w:val="14"/>
                <w:szCs w:val="14"/>
                <w:color w:val="auto"/>
              </w:rPr>
              <w:t>3.36</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3.26</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3.33</w:t>
            </w:r>
          </w:p>
        </w:tc>
        <w:tc>
          <w:tcPr>
            <w:tcW w:w="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3.48</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3.30</w:t>
            </w:r>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4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Efficiency ratio - GAAP</w:t>
            </w:r>
          </w:p>
        </w:tc>
        <w:tc>
          <w:tcPr>
            <w:tcW w:w="140" w:type="dxa"/>
            <w:vAlign w:val="bottom"/>
            <w:shd w:val="clear" w:color="auto" w:fill="CCEEFF"/>
          </w:tcPr>
          <w:p>
            <w:pPr>
              <w:spacing w:after="0"/>
              <w:rPr>
                <w:sz w:val="16"/>
                <w:szCs w:val="16"/>
                <w:color w:val="auto"/>
              </w:rPr>
            </w:pPr>
          </w:p>
        </w:tc>
        <w:tc>
          <w:tcPr>
            <w:tcW w:w="76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54.30</w:t>
            </w: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6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4"/>
                <w:szCs w:val="14"/>
                <w:color w:val="auto"/>
              </w:rPr>
              <w:t>56.69</w:t>
            </w: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2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4"/>
                <w:szCs w:val="14"/>
                <w:color w:val="auto"/>
              </w:rPr>
              <w:t>56.74</w:t>
            </w: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6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56.05</w:t>
            </w: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6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65.51</w:t>
            </w:r>
          </w:p>
        </w:tc>
        <w:tc>
          <w:tcPr>
            <w:tcW w:w="8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4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55.86</w:t>
            </w: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61.76</w:t>
            </w:r>
          </w:p>
        </w:tc>
        <w:tc>
          <w:tcPr>
            <w:tcW w:w="8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420" w:type="dxa"/>
            <w:vAlign w:val="bottom"/>
            <w:gridSpan w:val="2"/>
          </w:tcPr>
          <w:p>
            <w:pPr>
              <w:ind w:left="220"/>
              <w:spacing w:after="0" w:line="189" w:lineRule="exact"/>
              <w:rPr>
                <w:sz w:val="20"/>
                <w:szCs w:val="20"/>
                <w:color w:val="auto"/>
              </w:rPr>
            </w:pPr>
            <w:r>
              <w:rPr>
                <w:rFonts w:ascii="Times New Roman" w:cs="Times New Roman" w:eastAsia="Times New Roman" w:hAnsi="Times New Roman"/>
                <w:sz w:val="14"/>
                <w:szCs w:val="14"/>
                <w:color w:val="auto"/>
              </w:rPr>
              <w:t xml:space="preserve">Efficiency ratio - operating </w:t>
            </w:r>
            <w:r>
              <w:rPr>
                <w:rFonts w:ascii="Times New Roman" w:cs="Times New Roman" w:eastAsia="Times New Roman" w:hAnsi="Times New Roman"/>
                <w:sz w:val="18"/>
                <w:szCs w:val="18"/>
                <w:color w:val="auto"/>
                <w:vertAlign w:val="superscript"/>
              </w:rPr>
              <w:t>(1)</w:t>
            </w:r>
          </w:p>
        </w:tc>
        <w:tc>
          <w:tcPr>
            <w:tcW w:w="140" w:type="dxa"/>
            <w:vAlign w:val="bottom"/>
          </w:tcPr>
          <w:p>
            <w:pPr>
              <w:spacing w:after="0"/>
              <w:rPr>
                <w:sz w:val="16"/>
                <w:szCs w:val="16"/>
                <w:color w:val="auto"/>
              </w:rPr>
            </w:pPr>
          </w:p>
        </w:tc>
        <w:tc>
          <w:tcPr>
            <w:tcW w:w="76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53.05</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jc w:val="right"/>
              <w:ind w:right="90"/>
              <w:spacing w:after="0"/>
              <w:rPr>
                <w:sz w:val="20"/>
                <w:szCs w:val="20"/>
                <w:color w:val="auto"/>
              </w:rPr>
            </w:pPr>
            <w:r>
              <w:rPr>
                <w:rFonts w:ascii="Times New Roman" w:cs="Times New Roman" w:eastAsia="Times New Roman" w:hAnsi="Times New Roman"/>
                <w:sz w:val="14"/>
                <w:szCs w:val="14"/>
                <w:color w:val="auto"/>
              </w:rPr>
              <w:t>54.84</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jc w:val="right"/>
              <w:ind w:right="90"/>
              <w:spacing w:after="0"/>
              <w:rPr>
                <w:sz w:val="20"/>
                <w:szCs w:val="20"/>
                <w:color w:val="auto"/>
              </w:rPr>
            </w:pPr>
            <w:r>
              <w:rPr>
                <w:rFonts w:ascii="Times New Roman" w:cs="Times New Roman" w:eastAsia="Times New Roman" w:hAnsi="Times New Roman"/>
                <w:sz w:val="14"/>
                <w:szCs w:val="14"/>
                <w:color w:val="auto"/>
              </w:rPr>
              <w:t>56.22</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55.18</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57.37</w:t>
            </w:r>
          </w:p>
        </w:tc>
        <w:tc>
          <w:tcPr>
            <w:tcW w:w="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54.64</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57.84</w:t>
            </w:r>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4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Equity to total assets</w:t>
            </w:r>
          </w:p>
        </w:tc>
        <w:tc>
          <w:tcPr>
            <w:tcW w:w="140" w:type="dxa"/>
            <w:vAlign w:val="bottom"/>
            <w:shd w:val="clear" w:color="auto" w:fill="CCEEFF"/>
          </w:tcPr>
          <w:p>
            <w:pPr>
              <w:spacing w:after="0"/>
              <w:rPr>
                <w:sz w:val="16"/>
                <w:szCs w:val="16"/>
                <w:color w:val="auto"/>
              </w:rPr>
            </w:pPr>
          </w:p>
        </w:tc>
        <w:tc>
          <w:tcPr>
            <w:tcW w:w="76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12.78</w:t>
            </w: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6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4"/>
                <w:szCs w:val="14"/>
                <w:color w:val="auto"/>
              </w:rPr>
              <w:t>12.86</w:t>
            </w: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2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4"/>
                <w:szCs w:val="14"/>
                <w:color w:val="auto"/>
              </w:rPr>
              <w:t>12.56</w:t>
            </w: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6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12.38</w:t>
            </w: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6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12.45</w:t>
            </w:r>
          </w:p>
        </w:tc>
        <w:tc>
          <w:tcPr>
            <w:tcW w:w="8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4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12.78</w:t>
            </w: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12.45</w:t>
            </w:r>
          </w:p>
        </w:tc>
        <w:tc>
          <w:tcPr>
            <w:tcW w:w="8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2420" w:type="dxa"/>
            <w:vAlign w:val="bottom"/>
            <w:gridSpan w:val="2"/>
          </w:tcPr>
          <w:p>
            <w:pPr>
              <w:ind w:left="220"/>
              <w:spacing w:after="0" w:line="135" w:lineRule="exact"/>
              <w:rPr>
                <w:sz w:val="20"/>
                <w:szCs w:val="20"/>
                <w:color w:val="auto"/>
              </w:rPr>
            </w:pPr>
            <w:r>
              <w:rPr>
                <w:rFonts w:ascii="Times New Roman" w:cs="Times New Roman" w:eastAsia="Times New Roman" w:hAnsi="Times New Roman"/>
                <w:sz w:val="14"/>
                <w:szCs w:val="14"/>
                <w:color w:val="auto"/>
              </w:rPr>
              <w:t>Tangible common equity to tangible</w:t>
            </w: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3"/>
        </w:trPr>
        <w:tc>
          <w:tcPr>
            <w:tcW w:w="2420" w:type="dxa"/>
            <w:vAlign w:val="bottom"/>
            <w:gridSpan w:val="2"/>
          </w:tcPr>
          <w:p>
            <w:pPr>
              <w:ind w:left="220"/>
              <w:spacing w:after="0" w:line="202" w:lineRule="exact"/>
              <w:rPr>
                <w:sz w:val="20"/>
                <w:szCs w:val="20"/>
                <w:color w:val="auto"/>
              </w:rPr>
            </w:pPr>
            <w:r>
              <w:rPr>
                <w:rFonts w:ascii="Times New Roman" w:cs="Times New Roman" w:eastAsia="Times New Roman" w:hAnsi="Times New Roman"/>
                <w:sz w:val="14"/>
                <w:szCs w:val="14"/>
                <w:color w:val="auto"/>
              </w:rPr>
              <w:t xml:space="preserve">assets </w:t>
            </w:r>
            <w:r>
              <w:rPr>
                <w:rFonts w:ascii="Times New Roman" w:cs="Times New Roman" w:eastAsia="Times New Roman" w:hAnsi="Times New Roman"/>
                <w:sz w:val="18"/>
                <w:szCs w:val="18"/>
                <w:color w:val="auto"/>
                <w:vertAlign w:val="superscript"/>
              </w:rPr>
              <w:t>(3)</w:t>
            </w:r>
          </w:p>
        </w:tc>
        <w:tc>
          <w:tcPr>
            <w:tcW w:w="140" w:type="dxa"/>
            <w:vAlign w:val="bottom"/>
          </w:tcPr>
          <w:p>
            <w:pPr>
              <w:spacing w:after="0"/>
              <w:rPr>
                <w:sz w:val="17"/>
                <w:szCs w:val="17"/>
                <w:color w:val="auto"/>
              </w:rPr>
            </w:pPr>
          </w:p>
        </w:tc>
        <w:tc>
          <w:tcPr>
            <w:tcW w:w="76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9.71</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jc w:val="right"/>
              <w:ind w:right="90"/>
              <w:spacing w:after="0"/>
              <w:rPr>
                <w:sz w:val="20"/>
                <w:szCs w:val="20"/>
                <w:color w:val="auto"/>
              </w:rPr>
            </w:pPr>
            <w:r>
              <w:rPr>
                <w:rFonts w:ascii="Times New Roman" w:cs="Times New Roman" w:eastAsia="Times New Roman" w:hAnsi="Times New Roman"/>
                <w:sz w:val="14"/>
                <w:szCs w:val="14"/>
                <w:color w:val="auto"/>
              </w:rPr>
              <w:t>9.45</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jc w:val="right"/>
              <w:ind w:right="90"/>
              <w:spacing w:after="0"/>
              <w:rPr>
                <w:sz w:val="20"/>
                <w:szCs w:val="20"/>
                <w:color w:val="auto"/>
              </w:rPr>
            </w:pPr>
            <w:r>
              <w:rPr>
                <w:rFonts w:ascii="Times New Roman" w:cs="Times New Roman" w:eastAsia="Times New Roman" w:hAnsi="Times New Roman"/>
                <w:sz w:val="14"/>
                <w:szCs w:val="14"/>
                <w:color w:val="auto"/>
              </w:rPr>
              <w:t>9.18</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8.97</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8.93</w:t>
            </w: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9.71</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8.93</w:t>
            </w: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08"/>
        </w:trPr>
        <w:tc>
          <w:tcPr>
            <w:tcW w:w="23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7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7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7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7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7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8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9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74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87"/>
        </w:trPr>
        <w:tc>
          <w:tcPr>
            <w:tcW w:w="24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ASSET QUALITY</w:t>
            </w: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24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NPAs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97,916</w:t>
            </w: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4"/>
                <w:szCs w:val="14"/>
                <w:color w:val="auto"/>
              </w:rPr>
              <w:t>83,959</w:t>
            </w: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4"/>
                <w:szCs w:val="14"/>
                <w:color w:val="auto"/>
              </w:rPr>
              <w:t>93,290</w:t>
            </w: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115,635</w:t>
            </w: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114,960</w:t>
            </w:r>
          </w:p>
        </w:tc>
        <w:tc>
          <w:tcPr>
            <w:tcW w:w="90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4"/>
                <w:szCs w:val="14"/>
                <w:color w:val="auto"/>
              </w:rPr>
              <w:t>(15)</w:t>
            </w: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97,916</w:t>
            </w: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114,960</w:t>
            </w:r>
          </w:p>
        </w:tc>
        <w:tc>
          <w:tcPr>
            <w:tcW w:w="82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4"/>
                <w:szCs w:val="14"/>
                <w:color w:val="auto"/>
              </w:rPr>
              <w:t>(15)</w:t>
            </w:r>
          </w:p>
        </w:tc>
        <w:tc>
          <w:tcPr>
            <w:tcW w:w="0" w:type="dxa"/>
            <w:vAlign w:val="bottom"/>
          </w:tcPr>
          <w:p>
            <w:pPr>
              <w:spacing w:after="0"/>
              <w:rPr>
                <w:sz w:val="1"/>
                <w:szCs w:val="1"/>
                <w:color w:val="auto"/>
              </w:rPr>
            </w:pPr>
          </w:p>
        </w:tc>
      </w:tr>
      <w:tr>
        <w:trPr>
          <w:trHeight w:val="186"/>
        </w:trPr>
        <w:tc>
          <w:tcPr>
            <w:tcW w:w="242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ACL - loans</w:t>
            </w:r>
          </w:p>
        </w:tc>
        <w:tc>
          <w:tcPr>
            <w:tcW w:w="140" w:type="dxa"/>
            <w:vAlign w:val="bottom"/>
          </w:tcPr>
          <w:p>
            <w:pPr>
              <w:spacing w:after="0"/>
              <w:rPr>
                <w:sz w:val="16"/>
                <w:szCs w:val="16"/>
                <w:color w:val="auto"/>
              </w:rPr>
            </w:pPr>
          </w:p>
        </w:tc>
        <w:tc>
          <w:tcPr>
            <w:tcW w:w="76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215,791</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jc w:val="right"/>
              <w:ind w:right="90"/>
              <w:spacing w:after="0"/>
              <w:rPr>
                <w:sz w:val="20"/>
                <w:szCs w:val="20"/>
                <w:color w:val="auto"/>
              </w:rPr>
            </w:pPr>
            <w:r>
              <w:rPr>
                <w:rFonts w:ascii="Times New Roman" w:cs="Times New Roman" w:eastAsia="Times New Roman" w:hAnsi="Times New Roman"/>
                <w:sz w:val="14"/>
                <w:szCs w:val="14"/>
                <w:color w:val="auto"/>
              </w:rPr>
              <w:t>216,500</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jc w:val="right"/>
              <w:ind w:right="90"/>
              <w:spacing w:after="0"/>
              <w:rPr>
                <w:sz w:val="20"/>
                <w:szCs w:val="20"/>
                <w:color w:val="auto"/>
              </w:rPr>
            </w:pPr>
            <w:r>
              <w:rPr>
                <w:rFonts w:ascii="Times New Roman" w:cs="Times New Roman" w:eastAsia="Times New Roman" w:hAnsi="Times New Roman"/>
                <w:sz w:val="14"/>
                <w:szCs w:val="14"/>
                <w:color w:val="auto"/>
              </w:rPr>
              <w:t>211,974</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206,998</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205,290</w:t>
            </w:r>
          </w:p>
        </w:tc>
        <w:tc>
          <w:tcPr>
            <w:tcW w:w="900" w:type="dxa"/>
            <w:vAlign w:val="bottom"/>
            <w:gridSpan w:val="2"/>
          </w:tcPr>
          <w:p>
            <w:pPr>
              <w:jc w:val="right"/>
              <w:ind w:right="90"/>
              <w:spacing w:after="0"/>
              <w:rPr>
                <w:sz w:val="20"/>
                <w:szCs w:val="20"/>
                <w:color w:val="auto"/>
              </w:rPr>
            </w:pPr>
            <w:r>
              <w:rPr>
                <w:rFonts w:ascii="Times New Roman" w:cs="Times New Roman" w:eastAsia="Times New Roman" w:hAnsi="Times New Roman"/>
                <w:sz w:val="14"/>
                <w:szCs w:val="14"/>
                <w:color w:val="auto"/>
              </w:rPr>
              <w:t>5</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215,791</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205,290</w:t>
            </w:r>
          </w:p>
        </w:tc>
        <w:tc>
          <w:tcPr>
            <w:tcW w:w="820" w:type="dxa"/>
            <w:vAlign w:val="bottom"/>
            <w:gridSpan w:val="2"/>
          </w:tcPr>
          <w:p>
            <w:pPr>
              <w:jc w:val="right"/>
              <w:ind w:right="90"/>
              <w:spacing w:after="0"/>
              <w:rPr>
                <w:sz w:val="20"/>
                <w:szCs w:val="20"/>
                <w:color w:val="auto"/>
              </w:rPr>
            </w:pPr>
            <w:r>
              <w:rPr>
                <w:rFonts w:ascii="Times New Roman" w:cs="Times New Roman" w:eastAsia="Times New Roman" w:hAnsi="Times New Roman"/>
                <w:sz w:val="14"/>
                <w:szCs w:val="14"/>
                <w:color w:val="auto"/>
              </w:rPr>
              <w:t>5</w:t>
            </w:r>
          </w:p>
        </w:tc>
        <w:tc>
          <w:tcPr>
            <w:tcW w:w="0" w:type="dxa"/>
            <w:vAlign w:val="bottom"/>
          </w:tcPr>
          <w:p>
            <w:pPr>
              <w:spacing w:after="0"/>
              <w:rPr>
                <w:sz w:val="1"/>
                <w:szCs w:val="1"/>
                <w:color w:val="auto"/>
              </w:rPr>
            </w:pPr>
          </w:p>
        </w:tc>
      </w:tr>
      <w:tr>
        <w:trPr>
          <w:trHeight w:val="192"/>
        </w:trPr>
        <w:tc>
          <w:tcPr>
            <w:tcW w:w="24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Net charge-offs</w:t>
            </w:r>
          </w:p>
        </w:tc>
        <w:tc>
          <w:tcPr>
            <w:tcW w:w="140" w:type="dxa"/>
            <w:vAlign w:val="bottom"/>
            <w:shd w:val="clear" w:color="auto" w:fill="CCEEFF"/>
          </w:tcPr>
          <w:p>
            <w:pPr>
              <w:spacing w:after="0"/>
              <w:rPr>
                <w:sz w:val="16"/>
                <w:szCs w:val="16"/>
                <w:color w:val="auto"/>
              </w:rPr>
            </w:pPr>
          </w:p>
        </w:tc>
        <w:tc>
          <w:tcPr>
            <w:tcW w:w="76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7,676</w:t>
            </w: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6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4"/>
                <w:szCs w:val="14"/>
                <w:color w:val="auto"/>
              </w:rPr>
              <w:t>8,225</w:t>
            </w: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2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4"/>
                <w:szCs w:val="14"/>
                <w:color w:val="auto"/>
              </w:rPr>
              <w:t>9,607</w:t>
            </w: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6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9,517</w:t>
            </w: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6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23,651</w:t>
            </w:r>
          </w:p>
        </w:tc>
        <w:tc>
          <w:tcPr>
            <w:tcW w:w="80" w:type="dxa"/>
            <w:vAlign w:val="bottom"/>
            <w:shd w:val="clear" w:color="auto" w:fill="CCEEFF"/>
          </w:tcPr>
          <w:p>
            <w:pPr>
              <w:spacing w:after="0"/>
              <w:rPr>
                <w:sz w:val="16"/>
                <w:szCs w:val="16"/>
                <w:color w:val="auto"/>
              </w:rPr>
            </w:pPr>
          </w:p>
        </w:tc>
        <w:tc>
          <w:tcPr>
            <w:tcW w:w="90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4"/>
                <w:szCs w:val="14"/>
                <w:color w:val="auto"/>
              </w:rPr>
              <w:t>n/m</w:t>
            </w:r>
          </w:p>
        </w:tc>
        <w:tc>
          <w:tcPr>
            <w:tcW w:w="180" w:type="dxa"/>
            <w:vAlign w:val="bottom"/>
            <w:shd w:val="clear" w:color="auto" w:fill="CCEEFF"/>
          </w:tcPr>
          <w:p>
            <w:pPr>
              <w:spacing w:after="0"/>
              <w:rPr>
                <w:sz w:val="16"/>
                <w:szCs w:val="16"/>
                <w:color w:val="auto"/>
              </w:rPr>
            </w:pPr>
          </w:p>
        </w:tc>
        <w:tc>
          <w:tcPr>
            <w:tcW w:w="84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25,508</w:t>
            </w: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48,173</w:t>
            </w:r>
          </w:p>
        </w:tc>
        <w:tc>
          <w:tcPr>
            <w:tcW w:w="80" w:type="dxa"/>
            <w:vAlign w:val="bottom"/>
            <w:shd w:val="clear" w:color="auto" w:fill="CCEEFF"/>
          </w:tcPr>
          <w:p>
            <w:pPr>
              <w:spacing w:after="0"/>
              <w:rPr>
                <w:sz w:val="16"/>
                <w:szCs w:val="16"/>
                <w:color w:val="auto"/>
              </w:rPr>
            </w:pPr>
          </w:p>
        </w:tc>
        <w:tc>
          <w:tcPr>
            <w:tcW w:w="7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color w:val="auto"/>
              </w:rPr>
              <w:t>n/m</w:t>
            </w:r>
          </w:p>
        </w:tc>
        <w:tc>
          <w:tcPr>
            <w:tcW w:w="0" w:type="dxa"/>
            <w:vAlign w:val="bottom"/>
          </w:tcPr>
          <w:p>
            <w:pPr>
              <w:spacing w:after="0"/>
              <w:rPr>
                <w:sz w:val="1"/>
                <w:szCs w:val="1"/>
                <w:color w:val="auto"/>
              </w:rPr>
            </w:pPr>
          </w:p>
        </w:tc>
      </w:tr>
      <w:tr>
        <w:trPr>
          <w:trHeight w:val="186"/>
        </w:trPr>
        <w:tc>
          <w:tcPr>
            <w:tcW w:w="242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ACL - loans to loans</w:t>
            </w:r>
          </w:p>
        </w:tc>
        <w:tc>
          <w:tcPr>
            <w:tcW w:w="14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1.13 %</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1.14 %</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1.15 %</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1.14 %</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1.14 %</w:t>
            </w:r>
          </w:p>
        </w:tc>
        <w:tc>
          <w:tcPr>
            <w:tcW w:w="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1.13 %</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1.14 %</w:t>
            </w:r>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420" w:type="dxa"/>
            <w:vAlign w:val="bottom"/>
            <w:gridSpan w:val="2"/>
            <w:shd w:val="clear" w:color="auto" w:fill="CCEEFF"/>
          </w:tcPr>
          <w:p>
            <w:pPr>
              <w:ind w:left="140"/>
              <w:spacing w:after="0" w:line="193" w:lineRule="exact"/>
              <w:rPr>
                <w:sz w:val="20"/>
                <w:szCs w:val="20"/>
                <w:color w:val="auto"/>
              </w:rPr>
            </w:pPr>
            <w:r>
              <w:rPr>
                <w:rFonts w:ascii="Times New Roman" w:cs="Times New Roman" w:eastAsia="Times New Roman" w:hAnsi="Times New Roman"/>
                <w:sz w:val="14"/>
                <w:szCs w:val="14"/>
                <w:color w:val="auto"/>
              </w:rPr>
              <w:t xml:space="preserve">Net charge-offs to average loans </w:t>
            </w:r>
            <w:r>
              <w:rPr>
                <w:rFonts w:ascii="Times New Roman" w:cs="Times New Roman" w:eastAsia="Times New Roman" w:hAnsi="Times New Roman"/>
                <w:sz w:val="18"/>
                <w:szCs w:val="18"/>
                <w:color w:val="auto"/>
                <w:vertAlign w:val="superscript"/>
              </w:rPr>
              <w:t>(4)</w:t>
            </w:r>
          </w:p>
        </w:tc>
        <w:tc>
          <w:tcPr>
            <w:tcW w:w="140" w:type="dxa"/>
            <w:vAlign w:val="bottom"/>
            <w:shd w:val="clear" w:color="auto" w:fill="CCEEFF"/>
          </w:tcPr>
          <w:p>
            <w:pPr>
              <w:spacing w:after="0"/>
              <w:rPr>
                <w:sz w:val="16"/>
                <w:szCs w:val="16"/>
                <w:color w:val="auto"/>
              </w:rPr>
            </w:pPr>
          </w:p>
        </w:tc>
        <w:tc>
          <w:tcPr>
            <w:tcW w:w="76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0.16</w:t>
            </w: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6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4"/>
                <w:szCs w:val="14"/>
                <w:color w:val="auto"/>
              </w:rPr>
              <w:t>0.18</w:t>
            </w: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2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4"/>
                <w:szCs w:val="14"/>
                <w:color w:val="auto"/>
              </w:rPr>
              <w:t>0.21</w:t>
            </w: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6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0.21</w:t>
            </w: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6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0.52</w:t>
            </w:r>
          </w:p>
        </w:tc>
        <w:tc>
          <w:tcPr>
            <w:tcW w:w="8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4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0.18</w:t>
            </w: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0.35</w:t>
            </w:r>
          </w:p>
        </w:tc>
        <w:tc>
          <w:tcPr>
            <w:tcW w:w="8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242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NPAs to total assets</w:t>
            </w:r>
          </w:p>
        </w:tc>
        <w:tc>
          <w:tcPr>
            <w:tcW w:w="140" w:type="dxa"/>
            <w:vAlign w:val="bottom"/>
          </w:tcPr>
          <w:p>
            <w:pPr>
              <w:spacing w:after="0"/>
              <w:rPr>
                <w:sz w:val="16"/>
                <w:szCs w:val="16"/>
                <w:color w:val="auto"/>
              </w:rPr>
            </w:pPr>
          </w:p>
        </w:tc>
        <w:tc>
          <w:tcPr>
            <w:tcW w:w="76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0.35</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jc w:val="right"/>
              <w:ind w:right="90"/>
              <w:spacing w:after="0"/>
              <w:rPr>
                <w:sz w:val="20"/>
                <w:szCs w:val="20"/>
                <w:color w:val="auto"/>
              </w:rPr>
            </w:pPr>
            <w:r>
              <w:rPr>
                <w:rFonts w:ascii="Times New Roman" w:cs="Times New Roman" w:eastAsia="Times New Roman" w:hAnsi="Times New Roman"/>
                <w:sz w:val="14"/>
                <w:szCs w:val="14"/>
                <w:color w:val="auto"/>
              </w:rPr>
              <w:t>0.30</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jc w:val="right"/>
              <w:ind w:right="90"/>
              <w:spacing w:after="0"/>
              <w:rPr>
                <w:sz w:val="20"/>
                <w:szCs w:val="20"/>
                <w:color w:val="auto"/>
              </w:rPr>
            </w:pPr>
            <w:r>
              <w:rPr>
                <w:rFonts w:ascii="Times New Roman" w:cs="Times New Roman" w:eastAsia="Times New Roman" w:hAnsi="Times New Roman"/>
                <w:sz w:val="14"/>
                <w:szCs w:val="14"/>
                <w:color w:val="auto"/>
              </w:rPr>
              <w:t>0.33</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0.42</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0.42</w:t>
            </w:r>
          </w:p>
        </w:tc>
        <w:tc>
          <w:tcPr>
            <w:tcW w:w="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0.35</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0.42</w:t>
            </w:r>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11"/>
        </w:trPr>
        <w:tc>
          <w:tcPr>
            <w:tcW w:w="23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7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7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7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7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7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8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9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74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87"/>
        </w:trPr>
        <w:tc>
          <w:tcPr>
            <w:tcW w:w="24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 xml:space="preserve">AT PERIOD END </w:t>
            </w:r>
            <w:r>
              <w:rPr>
                <w:rFonts w:ascii="Times New Roman" w:cs="Times New Roman" w:eastAsia="Times New Roman" w:hAnsi="Times New Roman"/>
                <w:sz w:val="14"/>
                <w:szCs w:val="14"/>
                <w:i w:val="1"/>
                <w:iCs w:val="1"/>
                <w:color w:val="auto"/>
              </w:rPr>
              <w:t>($ in millions)</w:t>
            </w: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24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Loans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19,175</w:t>
            </w: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4"/>
                <w:szCs w:val="14"/>
                <w:color w:val="auto"/>
              </w:rPr>
              <w:t>18,921</w:t>
            </w: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4"/>
                <w:szCs w:val="14"/>
                <w:color w:val="auto"/>
              </w:rPr>
              <w:t>18,425</w:t>
            </w: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18,176</w:t>
            </w: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17,964</w:t>
            </w:r>
          </w:p>
        </w:tc>
        <w:tc>
          <w:tcPr>
            <w:tcW w:w="90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4"/>
                <w:szCs w:val="14"/>
                <w:color w:val="auto"/>
              </w:rPr>
              <w:t>7</w:t>
            </w: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19,175</w:t>
            </w: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17,964</w:t>
            </w:r>
          </w:p>
        </w:tc>
        <w:tc>
          <w:tcPr>
            <w:tcW w:w="82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4"/>
                <w:szCs w:val="14"/>
                <w:color w:val="auto"/>
              </w:rPr>
              <w:t>7</w:t>
            </w:r>
          </w:p>
        </w:tc>
        <w:tc>
          <w:tcPr>
            <w:tcW w:w="0" w:type="dxa"/>
            <w:vAlign w:val="bottom"/>
          </w:tcPr>
          <w:p>
            <w:pPr>
              <w:spacing w:after="0"/>
              <w:rPr>
                <w:sz w:val="1"/>
                <w:szCs w:val="1"/>
                <w:color w:val="auto"/>
              </w:rPr>
            </w:pPr>
          </w:p>
        </w:tc>
      </w:tr>
      <w:tr>
        <w:trPr>
          <w:trHeight w:val="186"/>
        </w:trPr>
        <w:tc>
          <w:tcPr>
            <w:tcW w:w="242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Investment securities</w:t>
            </w:r>
          </w:p>
        </w:tc>
        <w:tc>
          <w:tcPr>
            <w:tcW w:w="140" w:type="dxa"/>
            <w:vAlign w:val="bottom"/>
          </w:tcPr>
          <w:p>
            <w:pPr>
              <w:spacing w:after="0"/>
              <w:rPr>
                <w:sz w:val="16"/>
                <w:szCs w:val="16"/>
                <w:color w:val="auto"/>
              </w:rPr>
            </w:pPr>
          </w:p>
        </w:tc>
        <w:tc>
          <w:tcPr>
            <w:tcW w:w="76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6,163</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jc w:val="right"/>
              <w:ind w:right="90"/>
              <w:spacing w:after="0"/>
              <w:rPr>
                <w:sz w:val="20"/>
                <w:szCs w:val="20"/>
                <w:color w:val="auto"/>
              </w:rPr>
            </w:pPr>
            <w:r>
              <w:rPr>
                <w:rFonts w:ascii="Times New Roman" w:cs="Times New Roman" w:eastAsia="Times New Roman" w:hAnsi="Times New Roman"/>
                <w:sz w:val="14"/>
                <w:szCs w:val="14"/>
                <w:color w:val="auto"/>
              </w:rPr>
              <w:t>6,382</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jc w:val="right"/>
              <w:ind w:right="90"/>
              <w:spacing w:after="0"/>
              <w:rPr>
                <w:sz w:val="20"/>
                <w:szCs w:val="20"/>
                <w:color w:val="auto"/>
              </w:rPr>
            </w:pPr>
            <w:r>
              <w:rPr>
                <w:rFonts w:ascii="Times New Roman" w:cs="Times New Roman" w:eastAsia="Times New Roman" w:hAnsi="Times New Roman"/>
                <w:sz w:val="14"/>
                <w:szCs w:val="14"/>
                <w:color w:val="auto"/>
              </w:rPr>
              <w:t>6,661</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6,804</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6,425</w:t>
            </w:r>
          </w:p>
        </w:tc>
        <w:tc>
          <w:tcPr>
            <w:tcW w:w="900" w:type="dxa"/>
            <w:vAlign w:val="bottom"/>
            <w:gridSpan w:val="2"/>
          </w:tcPr>
          <w:p>
            <w:pPr>
              <w:jc w:val="right"/>
              <w:ind w:right="70"/>
              <w:spacing w:after="0"/>
              <w:rPr>
                <w:sz w:val="20"/>
                <w:szCs w:val="20"/>
                <w:color w:val="auto"/>
              </w:rPr>
            </w:pPr>
            <w:r>
              <w:rPr>
                <w:rFonts w:ascii="Times New Roman" w:cs="Times New Roman" w:eastAsia="Times New Roman" w:hAnsi="Times New Roman"/>
                <w:sz w:val="14"/>
                <w:szCs w:val="14"/>
                <w:color w:val="auto"/>
              </w:rPr>
              <w:t>(4)</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6,163</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6,425</w:t>
            </w:r>
          </w:p>
        </w:tc>
        <w:tc>
          <w:tcPr>
            <w:tcW w:w="820" w:type="dxa"/>
            <w:vAlign w:val="bottom"/>
            <w:gridSpan w:val="2"/>
          </w:tcPr>
          <w:p>
            <w:pPr>
              <w:jc w:val="right"/>
              <w:ind w:right="70"/>
              <w:spacing w:after="0"/>
              <w:rPr>
                <w:sz w:val="20"/>
                <w:szCs w:val="20"/>
                <w:color w:val="auto"/>
              </w:rPr>
            </w:pPr>
            <w:r>
              <w:rPr>
                <w:rFonts w:ascii="Times New Roman" w:cs="Times New Roman" w:eastAsia="Times New Roman" w:hAnsi="Times New Roman"/>
                <w:sz w:val="14"/>
                <w:szCs w:val="14"/>
                <w:color w:val="auto"/>
              </w:rPr>
              <w:t>(4)</w:t>
            </w:r>
          </w:p>
        </w:tc>
        <w:tc>
          <w:tcPr>
            <w:tcW w:w="0" w:type="dxa"/>
            <w:vAlign w:val="bottom"/>
          </w:tcPr>
          <w:p>
            <w:pPr>
              <w:spacing w:after="0"/>
              <w:rPr>
                <w:sz w:val="1"/>
                <w:szCs w:val="1"/>
                <w:color w:val="auto"/>
              </w:rPr>
            </w:pPr>
          </w:p>
        </w:tc>
      </w:tr>
      <w:tr>
        <w:trPr>
          <w:trHeight w:val="192"/>
        </w:trPr>
        <w:tc>
          <w:tcPr>
            <w:tcW w:w="24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Total assets</w:t>
            </w:r>
          </w:p>
        </w:tc>
        <w:tc>
          <w:tcPr>
            <w:tcW w:w="140" w:type="dxa"/>
            <w:vAlign w:val="bottom"/>
            <w:shd w:val="clear" w:color="auto" w:fill="CCEEFF"/>
          </w:tcPr>
          <w:p>
            <w:pPr>
              <w:spacing w:after="0"/>
              <w:rPr>
                <w:sz w:val="16"/>
                <w:szCs w:val="16"/>
                <w:color w:val="auto"/>
              </w:rPr>
            </w:pPr>
          </w:p>
        </w:tc>
        <w:tc>
          <w:tcPr>
            <w:tcW w:w="76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28,143</w:t>
            </w: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6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4"/>
                <w:szCs w:val="14"/>
                <w:color w:val="auto"/>
              </w:rPr>
              <w:t>28,086</w:t>
            </w: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2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4"/>
                <w:szCs w:val="14"/>
                <w:color w:val="auto"/>
              </w:rPr>
              <w:t>27,874</w:t>
            </w: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6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27,720</w:t>
            </w: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6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27,373</w:t>
            </w:r>
          </w:p>
        </w:tc>
        <w:tc>
          <w:tcPr>
            <w:tcW w:w="90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4"/>
                <w:szCs w:val="14"/>
                <w:color w:val="auto"/>
              </w:rPr>
              <w:t>3</w:t>
            </w: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4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28,143</w:t>
            </w: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27,373</w:t>
            </w:r>
          </w:p>
        </w:tc>
        <w:tc>
          <w:tcPr>
            <w:tcW w:w="82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4"/>
                <w:szCs w:val="14"/>
                <w:color w:val="auto"/>
              </w:rPr>
              <w:t>3</w:t>
            </w:r>
          </w:p>
        </w:tc>
        <w:tc>
          <w:tcPr>
            <w:tcW w:w="0" w:type="dxa"/>
            <w:vAlign w:val="bottom"/>
          </w:tcPr>
          <w:p>
            <w:pPr>
              <w:spacing w:after="0"/>
              <w:rPr>
                <w:sz w:val="1"/>
                <w:szCs w:val="1"/>
                <w:color w:val="auto"/>
              </w:rPr>
            </w:pPr>
          </w:p>
        </w:tc>
      </w:tr>
      <w:tr>
        <w:trPr>
          <w:trHeight w:val="186"/>
        </w:trPr>
        <w:tc>
          <w:tcPr>
            <w:tcW w:w="242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Deposits</w:t>
            </w:r>
          </w:p>
        </w:tc>
        <w:tc>
          <w:tcPr>
            <w:tcW w:w="140" w:type="dxa"/>
            <w:vAlign w:val="bottom"/>
          </w:tcPr>
          <w:p>
            <w:pPr>
              <w:spacing w:after="0"/>
              <w:rPr>
                <w:sz w:val="16"/>
                <w:szCs w:val="16"/>
                <w:color w:val="auto"/>
              </w:rPr>
            </w:pPr>
          </w:p>
        </w:tc>
        <w:tc>
          <w:tcPr>
            <w:tcW w:w="76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24,021</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jc w:val="right"/>
              <w:ind w:right="90"/>
              <w:spacing w:after="0"/>
              <w:rPr>
                <w:sz w:val="20"/>
                <w:szCs w:val="20"/>
                <w:color w:val="auto"/>
              </w:rPr>
            </w:pPr>
            <w:r>
              <w:rPr>
                <w:rFonts w:ascii="Times New Roman" w:cs="Times New Roman" w:eastAsia="Times New Roman" w:hAnsi="Times New Roman"/>
                <w:sz w:val="14"/>
                <w:szCs w:val="14"/>
                <w:color w:val="auto"/>
              </w:rPr>
              <w:t>23,963</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jc w:val="right"/>
              <w:ind w:right="90"/>
              <w:spacing w:after="0"/>
              <w:rPr>
                <w:sz w:val="20"/>
                <w:szCs w:val="20"/>
                <w:color w:val="auto"/>
              </w:rPr>
            </w:pPr>
            <w:r>
              <w:rPr>
                <w:rFonts w:ascii="Times New Roman" w:cs="Times New Roman" w:eastAsia="Times New Roman" w:hAnsi="Times New Roman"/>
                <w:sz w:val="14"/>
                <w:szCs w:val="14"/>
                <w:color w:val="auto"/>
              </w:rPr>
              <w:t>23,762</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23,461</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23,253</w:t>
            </w:r>
          </w:p>
        </w:tc>
        <w:tc>
          <w:tcPr>
            <w:tcW w:w="900" w:type="dxa"/>
            <w:vAlign w:val="bottom"/>
            <w:gridSpan w:val="2"/>
          </w:tcPr>
          <w:p>
            <w:pPr>
              <w:jc w:val="right"/>
              <w:ind w:right="90"/>
              <w:spacing w:after="0"/>
              <w:rPr>
                <w:sz w:val="20"/>
                <w:szCs w:val="20"/>
                <w:color w:val="auto"/>
              </w:rPr>
            </w:pPr>
            <w:r>
              <w:rPr>
                <w:rFonts w:ascii="Times New Roman" w:cs="Times New Roman" w:eastAsia="Times New Roman" w:hAnsi="Times New Roman"/>
                <w:sz w:val="14"/>
                <w:szCs w:val="14"/>
                <w:color w:val="auto"/>
              </w:rPr>
              <w:t>3</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24,021</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23,253</w:t>
            </w:r>
          </w:p>
        </w:tc>
        <w:tc>
          <w:tcPr>
            <w:tcW w:w="820" w:type="dxa"/>
            <w:vAlign w:val="bottom"/>
            <w:gridSpan w:val="2"/>
          </w:tcPr>
          <w:p>
            <w:pPr>
              <w:jc w:val="right"/>
              <w:ind w:right="90"/>
              <w:spacing w:after="0"/>
              <w:rPr>
                <w:sz w:val="20"/>
                <w:szCs w:val="20"/>
                <w:color w:val="auto"/>
              </w:rPr>
            </w:pPr>
            <w:r>
              <w:rPr>
                <w:rFonts w:ascii="Times New Roman" w:cs="Times New Roman" w:eastAsia="Times New Roman" w:hAnsi="Times New Roman"/>
                <w:sz w:val="14"/>
                <w:szCs w:val="14"/>
                <w:color w:val="auto"/>
              </w:rPr>
              <w:t>3</w:t>
            </w:r>
          </w:p>
        </w:tc>
        <w:tc>
          <w:tcPr>
            <w:tcW w:w="0" w:type="dxa"/>
            <w:vAlign w:val="bottom"/>
          </w:tcPr>
          <w:p>
            <w:pPr>
              <w:spacing w:after="0"/>
              <w:rPr>
                <w:sz w:val="1"/>
                <w:szCs w:val="1"/>
                <w:color w:val="auto"/>
              </w:rPr>
            </w:pPr>
          </w:p>
        </w:tc>
      </w:tr>
      <w:tr>
        <w:trPr>
          <w:trHeight w:val="192"/>
        </w:trPr>
        <w:tc>
          <w:tcPr>
            <w:tcW w:w="24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Shareholders’ equity</w:t>
            </w:r>
          </w:p>
        </w:tc>
        <w:tc>
          <w:tcPr>
            <w:tcW w:w="140" w:type="dxa"/>
            <w:vAlign w:val="bottom"/>
            <w:shd w:val="clear" w:color="auto" w:fill="CCEEFF"/>
          </w:tcPr>
          <w:p>
            <w:pPr>
              <w:spacing w:after="0"/>
              <w:rPr>
                <w:sz w:val="16"/>
                <w:szCs w:val="16"/>
                <w:color w:val="auto"/>
              </w:rPr>
            </w:pPr>
          </w:p>
        </w:tc>
        <w:tc>
          <w:tcPr>
            <w:tcW w:w="76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3,597</w:t>
            </w: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6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4"/>
                <w:szCs w:val="14"/>
                <w:color w:val="auto"/>
              </w:rPr>
              <w:t>3,613</w:t>
            </w: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2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4"/>
                <w:szCs w:val="14"/>
                <w:color w:val="auto"/>
              </w:rPr>
              <w:t>3,501</w:t>
            </w: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6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3,432</w:t>
            </w: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6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3,407</w:t>
            </w:r>
          </w:p>
        </w:tc>
        <w:tc>
          <w:tcPr>
            <w:tcW w:w="90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4"/>
                <w:szCs w:val="14"/>
                <w:color w:val="auto"/>
              </w:rPr>
              <w:t>6</w:t>
            </w: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4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3,597</w:t>
            </w: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3,407</w:t>
            </w:r>
          </w:p>
        </w:tc>
        <w:tc>
          <w:tcPr>
            <w:tcW w:w="82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4"/>
                <w:szCs w:val="14"/>
                <w:color w:val="auto"/>
              </w:rPr>
              <w:t>6</w:t>
            </w:r>
          </w:p>
        </w:tc>
        <w:tc>
          <w:tcPr>
            <w:tcW w:w="0" w:type="dxa"/>
            <w:vAlign w:val="bottom"/>
          </w:tcPr>
          <w:p>
            <w:pPr>
              <w:spacing w:after="0"/>
              <w:rPr>
                <w:sz w:val="1"/>
                <w:szCs w:val="1"/>
                <w:color w:val="auto"/>
              </w:rPr>
            </w:pPr>
          </w:p>
        </w:tc>
      </w:tr>
      <w:tr>
        <w:trPr>
          <w:trHeight w:val="135"/>
        </w:trPr>
        <w:tc>
          <w:tcPr>
            <w:tcW w:w="2420" w:type="dxa"/>
            <w:vAlign w:val="bottom"/>
            <w:gridSpan w:val="2"/>
          </w:tcPr>
          <w:p>
            <w:pPr>
              <w:ind w:left="140"/>
              <w:spacing w:after="0" w:line="135" w:lineRule="exact"/>
              <w:rPr>
                <w:sz w:val="20"/>
                <w:szCs w:val="20"/>
                <w:color w:val="auto"/>
              </w:rPr>
            </w:pPr>
            <w:r>
              <w:rPr>
                <w:rFonts w:ascii="Times New Roman" w:cs="Times New Roman" w:eastAsia="Times New Roman" w:hAnsi="Times New Roman"/>
                <w:sz w:val="14"/>
                <w:szCs w:val="14"/>
                <w:color w:val="auto"/>
              </w:rPr>
              <w:t>Common shares outstanding</w:t>
            </w: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1"/>
        </w:trPr>
        <w:tc>
          <w:tcPr>
            <w:tcW w:w="242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(thousands)</w:t>
            </w:r>
          </w:p>
        </w:tc>
        <w:tc>
          <w:tcPr>
            <w:tcW w:w="140" w:type="dxa"/>
            <w:vAlign w:val="bottom"/>
          </w:tcPr>
          <w:p>
            <w:pPr>
              <w:spacing w:after="0"/>
              <w:rPr>
                <w:sz w:val="16"/>
                <w:szCs w:val="16"/>
                <w:color w:val="auto"/>
              </w:rPr>
            </w:pPr>
          </w:p>
        </w:tc>
        <w:tc>
          <w:tcPr>
            <w:tcW w:w="76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121,553</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jc w:val="right"/>
              <w:ind w:right="90"/>
              <w:spacing w:after="0"/>
              <w:rPr>
                <w:sz w:val="20"/>
                <w:szCs w:val="20"/>
                <w:color w:val="auto"/>
              </w:rPr>
            </w:pPr>
            <w:r>
              <w:rPr>
                <w:rFonts w:ascii="Times New Roman" w:cs="Times New Roman" w:eastAsia="Times New Roman" w:hAnsi="Times New Roman"/>
                <w:sz w:val="14"/>
                <w:szCs w:val="14"/>
                <w:color w:val="auto"/>
              </w:rPr>
              <w:t>121,431</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jc w:val="right"/>
              <w:ind w:right="90"/>
              <w:spacing w:after="0"/>
              <w:rPr>
                <w:sz w:val="20"/>
                <w:szCs w:val="20"/>
                <w:color w:val="auto"/>
              </w:rPr>
            </w:pPr>
            <w:r>
              <w:rPr>
                <w:rFonts w:ascii="Times New Roman" w:cs="Times New Roman" w:eastAsia="Times New Roman" w:hAnsi="Times New Roman"/>
                <w:sz w:val="14"/>
                <w:szCs w:val="14"/>
                <w:color w:val="auto"/>
              </w:rPr>
              <w:t>119,514</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119,364</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119,283</w:t>
            </w:r>
          </w:p>
        </w:tc>
        <w:tc>
          <w:tcPr>
            <w:tcW w:w="900" w:type="dxa"/>
            <w:vAlign w:val="bottom"/>
            <w:gridSpan w:val="2"/>
          </w:tcPr>
          <w:p>
            <w:pPr>
              <w:jc w:val="right"/>
              <w:ind w:right="90"/>
              <w:spacing w:after="0"/>
              <w:rPr>
                <w:sz w:val="20"/>
                <w:szCs w:val="20"/>
                <w:color w:val="auto"/>
              </w:rPr>
            </w:pPr>
            <w:r>
              <w:rPr>
                <w:rFonts w:ascii="Times New Roman" w:cs="Times New Roman" w:eastAsia="Times New Roman" w:hAnsi="Times New Roman"/>
                <w:sz w:val="14"/>
                <w:szCs w:val="14"/>
                <w:color w:val="auto"/>
              </w:rPr>
              <w:t>2</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121,553</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119,283</w:t>
            </w:r>
          </w:p>
        </w:tc>
        <w:tc>
          <w:tcPr>
            <w:tcW w:w="820" w:type="dxa"/>
            <w:vAlign w:val="bottom"/>
            <w:gridSpan w:val="2"/>
          </w:tcPr>
          <w:p>
            <w:pPr>
              <w:jc w:val="right"/>
              <w:ind w:right="90"/>
              <w:spacing w:after="0"/>
              <w:rPr>
                <w:sz w:val="20"/>
                <w:szCs w:val="20"/>
                <w:color w:val="auto"/>
              </w:rPr>
            </w:pPr>
            <w:r>
              <w:rPr>
                <w:rFonts w:ascii="Times New Roman" w:cs="Times New Roman" w:eastAsia="Times New Roman" w:hAnsi="Times New Roman"/>
                <w:sz w:val="14"/>
                <w:szCs w:val="14"/>
                <w:color w:val="auto"/>
              </w:rPr>
              <w:t>2</w:t>
            </w:r>
          </w:p>
        </w:tc>
        <w:tc>
          <w:tcPr>
            <w:tcW w:w="0" w:type="dxa"/>
            <w:vAlign w:val="bottom"/>
          </w:tcPr>
          <w:p>
            <w:pPr>
              <w:spacing w:after="0"/>
              <w:rPr>
                <w:sz w:val="1"/>
                <w:szCs w:val="1"/>
                <w:color w:val="auto"/>
              </w:rPr>
            </w:pPr>
          </w:p>
        </w:tc>
      </w:tr>
    </w:tbl>
    <w:p>
      <w:pPr>
        <w:spacing w:after="0" w:line="81" w:lineRule="exact"/>
        <w:rPr>
          <w:sz w:val="20"/>
          <w:szCs w:val="20"/>
          <w:color w:val="auto"/>
        </w:rPr>
      </w:pPr>
    </w:p>
    <w:p>
      <w:pPr>
        <w:ind w:firstLine="8"/>
        <w:spacing w:after="0" w:line="365" w:lineRule="auto"/>
        <w:tabs>
          <w:tab w:leader="none" w:pos="115" w:val="left"/>
        </w:tabs>
        <w:numPr>
          <w:ilvl w:val="0"/>
          <w:numId w:val="12"/>
        </w:numPr>
        <w:rPr>
          <w:rFonts w:ascii="Times New Roman" w:cs="Times New Roman" w:eastAsia="Times New Roman" w:hAnsi="Times New Roman"/>
          <w:sz w:val="13"/>
          <w:szCs w:val="13"/>
          <w:color w:val="auto"/>
          <w:vertAlign w:val="superscript"/>
        </w:rPr>
      </w:pPr>
      <w:r>
        <w:rPr>
          <w:rFonts w:ascii="Times New Roman" w:cs="Times New Roman" w:eastAsia="Times New Roman" w:hAnsi="Times New Roman"/>
          <w:sz w:val="10"/>
          <w:szCs w:val="10"/>
          <w:color w:val="auto"/>
        </w:rPr>
        <w:t>E</w:t>
      </w:r>
      <w:r>
        <w:rPr>
          <w:rFonts w:ascii="Times New Roman" w:cs="Times New Roman" w:eastAsia="Times New Roman" w:hAnsi="Times New Roman"/>
          <w:sz w:val="11"/>
          <w:szCs w:val="11"/>
          <w:color w:val="auto"/>
        </w:rPr>
        <w:t>xcludes non-operating items as detailed on Non-GAAP Performance Measures Reconciliation on next page</w:t>
      </w:r>
      <w:r>
        <w:rPr>
          <w:rFonts w:ascii="Times New Roman" w:cs="Times New Roman" w:eastAsia="Times New Roman" w:hAnsi="Times New Roman"/>
          <w:sz w:val="10"/>
          <w:szCs w:val="10"/>
          <w:color w:val="auto"/>
        </w:rPr>
        <w:t xml:space="preserve">. </w:t>
      </w:r>
      <w:r>
        <w:rPr>
          <w:rFonts w:ascii="Times New Roman" w:cs="Times New Roman" w:eastAsia="Times New Roman" w:hAnsi="Times New Roman"/>
          <w:sz w:val="14"/>
          <w:szCs w:val="14"/>
          <w:color w:val="auto"/>
          <w:vertAlign w:val="superscript"/>
        </w:rPr>
        <w:t>(2)</w:t>
      </w:r>
      <w:r>
        <w:rPr>
          <w:rFonts w:ascii="Times New Roman" w:cs="Times New Roman" w:eastAsia="Times New Roman" w:hAnsi="Times New Roman"/>
          <w:sz w:val="10"/>
          <w:szCs w:val="10"/>
          <w:color w:val="auto"/>
        </w:rPr>
        <w:t xml:space="preserve"> </w:t>
      </w:r>
      <w:r>
        <w:rPr>
          <w:rFonts w:ascii="Times New Roman" w:cs="Times New Roman" w:eastAsia="Times New Roman" w:hAnsi="Times New Roman"/>
          <w:sz w:val="11"/>
          <w:szCs w:val="11"/>
          <w:color w:val="auto"/>
        </w:rPr>
        <w:t>Net income less preferred stock dividends, divided by average realized common</w:t>
      </w:r>
      <w:r>
        <w:rPr>
          <w:rFonts w:ascii="Times New Roman" w:cs="Times New Roman" w:eastAsia="Times New Roman" w:hAnsi="Times New Roman"/>
          <w:sz w:val="10"/>
          <w:szCs w:val="10"/>
          <w:color w:val="auto"/>
        </w:rPr>
        <w:t xml:space="preserve"> </w:t>
      </w:r>
      <w:r>
        <w:rPr>
          <w:rFonts w:ascii="Times New Roman" w:cs="Times New Roman" w:eastAsia="Times New Roman" w:hAnsi="Times New Roman"/>
          <w:sz w:val="11"/>
          <w:szCs w:val="11"/>
          <w:color w:val="auto"/>
        </w:rPr>
        <w:t xml:space="preserve">equity, which excludes AOCI. </w:t>
      </w:r>
      <w:r>
        <w:rPr>
          <w:rFonts w:ascii="Times New Roman" w:cs="Times New Roman" w:eastAsia="Times New Roman" w:hAnsi="Times New Roman"/>
          <w:sz w:val="8"/>
          <w:szCs w:val="8"/>
          <w:color w:val="auto"/>
        </w:rPr>
        <w:t>(3)</w:t>
      </w:r>
      <w:r>
        <w:rPr>
          <w:rFonts w:ascii="Times New Roman" w:cs="Times New Roman" w:eastAsia="Times New Roman" w:hAnsi="Times New Roman"/>
          <w:sz w:val="11"/>
          <w:szCs w:val="11"/>
          <w:color w:val="auto"/>
        </w:rPr>
        <w:t xml:space="preserve"> Excludes effect of acquisition related intangibles and associated amortization. </w:t>
      </w:r>
      <w:r>
        <w:rPr>
          <w:rFonts w:ascii="Times New Roman" w:cs="Times New Roman" w:eastAsia="Times New Roman" w:hAnsi="Times New Roman"/>
          <w:sz w:val="8"/>
          <w:szCs w:val="8"/>
          <w:color w:val="auto"/>
        </w:rPr>
        <w:t>(4)</w:t>
      </w:r>
      <w:r>
        <w:rPr>
          <w:rFonts w:ascii="Times New Roman" w:cs="Times New Roman" w:eastAsia="Times New Roman" w:hAnsi="Times New Roman"/>
          <w:sz w:val="11"/>
          <w:szCs w:val="11"/>
          <w:color w:val="auto"/>
        </w:rPr>
        <w:t xml:space="preserve"> Annualized.</w:t>
      </w:r>
    </w:p>
    <w:p>
      <w:pPr>
        <w:sectPr>
          <w:pgSz w:w="11900" w:h="16838" w:orient="portrait"/>
          <w:cols w:equalWidth="0" w:num="1">
            <w:col w:w="11240"/>
          </w:cols>
          <w:pgMar w:left="320" w:top="969" w:right="339" w:bottom="1440" w:gutter="0" w:footer="0" w:header="0"/>
        </w:sectPr>
      </w:pPr>
    </w:p>
    <w:p>
      <w:pPr>
        <w:spacing w:after="0" w:line="200" w:lineRule="exact"/>
        <w:rPr>
          <w:sz w:val="20"/>
          <w:szCs w:val="20"/>
          <w:color w:val="auto"/>
        </w:rPr>
      </w:pPr>
    </w:p>
    <w:p>
      <w:pPr>
        <w:spacing w:after="0" w:line="3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69" w:right="339" w:bottom="1440" w:gutter="0" w:footer="0" w:header="0"/>
          <w:type w:val="continuous"/>
        </w:sectPr>
      </w:pPr>
    </w:p>
    <w:bookmarkStart w:id="37" w:name="page38"/>
    <w:bookmarkEnd w:id="37"/>
    <w:p>
      <w:pPr>
        <w:ind w:left="20"/>
        <w:spacing w:after="0"/>
        <w:rPr>
          <w:sz w:val="20"/>
          <w:szCs w:val="20"/>
          <w:color w:val="auto"/>
        </w:rPr>
      </w:pPr>
      <w:r>
        <w:rPr>
          <w:rFonts w:ascii="Times New Roman" w:cs="Times New Roman" w:eastAsia="Times New Roman" w:hAnsi="Times New Roman"/>
          <w:sz w:val="15"/>
          <w:szCs w:val="15"/>
          <w:b w:val="1"/>
          <w:bCs w:val="1"/>
          <w:color w:val="auto"/>
        </w:rPr>
        <w:t>UNITED COMMUNITY BANKS, INC.</w:t>
      </w:r>
    </w:p>
    <w:p>
      <w:pPr>
        <w:spacing w:after="0" w:line="3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5"/>
          <w:szCs w:val="15"/>
          <w:b w:val="1"/>
          <w:bCs w:val="1"/>
          <w:color w:val="auto"/>
        </w:rPr>
        <w:t>Table 1 (Continued) - Financial Highlights</w:t>
      </w:r>
    </w:p>
    <w:p>
      <w:pPr>
        <w:spacing w:after="0" w:line="2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5"/>
          <w:szCs w:val="15"/>
          <w:b w:val="1"/>
          <w:bCs w:val="1"/>
          <w:color w:val="auto"/>
        </w:rPr>
        <w:t>Non-GAAP Performance Measures</w:t>
      </w:r>
    </w:p>
    <w:p>
      <w:pPr>
        <w:ind w:left="20"/>
        <w:spacing w:after="0"/>
        <w:rPr>
          <w:sz w:val="20"/>
          <w:szCs w:val="20"/>
          <w:color w:val="auto"/>
        </w:rPr>
      </w:pPr>
      <w:r>
        <w:rPr>
          <w:rFonts w:ascii="Times New Roman" w:cs="Times New Roman" w:eastAsia="Times New Roman" w:hAnsi="Times New Roman"/>
          <w:sz w:val="15"/>
          <w:szCs w:val="15"/>
          <w:b w:val="1"/>
          <w:bCs w:val="1"/>
          <w:color w:val="auto"/>
        </w:rPr>
        <w:t>Reconciliation</w:t>
      </w:r>
    </w:p>
    <w:p>
      <w:pPr>
        <w:spacing w:after="0" w:line="2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5"/>
          <w:szCs w:val="15"/>
          <w:b w:val="1"/>
          <w:bCs w:val="1"/>
          <w:i w:val="1"/>
          <w:iCs w:val="1"/>
          <w:color w:val="auto"/>
        </w:rPr>
        <w:t>(dollars in thousands, except per share data)</w:t>
      </w:r>
    </w:p>
    <w:p>
      <w:pPr>
        <w:spacing w:after="0" w:line="30" w:lineRule="exact"/>
        <w:rPr>
          <w:sz w:val="20"/>
          <w:szCs w:val="20"/>
          <w:color w:val="auto"/>
        </w:rPr>
      </w:pPr>
    </w:p>
    <w:tbl>
      <w:tblPr>
        <w:tblLayout w:type="fixed"/>
        <w:tblInd w:w="0" w:type="dxa"/>
        <w:tblCellMar>
          <w:top w:w="0" w:type="dxa"/>
          <w:left w:w="0" w:type="dxa"/>
          <w:bottom w:w="0" w:type="dxa"/>
          <w:right w:w="0" w:type="dxa"/>
        </w:tblCellMar>
      </w:tblPr>
      <w:tr>
        <w:trPr>
          <w:trHeight w:val="150"/>
        </w:trPr>
        <w:tc>
          <w:tcPr>
            <w:tcW w:w="3340" w:type="dxa"/>
            <w:vAlign w:val="bottom"/>
            <w:tcBorders>
              <w:top w:val="single" w:sz="8" w:color="auto"/>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76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820" w:type="dxa"/>
            <w:vAlign w:val="bottom"/>
            <w:tcBorders>
              <w:top w:val="single" w:sz="8" w:color="auto"/>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76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840" w:type="dxa"/>
            <w:vAlign w:val="bottom"/>
            <w:tcBorders>
              <w:top w:val="single" w:sz="8" w:color="auto"/>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78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2020" w:type="dxa"/>
            <w:vAlign w:val="bottom"/>
            <w:tcBorders>
              <w:top w:val="single" w:sz="8" w:color="auto"/>
            </w:tcBorders>
            <w:gridSpan w:val="4"/>
          </w:tcPr>
          <w:p>
            <w:pPr>
              <w:jc w:val="right"/>
              <w:ind w:right="84"/>
              <w:spacing w:after="0" w:line="150" w:lineRule="exact"/>
              <w:rPr>
                <w:sz w:val="20"/>
                <w:szCs w:val="20"/>
                <w:color w:val="auto"/>
              </w:rPr>
            </w:pPr>
            <w:r>
              <w:rPr>
                <w:rFonts w:ascii="Times New Roman" w:cs="Times New Roman" w:eastAsia="Times New Roman" w:hAnsi="Times New Roman"/>
                <w:sz w:val="15"/>
                <w:szCs w:val="15"/>
                <w:b w:val="1"/>
                <w:bCs w:val="1"/>
                <w:color w:val="auto"/>
              </w:rPr>
              <w:t>For the Nine Months Ended</w:t>
            </w:r>
          </w:p>
        </w:tc>
      </w:tr>
      <w:tr>
        <w:trPr>
          <w:trHeight w:val="212"/>
        </w:trPr>
        <w:tc>
          <w:tcPr>
            <w:tcW w:w="33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center"/>
              <w:ind w:right="84"/>
              <w:spacing w:after="0"/>
              <w:rPr>
                <w:sz w:val="20"/>
                <w:szCs w:val="20"/>
                <w:color w:val="auto"/>
              </w:rPr>
            </w:pPr>
            <w:r>
              <w:rPr>
                <w:rFonts w:ascii="Times New Roman" w:cs="Times New Roman" w:eastAsia="Times New Roman" w:hAnsi="Times New Roman"/>
                <w:sz w:val="15"/>
                <w:szCs w:val="15"/>
                <w:b w:val="1"/>
                <w:bCs w:val="1"/>
                <w:color w:val="auto"/>
                <w:w w:val="99"/>
              </w:rPr>
              <w:t>2025</w:t>
            </w:r>
          </w:p>
        </w:tc>
        <w:tc>
          <w:tcPr>
            <w:tcW w:w="16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gridSpan w:val="3"/>
          </w:tcPr>
          <w:p>
            <w:pPr>
              <w:jc w:val="right"/>
              <w:ind w:right="64"/>
              <w:spacing w:after="0"/>
              <w:rPr>
                <w:sz w:val="20"/>
                <w:szCs w:val="20"/>
                <w:color w:val="auto"/>
              </w:rPr>
            </w:pPr>
            <w:r>
              <w:rPr>
                <w:rFonts w:ascii="Times New Roman" w:cs="Times New Roman" w:eastAsia="Times New Roman" w:hAnsi="Times New Roman"/>
                <w:sz w:val="15"/>
                <w:szCs w:val="15"/>
                <w:b w:val="1"/>
                <w:bCs w:val="1"/>
                <w:color w:val="auto"/>
              </w:rPr>
              <w:t>2024</w:t>
            </w:r>
          </w:p>
        </w:tc>
        <w:tc>
          <w:tcPr>
            <w:tcW w:w="78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020" w:type="dxa"/>
            <w:vAlign w:val="bottom"/>
            <w:tcBorders>
              <w:bottom w:val="single" w:sz="8" w:color="auto"/>
            </w:tcBorders>
            <w:gridSpan w:val="4"/>
          </w:tcPr>
          <w:p>
            <w:pPr>
              <w:jc w:val="right"/>
              <w:ind w:right="544"/>
              <w:spacing w:after="0"/>
              <w:rPr>
                <w:sz w:val="20"/>
                <w:szCs w:val="20"/>
                <w:color w:val="auto"/>
              </w:rPr>
            </w:pPr>
            <w:r>
              <w:rPr>
                <w:rFonts w:ascii="Times New Roman" w:cs="Times New Roman" w:eastAsia="Times New Roman" w:hAnsi="Times New Roman"/>
                <w:sz w:val="15"/>
                <w:szCs w:val="15"/>
                <w:b w:val="1"/>
                <w:bCs w:val="1"/>
                <w:color w:val="auto"/>
              </w:rPr>
              <w:t>September 30,</w:t>
            </w:r>
          </w:p>
        </w:tc>
      </w:tr>
      <w:tr>
        <w:trPr>
          <w:trHeight w:val="146"/>
        </w:trPr>
        <w:tc>
          <w:tcPr>
            <w:tcW w:w="33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80" w:type="dxa"/>
            <w:vAlign w:val="bottom"/>
            <w:gridSpan w:val="2"/>
          </w:tcPr>
          <w:p>
            <w:pPr>
              <w:jc w:val="center"/>
              <w:ind w:right="320"/>
              <w:spacing w:after="0" w:line="146" w:lineRule="exact"/>
              <w:rPr>
                <w:sz w:val="20"/>
                <w:szCs w:val="20"/>
                <w:color w:val="auto"/>
              </w:rPr>
            </w:pPr>
            <w:r>
              <w:rPr>
                <w:rFonts w:ascii="Times New Roman" w:cs="Times New Roman" w:eastAsia="Times New Roman" w:hAnsi="Times New Roman"/>
                <w:sz w:val="15"/>
                <w:szCs w:val="15"/>
                <w:b w:val="1"/>
                <w:bCs w:val="1"/>
                <w:color w:val="auto"/>
              </w:rPr>
              <w:t>Second</w:t>
            </w:r>
          </w:p>
        </w:tc>
        <w:tc>
          <w:tcPr>
            <w:tcW w:w="2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gridSpan w:val="2"/>
          </w:tcPr>
          <w:p>
            <w:pPr>
              <w:jc w:val="center"/>
              <w:ind w:right="300"/>
              <w:spacing w:after="0" w:line="146" w:lineRule="exact"/>
              <w:rPr>
                <w:sz w:val="20"/>
                <w:szCs w:val="20"/>
                <w:color w:val="auto"/>
              </w:rPr>
            </w:pPr>
            <w:r>
              <w:rPr>
                <w:rFonts w:ascii="Times New Roman" w:cs="Times New Roman" w:eastAsia="Times New Roman" w:hAnsi="Times New Roman"/>
                <w:sz w:val="15"/>
                <w:szCs w:val="15"/>
                <w:b w:val="1"/>
                <w:bCs w:val="1"/>
                <w:color w:val="auto"/>
              </w:rPr>
              <w:t>Fourth</w:t>
            </w: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tcPr>
          <w:p>
            <w:pPr>
              <w:spacing w:after="0"/>
              <w:rPr>
                <w:sz w:val="12"/>
                <w:szCs w:val="12"/>
                <w:color w:val="auto"/>
              </w:rPr>
            </w:pPr>
          </w:p>
        </w:tc>
      </w:tr>
      <w:tr>
        <w:trPr>
          <w:trHeight w:val="210"/>
        </w:trPr>
        <w:tc>
          <w:tcPr>
            <w:tcW w:w="3340" w:type="dxa"/>
            <w:vAlign w:val="bottom"/>
          </w:tcPr>
          <w:p>
            <w:pPr>
              <w:spacing w:after="0"/>
              <w:rPr>
                <w:sz w:val="18"/>
                <w:szCs w:val="18"/>
                <w:color w:val="auto"/>
              </w:rPr>
            </w:pPr>
          </w:p>
        </w:tc>
        <w:tc>
          <w:tcPr>
            <w:tcW w:w="1140" w:type="dxa"/>
            <w:vAlign w:val="bottom"/>
            <w:gridSpan w:val="3"/>
          </w:tcPr>
          <w:p>
            <w:pPr>
              <w:ind w:left="20"/>
              <w:spacing w:after="0"/>
              <w:rPr>
                <w:sz w:val="20"/>
                <w:szCs w:val="20"/>
                <w:color w:val="auto"/>
              </w:rPr>
            </w:pPr>
            <w:r>
              <w:rPr>
                <w:rFonts w:ascii="Times New Roman" w:cs="Times New Roman" w:eastAsia="Times New Roman" w:hAnsi="Times New Roman"/>
                <w:sz w:val="15"/>
                <w:szCs w:val="15"/>
                <w:b w:val="1"/>
                <w:bCs w:val="1"/>
                <w:color w:val="auto"/>
              </w:rPr>
              <w:t>Third Quarter</w:t>
            </w:r>
          </w:p>
        </w:tc>
        <w:tc>
          <w:tcPr>
            <w:tcW w:w="180" w:type="dxa"/>
            <w:vAlign w:val="bottom"/>
          </w:tcPr>
          <w:p>
            <w:pPr>
              <w:spacing w:after="0"/>
              <w:rPr>
                <w:sz w:val="18"/>
                <w:szCs w:val="18"/>
                <w:color w:val="auto"/>
              </w:rPr>
            </w:pPr>
          </w:p>
        </w:tc>
        <w:tc>
          <w:tcPr>
            <w:tcW w:w="980" w:type="dxa"/>
            <w:vAlign w:val="bottom"/>
            <w:gridSpan w:val="2"/>
          </w:tcPr>
          <w:p>
            <w:pPr>
              <w:jc w:val="center"/>
              <w:ind w:right="320"/>
              <w:spacing w:after="0"/>
              <w:rPr>
                <w:sz w:val="20"/>
                <w:szCs w:val="20"/>
                <w:color w:val="auto"/>
              </w:rPr>
            </w:pPr>
            <w:r>
              <w:rPr>
                <w:rFonts w:ascii="Times New Roman" w:cs="Times New Roman" w:eastAsia="Times New Roman" w:hAnsi="Times New Roman"/>
                <w:sz w:val="15"/>
                <w:szCs w:val="15"/>
                <w:b w:val="1"/>
                <w:bCs w:val="1"/>
                <w:color w:val="auto"/>
              </w:rPr>
              <w:t>Quarter</w:t>
            </w:r>
          </w:p>
        </w:tc>
        <w:tc>
          <w:tcPr>
            <w:tcW w:w="1140" w:type="dxa"/>
            <w:vAlign w:val="bottom"/>
            <w:gridSpan w:val="3"/>
          </w:tcPr>
          <w:p>
            <w:pPr>
              <w:ind w:left="60"/>
              <w:spacing w:after="0"/>
              <w:rPr>
                <w:sz w:val="20"/>
                <w:szCs w:val="20"/>
                <w:color w:val="auto"/>
              </w:rPr>
            </w:pPr>
            <w:r>
              <w:rPr>
                <w:rFonts w:ascii="Times New Roman" w:cs="Times New Roman" w:eastAsia="Times New Roman" w:hAnsi="Times New Roman"/>
                <w:sz w:val="15"/>
                <w:szCs w:val="15"/>
                <w:b w:val="1"/>
                <w:bCs w:val="1"/>
                <w:color w:val="auto"/>
              </w:rPr>
              <w:t>First Quarter</w:t>
            </w:r>
          </w:p>
        </w:tc>
        <w:tc>
          <w:tcPr>
            <w:tcW w:w="160" w:type="dxa"/>
            <w:vAlign w:val="bottom"/>
          </w:tcPr>
          <w:p>
            <w:pPr>
              <w:spacing w:after="0"/>
              <w:rPr>
                <w:sz w:val="18"/>
                <w:szCs w:val="18"/>
                <w:color w:val="auto"/>
              </w:rPr>
            </w:pPr>
          </w:p>
        </w:tc>
        <w:tc>
          <w:tcPr>
            <w:tcW w:w="1000" w:type="dxa"/>
            <w:vAlign w:val="bottom"/>
            <w:gridSpan w:val="2"/>
          </w:tcPr>
          <w:p>
            <w:pPr>
              <w:jc w:val="center"/>
              <w:ind w:right="300"/>
              <w:spacing w:after="0"/>
              <w:rPr>
                <w:sz w:val="20"/>
                <w:szCs w:val="20"/>
                <w:color w:val="auto"/>
              </w:rPr>
            </w:pPr>
            <w:r>
              <w:rPr>
                <w:rFonts w:ascii="Times New Roman" w:cs="Times New Roman" w:eastAsia="Times New Roman" w:hAnsi="Times New Roman"/>
                <w:sz w:val="15"/>
                <w:szCs w:val="15"/>
                <w:b w:val="1"/>
                <w:bCs w:val="1"/>
                <w:color w:val="auto"/>
              </w:rPr>
              <w:t>Quarter</w:t>
            </w:r>
          </w:p>
        </w:tc>
        <w:tc>
          <w:tcPr>
            <w:tcW w:w="1140" w:type="dxa"/>
            <w:vAlign w:val="bottom"/>
            <w:gridSpan w:val="3"/>
          </w:tcPr>
          <w:p>
            <w:pPr>
              <w:ind w:left="20"/>
              <w:spacing w:after="0"/>
              <w:rPr>
                <w:sz w:val="20"/>
                <w:szCs w:val="20"/>
                <w:color w:val="auto"/>
              </w:rPr>
            </w:pPr>
            <w:r>
              <w:rPr>
                <w:rFonts w:ascii="Times New Roman" w:cs="Times New Roman" w:eastAsia="Times New Roman" w:hAnsi="Times New Roman"/>
                <w:sz w:val="15"/>
                <w:szCs w:val="15"/>
                <w:b w:val="1"/>
                <w:bCs w:val="1"/>
                <w:color w:val="auto"/>
              </w:rPr>
              <w:t>Third Quarter</w:t>
            </w:r>
          </w:p>
        </w:tc>
        <w:tc>
          <w:tcPr>
            <w:tcW w:w="140" w:type="dxa"/>
            <w:vAlign w:val="bottom"/>
          </w:tcPr>
          <w:p>
            <w:pPr>
              <w:spacing w:after="0"/>
              <w:rPr>
                <w:sz w:val="18"/>
                <w:szCs w:val="18"/>
                <w:color w:val="auto"/>
              </w:rPr>
            </w:pPr>
          </w:p>
        </w:tc>
        <w:tc>
          <w:tcPr>
            <w:tcW w:w="860" w:type="dxa"/>
            <w:vAlign w:val="bottom"/>
          </w:tcPr>
          <w:p>
            <w:pPr>
              <w:jc w:val="right"/>
              <w:ind w:right="264"/>
              <w:spacing w:after="0"/>
              <w:rPr>
                <w:sz w:val="20"/>
                <w:szCs w:val="20"/>
                <w:color w:val="auto"/>
              </w:rPr>
            </w:pPr>
            <w:r>
              <w:rPr>
                <w:rFonts w:ascii="Times New Roman" w:cs="Times New Roman" w:eastAsia="Times New Roman" w:hAnsi="Times New Roman"/>
                <w:sz w:val="15"/>
                <w:szCs w:val="15"/>
                <w:b w:val="1"/>
                <w:bCs w:val="1"/>
                <w:color w:val="auto"/>
              </w:rPr>
              <w:t>2025</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jc w:val="right"/>
              <w:ind w:right="284"/>
              <w:spacing w:after="0"/>
              <w:rPr>
                <w:sz w:val="20"/>
                <w:szCs w:val="20"/>
                <w:color w:val="auto"/>
              </w:rPr>
            </w:pPr>
            <w:r>
              <w:rPr>
                <w:rFonts w:ascii="Times New Roman" w:cs="Times New Roman" w:eastAsia="Times New Roman" w:hAnsi="Times New Roman"/>
                <w:sz w:val="15"/>
                <w:szCs w:val="15"/>
                <w:b w:val="1"/>
                <w:bCs w:val="1"/>
                <w:color w:val="auto"/>
              </w:rPr>
              <w:t>2024</w:t>
            </w:r>
          </w:p>
        </w:tc>
      </w:tr>
      <w:tr>
        <w:trPr>
          <w:trHeight w:val="185"/>
        </w:trPr>
        <w:tc>
          <w:tcPr>
            <w:tcW w:w="3340" w:type="dxa"/>
            <w:vAlign w:val="bottom"/>
          </w:tcPr>
          <w:p>
            <w:pPr>
              <w:ind w:left="20"/>
              <w:spacing w:after="0"/>
              <w:rPr>
                <w:sz w:val="20"/>
                <w:szCs w:val="20"/>
                <w:color w:val="auto"/>
              </w:rPr>
            </w:pPr>
            <w:r>
              <w:rPr>
                <w:rFonts w:ascii="Times New Roman" w:cs="Times New Roman" w:eastAsia="Times New Roman" w:hAnsi="Times New Roman"/>
                <w:sz w:val="15"/>
                <w:szCs w:val="15"/>
                <w:b w:val="1"/>
                <w:bCs w:val="1"/>
                <w:color w:val="auto"/>
              </w:rPr>
              <w:t>Noninterest income reconciliation</w:t>
            </w:r>
          </w:p>
        </w:tc>
        <w:tc>
          <w:tcPr>
            <w:tcW w:w="24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tcPr>
          <w:p>
            <w:pPr>
              <w:spacing w:after="0"/>
              <w:rPr>
                <w:sz w:val="16"/>
                <w:szCs w:val="16"/>
                <w:color w:val="auto"/>
              </w:rPr>
            </w:pPr>
          </w:p>
        </w:tc>
      </w:tr>
      <w:tr>
        <w:trPr>
          <w:trHeight w:val="206"/>
        </w:trPr>
        <w:tc>
          <w:tcPr>
            <w:tcW w:w="3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Noninterest income (GAAP)</w:t>
            </w:r>
          </w:p>
        </w:tc>
        <w:tc>
          <w:tcPr>
            <w:tcW w:w="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760" w:type="dxa"/>
            <w:vAlign w:val="bottom"/>
            <w:shd w:val="clear" w:color="auto" w:fill="CCEEFF"/>
          </w:tcPr>
          <w:p>
            <w:pPr>
              <w:jc w:val="right"/>
              <w:ind w:right="44"/>
              <w:spacing w:after="0"/>
              <w:rPr>
                <w:sz w:val="20"/>
                <w:szCs w:val="20"/>
                <w:color w:val="auto"/>
              </w:rPr>
            </w:pPr>
            <w:r>
              <w:rPr>
                <w:rFonts w:ascii="Times New Roman" w:cs="Times New Roman" w:eastAsia="Times New Roman" w:hAnsi="Times New Roman"/>
                <w:sz w:val="15"/>
                <w:szCs w:val="15"/>
                <w:color w:val="auto"/>
              </w:rPr>
              <w:t>43,219</w:t>
            </w: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w:t>
            </w:r>
          </w:p>
        </w:tc>
        <w:tc>
          <w:tcPr>
            <w:tcW w:w="820" w:type="dxa"/>
            <w:vAlign w:val="bottom"/>
            <w:shd w:val="clear" w:color="auto" w:fill="CCEEFF"/>
          </w:tcPr>
          <w:p>
            <w:pPr>
              <w:jc w:val="right"/>
              <w:ind w:right="44"/>
              <w:spacing w:after="0"/>
              <w:rPr>
                <w:sz w:val="20"/>
                <w:szCs w:val="20"/>
                <w:color w:val="auto"/>
              </w:rPr>
            </w:pPr>
            <w:r>
              <w:rPr>
                <w:rFonts w:ascii="Times New Roman" w:cs="Times New Roman" w:eastAsia="Times New Roman" w:hAnsi="Times New Roman"/>
                <w:sz w:val="15"/>
                <w:szCs w:val="15"/>
                <w:color w:val="auto"/>
              </w:rPr>
              <w:t>34,708</w:t>
            </w:r>
          </w:p>
        </w:tc>
        <w:tc>
          <w:tcPr>
            <w:tcW w:w="16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64"/>
              <w:spacing w:after="0"/>
              <w:rPr>
                <w:sz w:val="20"/>
                <w:szCs w:val="20"/>
                <w:color w:val="auto"/>
              </w:rPr>
            </w:pPr>
            <w:r>
              <w:rPr>
                <w:rFonts w:ascii="Times New Roman" w:cs="Times New Roman" w:eastAsia="Times New Roman" w:hAnsi="Times New Roman"/>
                <w:sz w:val="15"/>
                <w:szCs w:val="15"/>
                <w:color w:val="auto"/>
              </w:rPr>
              <w:t>$</w:t>
            </w:r>
          </w:p>
        </w:tc>
        <w:tc>
          <w:tcPr>
            <w:tcW w:w="760" w:type="dxa"/>
            <w:vAlign w:val="bottom"/>
            <w:shd w:val="clear" w:color="auto" w:fill="CCEEFF"/>
          </w:tcPr>
          <w:p>
            <w:pPr>
              <w:jc w:val="right"/>
              <w:ind w:right="44"/>
              <w:spacing w:after="0"/>
              <w:rPr>
                <w:sz w:val="20"/>
                <w:szCs w:val="20"/>
                <w:color w:val="auto"/>
              </w:rPr>
            </w:pPr>
            <w:r>
              <w:rPr>
                <w:rFonts w:ascii="Times New Roman" w:cs="Times New Roman" w:eastAsia="Times New Roman" w:hAnsi="Times New Roman"/>
                <w:sz w:val="15"/>
                <w:szCs w:val="15"/>
                <w:color w:val="auto"/>
              </w:rPr>
              <w:t>35,656</w:t>
            </w: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40" w:type="dxa"/>
            <w:vAlign w:val="bottom"/>
            <w:shd w:val="clear" w:color="auto" w:fill="CCEEFF"/>
          </w:tcPr>
          <w:p>
            <w:pPr>
              <w:jc w:val="right"/>
              <w:ind w:right="44"/>
              <w:spacing w:after="0"/>
              <w:rPr>
                <w:sz w:val="20"/>
                <w:szCs w:val="20"/>
                <w:color w:val="auto"/>
              </w:rPr>
            </w:pPr>
            <w:r>
              <w:rPr>
                <w:rFonts w:ascii="Times New Roman" w:cs="Times New Roman" w:eastAsia="Times New Roman" w:hAnsi="Times New Roman"/>
                <w:sz w:val="15"/>
                <w:szCs w:val="15"/>
                <w:color w:val="auto"/>
              </w:rPr>
              <w:t>40,522</w:t>
            </w: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780" w:type="dxa"/>
            <w:vAlign w:val="bottom"/>
            <w:shd w:val="clear" w:color="auto" w:fill="CCEEFF"/>
          </w:tcPr>
          <w:p>
            <w:pPr>
              <w:jc w:val="right"/>
              <w:ind w:right="64"/>
              <w:spacing w:after="0"/>
              <w:rPr>
                <w:sz w:val="20"/>
                <w:szCs w:val="20"/>
                <w:color w:val="auto"/>
              </w:rPr>
            </w:pPr>
            <w:r>
              <w:rPr>
                <w:rFonts w:ascii="Times New Roman" w:cs="Times New Roman" w:eastAsia="Times New Roman" w:hAnsi="Times New Roman"/>
                <w:sz w:val="15"/>
                <w:szCs w:val="15"/>
                <w:color w:val="auto"/>
              </w:rPr>
              <w:t>8,091</w:t>
            </w: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60" w:type="dxa"/>
            <w:vAlign w:val="bottom"/>
            <w:shd w:val="clear" w:color="auto" w:fill="CCEEFF"/>
          </w:tcPr>
          <w:p>
            <w:pPr>
              <w:jc w:val="right"/>
              <w:ind w:right="44"/>
              <w:spacing w:after="0"/>
              <w:rPr>
                <w:sz w:val="20"/>
                <w:szCs w:val="20"/>
                <w:color w:val="auto"/>
              </w:rPr>
            </w:pPr>
            <w:r>
              <w:rPr>
                <w:rFonts w:ascii="Times New Roman" w:cs="Times New Roman" w:eastAsia="Times New Roman" w:hAnsi="Times New Roman"/>
                <w:sz w:val="15"/>
                <w:szCs w:val="15"/>
                <w:color w:val="auto"/>
              </w:rPr>
              <w:t>113,583</w:t>
            </w:r>
          </w:p>
        </w:tc>
        <w:tc>
          <w:tcPr>
            <w:tcW w:w="14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64"/>
              <w:spacing w:after="0"/>
              <w:rPr>
                <w:sz w:val="20"/>
                <w:szCs w:val="20"/>
                <w:color w:val="auto"/>
              </w:rPr>
            </w:pPr>
            <w:r>
              <w:rPr>
                <w:rFonts w:ascii="Times New Roman" w:cs="Times New Roman" w:eastAsia="Times New Roman" w:hAnsi="Times New Roman"/>
                <w:sz w:val="15"/>
                <w:szCs w:val="15"/>
                <w:color w:val="auto"/>
              </w:rPr>
              <w:t>$</w:t>
            </w:r>
          </w:p>
        </w:tc>
        <w:tc>
          <w:tcPr>
            <w:tcW w:w="780" w:type="dxa"/>
            <w:vAlign w:val="bottom"/>
            <w:shd w:val="clear" w:color="auto" w:fill="CCEEFF"/>
          </w:tcPr>
          <w:p>
            <w:pPr>
              <w:jc w:val="right"/>
              <w:ind w:right="44"/>
              <w:spacing w:after="0"/>
              <w:rPr>
                <w:sz w:val="20"/>
                <w:szCs w:val="20"/>
                <w:color w:val="auto"/>
              </w:rPr>
            </w:pPr>
            <w:r>
              <w:rPr>
                <w:rFonts w:ascii="Times New Roman" w:cs="Times New Roman" w:eastAsia="Times New Roman" w:hAnsi="Times New Roman"/>
                <w:sz w:val="15"/>
                <w:szCs w:val="15"/>
                <w:color w:val="auto"/>
              </w:rPr>
              <w:t>84,234</w:t>
            </w:r>
          </w:p>
        </w:tc>
      </w:tr>
      <w:tr>
        <w:trPr>
          <w:trHeight w:val="200"/>
        </w:trPr>
        <w:tc>
          <w:tcPr>
            <w:tcW w:w="334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Loss on sale of manufactured housing loans</w:t>
            </w:r>
          </w:p>
        </w:tc>
        <w:tc>
          <w:tcPr>
            <w:tcW w:w="240" w:type="dxa"/>
            <w:vAlign w:val="bottom"/>
          </w:tcPr>
          <w:p>
            <w:pPr>
              <w:spacing w:after="0"/>
              <w:rPr>
                <w:sz w:val="17"/>
                <w:szCs w:val="17"/>
                <w:color w:val="auto"/>
              </w:rPr>
            </w:pPr>
          </w:p>
        </w:tc>
        <w:tc>
          <w:tcPr>
            <w:tcW w:w="900" w:type="dxa"/>
            <w:vAlign w:val="bottom"/>
            <w:gridSpan w:val="2"/>
          </w:tcPr>
          <w:p>
            <w:pPr>
              <w:jc w:val="right"/>
              <w:ind w:right="260"/>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Pr>
          <w:p>
            <w:pPr>
              <w:spacing w:after="0"/>
              <w:rPr>
                <w:sz w:val="17"/>
                <w:szCs w:val="17"/>
                <w:color w:val="auto"/>
              </w:rPr>
            </w:pPr>
          </w:p>
        </w:tc>
        <w:tc>
          <w:tcPr>
            <w:tcW w:w="980" w:type="dxa"/>
            <w:vAlign w:val="bottom"/>
            <w:gridSpan w:val="2"/>
          </w:tcPr>
          <w:p>
            <w:pPr>
              <w:jc w:val="right"/>
              <w:ind w:right="280"/>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tcPr>
          <w:p>
            <w:pPr>
              <w:spacing w:after="0"/>
              <w:rPr>
                <w:sz w:val="17"/>
                <w:szCs w:val="17"/>
                <w:color w:val="auto"/>
              </w:rPr>
            </w:pPr>
          </w:p>
        </w:tc>
        <w:tc>
          <w:tcPr>
            <w:tcW w:w="900" w:type="dxa"/>
            <w:vAlign w:val="bottom"/>
            <w:gridSpan w:val="2"/>
          </w:tcPr>
          <w:p>
            <w:pPr>
              <w:jc w:val="right"/>
              <w:ind w:right="26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Pr>
          <w:p>
            <w:pPr>
              <w:spacing w:after="0"/>
              <w:rPr>
                <w:sz w:val="17"/>
                <w:szCs w:val="17"/>
                <w:color w:val="auto"/>
              </w:rPr>
            </w:pPr>
          </w:p>
        </w:tc>
        <w:tc>
          <w:tcPr>
            <w:tcW w:w="1000" w:type="dxa"/>
            <w:vAlign w:val="bottom"/>
            <w:gridSpan w:val="2"/>
          </w:tcPr>
          <w:p>
            <w:pPr>
              <w:jc w:val="right"/>
              <w:ind w:right="280"/>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tcPr>
          <w:p>
            <w:pPr>
              <w:spacing w:after="0"/>
              <w:rPr>
                <w:sz w:val="17"/>
                <w:szCs w:val="17"/>
                <w:color w:val="auto"/>
              </w:rPr>
            </w:pPr>
          </w:p>
        </w:tc>
        <w:tc>
          <w:tcPr>
            <w:tcW w:w="780" w:type="dxa"/>
            <w:vAlign w:val="bottom"/>
          </w:tcPr>
          <w:p>
            <w:pPr>
              <w:jc w:val="right"/>
              <w:ind w:right="64"/>
              <w:spacing w:after="0"/>
              <w:rPr>
                <w:sz w:val="20"/>
                <w:szCs w:val="20"/>
                <w:color w:val="auto"/>
              </w:rPr>
            </w:pPr>
            <w:r>
              <w:rPr>
                <w:rFonts w:ascii="Times New Roman" w:cs="Times New Roman" w:eastAsia="Times New Roman" w:hAnsi="Times New Roman"/>
                <w:sz w:val="15"/>
                <w:szCs w:val="15"/>
                <w:color w:val="auto"/>
              </w:rPr>
              <w:t>27,209</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gridSpan w:val="2"/>
          </w:tcPr>
          <w:p>
            <w:pPr>
              <w:jc w:val="right"/>
              <w:ind w:right="260"/>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tcPr>
          <w:p>
            <w:pPr>
              <w:spacing w:after="0"/>
              <w:rPr>
                <w:sz w:val="17"/>
                <w:szCs w:val="17"/>
                <w:color w:val="auto"/>
              </w:rPr>
            </w:pPr>
          </w:p>
        </w:tc>
        <w:tc>
          <w:tcPr>
            <w:tcW w:w="780" w:type="dxa"/>
            <w:vAlign w:val="bottom"/>
          </w:tcPr>
          <w:p>
            <w:pPr>
              <w:jc w:val="right"/>
              <w:ind w:right="44"/>
              <w:spacing w:after="0"/>
              <w:rPr>
                <w:sz w:val="20"/>
                <w:szCs w:val="20"/>
                <w:color w:val="auto"/>
              </w:rPr>
            </w:pPr>
            <w:r>
              <w:rPr>
                <w:rFonts w:ascii="Times New Roman" w:cs="Times New Roman" w:eastAsia="Times New Roman" w:hAnsi="Times New Roman"/>
                <w:sz w:val="15"/>
                <w:szCs w:val="15"/>
                <w:color w:val="auto"/>
              </w:rPr>
              <w:t>27,209</w:t>
            </w:r>
          </w:p>
        </w:tc>
      </w:tr>
      <w:tr>
        <w:trPr>
          <w:trHeight w:val="203"/>
        </w:trPr>
        <w:tc>
          <w:tcPr>
            <w:tcW w:w="3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Gain on lease termination</w:t>
            </w:r>
          </w:p>
        </w:tc>
        <w:tc>
          <w:tcPr>
            <w:tcW w:w="24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shd w:val="clear" w:color="auto" w:fill="CCEEFF"/>
          </w:tcPr>
          <w:p>
            <w:pPr>
              <w:spacing w:after="0"/>
              <w:rPr>
                <w:sz w:val="17"/>
                <w:szCs w:val="17"/>
                <w:color w:val="auto"/>
              </w:rPr>
            </w:pPr>
          </w:p>
        </w:tc>
        <w:tc>
          <w:tcPr>
            <w:tcW w:w="780" w:type="dxa"/>
            <w:vAlign w:val="bottom"/>
            <w:shd w:val="clear" w:color="auto" w:fill="CCEEFF"/>
          </w:tcPr>
          <w:p>
            <w:pPr>
              <w:jc w:val="right"/>
              <w:ind w:right="44"/>
              <w:spacing w:after="0"/>
              <w:rPr>
                <w:sz w:val="20"/>
                <w:szCs w:val="20"/>
                <w:color w:val="auto"/>
              </w:rPr>
            </w:pPr>
            <w:r>
              <w:rPr>
                <w:rFonts w:ascii="Times New Roman" w:cs="Times New Roman" w:eastAsia="Times New Roman" w:hAnsi="Times New Roman"/>
                <w:sz w:val="15"/>
                <w:szCs w:val="15"/>
                <w:color w:val="auto"/>
              </w:rPr>
              <w:t>(2,400)</w:t>
            </w:r>
          </w:p>
        </w:tc>
      </w:tr>
      <w:tr>
        <w:trPr>
          <w:trHeight w:val="198"/>
        </w:trPr>
        <w:tc>
          <w:tcPr>
            <w:tcW w:w="334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Noninterest income - operating</w:t>
            </w:r>
          </w:p>
        </w:tc>
        <w:tc>
          <w:tcPr>
            <w:tcW w:w="24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760" w:type="dxa"/>
            <w:vAlign w:val="bottom"/>
            <w:tcBorders>
              <w:top w:val="single" w:sz="8" w:color="auto"/>
              <w:bottom w:val="single" w:sz="8" w:color="auto"/>
            </w:tcBorders>
          </w:tcPr>
          <w:p>
            <w:pPr>
              <w:jc w:val="right"/>
              <w:ind w:right="44"/>
              <w:spacing w:after="0"/>
              <w:rPr>
                <w:sz w:val="20"/>
                <w:szCs w:val="20"/>
                <w:color w:val="auto"/>
              </w:rPr>
            </w:pPr>
            <w:r>
              <w:rPr>
                <w:rFonts w:ascii="Times New Roman" w:cs="Times New Roman" w:eastAsia="Times New Roman" w:hAnsi="Times New Roman"/>
                <w:sz w:val="15"/>
                <w:szCs w:val="15"/>
                <w:color w:val="auto"/>
              </w:rPr>
              <w:t>43,219</w:t>
            </w:r>
          </w:p>
        </w:tc>
        <w:tc>
          <w:tcPr>
            <w:tcW w:w="140" w:type="dxa"/>
            <w:vAlign w:val="bottom"/>
          </w:tcPr>
          <w:p>
            <w:pPr>
              <w:spacing w:after="0"/>
              <w:rPr>
                <w:sz w:val="17"/>
                <w:szCs w:val="17"/>
                <w:color w:val="auto"/>
              </w:rPr>
            </w:pPr>
          </w:p>
        </w:tc>
        <w:tc>
          <w:tcPr>
            <w:tcW w:w="180" w:type="dxa"/>
            <w:vAlign w:val="bottom"/>
            <w:tcBorders>
              <w:top w:val="single" w:sz="8" w:color="auto"/>
              <w:bottom w:val="single" w:sz="8" w:color="auto"/>
            </w:tcBorders>
          </w:tcPr>
          <w:p>
            <w:pPr>
              <w:jc w:val="right"/>
              <w:ind w:right="4"/>
              <w:spacing w:after="0"/>
              <w:rPr>
                <w:sz w:val="20"/>
                <w:szCs w:val="20"/>
                <w:color w:val="auto"/>
              </w:rPr>
            </w:pPr>
            <w:r>
              <w:rPr>
                <w:rFonts w:ascii="Times New Roman" w:cs="Times New Roman" w:eastAsia="Times New Roman" w:hAnsi="Times New Roman"/>
                <w:sz w:val="15"/>
                <w:szCs w:val="15"/>
                <w:color w:val="auto"/>
              </w:rPr>
              <w:t>$</w:t>
            </w:r>
          </w:p>
        </w:tc>
        <w:tc>
          <w:tcPr>
            <w:tcW w:w="820" w:type="dxa"/>
            <w:vAlign w:val="bottom"/>
            <w:tcBorders>
              <w:top w:val="single" w:sz="8" w:color="auto"/>
              <w:bottom w:val="single" w:sz="8" w:color="auto"/>
            </w:tcBorders>
          </w:tcPr>
          <w:p>
            <w:pPr>
              <w:jc w:val="right"/>
              <w:ind w:right="44"/>
              <w:spacing w:after="0"/>
              <w:rPr>
                <w:sz w:val="20"/>
                <w:szCs w:val="20"/>
                <w:color w:val="auto"/>
              </w:rPr>
            </w:pPr>
            <w:r>
              <w:rPr>
                <w:rFonts w:ascii="Times New Roman" w:cs="Times New Roman" w:eastAsia="Times New Roman" w:hAnsi="Times New Roman"/>
                <w:sz w:val="15"/>
                <w:szCs w:val="15"/>
                <w:color w:val="auto"/>
              </w:rPr>
              <w:t>34,708</w:t>
            </w:r>
          </w:p>
        </w:tc>
        <w:tc>
          <w:tcPr>
            <w:tcW w:w="160" w:type="dxa"/>
            <w:vAlign w:val="bottom"/>
          </w:tcPr>
          <w:p>
            <w:pPr>
              <w:spacing w:after="0"/>
              <w:rPr>
                <w:sz w:val="17"/>
                <w:szCs w:val="17"/>
                <w:color w:val="auto"/>
              </w:rPr>
            </w:pPr>
          </w:p>
        </w:tc>
        <w:tc>
          <w:tcPr>
            <w:tcW w:w="240" w:type="dxa"/>
            <w:vAlign w:val="bottom"/>
            <w:tcBorders>
              <w:top w:val="single" w:sz="8" w:color="auto"/>
              <w:bottom w:val="single" w:sz="8" w:color="auto"/>
            </w:tcBorders>
          </w:tcPr>
          <w:p>
            <w:pPr>
              <w:jc w:val="right"/>
              <w:ind w:right="64"/>
              <w:spacing w:after="0"/>
              <w:rPr>
                <w:sz w:val="20"/>
                <w:szCs w:val="20"/>
                <w:color w:val="auto"/>
              </w:rPr>
            </w:pPr>
            <w:r>
              <w:rPr>
                <w:rFonts w:ascii="Times New Roman" w:cs="Times New Roman" w:eastAsia="Times New Roman" w:hAnsi="Times New Roman"/>
                <w:sz w:val="15"/>
                <w:szCs w:val="15"/>
                <w:color w:val="auto"/>
              </w:rPr>
              <w:t>$</w:t>
            </w:r>
          </w:p>
        </w:tc>
        <w:tc>
          <w:tcPr>
            <w:tcW w:w="760" w:type="dxa"/>
            <w:vAlign w:val="bottom"/>
            <w:tcBorders>
              <w:top w:val="single" w:sz="8" w:color="auto"/>
              <w:bottom w:val="single" w:sz="8" w:color="auto"/>
            </w:tcBorders>
          </w:tcPr>
          <w:p>
            <w:pPr>
              <w:jc w:val="right"/>
              <w:ind w:right="44"/>
              <w:spacing w:after="0"/>
              <w:rPr>
                <w:sz w:val="20"/>
                <w:szCs w:val="20"/>
                <w:color w:val="auto"/>
              </w:rPr>
            </w:pPr>
            <w:r>
              <w:rPr>
                <w:rFonts w:ascii="Times New Roman" w:cs="Times New Roman" w:eastAsia="Times New Roman" w:hAnsi="Times New Roman"/>
                <w:sz w:val="15"/>
                <w:szCs w:val="15"/>
                <w:color w:val="auto"/>
              </w:rPr>
              <w:t>35,656</w:t>
            </w:r>
          </w:p>
        </w:tc>
        <w:tc>
          <w:tcPr>
            <w:tcW w:w="14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40" w:type="dxa"/>
            <w:vAlign w:val="bottom"/>
            <w:tcBorders>
              <w:top w:val="single" w:sz="8" w:color="auto"/>
              <w:bottom w:val="single" w:sz="8" w:color="auto"/>
            </w:tcBorders>
          </w:tcPr>
          <w:p>
            <w:pPr>
              <w:jc w:val="right"/>
              <w:ind w:right="44"/>
              <w:spacing w:after="0"/>
              <w:rPr>
                <w:sz w:val="20"/>
                <w:szCs w:val="20"/>
                <w:color w:val="auto"/>
              </w:rPr>
            </w:pPr>
            <w:r>
              <w:rPr>
                <w:rFonts w:ascii="Times New Roman" w:cs="Times New Roman" w:eastAsia="Times New Roman" w:hAnsi="Times New Roman"/>
                <w:sz w:val="15"/>
                <w:szCs w:val="15"/>
                <w:color w:val="auto"/>
              </w:rPr>
              <w:t>40,522</w:t>
            </w:r>
          </w:p>
        </w:tc>
        <w:tc>
          <w:tcPr>
            <w:tcW w:w="160" w:type="dxa"/>
            <w:vAlign w:val="bottom"/>
          </w:tcPr>
          <w:p>
            <w:pPr>
              <w:spacing w:after="0"/>
              <w:rPr>
                <w:sz w:val="17"/>
                <w:szCs w:val="17"/>
                <w:color w:val="auto"/>
              </w:rPr>
            </w:pPr>
          </w:p>
        </w:tc>
        <w:tc>
          <w:tcPr>
            <w:tcW w:w="22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780" w:type="dxa"/>
            <w:vAlign w:val="bottom"/>
            <w:tcBorders>
              <w:top w:val="single" w:sz="8" w:color="auto"/>
              <w:bottom w:val="single" w:sz="8" w:color="auto"/>
            </w:tcBorders>
          </w:tcPr>
          <w:p>
            <w:pPr>
              <w:jc w:val="right"/>
              <w:ind w:right="64"/>
              <w:spacing w:after="0"/>
              <w:rPr>
                <w:sz w:val="20"/>
                <w:szCs w:val="20"/>
                <w:color w:val="auto"/>
              </w:rPr>
            </w:pPr>
            <w:r>
              <w:rPr>
                <w:rFonts w:ascii="Times New Roman" w:cs="Times New Roman" w:eastAsia="Times New Roman" w:hAnsi="Times New Roman"/>
                <w:sz w:val="15"/>
                <w:szCs w:val="15"/>
                <w:color w:val="auto"/>
              </w:rPr>
              <w:t>35,300</w:t>
            </w:r>
          </w:p>
        </w:tc>
        <w:tc>
          <w:tcPr>
            <w:tcW w:w="14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60" w:type="dxa"/>
            <w:vAlign w:val="bottom"/>
            <w:tcBorders>
              <w:top w:val="single" w:sz="8" w:color="auto"/>
              <w:bottom w:val="single" w:sz="8" w:color="auto"/>
            </w:tcBorders>
          </w:tcPr>
          <w:p>
            <w:pPr>
              <w:jc w:val="right"/>
              <w:ind w:right="44"/>
              <w:spacing w:after="0"/>
              <w:rPr>
                <w:sz w:val="20"/>
                <w:szCs w:val="20"/>
                <w:color w:val="auto"/>
              </w:rPr>
            </w:pPr>
            <w:r>
              <w:rPr>
                <w:rFonts w:ascii="Times New Roman" w:cs="Times New Roman" w:eastAsia="Times New Roman" w:hAnsi="Times New Roman"/>
                <w:sz w:val="15"/>
                <w:szCs w:val="15"/>
                <w:color w:val="auto"/>
              </w:rPr>
              <w:t>113,583</w:t>
            </w:r>
          </w:p>
        </w:tc>
        <w:tc>
          <w:tcPr>
            <w:tcW w:w="140" w:type="dxa"/>
            <w:vAlign w:val="bottom"/>
          </w:tcPr>
          <w:p>
            <w:pPr>
              <w:spacing w:after="0"/>
              <w:rPr>
                <w:sz w:val="17"/>
                <w:szCs w:val="17"/>
                <w:color w:val="auto"/>
              </w:rPr>
            </w:pPr>
          </w:p>
        </w:tc>
        <w:tc>
          <w:tcPr>
            <w:tcW w:w="240" w:type="dxa"/>
            <w:vAlign w:val="bottom"/>
            <w:tcBorders>
              <w:top w:val="single" w:sz="8" w:color="auto"/>
              <w:bottom w:val="single" w:sz="8" w:color="auto"/>
            </w:tcBorders>
          </w:tcPr>
          <w:p>
            <w:pPr>
              <w:jc w:val="right"/>
              <w:ind w:right="64"/>
              <w:spacing w:after="0"/>
              <w:rPr>
                <w:sz w:val="20"/>
                <w:szCs w:val="20"/>
                <w:color w:val="auto"/>
              </w:rPr>
            </w:pPr>
            <w:r>
              <w:rPr>
                <w:rFonts w:ascii="Times New Roman" w:cs="Times New Roman" w:eastAsia="Times New Roman" w:hAnsi="Times New Roman"/>
                <w:sz w:val="15"/>
                <w:szCs w:val="15"/>
                <w:color w:val="auto"/>
              </w:rPr>
              <w:t>$</w:t>
            </w:r>
          </w:p>
        </w:tc>
        <w:tc>
          <w:tcPr>
            <w:tcW w:w="780" w:type="dxa"/>
            <w:vAlign w:val="bottom"/>
            <w:tcBorders>
              <w:top w:val="single" w:sz="8" w:color="auto"/>
              <w:bottom w:val="single" w:sz="8" w:color="auto"/>
            </w:tcBorders>
          </w:tcPr>
          <w:p>
            <w:pPr>
              <w:jc w:val="right"/>
              <w:ind w:right="44"/>
              <w:spacing w:after="0"/>
              <w:rPr>
                <w:sz w:val="20"/>
                <w:szCs w:val="20"/>
                <w:color w:val="auto"/>
              </w:rPr>
            </w:pPr>
            <w:r>
              <w:rPr>
                <w:rFonts w:ascii="Times New Roman" w:cs="Times New Roman" w:eastAsia="Times New Roman" w:hAnsi="Times New Roman"/>
                <w:sz w:val="15"/>
                <w:szCs w:val="15"/>
                <w:color w:val="auto"/>
              </w:rPr>
              <w:t>109,043</w:t>
            </w:r>
          </w:p>
        </w:tc>
      </w:tr>
      <w:tr>
        <w:trPr>
          <w:trHeight w:val="20"/>
        </w:trPr>
        <w:tc>
          <w:tcPr>
            <w:tcW w:w="334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r>
        <w:trPr>
          <w:trHeight w:val="169"/>
        </w:trPr>
        <w:tc>
          <w:tcPr>
            <w:tcW w:w="33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r>
      <w:tr>
        <w:trPr>
          <w:trHeight w:val="202"/>
        </w:trPr>
        <w:tc>
          <w:tcPr>
            <w:tcW w:w="3340" w:type="dxa"/>
            <w:vAlign w:val="bottom"/>
          </w:tcPr>
          <w:p>
            <w:pPr>
              <w:ind w:left="20"/>
              <w:spacing w:after="0"/>
              <w:rPr>
                <w:sz w:val="20"/>
                <w:szCs w:val="20"/>
                <w:color w:val="auto"/>
              </w:rPr>
            </w:pPr>
            <w:r>
              <w:rPr>
                <w:rFonts w:ascii="Times New Roman" w:cs="Times New Roman" w:eastAsia="Times New Roman" w:hAnsi="Times New Roman"/>
                <w:sz w:val="15"/>
                <w:szCs w:val="15"/>
                <w:b w:val="1"/>
                <w:bCs w:val="1"/>
                <w:color w:val="auto"/>
              </w:rPr>
              <w:t>Noninterest expense reconciliation</w:t>
            </w:r>
          </w:p>
        </w:tc>
        <w:tc>
          <w:tcPr>
            <w:tcW w:w="2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r>
      <w:tr>
        <w:trPr>
          <w:trHeight w:val="203"/>
        </w:trPr>
        <w:tc>
          <w:tcPr>
            <w:tcW w:w="3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Noninterest expense (GAAP)</w:t>
            </w:r>
          </w:p>
        </w:tc>
        <w:tc>
          <w:tcPr>
            <w:tcW w:w="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760" w:type="dxa"/>
            <w:vAlign w:val="bottom"/>
            <w:shd w:val="clear" w:color="auto" w:fill="CCEEFF"/>
          </w:tcPr>
          <w:p>
            <w:pPr>
              <w:jc w:val="right"/>
              <w:ind w:right="44"/>
              <w:spacing w:after="0"/>
              <w:rPr>
                <w:sz w:val="20"/>
                <w:szCs w:val="20"/>
                <w:color w:val="auto"/>
              </w:rPr>
            </w:pPr>
            <w:r>
              <w:rPr>
                <w:rFonts w:ascii="Times New Roman" w:cs="Times New Roman" w:eastAsia="Times New Roman" w:hAnsi="Times New Roman"/>
                <w:sz w:val="15"/>
                <w:szCs w:val="15"/>
                <w:color w:val="auto"/>
              </w:rPr>
              <w:t>150,868</w:t>
            </w: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w:t>
            </w:r>
          </w:p>
        </w:tc>
        <w:tc>
          <w:tcPr>
            <w:tcW w:w="820" w:type="dxa"/>
            <w:vAlign w:val="bottom"/>
            <w:shd w:val="clear" w:color="auto" w:fill="CCEEFF"/>
          </w:tcPr>
          <w:p>
            <w:pPr>
              <w:jc w:val="right"/>
              <w:ind w:right="44"/>
              <w:spacing w:after="0"/>
              <w:rPr>
                <w:sz w:val="20"/>
                <w:szCs w:val="20"/>
                <w:color w:val="auto"/>
              </w:rPr>
            </w:pPr>
            <w:r>
              <w:rPr>
                <w:rFonts w:ascii="Times New Roman" w:cs="Times New Roman" w:eastAsia="Times New Roman" w:hAnsi="Times New Roman"/>
                <w:sz w:val="15"/>
                <w:szCs w:val="15"/>
                <w:color w:val="auto"/>
              </w:rPr>
              <w:t>147,919</w:t>
            </w:r>
          </w:p>
        </w:tc>
        <w:tc>
          <w:tcPr>
            <w:tcW w:w="16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64"/>
              <w:spacing w:after="0"/>
              <w:rPr>
                <w:sz w:val="20"/>
                <w:szCs w:val="20"/>
                <w:color w:val="auto"/>
              </w:rPr>
            </w:pPr>
            <w:r>
              <w:rPr>
                <w:rFonts w:ascii="Times New Roman" w:cs="Times New Roman" w:eastAsia="Times New Roman" w:hAnsi="Times New Roman"/>
                <w:sz w:val="15"/>
                <w:szCs w:val="15"/>
                <w:color w:val="auto"/>
              </w:rPr>
              <w:t>$</w:t>
            </w:r>
          </w:p>
        </w:tc>
        <w:tc>
          <w:tcPr>
            <w:tcW w:w="760" w:type="dxa"/>
            <w:vAlign w:val="bottom"/>
            <w:shd w:val="clear" w:color="auto" w:fill="CCEEFF"/>
          </w:tcPr>
          <w:p>
            <w:pPr>
              <w:jc w:val="right"/>
              <w:ind w:right="44"/>
              <w:spacing w:after="0"/>
              <w:rPr>
                <w:sz w:val="20"/>
                <w:szCs w:val="20"/>
                <w:color w:val="auto"/>
              </w:rPr>
            </w:pPr>
            <w:r>
              <w:rPr>
                <w:rFonts w:ascii="Times New Roman" w:cs="Times New Roman" w:eastAsia="Times New Roman" w:hAnsi="Times New Roman"/>
                <w:sz w:val="15"/>
                <w:szCs w:val="15"/>
                <w:color w:val="auto"/>
              </w:rPr>
              <w:t>141,099</w:t>
            </w: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40" w:type="dxa"/>
            <w:vAlign w:val="bottom"/>
            <w:shd w:val="clear" w:color="auto" w:fill="CCEEFF"/>
          </w:tcPr>
          <w:p>
            <w:pPr>
              <w:jc w:val="right"/>
              <w:ind w:right="44"/>
              <w:spacing w:after="0"/>
              <w:rPr>
                <w:sz w:val="20"/>
                <w:szCs w:val="20"/>
                <w:color w:val="auto"/>
              </w:rPr>
            </w:pPr>
            <w:r>
              <w:rPr>
                <w:rFonts w:ascii="Times New Roman" w:cs="Times New Roman" w:eastAsia="Times New Roman" w:hAnsi="Times New Roman"/>
                <w:sz w:val="15"/>
                <w:szCs w:val="15"/>
                <w:color w:val="auto"/>
              </w:rPr>
              <w:t>143,056</w:t>
            </w: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780" w:type="dxa"/>
            <w:vAlign w:val="bottom"/>
            <w:shd w:val="clear" w:color="auto" w:fill="CCEEFF"/>
          </w:tcPr>
          <w:p>
            <w:pPr>
              <w:jc w:val="right"/>
              <w:ind w:right="64"/>
              <w:spacing w:after="0"/>
              <w:rPr>
                <w:sz w:val="20"/>
                <w:szCs w:val="20"/>
                <w:color w:val="auto"/>
              </w:rPr>
            </w:pPr>
            <w:r>
              <w:rPr>
                <w:rFonts w:ascii="Times New Roman" w:cs="Times New Roman" w:eastAsia="Times New Roman" w:hAnsi="Times New Roman"/>
                <w:sz w:val="15"/>
                <w:szCs w:val="15"/>
                <w:color w:val="auto"/>
              </w:rPr>
              <w:t>143,065</w:t>
            </w: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60" w:type="dxa"/>
            <w:vAlign w:val="bottom"/>
            <w:shd w:val="clear" w:color="auto" w:fill="CCEEFF"/>
          </w:tcPr>
          <w:p>
            <w:pPr>
              <w:jc w:val="right"/>
              <w:ind w:right="44"/>
              <w:spacing w:after="0"/>
              <w:rPr>
                <w:sz w:val="20"/>
                <w:szCs w:val="20"/>
                <w:color w:val="auto"/>
              </w:rPr>
            </w:pPr>
            <w:r>
              <w:rPr>
                <w:rFonts w:ascii="Times New Roman" w:cs="Times New Roman" w:eastAsia="Times New Roman" w:hAnsi="Times New Roman"/>
                <w:sz w:val="15"/>
                <w:szCs w:val="15"/>
                <w:color w:val="auto"/>
              </w:rPr>
              <w:t>439,886</w:t>
            </w:r>
          </w:p>
        </w:tc>
        <w:tc>
          <w:tcPr>
            <w:tcW w:w="14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64"/>
              <w:spacing w:after="0"/>
              <w:rPr>
                <w:sz w:val="20"/>
                <w:szCs w:val="20"/>
                <w:color w:val="auto"/>
              </w:rPr>
            </w:pPr>
            <w:r>
              <w:rPr>
                <w:rFonts w:ascii="Times New Roman" w:cs="Times New Roman" w:eastAsia="Times New Roman" w:hAnsi="Times New Roman"/>
                <w:sz w:val="15"/>
                <w:szCs w:val="15"/>
                <w:color w:val="auto"/>
              </w:rPr>
              <w:t>$</w:t>
            </w:r>
          </w:p>
        </w:tc>
        <w:tc>
          <w:tcPr>
            <w:tcW w:w="780" w:type="dxa"/>
            <w:vAlign w:val="bottom"/>
            <w:shd w:val="clear" w:color="auto" w:fill="CCEEFF"/>
          </w:tcPr>
          <w:p>
            <w:pPr>
              <w:jc w:val="right"/>
              <w:ind w:right="44"/>
              <w:spacing w:after="0"/>
              <w:rPr>
                <w:sz w:val="20"/>
                <w:szCs w:val="20"/>
                <w:color w:val="auto"/>
              </w:rPr>
            </w:pPr>
            <w:r>
              <w:rPr>
                <w:rFonts w:ascii="Times New Roman" w:cs="Times New Roman" w:eastAsia="Times New Roman" w:hAnsi="Times New Roman"/>
                <w:sz w:val="15"/>
                <w:szCs w:val="15"/>
                <w:color w:val="auto"/>
              </w:rPr>
              <w:t>435,111</w:t>
            </w:r>
          </w:p>
        </w:tc>
      </w:tr>
      <w:tr>
        <w:trPr>
          <w:trHeight w:val="148"/>
        </w:trPr>
        <w:tc>
          <w:tcPr>
            <w:tcW w:w="3340" w:type="dxa"/>
            <w:vAlign w:val="bottom"/>
          </w:tcPr>
          <w:p>
            <w:pPr>
              <w:ind w:left="20"/>
              <w:spacing w:after="0" w:line="149" w:lineRule="exact"/>
              <w:rPr>
                <w:sz w:val="20"/>
                <w:szCs w:val="20"/>
                <w:color w:val="auto"/>
              </w:rPr>
            </w:pPr>
            <w:r>
              <w:rPr>
                <w:rFonts w:ascii="Times New Roman" w:cs="Times New Roman" w:eastAsia="Times New Roman" w:hAnsi="Times New Roman"/>
                <w:sz w:val="15"/>
                <w:szCs w:val="15"/>
                <w:color w:val="auto"/>
              </w:rPr>
              <w:t>Loss on sale of FinTrust, including goodwill</w:t>
            </w:r>
          </w:p>
        </w:tc>
        <w:tc>
          <w:tcPr>
            <w:tcW w:w="2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tcPr>
          <w:p>
            <w:pPr>
              <w:spacing w:after="0"/>
              <w:rPr>
                <w:sz w:val="12"/>
                <w:szCs w:val="12"/>
                <w:color w:val="auto"/>
              </w:rPr>
            </w:pPr>
          </w:p>
        </w:tc>
      </w:tr>
      <w:tr>
        <w:trPr>
          <w:trHeight w:val="212"/>
        </w:trPr>
        <w:tc>
          <w:tcPr>
            <w:tcW w:w="334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impairment</w:t>
            </w:r>
          </w:p>
        </w:tc>
        <w:tc>
          <w:tcPr>
            <w:tcW w:w="240" w:type="dxa"/>
            <w:vAlign w:val="bottom"/>
          </w:tcPr>
          <w:p>
            <w:pPr>
              <w:spacing w:after="0"/>
              <w:rPr>
                <w:sz w:val="18"/>
                <w:szCs w:val="18"/>
                <w:color w:val="auto"/>
              </w:rPr>
            </w:pPr>
          </w:p>
        </w:tc>
        <w:tc>
          <w:tcPr>
            <w:tcW w:w="900" w:type="dxa"/>
            <w:vAlign w:val="bottom"/>
            <w:gridSpan w:val="2"/>
          </w:tcPr>
          <w:p>
            <w:pPr>
              <w:jc w:val="right"/>
              <w:ind w:right="260"/>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Pr>
          <w:p>
            <w:pPr>
              <w:spacing w:after="0"/>
              <w:rPr>
                <w:sz w:val="18"/>
                <w:szCs w:val="18"/>
                <w:color w:val="auto"/>
              </w:rPr>
            </w:pPr>
          </w:p>
        </w:tc>
        <w:tc>
          <w:tcPr>
            <w:tcW w:w="980" w:type="dxa"/>
            <w:vAlign w:val="bottom"/>
            <w:gridSpan w:val="2"/>
          </w:tcPr>
          <w:p>
            <w:pPr>
              <w:jc w:val="right"/>
              <w:ind w:right="280"/>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tcPr>
          <w:p>
            <w:pPr>
              <w:spacing w:after="0"/>
              <w:rPr>
                <w:sz w:val="18"/>
                <w:szCs w:val="18"/>
                <w:color w:val="auto"/>
              </w:rPr>
            </w:pPr>
          </w:p>
        </w:tc>
        <w:tc>
          <w:tcPr>
            <w:tcW w:w="900" w:type="dxa"/>
            <w:vAlign w:val="bottom"/>
            <w:gridSpan w:val="2"/>
          </w:tcPr>
          <w:p>
            <w:pPr>
              <w:jc w:val="right"/>
              <w:ind w:right="26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Pr>
          <w:p>
            <w:pPr>
              <w:spacing w:after="0"/>
              <w:rPr>
                <w:sz w:val="18"/>
                <w:szCs w:val="18"/>
                <w:color w:val="auto"/>
              </w:rPr>
            </w:pPr>
          </w:p>
        </w:tc>
        <w:tc>
          <w:tcPr>
            <w:tcW w:w="1000" w:type="dxa"/>
            <w:vAlign w:val="bottom"/>
            <w:gridSpan w:val="2"/>
          </w:tcPr>
          <w:p>
            <w:pPr>
              <w:jc w:val="right"/>
              <w:ind w:right="280"/>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tcPr>
          <w:p>
            <w:pPr>
              <w:spacing w:after="0"/>
              <w:rPr>
                <w:sz w:val="18"/>
                <w:szCs w:val="18"/>
                <w:color w:val="auto"/>
              </w:rPr>
            </w:pPr>
          </w:p>
        </w:tc>
        <w:tc>
          <w:tcPr>
            <w:tcW w:w="920" w:type="dxa"/>
            <w:vAlign w:val="bottom"/>
            <w:gridSpan w:val="2"/>
          </w:tcPr>
          <w:p>
            <w:pPr>
              <w:jc w:val="right"/>
              <w:ind w:right="28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8"/>
                <w:szCs w:val="18"/>
                <w:color w:val="auto"/>
              </w:rPr>
            </w:pPr>
          </w:p>
        </w:tc>
        <w:tc>
          <w:tcPr>
            <w:tcW w:w="1000" w:type="dxa"/>
            <w:vAlign w:val="bottom"/>
            <w:gridSpan w:val="2"/>
          </w:tcPr>
          <w:p>
            <w:pPr>
              <w:jc w:val="right"/>
              <w:ind w:right="260"/>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tcPr>
          <w:p>
            <w:pPr>
              <w:spacing w:after="0"/>
              <w:rPr>
                <w:sz w:val="18"/>
                <w:szCs w:val="18"/>
                <w:color w:val="auto"/>
              </w:rPr>
            </w:pPr>
          </w:p>
        </w:tc>
        <w:tc>
          <w:tcPr>
            <w:tcW w:w="780" w:type="dxa"/>
            <w:vAlign w:val="bottom"/>
          </w:tcPr>
          <w:p>
            <w:pPr>
              <w:jc w:val="right"/>
              <w:ind w:right="44"/>
              <w:spacing w:after="0"/>
              <w:rPr>
                <w:sz w:val="20"/>
                <w:szCs w:val="20"/>
                <w:color w:val="auto"/>
              </w:rPr>
            </w:pPr>
            <w:r>
              <w:rPr>
                <w:rFonts w:ascii="Times New Roman" w:cs="Times New Roman" w:eastAsia="Times New Roman" w:hAnsi="Times New Roman"/>
                <w:sz w:val="15"/>
                <w:szCs w:val="15"/>
                <w:color w:val="auto"/>
              </w:rPr>
              <w:t>(5,100)</w:t>
            </w:r>
          </w:p>
        </w:tc>
      </w:tr>
      <w:tr>
        <w:trPr>
          <w:trHeight w:val="207"/>
        </w:trPr>
        <w:tc>
          <w:tcPr>
            <w:tcW w:w="3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FDIC special assessment</w:t>
            </w:r>
          </w:p>
        </w:tc>
        <w:tc>
          <w:tcPr>
            <w:tcW w:w="24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shd w:val="clear" w:color="auto" w:fill="CCEEFF"/>
          </w:tcPr>
          <w:p>
            <w:pPr>
              <w:spacing w:after="0"/>
              <w:rPr>
                <w:sz w:val="17"/>
                <w:szCs w:val="17"/>
                <w:color w:val="auto"/>
              </w:rPr>
            </w:pPr>
          </w:p>
        </w:tc>
        <w:tc>
          <w:tcPr>
            <w:tcW w:w="780" w:type="dxa"/>
            <w:vAlign w:val="bottom"/>
            <w:shd w:val="clear" w:color="auto" w:fill="CCEEFF"/>
          </w:tcPr>
          <w:p>
            <w:pPr>
              <w:jc w:val="right"/>
              <w:ind w:right="44"/>
              <w:spacing w:after="0"/>
              <w:rPr>
                <w:sz w:val="20"/>
                <w:szCs w:val="20"/>
                <w:color w:val="auto"/>
              </w:rPr>
            </w:pPr>
            <w:r>
              <w:rPr>
                <w:rFonts w:ascii="Times New Roman" w:cs="Times New Roman" w:eastAsia="Times New Roman" w:hAnsi="Times New Roman"/>
                <w:sz w:val="15"/>
                <w:szCs w:val="15"/>
                <w:color w:val="auto"/>
              </w:rPr>
              <w:t>(1,736)</w:t>
            </w:r>
          </w:p>
        </w:tc>
      </w:tr>
      <w:tr>
        <w:trPr>
          <w:trHeight w:val="200"/>
        </w:trPr>
        <w:tc>
          <w:tcPr>
            <w:tcW w:w="33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5"/>
                <w:szCs w:val="15"/>
                <w:color w:val="auto"/>
              </w:rPr>
              <w:t>Merger-related and other charges</w:t>
            </w:r>
          </w:p>
        </w:tc>
        <w:tc>
          <w:tcPr>
            <w:tcW w:w="24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44"/>
              <w:spacing w:after="0"/>
              <w:rPr>
                <w:sz w:val="20"/>
                <w:szCs w:val="20"/>
                <w:color w:val="auto"/>
              </w:rPr>
            </w:pPr>
            <w:r>
              <w:rPr>
                <w:rFonts w:ascii="Times New Roman" w:cs="Times New Roman" w:eastAsia="Times New Roman" w:hAnsi="Times New Roman"/>
                <w:sz w:val="15"/>
                <w:szCs w:val="15"/>
                <w:color w:val="auto"/>
              </w:rPr>
              <w:t>(3,468)</w:t>
            </w:r>
          </w:p>
        </w:tc>
        <w:tc>
          <w:tcPr>
            <w:tcW w:w="14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44"/>
              <w:spacing w:after="0"/>
              <w:rPr>
                <w:sz w:val="20"/>
                <w:szCs w:val="20"/>
                <w:color w:val="auto"/>
              </w:rPr>
            </w:pPr>
            <w:r>
              <w:rPr>
                <w:rFonts w:ascii="Times New Roman" w:cs="Times New Roman" w:eastAsia="Times New Roman" w:hAnsi="Times New Roman"/>
                <w:sz w:val="15"/>
                <w:szCs w:val="15"/>
                <w:color w:val="auto"/>
              </w:rPr>
              <w:t>(4,833)</w:t>
            </w:r>
          </w:p>
        </w:tc>
        <w:tc>
          <w:tcPr>
            <w:tcW w:w="16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44"/>
              <w:spacing w:after="0"/>
              <w:rPr>
                <w:sz w:val="20"/>
                <w:szCs w:val="20"/>
                <w:color w:val="auto"/>
              </w:rPr>
            </w:pPr>
            <w:r>
              <w:rPr>
                <w:rFonts w:ascii="Times New Roman" w:cs="Times New Roman" w:eastAsia="Times New Roman" w:hAnsi="Times New Roman"/>
                <w:sz w:val="15"/>
                <w:szCs w:val="15"/>
                <w:color w:val="auto"/>
              </w:rPr>
              <w:t>(1,297)</w:t>
            </w:r>
          </w:p>
        </w:tc>
        <w:tc>
          <w:tcPr>
            <w:tcW w:w="14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44"/>
              <w:spacing w:after="0"/>
              <w:rPr>
                <w:sz w:val="20"/>
                <w:szCs w:val="20"/>
                <w:color w:val="auto"/>
              </w:rPr>
            </w:pPr>
            <w:r>
              <w:rPr>
                <w:rFonts w:ascii="Times New Roman" w:cs="Times New Roman" w:eastAsia="Times New Roman" w:hAnsi="Times New Roman"/>
                <w:sz w:val="15"/>
                <w:szCs w:val="15"/>
                <w:color w:val="auto"/>
              </w:rPr>
              <w:t>(2,203)</w:t>
            </w:r>
          </w:p>
        </w:tc>
        <w:tc>
          <w:tcPr>
            <w:tcW w:w="16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64"/>
              <w:spacing w:after="0"/>
              <w:rPr>
                <w:sz w:val="20"/>
                <w:szCs w:val="20"/>
                <w:color w:val="auto"/>
              </w:rPr>
            </w:pPr>
            <w:r>
              <w:rPr>
                <w:rFonts w:ascii="Times New Roman" w:cs="Times New Roman" w:eastAsia="Times New Roman" w:hAnsi="Times New Roman"/>
                <w:sz w:val="15"/>
                <w:szCs w:val="15"/>
                <w:color w:val="auto"/>
              </w:rPr>
              <w:t>(2,176)</w:t>
            </w:r>
          </w:p>
        </w:tc>
        <w:tc>
          <w:tcPr>
            <w:tcW w:w="14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44"/>
              <w:spacing w:after="0"/>
              <w:rPr>
                <w:sz w:val="20"/>
                <w:szCs w:val="20"/>
                <w:color w:val="auto"/>
              </w:rPr>
            </w:pPr>
            <w:r>
              <w:rPr>
                <w:rFonts w:ascii="Times New Roman" w:cs="Times New Roman" w:eastAsia="Times New Roman" w:hAnsi="Times New Roman"/>
                <w:sz w:val="15"/>
                <w:szCs w:val="15"/>
                <w:color w:val="auto"/>
              </w:rPr>
              <w:t>(9,598)</w:t>
            </w:r>
          </w:p>
        </w:tc>
        <w:tc>
          <w:tcPr>
            <w:tcW w:w="14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44"/>
              <w:spacing w:after="0"/>
              <w:rPr>
                <w:sz w:val="20"/>
                <w:szCs w:val="20"/>
                <w:color w:val="auto"/>
              </w:rPr>
            </w:pPr>
            <w:r>
              <w:rPr>
                <w:rFonts w:ascii="Times New Roman" w:cs="Times New Roman" w:eastAsia="Times New Roman" w:hAnsi="Times New Roman"/>
                <w:sz w:val="15"/>
                <w:szCs w:val="15"/>
                <w:color w:val="auto"/>
              </w:rPr>
              <w:t>(6,420)</w:t>
            </w:r>
          </w:p>
        </w:tc>
      </w:tr>
      <w:tr>
        <w:trPr>
          <w:trHeight w:val="223"/>
        </w:trPr>
        <w:tc>
          <w:tcPr>
            <w:tcW w:w="33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Noninterest expense - operating</w:t>
            </w:r>
          </w:p>
        </w:tc>
        <w:tc>
          <w:tcPr>
            <w:tcW w:w="2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760" w:type="dxa"/>
            <w:vAlign w:val="bottom"/>
            <w:tcBorders>
              <w:bottom w:val="single" w:sz="8" w:color="auto"/>
            </w:tcBorders>
            <w:shd w:val="clear" w:color="auto" w:fill="CCEEFF"/>
          </w:tcPr>
          <w:p>
            <w:pPr>
              <w:jc w:val="right"/>
              <w:ind w:right="44"/>
              <w:spacing w:after="0"/>
              <w:rPr>
                <w:sz w:val="20"/>
                <w:szCs w:val="20"/>
                <w:color w:val="auto"/>
              </w:rPr>
            </w:pPr>
            <w:r>
              <w:rPr>
                <w:rFonts w:ascii="Times New Roman" w:cs="Times New Roman" w:eastAsia="Times New Roman" w:hAnsi="Times New Roman"/>
                <w:sz w:val="15"/>
                <w:szCs w:val="15"/>
                <w:color w:val="auto"/>
              </w:rPr>
              <w:t>147,400</w:t>
            </w:r>
          </w:p>
        </w:tc>
        <w:tc>
          <w:tcPr>
            <w:tcW w:w="14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w:t>
            </w:r>
          </w:p>
        </w:tc>
        <w:tc>
          <w:tcPr>
            <w:tcW w:w="820" w:type="dxa"/>
            <w:vAlign w:val="bottom"/>
            <w:tcBorders>
              <w:bottom w:val="single" w:sz="8" w:color="auto"/>
            </w:tcBorders>
            <w:shd w:val="clear" w:color="auto" w:fill="CCEEFF"/>
          </w:tcPr>
          <w:p>
            <w:pPr>
              <w:jc w:val="right"/>
              <w:ind w:right="44"/>
              <w:spacing w:after="0"/>
              <w:rPr>
                <w:sz w:val="20"/>
                <w:szCs w:val="20"/>
                <w:color w:val="auto"/>
              </w:rPr>
            </w:pPr>
            <w:r>
              <w:rPr>
                <w:rFonts w:ascii="Times New Roman" w:cs="Times New Roman" w:eastAsia="Times New Roman" w:hAnsi="Times New Roman"/>
                <w:sz w:val="15"/>
                <w:szCs w:val="15"/>
                <w:color w:val="auto"/>
              </w:rPr>
              <w:t>143,086</w:t>
            </w:r>
          </w:p>
        </w:tc>
        <w:tc>
          <w:tcPr>
            <w:tcW w:w="16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64"/>
              <w:spacing w:after="0"/>
              <w:rPr>
                <w:sz w:val="20"/>
                <w:szCs w:val="20"/>
                <w:color w:val="auto"/>
              </w:rPr>
            </w:pPr>
            <w:r>
              <w:rPr>
                <w:rFonts w:ascii="Times New Roman" w:cs="Times New Roman" w:eastAsia="Times New Roman" w:hAnsi="Times New Roman"/>
                <w:sz w:val="15"/>
                <w:szCs w:val="15"/>
                <w:color w:val="auto"/>
              </w:rPr>
              <w:t>$</w:t>
            </w:r>
          </w:p>
        </w:tc>
        <w:tc>
          <w:tcPr>
            <w:tcW w:w="760" w:type="dxa"/>
            <w:vAlign w:val="bottom"/>
            <w:tcBorders>
              <w:bottom w:val="single" w:sz="8" w:color="auto"/>
            </w:tcBorders>
            <w:shd w:val="clear" w:color="auto" w:fill="CCEEFF"/>
          </w:tcPr>
          <w:p>
            <w:pPr>
              <w:jc w:val="right"/>
              <w:ind w:right="44"/>
              <w:spacing w:after="0"/>
              <w:rPr>
                <w:sz w:val="20"/>
                <w:szCs w:val="20"/>
                <w:color w:val="auto"/>
              </w:rPr>
            </w:pPr>
            <w:r>
              <w:rPr>
                <w:rFonts w:ascii="Times New Roman" w:cs="Times New Roman" w:eastAsia="Times New Roman" w:hAnsi="Times New Roman"/>
                <w:sz w:val="15"/>
                <w:szCs w:val="15"/>
                <w:color w:val="auto"/>
              </w:rPr>
              <w:t>139,802</w:t>
            </w:r>
          </w:p>
        </w:tc>
        <w:tc>
          <w:tcPr>
            <w:tcW w:w="14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40" w:type="dxa"/>
            <w:vAlign w:val="bottom"/>
            <w:tcBorders>
              <w:bottom w:val="single" w:sz="8" w:color="auto"/>
            </w:tcBorders>
            <w:shd w:val="clear" w:color="auto" w:fill="CCEEFF"/>
          </w:tcPr>
          <w:p>
            <w:pPr>
              <w:jc w:val="right"/>
              <w:ind w:right="44"/>
              <w:spacing w:after="0"/>
              <w:rPr>
                <w:sz w:val="20"/>
                <w:szCs w:val="20"/>
                <w:color w:val="auto"/>
              </w:rPr>
            </w:pPr>
            <w:r>
              <w:rPr>
                <w:rFonts w:ascii="Times New Roman" w:cs="Times New Roman" w:eastAsia="Times New Roman" w:hAnsi="Times New Roman"/>
                <w:sz w:val="15"/>
                <w:szCs w:val="15"/>
                <w:color w:val="auto"/>
              </w:rPr>
              <w:t>140,853</w:t>
            </w:r>
          </w:p>
        </w:tc>
        <w:tc>
          <w:tcPr>
            <w:tcW w:w="16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780" w:type="dxa"/>
            <w:vAlign w:val="bottom"/>
            <w:tcBorders>
              <w:bottom w:val="single" w:sz="8" w:color="auto"/>
            </w:tcBorders>
            <w:shd w:val="clear" w:color="auto" w:fill="CCEEFF"/>
          </w:tcPr>
          <w:p>
            <w:pPr>
              <w:jc w:val="right"/>
              <w:ind w:right="64"/>
              <w:spacing w:after="0"/>
              <w:rPr>
                <w:sz w:val="20"/>
                <w:szCs w:val="20"/>
                <w:color w:val="auto"/>
              </w:rPr>
            </w:pPr>
            <w:r>
              <w:rPr>
                <w:rFonts w:ascii="Times New Roman" w:cs="Times New Roman" w:eastAsia="Times New Roman" w:hAnsi="Times New Roman"/>
                <w:sz w:val="15"/>
                <w:szCs w:val="15"/>
                <w:color w:val="auto"/>
              </w:rPr>
              <w:t>140,889</w:t>
            </w:r>
          </w:p>
        </w:tc>
        <w:tc>
          <w:tcPr>
            <w:tcW w:w="14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60" w:type="dxa"/>
            <w:vAlign w:val="bottom"/>
            <w:tcBorders>
              <w:bottom w:val="single" w:sz="8" w:color="auto"/>
            </w:tcBorders>
            <w:shd w:val="clear" w:color="auto" w:fill="CCEEFF"/>
          </w:tcPr>
          <w:p>
            <w:pPr>
              <w:jc w:val="right"/>
              <w:ind w:right="44"/>
              <w:spacing w:after="0"/>
              <w:rPr>
                <w:sz w:val="20"/>
                <w:szCs w:val="20"/>
                <w:color w:val="auto"/>
              </w:rPr>
            </w:pPr>
            <w:r>
              <w:rPr>
                <w:rFonts w:ascii="Times New Roman" w:cs="Times New Roman" w:eastAsia="Times New Roman" w:hAnsi="Times New Roman"/>
                <w:sz w:val="15"/>
                <w:szCs w:val="15"/>
                <w:color w:val="auto"/>
              </w:rPr>
              <w:t>430,288</w:t>
            </w:r>
          </w:p>
        </w:tc>
        <w:tc>
          <w:tcPr>
            <w:tcW w:w="14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64"/>
              <w:spacing w:after="0"/>
              <w:rPr>
                <w:sz w:val="20"/>
                <w:szCs w:val="20"/>
                <w:color w:val="auto"/>
              </w:rPr>
            </w:pPr>
            <w:r>
              <w:rPr>
                <w:rFonts w:ascii="Times New Roman" w:cs="Times New Roman" w:eastAsia="Times New Roman" w:hAnsi="Times New Roman"/>
                <w:sz w:val="15"/>
                <w:szCs w:val="15"/>
                <w:color w:val="auto"/>
              </w:rPr>
              <w:t>$</w:t>
            </w:r>
          </w:p>
        </w:tc>
        <w:tc>
          <w:tcPr>
            <w:tcW w:w="780" w:type="dxa"/>
            <w:vAlign w:val="bottom"/>
            <w:tcBorders>
              <w:bottom w:val="single" w:sz="8" w:color="auto"/>
            </w:tcBorders>
            <w:shd w:val="clear" w:color="auto" w:fill="CCEEFF"/>
          </w:tcPr>
          <w:p>
            <w:pPr>
              <w:jc w:val="right"/>
              <w:ind w:right="44"/>
              <w:spacing w:after="0"/>
              <w:rPr>
                <w:sz w:val="20"/>
                <w:szCs w:val="20"/>
                <w:color w:val="auto"/>
              </w:rPr>
            </w:pPr>
            <w:r>
              <w:rPr>
                <w:rFonts w:ascii="Times New Roman" w:cs="Times New Roman" w:eastAsia="Times New Roman" w:hAnsi="Times New Roman"/>
                <w:sz w:val="15"/>
                <w:szCs w:val="15"/>
                <w:color w:val="auto"/>
              </w:rPr>
              <w:t>421,855</w:t>
            </w:r>
          </w:p>
        </w:tc>
      </w:tr>
      <w:tr>
        <w:trPr>
          <w:trHeight w:val="20"/>
        </w:trPr>
        <w:tc>
          <w:tcPr>
            <w:tcW w:w="33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r>
      <w:tr>
        <w:trPr>
          <w:trHeight w:val="150"/>
        </w:trPr>
        <w:tc>
          <w:tcPr>
            <w:tcW w:w="33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80" w:type="dxa"/>
            <w:vAlign w:val="bottom"/>
          </w:tcPr>
          <w:p>
            <w:pPr>
              <w:spacing w:after="0"/>
              <w:rPr>
                <w:sz w:val="13"/>
                <w:szCs w:val="13"/>
                <w:color w:val="auto"/>
              </w:rPr>
            </w:pPr>
          </w:p>
        </w:tc>
      </w:tr>
      <w:tr>
        <w:trPr>
          <w:trHeight w:val="203"/>
        </w:trPr>
        <w:tc>
          <w:tcPr>
            <w:tcW w:w="3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Net income to operating income reconciliation</w:t>
            </w:r>
          </w:p>
        </w:tc>
        <w:tc>
          <w:tcPr>
            <w:tcW w:w="2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r>
      <w:tr>
        <w:trPr>
          <w:trHeight w:val="200"/>
        </w:trPr>
        <w:tc>
          <w:tcPr>
            <w:tcW w:w="334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Net income (GAAP)</w:t>
            </w:r>
          </w:p>
        </w:tc>
        <w:tc>
          <w:tcPr>
            <w:tcW w:w="24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760" w:type="dxa"/>
            <w:vAlign w:val="bottom"/>
          </w:tcPr>
          <w:p>
            <w:pPr>
              <w:jc w:val="right"/>
              <w:ind w:right="44"/>
              <w:spacing w:after="0"/>
              <w:rPr>
                <w:sz w:val="20"/>
                <w:szCs w:val="20"/>
                <w:color w:val="auto"/>
              </w:rPr>
            </w:pPr>
            <w:r>
              <w:rPr>
                <w:rFonts w:ascii="Times New Roman" w:cs="Times New Roman" w:eastAsia="Times New Roman" w:hAnsi="Times New Roman"/>
                <w:sz w:val="15"/>
                <w:szCs w:val="15"/>
                <w:color w:val="auto"/>
              </w:rPr>
              <w:t>91,494</w:t>
            </w:r>
          </w:p>
        </w:tc>
        <w:tc>
          <w:tcPr>
            <w:tcW w:w="140" w:type="dxa"/>
            <w:vAlign w:val="bottom"/>
          </w:tcPr>
          <w:p>
            <w:pPr>
              <w:spacing w:after="0"/>
              <w:rPr>
                <w:sz w:val="17"/>
                <w:szCs w:val="17"/>
                <w:color w:val="auto"/>
              </w:rPr>
            </w:pPr>
          </w:p>
        </w:tc>
        <w:tc>
          <w:tcPr>
            <w:tcW w:w="18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w:t>
            </w:r>
          </w:p>
        </w:tc>
        <w:tc>
          <w:tcPr>
            <w:tcW w:w="820" w:type="dxa"/>
            <w:vAlign w:val="bottom"/>
          </w:tcPr>
          <w:p>
            <w:pPr>
              <w:jc w:val="right"/>
              <w:ind w:right="44"/>
              <w:spacing w:after="0"/>
              <w:rPr>
                <w:sz w:val="20"/>
                <w:szCs w:val="20"/>
                <w:color w:val="auto"/>
              </w:rPr>
            </w:pPr>
            <w:r>
              <w:rPr>
                <w:rFonts w:ascii="Times New Roman" w:cs="Times New Roman" w:eastAsia="Times New Roman" w:hAnsi="Times New Roman"/>
                <w:sz w:val="15"/>
                <w:szCs w:val="15"/>
                <w:color w:val="auto"/>
              </w:rPr>
              <w:t>78,733</w:t>
            </w:r>
          </w:p>
        </w:tc>
        <w:tc>
          <w:tcPr>
            <w:tcW w:w="160" w:type="dxa"/>
            <w:vAlign w:val="bottom"/>
          </w:tcPr>
          <w:p>
            <w:pPr>
              <w:spacing w:after="0"/>
              <w:rPr>
                <w:sz w:val="17"/>
                <w:szCs w:val="17"/>
                <w:color w:val="auto"/>
              </w:rPr>
            </w:pPr>
          </w:p>
        </w:tc>
        <w:tc>
          <w:tcPr>
            <w:tcW w:w="240" w:type="dxa"/>
            <w:vAlign w:val="bottom"/>
          </w:tcPr>
          <w:p>
            <w:pPr>
              <w:jc w:val="right"/>
              <w:ind w:right="64"/>
              <w:spacing w:after="0"/>
              <w:rPr>
                <w:sz w:val="20"/>
                <w:szCs w:val="20"/>
                <w:color w:val="auto"/>
              </w:rPr>
            </w:pPr>
            <w:r>
              <w:rPr>
                <w:rFonts w:ascii="Times New Roman" w:cs="Times New Roman" w:eastAsia="Times New Roman" w:hAnsi="Times New Roman"/>
                <w:sz w:val="15"/>
                <w:szCs w:val="15"/>
                <w:color w:val="auto"/>
              </w:rPr>
              <w:t>$</w:t>
            </w:r>
          </w:p>
        </w:tc>
        <w:tc>
          <w:tcPr>
            <w:tcW w:w="760" w:type="dxa"/>
            <w:vAlign w:val="bottom"/>
          </w:tcPr>
          <w:p>
            <w:pPr>
              <w:jc w:val="right"/>
              <w:ind w:right="44"/>
              <w:spacing w:after="0"/>
              <w:rPr>
                <w:sz w:val="20"/>
                <w:szCs w:val="20"/>
                <w:color w:val="auto"/>
              </w:rPr>
            </w:pPr>
            <w:r>
              <w:rPr>
                <w:rFonts w:ascii="Times New Roman" w:cs="Times New Roman" w:eastAsia="Times New Roman" w:hAnsi="Times New Roman"/>
                <w:sz w:val="15"/>
                <w:szCs w:val="15"/>
                <w:color w:val="auto"/>
              </w:rPr>
              <w:t>71,413</w:t>
            </w:r>
          </w:p>
        </w:tc>
        <w:tc>
          <w:tcPr>
            <w:tcW w:w="14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40" w:type="dxa"/>
            <w:vAlign w:val="bottom"/>
          </w:tcPr>
          <w:p>
            <w:pPr>
              <w:jc w:val="right"/>
              <w:ind w:right="44"/>
              <w:spacing w:after="0"/>
              <w:rPr>
                <w:sz w:val="20"/>
                <w:szCs w:val="20"/>
                <w:color w:val="auto"/>
              </w:rPr>
            </w:pPr>
            <w:r>
              <w:rPr>
                <w:rFonts w:ascii="Times New Roman" w:cs="Times New Roman" w:eastAsia="Times New Roman" w:hAnsi="Times New Roman"/>
                <w:sz w:val="15"/>
                <w:szCs w:val="15"/>
                <w:color w:val="auto"/>
              </w:rPr>
              <w:t>75,804</w:t>
            </w:r>
          </w:p>
        </w:tc>
        <w:tc>
          <w:tcPr>
            <w:tcW w:w="160" w:type="dxa"/>
            <w:vAlign w:val="bottom"/>
          </w:tcPr>
          <w:p>
            <w:pPr>
              <w:spacing w:after="0"/>
              <w:rPr>
                <w:sz w:val="17"/>
                <w:szCs w:val="17"/>
                <w:color w:val="auto"/>
              </w:rPr>
            </w:pPr>
          </w:p>
        </w:tc>
        <w:tc>
          <w:tcPr>
            <w:tcW w:w="22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780" w:type="dxa"/>
            <w:vAlign w:val="bottom"/>
          </w:tcPr>
          <w:p>
            <w:pPr>
              <w:jc w:val="right"/>
              <w:ind w:right="64"/>
              <w:spacing w:after="0"/>
              <w:rPr>
                <w:sz w:val="20"/>
                <w:szCs w:val="20"/>
                <w:color w:val="auto"/>
              </w:rPr>
            </w:pPr>
            <w:r>
              <w:rPr>
                <w:rFonts w:ascii="Times New Roman" w:cs="Times New Roman" w:eastAsia="Times New Roman" w:hAnsi="Times New Roman"/>
                <w:sz w:val="15"/>
                <w:szCs w:val="15"/>
                <w:color w:val="auto"/>
              </w:rPr>
              <w:t>47,347</w:t>
            </w:r>
          </w:p>
        </w:tc>
        <w:tc>
          <w:tcPr>
            <w:tcW w:w="14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60" w:type="dxa"/>
            <w:vAlign w:val="bottom"/>
          </w:tcPr>
          <w:p>
            <w:pPr>
              <w:jc w:val="right"/>
              <w:ind w:right="44"/>
              <w:spacing w:after="0"/>
              <w:rPr>
                <w:sz w:val="20"/>
                <w:szCs w:val="20"/>
                <w:color w:val="auto"/>
              </w:rPr>
            </w:pPr>
            <w:r>
              <w:rPr>
                <w:rFonts w:ascii="Times New Roman" w:cs="Times New Roman" w:eastAsia="Times New Roman" w:hAnsi="Times New Roman"/>
                <w:sz w:val="15"/>
                <w:szCs w:val="15"/>
                <w:color w:val="auto"/>
              </w:rPr>
              <w:t>241,640</w:t>
            </w:r>
          </w:p>
        </w:tc>
        <w:tc>
          <w:tcPr>
            <w:tcW w:w="140" w:type="dxa"/>
            <w:vAlign w:val="bottom"/>
          </w:tcPr>
          <w:p>
            <w:pPr>
              <w:spacing w:after="0"/>
              <w:rPr>
                <w:sz w:val="17"/>
                <w:szCs w:val="17"/>
                <w:color w:val="auto"/>
              </w:rPr>
            </w:pPr>
          </w:p>
        </w:tc>
        <w:tc>
          <w:tcPr>
            <w:tcW w:w="240" w:type="dxa"/>
            <w:vAlign w:val="bottom"/>
          </w:tcPr>
          <w:p>
            <w:pPr>
              <w:jc w:val="right"/>
              <w:ind w:right="64"/>
              <w:spacing w:after="0"/>
              <w:rPr>
                <w:sz w:val="20"/>
                <w:szCs w:val="20"/>
                <w:color w:val="auto"/>
              </w:rPr>
            </w:pPr>
            <w:r>
              <w:rPr>
                <w:rFonts w:ascii="Times New Roman" w:cs="Times New Roman" w:eastAsia="Times New Roman" w:hAnsi="Times New Roman"/>
                <w:sz w:val="15"/>
                <w:szCs w:val="15"/>
                <w:color w:val="auto"/>
              </w:rPr>
              <w:t>$</w:t>
            </w:r>
          </w:p>
        </w:tc>
        <w:tc>
          <w:tcPr>
            <w:tcW w:w="780" w:type="dxa"/>
            <w:vAlign w:val="bottom"/>
          </w:tcPr>
          <w:p>
            <w:pPr>
              <w:jc w:val="right"/>
              <w:ind w:right="44"/>
              <w:spacing w:after="0"/>
              <w:rPr>
                <w:sz w:val="20"/>
                <w:szCs w:val="20"/>
                <w:color w:val="auto"/>
              </w:rPr>
            </w:pPr>
            <w:r>
              <w:rPr>
                <w:rFonts w:ascii="Times New Roman" w:cs="Times New Roman" w:eastAsia="Times New Roman" w:hAnsi="Times New Roman"/>
                <w:sz w:val="15"/>
                <w:szCs w:val="15"/>
                <w:color w:val="auto"/>
              </w:rPr>
              <w:t>176,593</w:t>
            </w:r>
          </w:p>
        </w:tc>
      </w:tr>
      <w:tr>
        <w:trPr>
          <w:trHeight w:val="205"/>
        </w:trPr>
        <w:tc>
          <w:tcPr>
            <w:tcW w:w="3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Loss on sale of manufactured housing loans</w:t>
            </w:r>
          </w:p>
        </w:tc>
        <w:tc>
          <w:tcPr>
            <w:tcW w:w="24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jc w:val="right"/>
              <w:ind w:right="64"/>
              <w:spacing w:after="0"/>
              <w:rPr>
                <w:sz w:val="20"/>
                <w:szCs w:val="20"/>
                <w:color w:val="auto"/>
              </w:rPr>
            </w:pPr>
            <w:r>
              <w:rPr>
                <w:rFonts w:ascii="Times New Roman" w:cs="Times New Roman" w:eastAsia="Times New Roman" w:hAnsi="Times New Roman"/>
                <w:sz w:val="15"/>
                <w:szCs w:val="15"/>
                <w:color w:val="auto"/>
              </w:rPr>
              <w:t>27,209</w:t>
            </w: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shd w:val="clear" w:color="auto" w:fill="CCEEFF"/>
          </w:tcPr>
          <w:p>
            <w:pPr>
              <w:spacing w:after="0"/>
              <w:rPr>
                <w:sz w:val="17"/>
                <w:szCs w:val="17"/>
                <w:color w:val="auto"/>
              </w:rPr>
            </w:pPr>
          </w:p>
        </w:tc>
        <w:tc>
          <w:tcPr>
            <w:tcW w:w="780" w:type="dxa"/>
            <w:vAlign w:val="bottom"/>
            <w:shd w:val="clear" w:color="auto" w:fill="CCEEFF"/>
          </w:tcPr>
          <w:p>
            <w:pPr>
              <w:jc w:val="right"/>
              <w:ind w:right="44"/>
              <w:spacing w:after="0"/>
              <w:rPr>
                <w:sz w:val="20"/>
                <w:szCs w:val="20"/>
                <w:color w:val="auto"/>
              </w:rPr>
            </w:pPr>
            <w:r>
              <w:rPr>
                <w:rFonts w:ascii="Times New Roman" w:cs="Times New Roman" w:eastAsia="Times New Roman" w:hAnsi="Times New Roman"/>
                <w:sz w:val="15"/>
                <w:szCs w:val="15"/>
                <w:color w:val="auto"/>
              </w:rPr>
              <w:t>27,209</w:t>
            </w:r>
          </w:p>
        </w:tc>
      </w:tr>
      <w:tr>
        <w:trPr>
          <w:trHeight w:val="200"/>
        </w:trPr>
        <w:tc>
          <w:tcPr>
            <w:tcW w:w="334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Gain on lease termination</w:t>
            </w:r>
          </w:p>
        </w:tc>
        <w:tc>
          <w:tcPr>
            <w:tcW w:w="240" w:type="dxa"/>
            <w:vAlign w:val="bottom"/>
          </w:tcPr>
          <w:p>
            <w:pPr>
              <w:spacing w:after="0"/>
              <w:rPr>
                <w:sz w:val="17"/>
                <w:szCs w:val="17"/>
                <w:color w:val="auto"/>
              </w:rPr>
            </w:pPr>
          </w:p>
        </w:tc>
        <w:tc>
          <w:tcPr>
            <w:tcW w:w="900" w:type="dxa"/>
            <w:vAlign w:val="bottom"/>
            <w:gridSpan w:val="2"/>
          </w:tcPr>
          <w:p>
            <w:pPr>
              <w:jc w:val="right"/>
              <w:ind w:right="260"/>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Pr>
          <w:p>
            <w:pPr>
              <w:spacing w:after="0"/>
              <w:rPr>
                <w:sz w:val="17"/>
                <w:szCs w:val="17"/>
                <w:color w:val="auto"/>
              </w:rPr>
            </w:pPr>
          </w:p>
        </w:tc>
        <w:tc>
          <w:tcPr>
            <w:tcW w:w="980" w:type="dxa"/>
            <w:vAlign w:val="bottom"/>
            <w:gridSpan w:val="2"/>
          </w:tcPr>
          <w:p>
            <w:pPr>
              <w:jc w:val="right"/>
              <w:ind w:right="280"/>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tcPr>
          <w:p>
            <w:pPr>
              <w:spacing w:after="0"/>
              <w:rPr>
                <w:sz w:val="17"/>
                <w:szCs w:val="17"/>
                <w:color w:val="auto"/>
              </w:rPr>
            </w:pPr>
          </w:p>
        </w:tc>
        <w:tc>
          <w:tcPr>
            <w:tcW w:w="900" w:type="dxa"/>
            <w:vAlign w:val="bottom"/>
            <w:gridSpan w:val="2"/>
          </w:tcPr>
          <w:p>
            <w:pPr>
              <w:jc w:val="right"/>
              <w:ind w:right="26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Pr>
          <w:p>
            <w:pPr>
              <w:spacing w:after="0"/>
              <w:rPr>
                <w:sz w:val="17"/>
                <w:szCs w:val="17"/>
                <w:color w:val="auto"/>
              </w:rPr>
            </w:pPr>
          </w:p>
        </w:tc>
        <w:tc>
          <w:tcPr>
            <w:tcW w:w="1000" w:type="dxa"/>
            <w:vAlign w:val="bottom"/>
            <w:gridSpan w:val="2"/>
          </w:tcPr>
          <w:p>
            <w:pPr>
              <w:jc w:val="right"/>
              <w:ind w:right="280"/>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tcPr>
          <w:p>
            <w:pPr>
              <w:spacing w:after="0"/>
              <w:rPr>
                <w:sz w:val="17"/>
                <w:szCs w:val="17"/>
                <w:color w:val="auto"/>
              </w:rPr>
            </w:pPr>
          </w:p>
        </w:tc>
        <w:tc>
          <w:tcPr>
            <w:tcW w:w="920" w:type="dxa"/>
            <w:vAlign w:val="bottom"/>
            <w:gridSpan w:val="2"/>
          </w:tcPr>
          <w:p>
            <w:pPr>
              <w:jc w:val="right"/>
              <w:ind w:right="28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7"/>
                <w:szCs w:val="17"/>
                <w:color w:val="auto"/>
              </w:rPr>
            </w:pPr>
          </w:p>
        </w:tc>
        <w:tc>
          <w:tcPr>
            <w:tcW w:w="1000" w:type="dxa"/>
            <w:vAlign w:val="bottom"/>
            <w:gridSpan w:val="2"/>
          </w:tcPr>
          <w:p>
            <w:pPr>
              <w:jc w:val="right"/>
              <w:ind w:right="260"/>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tcPr>
          <w:p>
            <w:pPr>
              <w:spacing w:after="0"/>
              <w:rPr>
                <w:sz w:val="17"/>
                <w:szCs w:val="17"/>
                <w:color w:val="auto"/>
              </w:rPr>
            </w:pPr>
          </w:p>
        </w:tc>
        <w:tc>
          <w:tcPr>
            <w:tcW w:w="780" w:type="dxa"/>
            <w:vAlign w:val="bottom"/>
          </w:tcPr>
          <w:p>
            <w:pPr>
              <w:jc w:val="right"/>
              <w:ind w:right="44"/>
              <w:spacing w:after="0"/>
              <w:rPr>
                <w:sz w:val="20"/>
                <w:szCs w:val="20"/>
                <w:color w:val="auto"/>
              </w:rPr>
            </w:pPr>
            <w:r>
              <w:rPr>
                <w:rFonts w:ascii="Times New Roman" w:cs="Times New Roman" w:eastAsia="Times New Roman" w:hAnsi="Times New Roman"/>
                <w:sz w:val="15"/>
                <w:szCs w:val="15"/>
                <w:color w:val="auto"/>
              </w:rPr>
              <w:t>(2,400)</w:t>
            </w:r>
          </w:p>
        </w:tc>
      </w:tr>
      <w:tr>
        <w:trPr>
          <w:trHeight w:val="151"/>
        </w:trPr>
        <w:tc>
          <w:tcPr>
            <w:tcW w:w="3340" w:type="dxa"/>
            <w:vAlign w:val="bottom"/>
            <w:shd w:val="clear" w:color="auto" w:fill="CCEEFF"/>
          </w:tcPr>
          <w:p>
            <w:pPr>
              <w:ind w:left="20"/>
              <w:spacing w:after="0" w:line="151" w:lineRule="exact"/>
              <w:rPr>
                <w:sz w:val="20"/>
                <w:szCs w:val="20"/>
                <w:color w:val="auto"/>
              </w:rPr>
            </w:pPr>
            <w:r>
              <w:rPr>
                <w:rFonts w:ascii="Times New Roman" w:cs="Times New Roman" w:eastAsia="Times New Roman" w:hAnsi="Times New Roman"/>
                <w:sz w:val="15"/>
                <w:szCs w:val="15"/>
                <w:color w:val="auto"/>
              </w:rPr>
              <w:t>Loss on sale of FinTrust, including goodwill</w:t>
            </w:r>
          </w:p>
        </w:tc>
        <w:tc>
          <w:tcPr>
            <w:tcW w:w="24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r>
      <w:tr>
        <w:trPr>
          <w:trHeight w:val="216"/>
        </w:trPr>
        <w:tc>
          <w:tcPr>
            <w:tcW w:w="3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impairment</w:t>
            </w:r>
          </w:p>
        </w:tc>
        <w:tc>
          <w:tcPr>
            <w:tcW w:w="2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44"/>
              <w:spacing w:after="0"/>
              <w:rPr>
                <w:sz w:val="20"/>
                <w:szCs w:val="20"/>
                <w:color w:val="auto"/>
              </w:rPr>
            </w:pPr>
            <w:r>
              <w:rPr>
                <w:rFonts w:ascii="Times New Roman" w:cs="Times New Roman" w:eastAsia="Times New Roman" w:hAnsi="Times New Roman"/>
                <w:sz w:val="15"/>
                <w:szCs w:val="15"/>
                <w:color w:val="auto"/>
              </w:rPr>
              <w:t>5,100</w:t>
            </w:r>
          </w:p>
        </w:tc>
      </w:tr>
      <w:tr>
        <w:trPr>
          <w:trHeight w:val="200"/>
        </w:trPr>
        <w:tc>
          <w:tcPr>
            <w:tcW w:w="334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FDIC special assessment</w:t>
            </w:r>
          </w:p>
        </w:tc>
        <w:tc>
          <w:tcPr>
            <w:tcW w:w="240" w:type="dxa"/>
            <w:vAlign w:val="bottom"/>
          </w:tcPr>
          <w:p>
            <w:pPr>
              <w:spacing w:after="0"/>
              <w:rPr>
                <w:sz w:val="17"/>
                <w:szCs w:val="17"/>
                <w:color w:val="auto"/>
              </w:rPr>
            </w:pPr>
          </w:p>
        </w:tc>
        <w:tc>
          <w:tcPr>
            <w:tcW w:w="900" w:type="dxa"/>
            <w:vAlign w:val="bottom"/>
            <w:gridSpan w:val="2"/>
          </w:tcPr>
          <w:p>
            <w:pPr>
              <w:jc w:val="right"/>
              <w:ind w:right="260"/>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Pr>
          <w:p>
            <w:pPr>
              <w:spacing w:after="0"/>
              <w:rPr>
                <w:sz w:val="17"/>
                <w:szCs w:val="17"/>
                <w:color w:val="auto"/>
              </w:rPr>
            </w:pPr>
          </w:p>
        </w:tc>
        <w:tc>
          <w:tcPr>
            <w:tcW w:w="980" w:type="dxa"/>
            <w:vAlign w:val="bottom"/>
            <w:gridSpan w:val="2"/>
          </w:tcPr>
          <w:p>
            <w:pPr>
              <w:jc w:val="right"/>
              <w:ind w:right="280"/>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tcPr>
          <w:p>
            <w:pPr>
              <w:spacing w:after="0"/>
              <w:rPr>
                <w:sz w:val="17"/>
                <w:szCs w:val="17"/>
                <w:color w:val="auto"/>
              </w:rPr>
            </w:pPr>
          </w:p>
        </w:tc>
        <w:tc>
          <w:tcPr>
            <w:tcW w:w="900" w:type="dxa"/>
            <w:vAlign w:val="bottom"/>
            <w:gridSpan w:val="2"/>
          </w:tcPr>
          <w:p>
            <w:pPr>
              <w:jc w:val="right"/>
              <w:ind w:right="26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Pr>
          <w:p>
            <w:pPr>
              <w:spacing w:after="0"/>
              <w:rPr>
                <w:sz w:val="17"/>
                <w:szCs w:val="17"/>
                <w:color w:val="auto"/>
              </w:rPr>
            </w:pPr>
          </w:p>
        </w:tc>
        <w:tc>
          <w:tcPr>
            <w:tcW w:w="1000" w:type="dxa"/>
            <w:vAlign w:val="bottom"/>
            <w:gridSpan w:val="2"/>
          </w:tcPr>
          <w:p>
            <w:pPr>
              <w:jc w:val="right"/>
              <w:ind w:right="280"/>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tcPr>
          <w:p>
            <w:pPr>
              <w:spacing w:after="0"/>
              <w:rPr>
                <w:sz w:val="17"/>
                <w:szCs w:val="17"/>
                <w:color w:val="auto"/>
              </w:rPr>
            </w:pPr>
          </w:p>
        </w:tc>
        <w:tc>
          <w:tcPr>
            <w:tcW w:w="920" w:type="dxa"/>
            <w:vAlign w:val="bottom"/>
            <w:gridSpan w:val="2"/>
          </w:tcPr>
          <w:p>
            <w:pPr>
              <w:jc w:val="right"/>
              <w:ind w:right="28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7"/>
                <w:szCs w:val="17"/>
                <w:color w:val="auto"/>
              </w:rPr>
            </w:pPr>
          </w:p>
        </w:tc>
        <w:tc>
          <w:tcPr>
            <w:tcW w:w="1000" w:type="dxa"/>
            <w:vAlign w:val="bottom"/>
            <w:gridSpan w:val="2"/>
          </w:tcPr>
          <w:p>
            <w:pPr>
              <w:jc w:val="right"/>
              <w:ind w:right="260"/>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tcPr>
          <w:p>
            <w:pPr>
              <w:spacing w:after="0"/>
              <w:rPr>
                <w:sz w:val="17"/>
                <w:szCs w:val="17"/>
                <w:color w:val="auto"/>
              </w:rPr>
            </w:pPr>
          </w:p>
        </w:tc>
        <w:tc>
          <w:tcPr>
            <w:tcW w:w="780" w:type="dxa"/>
            <w:vAlign w:val="bottom"/>
          </w:tcPr>
          <w:p>
            <w:pPr>
              <w:jc w:val="right"/>
              <w:ind w:right="44"/>
              <w:spacing w:after="0"/>
              <w:rPr>
                <w:sz w:val="20"/>
                <w:szCs w:val="20"/>
                <w:color w:val="auto"/>
              </w:rPr>
            </w:pPr>
            <w:r>
              <w:rPr>
                <w:rFonts w:ascii="Times New Roman" w:cs="Times New Roman" w:eastAsia="Times New Roman" w:hAnsi="Times New Roman"/>
                <w:sz w:val="15"/>
                <w:szCs w:val="15"/>
                <w:color w:val="auto"/>
              </w:rPr>
              <w:t>1,736</w:t>
            </w:r>
          </w:p>
        </w:tc>
      </w:tr>
      <w:tr>
        <w:trPr>
          <w:trHeight w:val="205"/>
        </w:trPr>
        <w:tc>
          <w:tcPr>
            <w:tcW w:w="3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Merger-related and other charges</w:t>
            </w:r>
          </w:p>
        </w:tc>
        <w:tc>
          <w:tcPr>
            <w:tcW w:w="240" w:type="dxa"/>
            <w:vAlign w:val="bottom"/>
            <w:shd w:val="clear" w:color="auto" w:fill="CCEEFF"/>
          </w:tcPr>
          <w:p>
            <w:pPr>
              <w:spacing w:after="0"/>
              <w:rPr>
                <w:sz w:val="17"/>
                <w:szCs w:val="17"/>
                <w:color w:val="auto"/>
              </w:rPr>
            </w:pPr>
          </w:p>
        </w:tc>
        <w:tc>
          <w:tcPr>
            <w:tcW w:w="760" w:type="dxa"/>
            <w:vAlign w:val="bottom"/>
            <w:shd w:val="clear" w:color="auto" w:fill="CCEEFF"/>
          </w:tcPr>
          <w:p>
            <w:pPr>
              <w:jc w:val="right"/>
              <w:ind w:right="44"/>
              <w:spacing w:after="0"/>
              <w:rPr>
                <w:sz w:val="20"/>
                <w:szCs w:val="20"/>
                <w:color w:val="auto"/>
              </w:rPr>
            </w:pPr>
            <w:r>
              <w:rPr>
                <w:rFonts w:ascii="Times New Roman" w:cs="Times New Roman" w:eastAsia="Times New Roman" w:hAnsi="Times New Roman"/>
                <w:sz w:val="15"/>
                <w:szCs w:val="15"/>
                <w:color w:val="auto"/>
              </w:rPr>
              <w:t>3,468</w:t>
            </w: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jc w:val="right"/>
              <w:ind w:right="44"/>
              <w:spacing w:after="0"/>
              <w:rPr>
                <w:sz w:val="20"/>
                <w:szCs w:val="20"/>
                <w:color w:val="auto"/>
              </w:rPr>
            </w:pPr>
            <w:r>
              <w:rPr>
                <w:rFonts w:ascii="Times New Roman" w:cs="Times New Roman" w:eastAsia="Times New Roman" w:hAnsi="Times New Roman"/>
                <w:sz w:val="15"/>
                <w:szCs w:val="15"/>
                <w:color w:val="auto"/>
              </w:rPr>
              <w:t>4,833</w:t>
            </w:r>
          </w:p>
        </w:tc>
        <w:tc>
          <w:tcPr>
            <w:tcW w:w="1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60" w:type="dxa"/>
            <w:vAlign w:val="bottom"/>
            <w:shd w:val="clear" w:color="auto" w:fill="CCEEFF"/>
          </w:tcPr>
          <w:p>
            <w:pPr>
              <w:jc w:val="right"/>
              <w:ind w:right="44"/>
              <w:spacing w:after="0"/>
              <w:rPr>
                <w:sz w:val="20"/>
                <w:szCs w:val="20"/>
                <w:color w:val="auto"/>
              </w:rPr>
            </w:pPr>
            <w:r>
              <w:rPr>
                <w:rFonts w:ascii="Times New Roman" w:cs="Times New Roman" w:eastAsia="Times New Roman" w:hAnsi="Times New Roman"/>
                <w:sz w:val="15"/>
                <w:szCs w:val="15"/>
                <w:color w:val="auto"/>
              </w:rPr>
              <w:t>1,297</w:t>
            </w: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jc w:val="right"/>
              <w:ind w:right="44"/>
              <w:spacing w:after="0"/>
              <w:rPr>
                <w:sz w:val="20"/>
                <w:szCs w:val="20"/>
                <w:color w:val="auto"/>
              </w:rPr>
            </w:pPr>
            <w:r>
              <w:rPr>
                <w:rFonts w:ascii="Times New Roman" w:cs="Times New Roman" w:eastAsia="Times New Roman" w:hAnsi="Times New Roman"/>
                <w:sz w:val="15"/>
                <w:szCs w:val="15"/>
                <w:color w:val="auto"/>
              </w:rPr>
              <w:t>2,203</w:t>
            </w: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jc w:val="right"/>
              <w:ind w:right="64"/>
              <w:spacing w:after="0"/>
              <w:rPr>
                <w:sz w:val="20"/>
                <w:szCs w:val="20"/>
                <w:color w:val="auto"/>
              </w:rPr>
            </w:pPr>
            <w:r>
              <w:rPr>
                <w:rFonts w:ascii="Times New Roman" w:cs="Times New Roman" w:eastAsia="Times New Roman" w:hAnsi="Times New Roman"/>
                <w:sz w:val="15"/>
                <w:szCs w:val="15"/>
                <w:color w:val="auto"/>
              </w:rPr>
              <w:t>2,176</w:t>
            </w: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44"/>
              <w:spacing w:after="0"/>
              <w:rPr>
                <w:sz w:val="20"/>
                <w:szCs w:val="20"/>
                <w:color w:val="auto"/>
              </w:rPr>
            </w:pPr>
            <w:r>
              <w:rPr>
                <w:rFonts w:ascii="Times New Roman" w:cs="Times New Roman" w:eastAsia="Times New Roman" w:hAnsi="Times New Roman"/>
                <w:sz w:val="15"/>
                <w:szCs w:val="15"/>
                <w:color w:val="auto"/>
              </w:rPr>
              <w:t>9,598</w:t>
            </w:r>
          </w:p>
        </w:tc>
        <w:tc>
          <w:tcPr>
            <w:tcW w:w="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80" w:type="dxa"/>
            <w:vAlign w:val="bottom"/>
            <w:shd w:val="clear" w:color="auto" w:fill="CCEEFF"/>
          </w:tcPr>
          <w:p>
            <w:pPr>
              <w:jc w:val="right"/>
              <w:ind w:right="44"/>
              <w:spacing w:after="0"/>
              <w:rPr>
                <w:sz w:val="20"/>
                <w:szCs w:val="20"/>
                <w:color w:val="auto"/>
              </w:rPr>
            </w:pPr>
            <w:r>
              <w:rPr>
                <w:rFonts w:ascii="Times New Roman" w:cs="Times New Roman" w:eastAsia="Times New Roman" w:hAnsi="Times New Roman"/>
                <w:sz w:val="15"/>
                <w:szCs w:val="15"/>
                <w:color w:val="auto"/>
              </w:rPr>
              <w:t>6,420</w:t>
            </w:r>
          </w:p>
        </w:tc>
      </w:tr>
      <w:tr>
        <w:trPr>
          <w:trHeight w:val="200"/>
        </w:trPr>
        <w:tc>
          <w:tcPr>
            <w:tcW w:w="33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5"/>
                <w:szCs w:val="15"/>
                <w:color w:val="auto"/>
              </w:rPr>
              <w:t>Income tax benefit of non-operating items</w:t>
            </w:r>
          </w:p>
        </w:tc>
        <w:tc>
          <w:tcPr>
            <w:tcW w:w="24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44"/>
              <w:spacing w:after="0"/>
              <w:rPr>
                <w:sz w:val="20"/>
                <w:szCs w:val="20"/>
                <w:color w:val="auto"/>
              </w:rPr>
            </w:pPr>
            <w:r>
              <w:rPr>
                <w:rFonts w:ascii="Times New Roman" w:cs="Times New Roman" w:eastAsia="Times New Roman" w:hAnsi="Times New Roman"/>
                <w:sz w:val="15"/>
                <w:szCs w:val="15"/>
                <w:color w:val="auto"/>
              </w:rPr>
              <w:t>(751)</w:t>
            </w:r>
          </w:p>
        </w:tc>
        <w:tc>
          <w:tcPr>
            <w:tcW w:w="14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44"/>
              <w:spacing w:after="0"/>
              <w:rPr>
                <w:sz w:val="20"/>
                <w:szCs w:val="20"/>
                <w:color w:val="auto"/>
              </w:rPr>
            </w:pPr>
            <w:r>
              <w:rPr>
                <w:rFonts w:ascii="Times New Roman" w:cs="Times New Roman" w:eastAsia="Times New Roman" w:hAnsi="Times New Roman"/>
                <w:sz w:val="15"/>
                <w:szCs w:val="15"/>
                <w:color w:val="auto"/>
              </w:rPr>
              <w:t>(1,047)</w:t>
            </w:r>
          </w:p>
        </w:tc>
        <w:tc>
          <w:tcPr>
            <w:tcW w:w="16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44"/>
              <w:spacing w:after="0"/>
              <w:rPr>
                <w:sz w:val="20"/>
                <w:szCs w:val="20"/>
                <w:color w:val="auto"/>
              </w:rPr>
            </w:pPr>
            <w:r>
              <w:rPr>
                <w:rFonts w:ascii="Times New Roman" w:cs="Times New Roman" w:eastAsia="Times New Roman" w:hAnsi="Times New Roman"/>
                <w:sz w:val="15"/>
                <w:szCs w:val="15"/>
                <w:color w:val="auto"/>
              </w:rPr>
              <w:t>(281)</w:t>
            </w:r>
          </w:p>
        </w:tc>
        <w:tc>
          <w:tcPr>
            <w:tcW w:w="14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44"/>
              <w:spacing w:after="0"/>
              <w:rPr>
                <w:sz w:val="20"/>
                <w:szCs w:val="20"/>
                <w:color w:val="auto"/>
              </w:rPr>
            </w:pPr>
            <w:r>
              <w:rPr>
                <w:rFonts w:ascii="Times New Roman" w:cs="Times New Roman" w:eastAsia="Times New Roman" w:hAnsi="Times New Roman"/>
                <w:sz w:val="15"/>
                <w:szCs w:val="15"/>
                <w:color w:val="auto"/>
              </w:rPr>
              <w:t>(471)</w:t>
            </w:r>
          </w:p>
        </w:tc>
        <w:tc>
          <w:tcPr>
            <w:tcW w:w="16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64"/>
              <w:spacing w:after="0"/>
              <w:rPr>
                <w:sz w:val="20"/>
                <w:szCs w:val="20"/>
                <w:color w:val="auto"/>
              </w:rPr>
            </w:pPr>
            <w:r>
              <w:rPr>
                <w:rFonts w:ascii="Times New Roman" w:cs="Times New Roman" w:eastAsia="Times New Roman" w:hAnsi="Times New Roman"/>
                <w:sz w:val="15"/>
                <w:szCs w:val="15"/>
                <w:color w:val="auto"/>
              </w:rPr>
              <w:t>(6,276)</w:t>
            </w:r>
          </w:p>
        </w:tc>
        <w:tc>
          <w:tcPr>
            <w:tcW w:w="14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44"/>
              <w:spacing w:after="0"/>
              <w:rPr>
                <w:sz w:val="20"/>
                <w:szCs w:val="20"/>
                <w:color w:val="auto"/>
              </w:rPr>
            </w:pPr>
            <w:r>
              <w:rPr>
                <w:rFonts w:ascii="Times New Roman" w:cs="Times New Roman" w:eastAsia="Times New Roman" w:hAnsi="Times New Roman"/>
                <w:sz w:val="15"/>
                <w:szCs w:val="15"/>
                <w:color w:val="auto"/>
              </w:rPr>
              <w:t>(2,079)</w:t>
            </w:r>
          </w:p>
        </w:tc>
        <w:tc>
          <w:tcPr>
            <w:tcW w:w="14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44"/>
              <w:spacing w:after="0"/>
              <w:rPr>
                <w:sz w:val="20"/>
                <w:szCs w:val="20"/>
                <w:color w:val="auto"/>
              </w:rPr>
            </w:pPr>
            <w:r>
              <w:rPr>
                <w:rFonts w:ascii="Times New Roman" w:cs="Times New Roman" w:eastAsia="Times New Roman" w:hAnsi="Times New Roman"/>
                <w:sz w:val="15"/>
                <w:szCs w:val="15"/>
                <w:color w:val="auto"/>
              </w:rPr>
              <w:t>(8,231)</w:t>
            </w:r>
          </w:p>
        </w:tc>
      </w:tr>
      <w:tr>
        <w:trPr>
          <w:trHeight w:val="223"/>
        </w:trPr>
        <w:tc>
          <w:tcPr>
            <w:tcW w:w="33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Net income - operating</w:t>
            </w:r>
          </w:p>
        </w:tc>
        <w:tc>
          <w:tcPr>
            <w:tcW w:w="2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760" w:type="dxa"/>
            <w:vAlign w:val="bottom"/>
            <w:tcBorders>
              <w:bottom w:val="single" w:sz="8" w:color="auto"/>
            </w:tcBorders>
            <w:shd w:val="clear" w:color="auto" w:fill="CCEEFF"/>
          </w:tcPr>
          <w:p>
            <w:pPr>
              <w:jc w:val="right"/>
              <w:ind w:right="44"/>
              <w:spacing w:after="0"/>
              <w:rPr>
                <w:sz w:val="20"/>
                <w:szCs w:val="20"/>
                <w:color w:val="auto"/>
              </w:rPr>
            </w:pPr>
            <w:r>
              <w:rPr>
                <w:rFonts w:ascii="Times New Roman" w:cs="Times New Roman" w:eastAsia="Times New Roman" w:hAnsi="Times New Roman"/>
                <w:sz w:val="15"/>
                <w:szCs w:val="15"/>
                <w:color w:val="auto"/>
              </w:rPr>
              <w:t>94,211</w:t>
            </w:r>
          </w:p>
        </w:tc>
        <w:tc>
          <w:tcPr>
            <w:tcW w:w="14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w:t>
            </w:r>
          </w:p>
        </w:tc>
        <w:tc>
          <w:tcPr>
            <w:tcW w:w="820" w:type="dxa"/>
            <w:vAlign w:val="bottom"/>
            <w:tcBorders>
              <w:bottom w:val="single" w:sz="8" w:color="auto"/>
            </w:tcBorders>
            <w:shd w:val="clear" w:color="auto" w:fill="CCEEFF"/>
          </w:tcPr>
          <w:p>
            <w:pPr>
              <w:jc w:val="right"/>
              <w:ind w:right="44"/>
              <w:spacing w:after="0"/>
              <w:rPr>
                <w:sz w:val="20"/>
                <w:szCs w:val="20"/>
                <w:color w:val="auto"/>
              </w:rPr>
            </w:pPr>
            <w:r>
              <w:rPr>
                <w:rFonts w:ascii="Times New Roman" w:cs="Times New Roman" w:eastAsia="Times New Roman" w:hAnsi="Times New Roman"/>
                <w:sz w:val="15"/>
                <w:szCs w:val="15"/>
                <w:color w:val="auto"/>
              </w:rPr>
              <w:t>82,519</w:t>
            </w:r>
          </w:p>
        </w:tc>
        <w:tc>
          <w:tcPr>
            <w:tcW w:w="16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64"/>
              <w:spacing w:after="0"/>
              <w:rPr>
                <w:sz w:val="20"/>
                <w:szCs w:val="20"/>
                <w:color w:val="auto"/>
              </w:rPr>
            </w:pPr>
            <w:r>
              <w:rPr>
                <w:rFonts w:ascii="Times New Roman" w:cs="Times New Roman" w:eastAsia="Times New Roman" w:hAnsi="Times New Roman"/>
                <w:sz w:val="15"/>
                <w:szCs w:val="15"/>
                <w:color w:val="auto"/>
              </w:rPr>
              <w:t>$</w:t>
            </w:r>
          </w:p>
        </w:tc>
        <w:tc>
          <w:tcPr>
            <w:tcW w:w="760" w:type="dxa"/>
            <w:vAlign w:val="bottom"/>
            <w:tcBorders>
              <w:bottom w:val="single" w:sz="8" w:color="auto"/>
            </w:tcBorders>
            <w:shd w:val="clear" w:color="auto" w:fill="CCEEFF"/>
          </w:tcPr>
          <w:p>
            <w:pPr>
              <w:jc w:val="right"/>
              <w:ind w:right="44"/>
              <w:spacing w:after="0"/>
              <w:rPr>
                <w:sz w:val="20"/>
                <w:szCs w:val="20"/>
                <w:color w:val="auto"/>
              </w:rPr>
            </w:pPr>
            <w:r>
              <w:rPr>
                <w:rFonts w:ascii="Times New Roman" w:cs="Times New Roman" w:eastAsia="Times New Roman" w:hAnsi="Times New Roman"/>
                <w:sz w:val="15"/>
                <w:szCs w:val="15"/>
                <w:color w:val="auto"/>
              </w:rPr>
              <w:t>72,429</w:t>
            </w:r>
          </w:p>
        </w:tc>
        <w:tc>
          <w:tcPr>
            <w:tcW w:w="14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40" w:type="dxa"/>
            <w:vAlign w:val="bottom"/>
            <w:tcBorders>
              <w:bottom w:val="single" w:sz="8" w:color="auto"/>
            </w:tcBorders>
            <w:shd w:val="clear" w:color="auto" w:fill="CCEEFF"/>
          </w:tcPr>
          <w:p>
            <w:pPr>
              <w:jc w:val="right"/>
              <w:ind w:right="44"/>
              <w:spacing w:after="0"/>
              <w:rPr>
                <w:sz w:val="20"/>
                <w:szCs w:val="20"/>
                <w:color w:val="auto"/>
              </w:rPr>
            </w:pPr>
            <w:r>
              <w:rPr>
                <w:rFonts w:ascii="Times New Roman" w:cs="Times New Roman" w:eastAsia="Times New Roman" w:hAnsi="Times New Roman"/>
                <w:sz w:val="15"/>
                <w:szCs w:val="15"/>
                <w:color w:val="auto"/>
              </w:rPr>
              <w:t>77,536</w:t>
            </w:r>
          </w:p>
        </w:tc>
        <w:tc>
          <w:tcPr>
            <w:tcW w:w="16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780" w:type="dxa"/>
            <w:vAlign w:val="bottom"/>
            <w:tcBorders>
              <w:bottom w:val="single" w:sz="8" w:color="auto"/>
            </w:tcBorders>
            <w:shd w:val="clear" w:color="auto" w:fill="CCEEFF"/>
          </w:tcPr>
          <w:p>
            <w:pPr>
              <w:jc w:val="right"/>
              <w:ind w:right="64"/>
              <w:spacing w:after="0"/>
              <w:rPr>
                <w:sz w:val="20"/>
                <w:szCs w:val="20"/>
                <w:color w:val="auto"/>
              </w:rPr>
            </w:pPr>
            <w:r>
              <w:rPr>
                <w:rFonts w:ascii="Times New Roman" w:cs="Times New Roman" w:eastAsia="Times New Roman" w:hAnsi="Times New Roman"/>
                <w:sz w:val="15"/>
                <w:szCs w:val="15"/>
                <w:color w:val="auto"/>
              </w:rPr>
              <w:t>70,456</w:t>
            </w:r>
          </w:p>
        </w:tc>
        <w:tc>
          <w:tcPr>
            <w:tcW w:w="14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60" w:type="dxa"/>
            <w:vAlign w:val="bottom"/>
            <w:tcBorders>
              <w:bottom w:val="single" w:sz="8" w:color="auto"/>
            </w:tcBorders>
            <w:shd w:val="clear" w:color="auto" w:fill="CCEEFF"/>
          </w:tcPr>
          <w:p>
            <w:pPr>
              <w:jc w:val="right"/>
              <w:ind w:right="44"/>
              <w:spacing w:after="0"/>
              <w:rPr>
                <w:sz w:val="20"/>
                <w:szCs w:val="20"/>
                <w:color w:val="auto"/>
              </w:rPr>
            </w:pPr>
            <w:r>
              <w:rPr>
                <w:rFonts w:ascii="Times New Roman" w:cs="Times New Roman" w:eastAsia="Times New Roman" w:hAnsi="Times New Roman"/>
                <w:sz w:val="15"/>
                <w:szCs w:val="15"/>
                <w:color w:val="auto"/>
              </w:rPr>
              <w:t>249,159</w:t>
            </w:r>
          </w:p>
        </w:tc>
        <w:tc>
          <w:tcPr>
            <w:tcW w:w="14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64"/>
              <w:spacing w:after="0"/>
              <w:rPr>
                <w:sz w:val="20"/>
                <w:szCs w:val="20"/>
                <w:color w:val="auto"/>
              </w:rPr>
            </w:pPr>
            <w:r>
              <w:rPr>
                <w:rFonts w:ascii="Times New Roman" w:cs="Times New Roman" w:eastAsia="Times New Roman" w:hAnsi="Times New Roman"/>
                <w:sz w:val="15"/>
                <w:szCs w:val="15"/>
                <w:color w:val="auto"/>
              </w:rPr>
              <w:t>$</w:t>
            </w:r>
          </w:p>
        </w:tc>
        <w:tc>
          <w:tcPr>
            <w:tcW w:w="780" w:type="dxa"/>
            <w:vAlign w:val="bottom"/>
            <w:tcBorders>
              <w:bottom w:val="single" w:sz="8" w:color="auto"/>
            </w:tcBorders>
            <w:shd w:val="clear" w:color="auto" w:fill="CCEEFF"/>
          </w:tcPr>
          <w:p>
            <w:pPr>
              <w:jc w:val="right"/>
              <w:ind w:right="44"/>
              <w:spacing w:after="0"/>
              <w:rPr>
                <w:sz w:val="20"/>
                <w:szCs w:val="20"/>
                <w:color w:val="auto"/>
              </w:rPr>
            </w:pPr>
            <w:r>
              <w:rPr>
                <w:rFonts w:ascii="Times New Roman" w:cs="Times New Roman" w:eastAsia="Times New Roman" w:hAnsi="Times New Roman"/>
                <w:sz w:val="15"/>
                <w:szCs w:val="15"/>
                <w:color w:val="auto"/>
              </w:rPr>
              <w:t>206,427</w:t>
            </w:r>
          </w:p>
        </w:tc>
      </w:tr>
      <w:tr>
        <w:trPr>
          <w:trHeight w:val="20"/>
        </w:trPr>
        <w:tc>
          <w:tcPr>
            <w:tcW w:w="33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r>
      <w:tr>
        <w:trPr>
          <w:trHeight w:val="150"/>
        </w:trPr>
        <w:tc>
          <w:tcPr>
            <w:tcW w:w="33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80" w:type="dxa"/>
            <w:vAlign w:val="bottom"/>
          </w:tcPr>
          <w:p>
            <w:pPr>
              <w:spacing w:after="0"/>
              <w:rPr>
                <w:sz w:val="13"/>
                <w:szCs w:val="13"/>
                <w:color w:val="auto"/>
              </w:rPr>
            </w:pPr>
          </w:p>
        </w:tc>
      </w:tr>
      <w:tr>
        <w:trPr>
          <w:trHeight w:val="203"/>
        </w:trPr>
        <w:tc>
          <w:tcPr>
            <w:tcW w:w="3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Diluted income per common share reconciliation</w:t>
            </w:r>
          </w:p>
        </w:tc>
        <w:tc>
          <w:tcPr>
            <w:tcW w:w="2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r>
      <w:tr>
        <w:trPr>
          <w:trHeight w:val="200"/>
        </w:trPr>
        <w:tc>
          <w:tcPr>
            <w:tcW w:w="334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Diluted income per common share (GAAP)</w:t>
            </w:r>
          </w:p>
        </w:tc>
        <w:tc>
          <w:tcPr>
            <w:tcW w:w="24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760" w:type="dxa"/>
            <w:vAlign w:val="bottom"/>
          </w:tcPr>
          <w:p>
            <w:pPr>
              <w:jc w:val="right"/>
              <w:ind w:right="44"/>
              <w:spacing w:after="0"/>
              <w:rPr>
                <w:sz w:val="20"/>
                <w:szCs w:val="20"/>
                <w:color w:val="auto"/>
              </w:rPr>
            </w:pPr>
            <w:r>
              <w:rPr>
                <w:rFonts w:ascii="Times New Roman" w:cs="Times New Roman" w:eastAsia="Times New Roman" w:hAnsi="Times New Roman"/>
                <w:sz w:val="15"/>
                <w:szCs w:val="15"/>
                <w:color w:val="auto"/>
              </w:rPr>
              <w:t>0.70</w:t>
            </w:r>
          </w:p>
        </w:tc>
        <w:tc>
          <w:tcPr>
            <w:tcW w:w="140" w:type="dxa"/>
            <w:vAlign w:val="bottom"/>
          </w:tcPr>
          <w:p>
            <w:pPr>
              <w:spacing w:after="0"/>
              <w:rPr>
                <w:sz w:val="17"/>
                <w:szCs w:val="17"/>
                <w:color w:val="auto"/>
              </w:rPr>
            </w:pPr>
          </w:p>
        </w:tc>
        <w:tc>
          <w:tcPr>
            <w:tcW w:w="18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w:t>
            </w:r>
          </w:p>
        </w:tc>
        <w:tc>
          <w:tcPr>
            <w:tcW w:w="820" w:type="dxa"/>
            <w:vAlign w:val="bottom"/>
          </w:tcPr>
          <w:p>
            <w:pPr>
              <w:jc w:val="right"/>
              <w:ind w:right="44"/>
              <w:spacing w:after="0"/>
              <w:rPr>
                <w:sz w:val="20"/>
                <w:szCs w:val="20"/>
                <w:color w:val="auto"/>
              </w:rPr>
            </w:pPr>
            <w:r>
              <w:rPr>
                <w:rFonts w:ascii="Times New Roman" w:cs="Times New Roman" w:eastAsia="Times New Roman" w:hAnsi="Times New Roman"/>
                <w:sz w:val="15"/>
                <w:szCs w:val="15"/>
                <w:color w:val="auto"/>
              </w:rPr>
              <w:t>0.63</w:t>
            </w:r>
          </w:p>
        </w:tc>
        <w:tc>
          <w:tcPr>
            <w:tcW w:w="160" w:type="dxa"/>
            <w:vAlign w:val="bottom"/>
          </w:tcPr>
          <w:p>
            <w:pPr>
              <w:spacing w:after="0"/>
              <w:rPr>
                <w:sz w:val="17"/>
                <w:szCs w:val="17"/>
                <w:color w:val="auto"/>
              </w:rPr>
            </w:pPr>
          </w:p>
        </w:tc>
        <w:tc>
          <w:tcPr>
            <w:tcW w:w="240" w:type="dxa"/>
            <w:vAlign w:val="bottom"/>
          </w:tcPr>
          <w:p>
            <w:pPr>
              <w:jc w:val="right"/>
              <w:ind w:right="64"/>
              <w:spacing w:after="0"/>
              <w:rPr>
                <w:sz w:val="20"/>
                <w:szCs w:val="20"/>
                <w:color w:val="auto"/>
              </w:rPr>
            </w:pPr>
            <w:r>
              <w:rPr>
                <w:rFonts w:ascii="Times New Roman" w:cs="Times New Roman" w:eastAsia="Times New Roman" w:hAnsi="Times New Roman"/>
                <w:sz w:val="15"/>
                <w:szCs w:val="15"/>
                <w:color w:val="auto"/>
              </w:rPr>
              <w:t>$</w:t>
            </w:r>
          </w:p>
        </w:tc>
        <w:tc>
          <w:tcPr>
            <w:tcW w:w="760" w:type="dxa"/>
            <w:vAlign w:val="bottom"/>
          </w:tcPr>
          <w:p>
            <w:pPr>
              <w:jc w:val="right"/>
              <w:ind w:right="44"/>
              <w:spacing w:after="0"/>
              <w:rPr>
                <w:sz w:val="20"/>
                <w:szCs w:val="20"/>
                <w:color w:val="auto"/>
              </w:rPr>
            </w:pPr>
            <w:r>
              <w:rPr>
                <w:rFonts w:ascii="Times New Roman" w:cs="Times New Roman" w:eastAsia="Times New Roman" w:hAnsi="Times New Roman"/>
                <w:sz w:val="15"/>
                <w:szCs w:val="15"/>
                <w:color w:val="auto"/>
              </w:rPr>
              <w:t>0.58</w:t>
            </w:r>
          </w:p>
        </w:tc>
        <w:tc>
          <w:tcPr>
            <w:tcW w:w="14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40" w:type="dxa"/>
            <w:vAlign w:val="bottom"/>
          </w:tcPr>
          <w:p>
            <w:pPr>
              <w:jc w:val="right"/>
              <w:ind w:right="44"/>
              <w:spacing w:after="0"/>
              <w:rPr>
                <w:sz w:val="20"/>
                <w:szCs w:val="20"/>
                <w:color w:val="auto"/>
              </w:rPr>
            </w:pPr>
            <w:r>
              <w:rPr>
                <w:rFonts w:ascii="Times New Roman" w:cs="Times New Roman" w:eastAsia="Times New Roman" w:hAnsi="Times New Roman"/>
                <w:sz w:val="15"/>
                <w:szCs w:val="15"/>
                <w:color w:val="auto"/>
              </w:rPr>
              <w:t>0.61</w:t>
            </w:r>
          </w:p>
        </w:tc>
        <w:tc>
          <w:tcPr>
            <w:tcW w:w="160" w:type="dxa"/>
            <w:vAlign w:val="bottom"/>
          </w:tcPr>
          <w:p>
            <w:pPr>
              <w:spacing w:after="0"/>
              <w:rPr>
                <w:sz w:val="17"/>
                <w:szCs w:val="17"/>
                <w:color w:val="auto"/>
              </w:rPr>
            </w:pPr>
          </w:p>
        </w:tc>
        <w:tc>
          <w:tcPr>
            <w:tcW w:w="22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780" w:type="dxa"/>
            <w:vAlign w:val="bottom"/>
          </w:tcPr>
          <w:p>
            <w:pPr>
              <w:jc w:val="right"/>
              <w:ind w:right="64"/>
              <w:spacing w:after="0"/>
              <w:rPr>
                <w:sz w:val="20"/>
                <w:szCs w:val="20"/>
                <w:color w:val="auto"/>
              </w:rPr>
            </w:pPr>
            <w:r>
              <w:rPr>
                <w:rFonts w:ascii="Times New Roman" w:cs="Times New Roman" w:eastAsia="Times New Roman" w:hAnsi="Times New Roman"/>
                <w:sz w:val="15"/>
                <w:szCs w:val="15"/>
                <w:color w:val="auto"/>
              </w:rPr>
              <w:t>0.38</w:t>
            </w:r>
          </w:p>
        </w:tc>
        <w:tc>
          <w:tcPr>
            <w:tcW w:w="14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60" w:type="dxa"/>
            <w:vAlign w:val="bottom"/>
          </w:tcPr>
          <w:p>
            <w:pPr>
              <w:jc w:val="right"/>
              <w:ind w:right="44"/>
              <w:spacing w:after="0"/>
              <w:rPr>
                <w:sz w:val="20"/>
                <w:szCs w:val="20"/>
                <w:color w:val="auto"/>
              </w:rPr>
            </w:pPr>
            <w:r>
              <w:rPr>
                <w:rFonts w:ascii="Times New Roman" w:cs="Times New Roman" w:eastAsia="Times New Roman" w:hAnsi="Times New Roman"/>
                <w:sz w:val="15"/>
                <w:szCs w:val="15"/>
                <w:color w:val="auto"/>
              </w:rPr>
              <w:t>1.91</w:t>
            </w:r>
          </w:p>
        </w:tc>
        <w:tc>
          <w:tcPr>
            <w:tcW w:w="140" w:type="dxa"/>
            <w:vAlign w:val="bottom"/>
          </w:tcPr>
          <w:p>
            <w:pPr>
              <w:spacing w:after="0"/>
              <w:rPr>
                <w:sz w:val="17"/>
                <w:szCs w:val="17"/>
                <w:color w:val="auto"/>
              </w:rPr>
            </w:pPr>
          </w:p>
        </w:tc>
        <w:tc>
          <w:tcPr>
            <w:tcW w:w="240" w:type="dxa"/>
            <w:vAlign w:val="bottom"/>
          </w:tcPr>
          <w:p>
            <w:pPr>
              <w:jc w:val="right"/>
              <w:ind w:right="64"/>
              <w:spacing w:after="0"/>
              <w:rPr>
                <w:sz w:val="20"/>
                <w:szCs w:val="20"/>
                <w:color w:val="auto"/>
              </w:rPr>
            </w:pPr>
            <w:r>
              <w:rPr>
                <w:rFonts w:ascii="Times New Roman" w:cs="Times New Roman" w:eastAsia="Times New Roman" w:hAnsi="Times New Roman"/>
                <w:sz w:val="15"/>
                <w:szCs w:val="15"/>
                <w:color w:val="auto"/>
              </w:rPr>
              <w:t>$</w:t>
            </w:r>
          </w:p>
        </w:tc>
        <w:tc>
          <w:tcPr>
            <w:tcW w:w="780" w:type="dxa"/>
            <w:vAlign w:val="bottom"/>
          </w:tcPr>
          <w:p>
            <w:pPr>
              <w:jc w:val="right"/>
              <w:ind w:right="44"/>
              <w:spacing w:after="0"/>
              <w:rPr>
                <w:sz w:val="20"/>
                <w:szCs w:val="20"/>
                <w:color w:val="auto"/>
              </w:rPr>
            </w:pPr>
            <w:r>
              <w:rPr>
                <w:rFonts w:ascii="Times New Roman" w:cs="Times New Roman" w:eastAsia="Times New Roman" w:hAnsi="Times New Roman"/>
                <w:sz w:val="15"/>
                <w:szCs w:val="15"/>
                <w:color w:val="auto"/>
              </w:rPr>
              <w:t>1.43</w:t>
            </w:r>
          </w:p>
        </w:tc>
      </w:tr>
      <w:tr>
        <w:trPr>
          <w:trHeight w:val="205"/>
        </w:trPr>
        <w:tc>
          <w:tcPr>
            <w:tcW w:w="3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Loss on sale of manufactured housing loans</w:t>
            </w:r>
          </w:p>
        </w:tc>
        <w:tc>
          <w:tcPr>
            <w:tcW w:w="24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jc w:val="right"/>
              <w:ind w:right="64"/>
              <w:spacing w:after="0"/>
              <w:rPr>
                <w:sz w:val="20"/>
                <w:szCs w:val="20"/>
                <w:color w:val="auto"/>
              </w:rPr>
            </w:pPr>
            <w:r>
              <w:rPr>
                <w:rFonts w:ascii="Times New Roman" w:cs="Times New Roman" w:eastAsia="Times New Roman" w:hAnsi="Times New Roman"/>
                <w:sz w:val="15"/>
                <w:szCs w:val="15"/>
                <w:color w:val="auto"/>
              </w:rPr>
              <w:t>0.18</w:t>
            </w: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shd w:val="clear" w:color="auto" w:fill="CCEEFF"/>
          </w:tcPr>
          <w:p>
            <w:pPr>
              <w:spacing w:after="0"/>
              <w:rPr>
                <w:sz w:val="17"/>
                <w:szCs w:val="17"/>
                <w:color w:val="auto"/>
              </w:rPr>
            </w:pPr>
          </w:p>
        </w:tc>
        <w:tc>
          <w:tcPr>
            <w:tcW w:w="780" w:type="dxa"/>
            <w:vAlign w:val="bottom"/>
            <w:shd w:val="clear" w:color="auto" w:fill="CCEEFF"/>
          </w:tcPr>
          <w:p>
            <w:pPr>
              <w:jc w:val="right"/>
              <w:ind w:right="44"/>
              <w:spacing w:after="0"/>
              <w:rPr>
                <w:sz w:val="20"/>
                <w:szCs w:val="20"/>
                <w:color w:val="auto"/>
              </w:rPr>
            </w:pPr>
            <w:r>
              <w:rPr>
                <w:rFonts w:ascii="Times New Roman" w:cs="Times New Roman" w:eastAsia="Times New Roman" w:hAnsi="Times New Roman"/>
                <w:sz w:val="15"/>
                <w:szCs w:val="15"/>
                <w:color w:val="auto"/>
              </w:rPr>
              <w:t>0.18</w:t>
            </w:r>
          </w:p>
        </w:tc>
      </w:tr>
      <w:tr>
        <w:trPr>
          <w:trHeight w:val="200"/>
        </w:trPr>
        <w:tc>
          <w:tcPr>
            <w:tcW w:w="334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Gain on lease termination</w:t>
            </w:r>
          </w:p>
        </w:tc>
        <w:tc>
          <w:tcPr>
            <w:tcW w:w="240" w:type="dxa"/>
            <w:vAlign w:val="bottom"/>
          </w:tcPr>
          <w:p>
            <w:pPr>
              <w:spacing w:after="0"/>
              <w:rPr>
                <w:sz w:val="17"/>
                <w:szCs w:val="17"/>
                <w:color w:val="auto"/>
              </w:rPr>
            </w:pPr>
          </w:p>
        </w:tc>
        <w:tc>
          <w:tcPr>
            <w:tcW w:w="900" w:type="dxa"/>
            <w:vAlign w:val="bottom"/>
            <w:gridSpan w:val="2"/>
          </w:tcPr>
          <w:p>
            <w:pPr>
              <w:jc w:val="right"/>
              <w:ind w:right="260"/>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Pr>
          <w:p>
            <w:pPr>
              <w:spacing w:after="0"/>
              <w:rPr>
                <w:sz w:val="17"/>
                <w:szCs w:val="17"/>
                <w:color w:val="auto"/>
              </w:rPr>
            </w:pPr>
          </w:p>
        </w:tc>
        <w:tc>
          <w:tcPr>
            <w:tcW w:w="980" w:type="dxa"/>
            <w:vAlign w:val="bottom"/>
            <w:gridSpan w:val="2"/>
          </w:tcPr>
          <w:p>
            <w:pPr>
              <w:jc w:val="right"/>
              <w:ind w:right="280"/>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tcPr>
          <w:p>
            <w:pPr>
              <w:spacing w:after="0"/>
              <w:rPr>
                <w:sz w:val="17"/>
                <w:szCs w:val="17"/>
                <w:color w:val="auto"/>
              </w:rPr>
            </w:pPr>
          </w:p>
        </w:tc>
        <w:tc>
          <w:tcPr>
            <w:tcW w:w="900" w:type="dxa"/>
            <w:vAlign w:val="bottom"/>
            <w:gridSpan w:val="2"/>
          </w:tcPr>
          <w:p>
            <w:pPr>
              <w:jc w:val="right"/>
              <w:ind w:right="26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Pr>
          <w:p>
            <w:pPr>
              <w:spacing w:after="0"/>
              <w:rPr>
                <w:sz w:val="17"/>
                <w:szCs w:val="17"/>
                <w:color w:val="auto"/>
              </w:rPr>
            </w:pPr>
          </w:p>
        </w:tc>
        <w:tc>
          <w:tcPr>
            <w:tcW w:w="1000" w:type="dxa"/>
            <w:vAlign w:val="bottom"/>
            <w:gridSpan w:val="2"/>
          </w:tcPr>
          <w:p>
            <w:pPr>
              <w:jc w:val="right"/>
              <w:ind w:right="280"/>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tcPr>
          <w:p>
            <w:pPr>
              <w:spacing w:after="0"/>
              <w:rPr>
                <w:sz w:val="17"/>
                <w:szCs w:val="17"/>
                <w:color w:val="auto"/>
              </w:rPr>
            </w:pPr>
          </w:p>
        </w:tc>
        <w:tc>
          <w:tcPr>
            <w:tcW w:w="920" w:type="dxa"/>
            <w:vAlign w:val="bottom"/>
            <w:gridSpan w:val="2"/>
          </w:tcPr>
          <w:p>
            <w:pPr>
              <w:jc w:val="right"/>
              <w:ind w:right="28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7"/>
                <w:szCs w:val="17"/>
                <w:color w:val="auto"/>
              </w:rPr>
            </w:pPr>
          </w:p>
        </w:tc>
        <w:tc>
          <w:tcPr>
            <w:tcW w:w="1000" w:type="dxa"/>
            <w:vAlign w:val="bottom"/>
            <w:gridSpan w:val="2"/>
          </w:tcPr>
          <w:p>
            <w:pPr>
              <w:jc w:val="right"/>
              <w:ind w:right="260"/>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tcPr>
          <w:p>
            <w:pPr>
              <w:spacing w:after="0"/>
              <w:rPr>
                <w:sz w:val="17"/>
                <w:szCs w:val="17"/>
                <w:color w:val="auto"/>
              </w:rPr>
            </w:pPr>
          </w:p>
        </w:tc>
        <w:tc>
          <w:tcPr>
            <w:tcW w:w="780" w:type="dxa"/>
            <w:vAlign w:val="bottom"/>
          </w:tcPr>
          <w:p>
            <w:pPr>
              <w:jc w:val="right"/>
              <w:ind w:right="44"/>
              <w:spacing w:after="0"/>
              <w:rPr>
                <w:sz w:val="20"/>
                <w:szCs w:val="20"/>
                <w:color w:val="auto"/>
              </w:rPr>
            </w:pPr>
            <w:r>
              <w:rPr>
                <w:rFonts w:ascii="Times New Roman" w:cs="Times New Roman" w:eastAsia="Times New Roman" w:hAnsi="Times New Roman"/>
                <w:sz w:val="15"/>
                <w:szCs w:val="15"/>
                <w:color w:val="auto"/>
              </w:rPr>
              <w:t>(0.02)</w:t>
            </w:r>
          </w:p>
        </w:tc>
      </w:tr>
      <w:tr>
        <w:trPr>
          <w:trHeight w:val="151"/>
        </w:trPr>
        <w:tc>
          <w:tcPr>
            <w:tcW w:w="3340" w:type="dxa"/>
            <w:vAlign w:val="bottom"/>
            <w:shd w:val="clear" w:color="auto" w:fill="CCEEFF"/>
          </w:tcPr>
          <w:p>
            <w:pPr>
              <w:ind w:left="20"/>
              <w:spacing w:after="0" w:line="151" w:lineRule="exact"/>
              <w:rPr>
                <w:sz w:val="20"/>
                <w:szCs w:val="20"/>
                <w:color w:val="auto"/>
              </w:rPr>
            </w:pPr>
            <w:r>
              <w:rPr>
                <w:rFonts w:ascii="Times New Roman" w:cs="Times New Roman" w:eastAsia="Times New Roman" w:hAnsi="Times New Roman"/>
                <w:sz w:val="15"/>
                <w:szCs w:val="15"/>
                <w:color w:val="auto"/>
              </w:rPr>
              <w:t>Loss on sale of FinTrust, including goodwill</w:t>
            </w:r>
          </w:p>
        </w:tc>
        <w:tc>
          <w:tcPr>
            <w:tcW w:w="24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r>
      <w:tr>
        <w:trPr>
          <w:trHeight w:val="216"/>
        </w:trPr>
        <w:tc>
          <w:tcPr>
            <w:tcW w:w="3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impairment</w:t>
            </w:r>
          </w:p>
        </w:tc>
        <w:tc>
          <w:tcPr>
            <w:tcW w:w="2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44"/>
              <w:spacing w:after="0"/>
              <w:rPr>
                <w:sz w:val="20"/>
                <w:szCs w:val="20"/>
                <w:color w:val="auto"/>
              </w:rPr>
            </w:pPr>
            <w:r>
              <w:rPr>
                <w:rFonts w:ascii="Times New Roman" w:cs="Times New Roman" w:eastAsia="Times New Roman" w:hAnsi="Times New Roman"/>
                <w:sz w:val="15"/>
                <w:szCs w:val="15"/>
                <w:color w:val="auto"/>
              </w:rPr>
              <w:t>0.03</w:t>
            </w:r>
          </w:p>
        </w:tc>
      </w:tr>
      <w:tr>
        <w:trPr>
          <w:trHeight w:val="200"/>
        </w:trPr>
        <w:tc>
          <w:tcPr>
            <w:tcW w:w="334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FDIC special assessment</w:t>
            </w:r>
          </w:p>
        </w:tc>
        <w:tc>
          <w:tcPr>
            <w:tcW w:w="240" w:type="dxa"/>
            <w:vAlign w:val="bottom"/>
          </w:tcPr>
          <w:p>
            <w:pPr>
              <w:spacing w:after="0"/>
              <w:rPr>
                <w:sz w:val="17"/>
                <w:szCs w:val="17"/>
                <w:color w:val="auto"/>
              </w:rPr>
            </w:pPr>
          </w:p>
        </w:tc>
        <w:tc>
          <w:tcPr>
            <w:tcW w:w="900" w:type="dxa"/>
            <w:vAlign w:val="bottom"/>
            <w:gridSpan w:val="2"/>
          </w:tcPr>
          <w:p>
            <w:pPr>
              <w:jc w:val="right"/>
              <w:ind w:right="260"/>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Pr>
          <w:p>
            <w:pPr>
              <w:spacing w:after="0"/>
              <w:rPr>
                <w:sz w:val="17"/>
                <w:szCs w:val="17"/>
                <w:color w:val="auto"/>
              </w:rPr>
            </w:pPr>
          </w:p>
        </w:tc>
        <w:tc>
          <w:tcPr>
            <w:tcW w:w="980" w:type="dxa"/>
            <w:vAlign w:val="bottom"/>
            <w:gridSpan w:val="2"/>
          </w:tcPr>
          <w:p>
            <w:pPr>
              <w:jc w:val="right"/>
              <w:ind w:right="280"/>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tcPr>
          <w:p>
            <w:pPr>
              <w:spacing w:after="0"/>
              <w:rPr>
                <w:sz w:val="17"/>
                <w:szCs w:val="17"/>
                <w:color w:val="auto"/>
              </w:rPr>
            </w:pPr>
          </w:p>
        </w:tc>
        <w:tc>
          <w:tcPr>
            <w:tcW w:w="900" w:type="dxa"/>
            <w:vAlign w:val="bottom"/>
            <w:gridSpan w:val="2"/>
          </w:tcPr>
          <w:p>
            <w:pPr>
              <w:jc w:val="right"/>
              <w:ind w:right="26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Pr>
          <w:p>
            <w:pPr>
              <w:spacing w:after="0"/>
              <w:rPr>
                <w:sz w:val="17"/>
                <w:szCs w:val="17"/>
                <w:color w:val="auto"/>
              </w:rPr>
            </w:pPr>
          </w:p>
        </w:tc>
        <w:tc>
          <w:tcPr>
            <w:tcW w:w="1000" w:type="dxa"/>
            <w:vAlign w:val="bottom"/>
            <w:gridSpan w:val="2"/>
          </w:tcPr>
          <w:p>
            <w:pPr>
              <w:jc w:val="right"/>
              <w:ind w:right="280"/>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tcPr>
          <w:p>
            <w:pPr>
              <w:spacing w:after="0"/>
              <w:rPr>
                <w:sz w:val="17"/>
                <w:szCs w:val="17"/>
                <w:color w:val="auto"/>
              </w:rPr>
            </w:pPr>
          </w:p>
        </w:tc>
        <w:tc>
          <w:tcPr>
            <w:tcW w:w="920" w:type="dxa"/>
            <w:vAlign w:val="bottom"/>
            <w:gridSpan w:val="2"/>
          </w:tcPr>
          <w:p>
            <w:pPr>
              <w:jc w:val="right"/>
              <w:ind w:right="28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7"/>
                <w:szCs w:val="17"/>
                <w:color w:val="auto"/>
              </w:rPr>
            </w:pPr>
          </w:p>
        </w:tc>
        <w:tc>
          <w:tcPr>
            <w:tcW w:w="1000" w:type="dxa"/>
            <w:vAlign w:val="bottom"/>
            <w:gridSpan w:val="2"/>
          </w:tcPr>
          <w:p>
            <w:pPr>
              <w:jc w:val="right"/>
              <w:ind w:right="260"/>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tcPr>
          <w:p>
            <w:pPr>
              <w:spacing w:after="0"/>
              <w:rPr>
                <w:sz w:val="17"/>
                <w:szCs w:val="17"/>
                <w:color w:val="auto"/>
              </w:rPr>
            </w:pPr>
          </w:p>
        </w:tc>
        <w:tc>
          <w:tcPr>
            <w:tcW w:w="780" w:type="dxa"/>
            <w:vAlign w:val="bottom"/>
          </w:tcPr>
          <w:p>
            <w:pPr>
              <w:jc w:val="right"/>
              <w:ind w:right="44"/>
              <w:spacing w:after="0"/>
              <w:rPr>
                <w:sz w:val="20"/>
                <w:szCs w:val="20"/>
                <w:color w:val="auto"/>
              </w:rPr>
            </w:pPr>
            <w:r>
              <w:rPr>
                <w:rFonts w:ascii="Times New Roman" w:cs="Times New Roman" w:eastAsia="Times New Roman" w:hAnsi="Times New Roman"/>
                <w:sz w:val="15"/>
                <w:szCs w:val="15"/>
                <w:color w:val="auto"/>
              </w:rPr>
              <w:t>0.01</w:t>
            </w:r>
          </w:p>
        </w:tc>
      </w:tr>
      <w:tr>
        <w:trPr>
          <w:trHeight w:val="205"/>
        </w:trPr>
        <w:tc>
          <w:tcPr>
            <w:tcW w:w="3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Merger-related and other charges</w:t>
            </w:r>
          </w:p>
        </w:tc>
        <w:tc>
          <w:tcPr>
            <w:tcW w:w="240" w:type="dxa"/>
            <w:vAlign w:val="bottom"/>
            <w:shd w:val="clear" w:color="auto" w:fill="CCEEFF"/>
          </w:tcPr>
          <w:p>
            <w:pPr>
              <w:spacing w:after="0"/>
              <w:rPr>
                <w:sz w:val="17"/>
                <w:szCs w:val="17"/>
                <w:color w:val="auto"/>
              </w:rPr>
            </w:pPr>
          </w:p>
        </w:tc>
        <w:tc>
          <w:tcPr>
            <w:tcW w:w="760" w:type="dxa"/>
            <w:vAlign w:val="bottom"/>
            <w:shd w:val="clear" w:color="auto" w:fill="CCEEFF"/>
          </w:tcPr>
          <w:p>
            <w:pPr>
              <w:jc w:val="right"/>
              <w:ind w:right="44"/>
              <w:spacing w:after="0"/>
              <w:rPr>
                <w:sz w:val="20"/>
                <w:szCs w:val="20"/>
                <w:color w:val="auto"/>
              </w:rPr>
            </w:pPr>
            <w:r>
              <w:rPr>
                <w:rFonts w:ascii="Times New Roman" w:cs="Times New Roman" w:eastAsia="Times New Roman" w:hAnsi="Times New Roman"/>
                <w:sz w:val="15"/>
                <w:szCs w:val="15"/>
                <w:color w:val="auto"/>
              </w:rPr>
              <w:t>0.02</w:t>
            </w: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jc w:val="right"/>
              <w:ind w:right="44"/>
              <w:spacing w:after="0"/>
              <w:rPr>
                <w:sz w:val="20"/>
                <w:szCs w:val="20"/>
                <w:color w:val="auto"/>
              </w:rPr>
            </w:pPr>
            <w:r>
              <w:rPr>
                <w:rFonts w:ascii="Times New Roman" w:cs="Times New Roman" w:eastAsia="Times New Roman" w:hAnsi="Times New Roman"/>
                <w:sz w:val="15"/>
                <w:szCs w:val="15"/>
                <w:color w:val="auto"/>
              </w:rPr>
              <w:t>0.03</w:t>
            </w:r>
          </w:p>
        </w:tc>
        <w:tc>
          <w:tcPr>
            <w:tcW w:w="1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60" w:type="dxa"/>
            <w:vAlign w:val="bottom"/>
            <w:shd w:val="clear" w:color="auto" w:fill="CCEEFF"/>
          </w:tcPr>
          <w:p>
            <w:pPr>
              <w:jc w:val="right"/>
              <w:ind w:right="44"/>
              <w:spacing w:after="0"/>
              <w:rPr>
                <w:sz w:val="20"/>
                <w:szCs w:val="20"/>
                <w:color w:val="auto"/>
              </w:rPr>
            </w:pPr>
            <w:r>
              <w:rPr>
                <w:rFonts w:ascii="Times New Roman" w:cs="Times New Roman" w:eastAsia="Times New Roman" w:hAnsi="Times New Roman"/>
                <w:sz w:val="15"/>
                <w:szCs w:val="15"/>
                <w:color w:val="auto"/>
              </w:rPr>
              <w:t>0.01</w:t>
            </w: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jc w:val="right"/>
              <w:ind w:right="44"/>
              <w:spacing w:after="0"/>
              <w:rPr>
                <w:sz w:val="20"/>
                <w:szCs w:val="20"/>
                <w:color w:val="auto"/>
              </w:rPr>
            </w:pPr>
            <w:r>
              <w:rPr>
                <w:rFonts w:ascii="Times New Roman" w:cs="Times New Roman" w:eastAsia="Times New Roman" w:hAnsi="Times New Roman"/>
                <w:sz w:val="15"/>
                <w:szCs w:val="15"/>
                <w:color w:val="auto"/>
              </w:rPr>
              <w:t>0.02</w:t>
            </w: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jc w:val="right"/>
              <w:ind w:right="64"/>
              <w:spacing w:after="0"/>
              <w:rPr>
                <w:sz w:val="20"/>
                <w:szCs w:val="20"/>
                <w:color w:val="auto"/>
              </w:rPr>
            </w:pPr>
            <w:r>
              <w:rPr>
                <w:rFonts w:ascii="Times New Roman" w:cs="Times New Roman" w:eastAsia="Times New Roman" w:hAnsi="Times New Roman"/>
                <w:sz w:val="15"/>
                <w:szCs w:val="15"/>
                <w:color w:val="auto"/>
              </w:rPr>
              <w:t>0.01</w:t>
            </w: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44"/>
              <w:spacing w:after="0"/>
              <w:rPr>
                <w:sz w:val="20"/>
                <w:szCs w:val="20"/>
                <w:color w:val="auto"/>
              </w:rPr>
            </w:pPr>
            <w:r>
              <w:rPr>
                <w:rFonts w:ascii="Times New Roman" w:cs="Times New Roman" w:eastAsia="Times New Roman" w:hAnsi="Times New Roman"/>
                <w:sz w:val="15"/>
                <w:szCs w:val="15"/>
                <w:color w:val="auto"/>
              </w:rPr>
              <w:t>0.06</w:t>
            </w:r>
          </w:p>
        </w:tc>
        <w:tc>
          <w:tcPr>
            <w:tcW w:w="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80" w:type="dxa"/>
            <w:vAlign w:val="bottom"/>
            <w:shd w:val="clear" w:color="auto" w:fill="CCEEFF"/>
          </w:tcPr>
          <w:p>
            <w:pPr>
              <w:jc w:val="right"/>
              <w:ind w:right="44"/>
              <w:spacing w:after="0"/>
              <w:rPr>
                <w:sz w:val="20"/>
                <w:szCs w:val="20"/>
                <w:color w:val="auto"/>
              </w:rPr>
            </w:pPr>
            <w:r>
              <w:rPr>
                <w:rFonts w:ascii="Times New Roman" w:cs="Times New Roman" w:eastAsia="Times New Roman" w:hAnsi="Times New Roman"/>
                <w:sz w:val="15"/>
                <w:szCs w:val="15"/>
                <w:color w:val="auto"/>
              </w:rPr>
              <w:t>0.04</w:t>
            </w:r>
          </w:p>
        </w:tc>
      </w:tr>
      <w:tr>
        <w:trPr>
          <w:trHeight w:val="200"/>
        </w:trPr>
        <w:tc>
          <w:tcPr>
            <w:tcW w:w="334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Deemed dividend on preferred stock redemption</w:t>
            </w:r>
          </w:p>
        </w:tc>
        <w:tc>
          <w:tcPr>
            <w:tcW w:w="240" w:type="dxa"/>
            <w:vAlign w:val="bottom"/>
          </w:tcPr>
          <w:p>
            <w:pPr>
              <w:spacing w:after="0"/>
              <w:rPr>
                <w:sz w:val="17"/>
                <w:szCs w:val="17"/>
                <w:color w:val="auto"/>
              </w:rPr>
            </w:pPr>
          </w:p>
        </w:tc>
        <w:tc>
          <w:tcPr>
            <w:tcW w:w="760" w:type="dxa"/>
            <w:vAlign w:val="bottom"/>
          </w:tcPr>
          <w:p>
            <w:pPr>
              <w:jc w:val="right"/>
              <w:ind w:right="44"/>
              <w:spacing w:after="0"/>
              <w:rPr>
                <w:sz w:val="20"/>
                <w:szCs w:val="20"/>
                <w:color w:val="auto"/>
              </w:rPr>
            </w:pPr>
            <w:r>
              <w:rPr>
                <w:rFonts w:ascii="Times New Roman" w:cs="Times New Roman" w:eastAsia="Times New Roman" w:hAnsi="Times New Roman"/>
                <w:sz w:val="15"/>
                <w:szCs w:val="15"/>
                <w:color w:val="auto"/>
              </w:rPr>
              <w:t>0.03</w:t>
            </w: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gridSpan w:val="2"/>
          </w:tcPr>
          <w:p>
            <w:pPr>
              <w:jc w:val="right"/>
              <w:ind w:right="280"/>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tcPr>
          <w:p>
            <w:pPr>
              <w:spacing w:after="0"/>
              <w:rPr>
                <w:sz w:val="17"/>
                <w:szCs w:val="17"/>
                <w:color w:val="auto"/>
              </w:rPr>
            </w:pPr>
          </w:p>
        </w:tc>
        <w:tc>
          <w:tcPr>
            <w:tcW w:w="900" w:type="dxa"/>
            <w:vAlign w:val="bottom"/>
            <w:gridSpan w:val="2"/>
          </w:tcPr>
          <w:p>
            <w:pPr>
              <w:jc w:val="right"/>
              <w:ind w:right="26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Pr>
          <w:p>
            <w:pPr>
              <w:spacing w:after="0"/>
              <w:rPr>
                <w:sz w:val="17"/>
                <w:szCs w:val="17"/>
                <w:color w:val="auto"/>
              </w:rPr>
            </w:pPr>
          </w:p>
        </w:tc>
        <w:tc>
          <w:tcPr>
            <w:tcW w:w="1000" w:type="dxa"/>
            <w:vAlign w:val="bottom"/>
            <w:gridSpan w:val="2"/>
          </w:tcPr>
          <w:p>
            <w:pPr>
              <w:jc w:val="right"/>
              <w:ind w:right="280"/>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tcPr>
          <w:p>
            <w:pPr>
              <w:spacing w:after="0"/>
              <w:rPr>
                <w:sz w:val="17"/>
                <w:szCs w:val="17"/>
                <w:color w:val="auto"/>
              </w:rPr>
            </w:pPr>
          </w:p>
        </w:tc>
        <w:tc>
          <w:tcPr>
            <w:tcW w:w="920" w:type="dxa"/>
            <w:vAlign w:val="bottom"/>
            <w:gridSpan w:val="2"/>
          </w:tcPr>
          <w:p>
            <w:pPr>
              <w:jc w:val="right"/>
              <w:ind w:right="28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7"/>
                <w:szCs w:val="17"/>
                <w:color w:val="auto"/>
              </w:rPr>
            </w:pPr>
          </w:p>
        </w:tc>
        <w:tc>
          <w:tcPr>
            <w:tcW w:w="860" w:type="dxa"/>
            <w:vAlign w:val="bottom"/>
          </w:tcPr>
          <w:p>
            <w:pPr>
              <w:jc w:val="right"/>
              <w:ind w:right="44"/>
              <w:spacing w:after="0"/>
              <w:rPr>
                <w:sz w:val="20"/>
                <w:szCs w:val="20"/>
                <w:color w:val="auto"/>
              </w:rPr>
            </w:pPr>
            <w:r>
              <w:rPr>
                <w:rFonts w:ascii="Times New Roman" w:cs="Times New Roman" w:eastAsia="Times New Roman" w:hAnsi="Times New Roman"/>
                <w:sz w:val="15"/>
                <w:szCs w:val="15"/>
                <w:color w:val="auto"/>
              </w:rPr>
              <w:t>0.03</w:t>
            </w: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jc w:val="right"/>
              <w:ind w:right="44"/>
              <w:spacing w:after="0"/>
              <w:rPr>
                <w:sz w:val="20"/>
                <w:szCs w:val="20"/>
                <w:color w:val="auto"/>
              </w:rPr>
            </w:pPr>
            <w:r>
              <w:rPr>
                <w:rFonts w:ascii="Times New Roman" w:cs="Times New Roman" w:eastAsia="Times New Roman" w:hAnsi="Times New Roman"/>
                <w:sz w:val="15"/>
                <w:szCs w:val="15"/>
                <w:color w:val="auto"/>
              </w:rPr>
              <w:t>—</w:t>
            </w:r>
          </w:p>
        </w:tc>
      </w:tr>
      <w:tr>
        <w:trPr>
          <w:trHeight w:val="223"/>
        </w:trPr>
        <w:tc>
          <w:tcPr>
            <w:tcW w:w="3340" w:type="dxa"/>
            <w:vAlign w:val="bottom"/>
            <w:tcBorders>
              <w:top w:val="single" w:sz="8" w:color="CCEEFF"/>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Diluted income per common share - operating</w:t>
            </w:r>
          </w:p>
        </w:tc>
        <w:tc>
          <w:tcPr>
            <w:tcW w:w="24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760" w:type="dxa"/>
            <w:vAlign w:val="bottom"/>
            <w:tcBorders>
              <w:top w:val="single" w:sz="8" w:color="auto"/>
              <w:bottom w:val="single" w:sz="8" w:color="auto"/>
            </w:tcBorders>
            <w:shd w:val="clear" w:color="auto" w:fill="CCEEFF"/>
          </w:tcPr>
          <w:p>
            <w:pPr>
              <w:jc w:val="right"/>
              <w:ind w:right="44"/>
              <w:spacing w:after="0"/>
              <w:rPr>
                <w:sz w:val="20"/>
                <w:szCs w:val="20"/>
                <w:color w:val="auto"/>
              </w:rPr>
            </w:pPr>
            <w:r>
              <w:rPr>
                <w:rFonts w:ascii="Times New Roman" w:cs="Times New Roman" w:eastAsia="Times New Roman" w:hAnsi="Times New Roman"/>
                <w:sz w:val="15"/>
                <w:szCs w:val="15"/>
                <w:color w:val="auto"/>
              </w:rPr>
              <w:t>0.75</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w:t>
            </w:r>
          </w:p>
        </w:tc>
        <w:tc>
          <w:tcPr>
            <w:tcW w:w="820" w:type="dxa"/>
            <w:vAlign w:val="bottom"/>
            <w:tcBorders>
              <w:top w:val="single" w:sz="8" w:color="auto"/>
              <w:bottom w:val="single" w:sz="8" w:color="auto"/>
            </w:tcBorders>
            <w:shd w:val="clear" w:color="auto" w:fill="CCEEFF"/>
          </w:tcPr>
          <w:p>
            <w:pPr>
              <w:jc w:val="right"/>
              <w:ind w:right="44"/>
              <w:spacing w:after="0"/>
              <w:rPr>
                <w:sz w:val="20"/>
                <w:szCs w:val="20"/>
                <w:color w:val="auto"/>
              </w:rPr>
            </w:pPr>
            <w:r>
              <w:rPr>
                <w:rFonts w:ascii="Times New Roman" w:cs="Times New Roman" w:eastAsia="Times New Roman" w:hAnsi="Times New Roman"/>
                <w:sz w:val="15"/>
                <w:szCs w:val="15"/>
                <w:color w:val="auto"/>
              </w:rPr>
              <w:t>0.66</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64"/>
              <w:spacing w:after="0"/>
              <w:rPr>
                <w:sz w:val="20"/>
                <w:szCs w:val="20"/>
                <w:color w:val="auto"/>
              </w:rPr>
            </w:pPr>
            <w:r>
              <w:rPr>
                <w:rFonts w:ascii="Times New Roman" w:cs="Times New Roman" w:eastAsia="Times New Roman" w:hAnsi="Times New Roman"/>
                <w:sz w:val="15"/>
                <w:szCs w:val="15"/>
                <w:color w:val="auto"/>
              </w:rPr>
              <w:t>$</w:t>
            </w:r>
          </w:p>
        </w:tc>
        <w:tc>
          <w:tcPr>
            <w:tcW w:w="760" w:type="dxa"/>
            <w:vAlign w:val="bottom"/>
            <w:tcBorders>
              <w:top w:val="single" w:sz="8" w:color="auto"/>
              <w:bottom w:val="single" w:sz="8" w:color="auto"/>
            </w:tcBorders>
            <w:shd w:val="clear" w:color="auto" w:fill="CCEEFF"/>
          </w:tcPr>
          <w:p>
            <w:pPr>
              <w:jc w:val="right"/>
              <w:ind w:right="44"/>
              <w:spacing w:after="0"/>
              <w:rPr>
                <w:sz w:val="20"/>
                <w:szCs w:val="20"/>
                <w:color w:val="auto"/>
              </w:rPr>
            </w:pPr>
            <w:r>
              <w:rPr>
                <w:rFonts w:ascii="Times New Roman" w:cs="Times New Roman" w:eastAsia="Times New Roman" w:hAnsi="Times New Roman"/>
                <w:sz w:val="15"/>
                <w:szCs w:val="15"/>
                <w:color w:val="auto"/>
              </w:rPr>
              <w:t>0.59</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40" w:type="dxa"/>
            <w:vAlign w:val="bottom"/>
            <w:tcBorders>
              <w:top w:val="single" w:sz="8" w:color="auto"/>
              <w:bottom w:val="single" w:sz="8" w:color="auto"/>
            </w:tcBorders>
            <w:shd w:val="clear" w:color="auto" w:fill="CCEEFF"/>
          </w:tcPr>
          <w:p>
            <w:pPr>
              <w:jc w:val="right"/>
              <w:ind w:right="44"/>
              <w:spacing w:after="0"/>
              <w:rPr>
                <w:sz w:val="20"/>
                <w:szCs w:val="20"/>
                <w:color w:val="auto"/>
              </w:rPr>
            </w:pPr>
            <w:r>
              <w:rPr>
                <w:rFonts w:ascii="Times New Roman" w:cs="Times New Roman" w:eastAsia="Times New Roman" w:hAnsi="Times New Roman"/>
                <w:sz w:val="15"/>
                <w:szCs w:val="15"/>
                <w:color w:val="auto"/>
              </w:rPr>
              <w:t>0.63</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780" w:type="dxa"/>
            <w:vAlign w:val="bottom"/>
            <w:tcBorders>
              <w:top w:val="single" w:sz="8" w:color="auto"/>
              <w:bottom w:val="single" w:sz="8" w:color="auto"/>
            </w:tcBorders>
            <w:shd w:val="clear" w:color="auto" w:fill="CCEEFF"/>
          </w:tcPr>
          <w:p>
            <w:pPr>
              <w:jc w:val="right"/>
              <w:ind w:right="64"/>
              <w:spacing w:after="0"/>
              <w:rPr>
                <w:sz w:val="20"/>
                <w:szCs w:val="20"/>
                <w:color w:val="auto"/>
              </w:rPr>
            </w:pPr>
            <w:r>
              <w:rPr>
                <w:rFonts w:ascii="Times New Roman" w:cs="Times New Roman" w:eastAsia="Times New Roman" w:hAnsi="Times New Roman"/>
                <w:sz w:val="15"/>
                <w:szCs w:val="15"/>
                <w:color w:val="auto"/>
              </w:rPr>
              <w:t>0.57</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60" w:type="dxa"/>
            <w:vAlign w:val="bottom"/>
            <w:tcBorders>
              <w:top w:val="single" w:sz="8" w:color="auto"/>
              <w:bottom w:val="single" w:sz="8" w:color="auto"/>
            </w:tcBorders>
            <w:shd w:val="clear" w:color="auto" w:fill="CCEEFF"/>
          </w:tcPr>
          <w:p>
            <w:pPr>
              <w:jc w:val="right"/>
              <w:ind w:right="44"/>
              <w:spacing w:after="0"/>
              <w:rPr>
                <w:sz w:val="20"/>
                <w:szCs w:val="20"/>
                <w:color w:val="auto"/>
              </w:rPr>
            </w:pPr>
            <w:r>
              <w:rPr>
                <w:rFonts w:ascii="Times New Roman" w:cs="Times New Roman" w:eastAsia="Times New Roman" w:hAnsi="Times New Roman"/>
                <w:sz w:val="15"/>
                <w:szCs w:val="15"/>
                <w:color w:val="auto"/>
              </w:rPr>
              <w:t>2.00</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64"/>
              <w:spacing w:after="0"/>
              <w:rPr>
                <w:sz w:val="20"/>
                <w:szCs w:val="20"/>
                <w:color w:val="auto"/>
              </w:rPr>
            </w:pPr>
            <w:r>
              <w:rPr>
                <w:rFonts w:ascii="Times New Roman" w:cs="Times New Roman" w:eastAsia="Times New Roman" w:hAnsi="Times New Roman"/>
                <w:sz w:val="15"/>
                <w:szCs w:val="15"/>
                <w:color w:val="auto"/>
              </w:rPr>
              <w:t>$</w:t>
            </w:r>
          </w:p>
        </w:tc>
        <w:tc>
          <w:tcPr>
            <w:tcW w:w="780" w:type="dxa"/>
            <w:vAlign w:val="bottom"/>
            <w:tcBorders>
              <w:top w:val="single" w:sz="8" w:color="auto"/>
              <w:bottom w:val="single" w:sz="8" w:color="auto"/>
            </w:tcBorders>
            <w:shd w:val="clear" w:color="auto" w:fill="CCEEFF"/>
          </w:tcPr>
          <w:p>
            <w:pPr>
              <w:jc w:val="right"/>
              <w:ind w:right="44"/>
              <w:spacing w:after="0"/>
              <w:rPr>
                <w:sz w:val="20"/>
                <w:szCs w:val="20"/>
                <w:color w:val="auto"/>
              </w:rPr>
            </w:pPr>
            <w:r>
              <w:rPr>
                <w:rFonts w:ascii="Times New Roman" w:cs="Times New Roman" w:eastAsia="Times New Roman" w:hAnsi="Times New Roman"/>
                <w:sz w:val="15"/>
                <w:szCs w:val="15"/>
                <w:color w:val="auto"/>
              </w:rPr>
              <w:t>1.67</w:t>
            </w:r>
          </w:p>
        </w:tc>
      </w:tr>
      <w:tr>
        <w:trPr>
          <w:trHeight w:val="20"/>
        </w:trPr>
        <w:tc>
          <w:tcPr>
            <w:tcW w:w="33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r>
      <w:tr>
        <w:trPr>
          <w:trHeight w:val="150"/>
        </w:trPr>
        <w:tc>
          <w:tcPr>
            <w:tcW w:w="33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80" w:type="dxa"/>
            <w:vAlign w:val="bottom"/>
          </w:tcPr>
          <w:p>
            <w:pPr>
              <w:spacing w:after="0"/>
              <w:rPr>
                <w:sz w:val="13"/>
                <w:szCs w:val="13"/>
                <w:color w:val="auto"/>
              </w:rPr>
            </w:pPr>
          </w:p>
        </w:tc>
      </w:tr>
      <w:tr>
        <w:trPr>
          <w:trHeight w:val="203"/>
        </w:trPr>
        <w:tc>
          <w:tcPr>
            <w:tcW w:w="3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Book value per common share reconciliation</w:t>
            </w:r>
          </w:p>
        </w:tc>
        <w:tc>
          <w:tcPr>
            <w:tcW w:w="2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r>
      <w:tr>
        <w:trPr>
          <w:trHeight w:val="200"/>
        </w:trPr>
        <w:tc>
          <w:tcPr>
            <w:tcW w:w="334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Book value per common share (GAAP)</w:t>
            </w:r>
          </w:p>
        </w:tc>
        <w:tc>
          <w:tcPr>
            <w:tcW w:w="24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760" w:type="dxa"/>
            <w:vAlign w:val="bottom"/>
          </w:tcPr>
          <w:p>
            <w:pPr>
              <w:jc w:val="right"/>
              <w:ind w:right="44"/>
              <w:spacing w:after="0"/>
              <w:rPr>
                <w:sz w:val="20"/>
                <w:szCs w:val="20"/>
                <w:color w:val="auto"/>
              </w:rPr>
            </w:pPr>
            <w:r>
              <w:rPr>
                <w:rFonts w:ascii="Times New Roman" w:cs="Times New Roman" w:eastAsia="Times New Roman" w:hAnsi="Times New Roman"/>
                <w:sz w:val="15"/>
                <w:szCs w:val="15"/>
                <w:color w:val="auto"/>
              </w:rPr>
              <w:t>29.44</w:t>
            </w:r>
          </w:p>
        </w:tc>
        <w:tc>
          <w:tcPr>
            <w:tcW w:w="140" w:type="dxa"/>
            <w:vAlign w:val="bottom"/>
          </w:tcPr>
          <w:p>
            <w:pPr>
              <w:spacing w:after="0"/>
              <w:rPr>
                <w:sz w:val="17"/>
                <w:szCs w:val="17"/>
                <w:color w:val="auto"/>
              </w:rPr>
            </w:pPr>
          </w:p>
        </w:tc>
        <w:tc>
          <w:tcPr>
            <w:tcW w:w="18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w:t>
            </w:r>
          </w:p>
        </w:tc>
        <w:tc>
          <w:tcPr>
            <w:tcW w:w="820" w:type="dxa"/>
            <w:vAlign w:val="bottom"/>
          </w:tcPr>
          <w:p>
            <w:pPr>
              <w:jc w:val="right"/>
              <w:ind w:right="44"/>
              <w:spacing w:after="0"/>
              <w:rPr>
                <w:sz w:val="20"/>
                <w:szCs w:val="20"/>
                <w:color w:val="auto"/>
              </w:rPr>
            </w:pPr>
            <w:r>
              <w:rPr>
                <w:rFonts w:ascii="Times New Roman" w:cs="Times New Roman" w:eastAsia="Times New Roman" w:hAnsi="Times New Roman"/>
                <w:sz w:val="15"/>
                <w:szCs w:val="15"/>
                <w:color w:val="auto"/>
              </w:rPr>
              <w:t>28.89</w:t>
            </w:r>
          </w:p>
        </w:tc>
        <w:tc>
          <w:tcPr>
            <w:tcW w:w="160" w:type="dxa"/>
            <w:vAlign w:val="bottom"/>
          </w:tcPr>
          <w:p>
            <w:pPr>
              <w:spacing w:after="0"/>
              <w:rPr>
                <w:sz w:val="17"/>
                <w:szCs w:val="17"/>
                <w:color w:val="auto"/>
              </w:rPr>
            </w:pPr>
          </w:p>
        </w:tc>
        <w:tc>
          <w:tcPr>
            <w:tcW w:w="240" w:type="dxa"/>
            <w:vAlign w:val="bottom"/>
          </w:tcPr>
          <w:p>
            <w:pPr>
              <w:jc w:val="right"/>
              <w:ind w:right="64"/>
              <w:spacing w:after="0"/>
              <w:rPr>
                <w:sz w:val="20"/>
                <w:szCs w:val="20"/>
                <w:color w:val="auto"/>
              </w:rPr>
            </w:pPr>
            <w:r>
              <w:rPr>
                <w:rFonts w:ascii="Times New Roman" w:cs="Times New Roman" w:eastAsia="Times New Roman" w:hAnsi="Times New Roman"/>
                <w:sz w:val="15"/>
                <w:szCs w:val="15"/>
                <w:color w:val="auto"/>
              </w:rPr>
              <w:t>$</w:t>
            </w:r>
          </w:p>
        </w:tc>
        <w:tc>
          <w:tcPr>
            <w:tcW w:w="760" w:type="dxa"/>
            <w:vAlign w:val="bottom"/>
          </w:tcPr>
          <w:p>
            <w:pPr>
              <w:jc w:val="right"/>
              <w:ind w:right="44"/>
              <w:spacing w:after="0"/>
              <w:rPr>
                <w:sz w:val="20"/>
                <w:szCs w:val="20"/>
                <w:color w:val="auto"/>
              </w:rPr>
            </w:pPr>
            <w:r>
              <w:rPr>
                <w:rFonts w:ascii="Times New Roman" w:cs="Times New Roman" w:eastAsia="Times New Roman" w:hAnsi="Times New Roman"/>
                <w:sz w:val="15"/>
                <w:szCs w:val="15"/>
                <w:color w:val="auto"/>
              </w:rPr>
              <w:t>28.42</w:t>
            </w:r>
          </w:p>
        </w:tc>
        <w:tc>
          <w:tcPr>
            <w:tcW w:w="14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40" w:type="dxa"/>
            <w:vAlign w:val="bottom"/>
          </w:tcPr>
          <w:p>
            <w:pPr>
              <w:jc w:val="right"/>
              <w:ind w:right="44"/>
              <w:spacing w:after="0"/>
              <w:rPr>
                <w:sz w:val="20"/>
                <w:szCs w:val="20"/>
                <w:color w:val="auto"/>
              </w:rPr>
            </w:pPr>
            <w:r>
              <w:rPr>
                <w:rFonts w:ascii="Times New Roman" w:cs="Times New Roman" w:eastAsia="Times New Roman" w:hAnsi="Times New Roman"/>
                <w:sz w:val="15"/>
                <w:szCs w:val="15"/>
                <w:color w:val="auto"/>
              </w:rPr>
              <w:t>27.87</w:t>
            </w:r>
          </w:p>
        </w:tc>
        <w:tc>
          <w:tcPr>
            <w:tcW w:w="160" w:type="dxa"/>
            <w:vAlign w:val="bottom"/>
          </w:tcPr>
          <w:p>
            <w:pPr>
              <w:spacing w:after="0"/>
              <w:rPr>
                <w:sz w:val="17"/>
                <w:szCs w:val="17"/>
                <w:color w:val="auto"/>
              </w:rPr>
            </w:pPr>
          </w:p>
        </w:tc>
        <w:tc>
          <w:tcPr>
            <w:tcW w:w="22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780" w:type="dxa"/>
            <w:vAlign w:val="bottom"/>
          </w:tcPr>
          <w:p>
            <w:pPr>
              <w:jc w:val="right"/>
              <w:ind w:right="64"/>
              <w:spacing w:after="0"/>
              <w:rPr>
                <w:sz w:val="20"/>
                <w:szCs w:val="20"/>
                <w:color w:val="auto"/>
              </w:rPr>
            </w:pPr>
            <w:r>
              <w:rPr>
                <w:rFonts w:ascii="Times New Roman" w:cs="Times New Roman" w:eastAsia="Times New Roman" w:hAnsi="Times New Roman"/>
                <w:sz w:val="15"/>
                <w:szCs w:val="15"/>
                <w:color w:val="auto"/>
              </w:rPr>
              <w:t>27.68</w:t>
            </w:r>
          </w:p>
        </w:tc>
        <w:tc>
          <w:tcPr>
            <w:tcW w:w="14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60" w:type="dxa"/>
            <w:vAlign w:val="bottom"/>
          </w:tcPr>
          <w:p>
            <w:pPr>
              <w:jc w:val="right"/>
              <w:ind w:right="44"/>
              <w:spacing w:after="0"/>
              <w:rPr>
                <w:sz w:val="20"/>
                <w:szCs w:val="20"/>
                <w:color w:val="auto"/>
              </w:rPr>
            </w:pPr>
            <w:r>
              <w:rPr>
                <w:rFonts w:ascii="Times New Roman" w:cs="Times New Roman" w:eastAsia="Times New Roman" w:hAnsi="Times New Roman"/>
                <w:sz w:val="15"/>
                <w:szCs w:val="15"/>
                <w:color w:val="auto"/>
              </w:rPr>
              <w:t>29.44</w:t>
            </w:r>
          </w:p>
        </w:tc>
        <w:tc>
          <w:tcPr>
            <w:tcW w:w="140" w:type="dxa"/>
            <w:vAlign w:val="bottom"/>
          </w:tcPr>
          <w:p>
            <w:pPr>
              <w:spacing w:after="0"/>
              <w:rPr>
                <w:sz w:val="17"/>
                <w:szCs w:val="17"/>
                <w:color w:val="auto"/>
              </w:rPr>
            </w:pPr>
          </w:p>
        </w:tc>
        <w:tc>
          <w:tcPr>
            <w:tcW w:w="240" w:type="dxa"/>
            <w:vAlign w:val="bottom"/>
          </w:tcPr>
          <w:p>
            <w:pPr>
              <w:jc w:val="right"/>
              <w:ind w:right="64"/>
              <w:spacing w:after="0"/>
              <w:rPr>
                <w:sz w:val="20"/>
                <w:szCs w:val="20"/>
                <w:color w:val="auto"/>
              </w:rPr>
            </w:pPr>
            <w:r>
              <w:rPr>
                <w:rFonts w:ascii="Times New Roman" w:cs="Times New Roman" w:eastAsia="Times New Roman" w:hAnsi="Times New Roman"/>
                <w:sz w:val="15"/>
                <w:szCs w:val="15"/>
                <w:color w:val="auto"/>
              </w:rPr>
              <w:t>$</w:t>
            </w:r>
          </w:p>
        </w:tc>
        <w:tc>
          <w:tcPr>
            <w:tcW w:w="780" w:type="dxa"/>
            <w:vAlign w:val="bottom"/>
          </w:tcPr>
          <w:p>
            <w:pPr>
              <w:jc w:val="right"/>
              <w:ind w:right="44"/>
              <w:spacing w:after="0"/>
              <w:rPr>
                <w:sz w:val="20"/>
                <w:szCs w:val="20"/>
                <w:color w:val="auto"/>
              </w:rPr>
            </w:pPr>
            <w:r>
              <w:rPr>
                <w:rFonts w:ascii="Times New Roman" w:cs="Times New Roman" w:eastAsia="Times New Roman" w:hAnsi="Times New Roman"/>
                <w:sz w:val="15"/>
                <w:szCs w:val="15"/>
                <w:color w:val="auto"/>
              </w:rPr>
              <w:t>27.68</w:t>
            </w:r>
          </w:p>
        </w:tc>
      </w:tr>
      <w:tr>
        <w:trPr>
          <w:trHeight w:val="203"/>
        </w:trPr>
        <w:tc>
          <w:tcPr>
            <w:tcW w:w="3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Effect of goodwill and other intangibles</w:t>
            </w:r>
          </w:p>
        </w:tc>
        <w:tc>
          <w:tcPr>
            <w:tcW w:w="24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ind w:right="44"/>
              <w:spacing w:after="0"/>
              <w:rPr>
                <w:sz w:val="20"/>
                <w:szCs w:val="20"/>
                <w:color w:val="auto"/>
              </w:rPr>
            </w:pPr>
            <w:r>
              <w:rPr>
                <w:rFonts w:ascii="Times New Roman" w:cs="Times New Roman" w:eastAsia="Times New Roman" w:hAnsi="Times New Roman"/>
                <w:sz w:val="15"/>
                <w:szCs w:val="15"/>
                <w:color w:val="auto"/>
              </w:rPr>
              <w:t>(7.85)</w:t>
            </w:r>
          </w:p>
        </w:tc>
        <w:tc>
          <w:tcPr>
            <w:tcW w:w="14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ind w:right="44"/>
              <w:spacing w:after="0"/>
              <w:rPr>
                <w:sz w:val="20"/>
                <w:szCs w:val="20"/>
                <w:color w:val="auto"/>
              </w:rPr>
            </w:pPr>
            <w:r>
              <w:rPr>
                <w:rFonts w:ascii="Times New Roman" w:cs="Times New Roman" w:eastAsia="Times New Roman" w:hAnsi="Times New Roman"/>
                <w:sz w:val="15"/>
                <w:szCs w:val="15"/>
                <w:color w:val="auto"/>
              </w:rPr>
              <w:t>(7.89)</w:t>
            </w:r>
          </w:p>
        </w:tc>
        <w:tc>
          <w:tcPr>
            <w:tcW w:w="16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ind w:right="44"/>
              <w:spacing w:after="0"/>
              <w:rPr>
                <w:sz w:val="20"/>
                <w:szCs w:val="20"/>
                <w:color w:val="auto"/>
              </w:rPr>
            </w:pPr>
            <w:r>
              <w:rPr>
                <w:rFonts w:ascii="Times New Roman" w:cs="Times New Roman" w:eastAsia="Times New Roman" w:hAnsi="Times New Roman"/>
                <w:sz w:val="15"/>
                <w:szCs w:val="15"/>
                <w:color w:val="auto"/>
              </w:rPr>
              <w:t>(7.84)</w:t>
            </w:r>
          </w:p>
        </w:tc>
        <w:tc>
          <w:tcPr>
            <w:tcW w:w="14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ind w:right="44"/>
              <w:spacing w:after="0"/>
              <w:rPr>
                <w:sz w:val="20"/>
                <w:szCs w:val="20"/>
                <w:color w:val="auto"/>
              </w:rPr>
            </w:pPr>
            <w:r>
              <w:rPr>
                <w:rFonts w:ascii="Times New Roman" w:cs="Times New Roman" w:eastAsia="Times New Roman" w:hAnsi="Times New Roman"/>
                <w:sz w:val="15"/>
                <w:szCs w:val="15"/>
                <w:color w:val="auto"/>
              </w:rPr>
              <w:t>(7.87)</w:t>
            </w:r>
          </w:p>
        </w:tc>
        <w:tc>
          <w:tcPr>
            <w:tcW w:w="16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ind w:right="64"/>
              <w:spacing w:after="0"/>
              <w:rPr>
                <w:sz w:val="20"/>
                <w:szCs w:val="20"/>
                <w:color w:val="auto"/>
              </w:rPr>
            </w:pPr>
            <w:r>
              <w:rPr>
                <w:rFonts w:ascii="Times New Roman" w:cs="Times New Roman" w:eastAsia="Times New Roman" w:hAnsi="Times New Roman"/>
                <w:sz w:val="15"/>
                <w:szCs w:val="15"/>
                <w:color w:val="auto"/>
              </w:rPr>
              <w:t>(8.02)</w:t>
            </w:r>
          </w:p>
        </w:tc>
        <w:tc>
          <w:tcPr>
            <w:tcW w:w="14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ind w:right="44"/>
              <w:spacing w:after="0"/>
              <w:rPr>
                <w:sz w:val="20"/>
                <w:szCs w:val="20"/>
                <w:color w:val="auto"/>
              </w:rPr>
            </w:pPr>
            <w:r>
              <w:rPr>
                <w:rFonts w:ascii="Times New Roman" w:cs="Times New Roman" w:eastAsia="Times New Roman" w:hAnsi="Times New Roman"/>
                <w:sz w:val="15"/>
                <w:szCs w:val="15"/>
                <w:color w:val="auto"/>
              </w:rPr>
              <w:t>(7.85)</w:t>
            </w:r>
          </w:p>
        </w:tc>
        <w:tc>
          <w:tcPr>
            <w:tcW w:w="14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ind w:right="44"/>
              <w:spacing w:after="0"/>
              <w:rPr>
                <w:sz w:val="20"/>
                <w:szCs w:val="20"/>
                <w:color w:val="auto"/>
              </w:rPr>
            </w:pPr>
            <w:r>
              <w:rPr>
                <w:rFonts w:ascii="Times New Roman" w:cs="Times New Roman" w:eastAsia="Times New Roman" w:hAnsi="Times New Roman"/>
                <w:sz w:val="15"/>
                <w:szCs w:val="15"/>
                <w:color w:val="auto"/>
              </w:rPr>
              <w:t>(8.02)</w:t>
            </w:r>
          </w:p>
        </w:tc>
      </w:tr>
      <w:tr>
        <w:trPr>
          <w:trHeight w:val="198"/>
        </w:trPr>
        <w:tc>
          <w:tcPr>
            <w:tcW w:w="334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Tangible book value per common share</w:t>
            </w:r>
          </w:p>
        </w:tc>
        <w:tc>
          <w:tcPr>
            <w:tcW w:w="2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760" w:type="dxa"/>
            <w:vAlign w:val="bottom"/>
            <w:tcBorders>
              <w:bottom w:val="single" w:sz="8" w:color="auto"/>
            </w:tcBorders>
          </w:tcPr>
          <w:p>
            <w:pPr>
              <w:jc w:val="right"/>
              <w:ind w:right="44"/>
              <w:spacing w:after="0"/>
              <w:rPr>
                <w:sz w:val="20"/>
                <w:szCs w:val="20"/>
                <w:color w:val="auto"/>
              </w:rPr>
            </w:pPr>
            <w:r>
              <w:rPr>
                <w:rFonts w:ascii="Times New Roman" w:cs="Times New Roman" w:eastAsia="Times New Roman" w:hAnsi="Times New Roman"/>
                <w:sz w:val="15"/>
                <w:szCs w:val="15"/>
                <w:color w:val="auto"/>
              </w:rPr>
              <w:t>21.59</w:t>
            </w:r>
          </w:p>
        </w:tc>
        <w:tc>
          <w:tcPr>
            <w:tcW w:w="140" w:type="dxa"/>
            <w:vAlign w:val="bottom"/>
          </w:tcPr>
          <w:p>
            <w:pPr>
              <w:spacing w:after="0"/>
              <w:rPr>
                <w:sz w:val="17"/>
                <w:szCs w:val="17"/>
                <w:color w:val="auto"/>
              </w:rPr>
            </w:pPr>
          </w:p>
        </w:tc>
        <w:tc>
          <w:tcPr>
            <w:tcW w:w="180" w:type="dxa"/>
            <w:vAlign w:val="bottom"/>
            <w:tcBorders>
              <w:bottom w:val="single" w:sz="8" w:color="auto"/>
            </w:tcBorders>
          </w:tcPr>
          <w:p>
            <w:pPr>
              <w:jc w:val="right"/>
              <w:ind w:right="4"/>
              <w:spacing w:after="0"/>
              <w:rPr>
                <w:sz w:val="20"/>
                <w:szCs w:val="20"/>
                <w:color w:val="auto"/>
              </w:rPr>
            </w:pPr>
            <w:r>
              <w:rPr>
                <w:rFonts w:ascii="Times New Roman" w:cs="Times New Roman" w:eastAsia="Times New Roman" w:hAnsi="Times New Roman"/>
                <w:sz w:val="15"/>
                <w:szCs w:val="15"/>
                <w:color w:val="auto"/>
              </w:rPr>
              <w:t>$</w:t>
            </w:r>
          </w:p>
        </w:tc>
        <w:tc>
          <w:tcPr>
            <w:tcW w:w="820" w:type="dxa"/>
            <w:vAlign w:val="bottom"/>
            <w:tcBorders>
              <w:bottom w:val="single" w:sz="8" w:color="auto"/>
            </w:tcBorders>
          </w:tcPr>
          <w:p>
            <w:pPr>
              <w:jc w:val="right"/>
              <w:ind w:right="44"/>
              <w:spacing w:after="0"/>
              <w:rPr>
                <w:sz w:val="20"/>
                <w:szCs w:val="20"/>
                <w:color w:val="auto"/>
              </w:rPr>
            </w:pPr>
            <w:r>
              <w:rPr>
                <w:rFonts w:ascii="Times New Roman" w:cs="Times New Roman" w:eastAsia="Times New Roman" w:hAnsi="Times New Roman"/>
                <w:sz w:val="15"/>
                <w:szCs w:val="15"/>
                <w:color w:val="auto"/>
              </w:rPr>
              <w:t>21.00</w:t>
            </w:r>
          </w:p>
        </w:tc>
        <w:tc>
          <w:tcPr>
            <w:tcW w:w="160" w:type="dxa"/>
            <w:vAlign w:val="bottom"/>
          </w:tcPr>
          <w:p>
            <w:pPr>
              <w:spacing w:after="0"/>
              <w:rPr>
                <w:sz w:val="17"/>
                <w:szCs w:val="17"/>
                <w:color w:val="auto"/>
              </w:rPr>
            </w:pPr>
          </w:p>
        </w:tc>
        <w:tc>
          <w:tcPr>
            <w:tcW w:w="240" w:type="dxa"/>
            <w:vAlign w:val="bottom"/>
            <w:tcBorders>
              <w:bottom w:val="single" w:sz="8" w:color="auto"/>
            </w:tcBorders>
          </w:tcPr>
          <w:p>
            <w:pPr>
              <w:jc w:val="right"/>
              <w:ind w:right="64"/>
              <w:spacing w:after="0"/>
              <w:rPr>
                <w:sz w:val="20"/>
                <w:szCs w:val="20"/>
                <w:color w:val="auto"/>
              </w:rPr>
            </w:pPr>
            <w:r>
              <w:rPr>
                <w:rFonts w:ascii="Times New Roman" w:cs="Times New Roman" w:eastAsia="Times New Roman" w:hAnsi="Times New Roman"/>
                <w:sz w:val="15"/>
                <w:szCs w:val="15"/>
                <w:color w:val="auto"/>
              </w:rPr>
              <w:t>$</w:t>
            </w:r>
          </w:p>
        </w:tc>
        <w:tc>
          <w:tcPr>
            <w:tcW w:w="760" w:type="dxa"/>
            <w:vAlign w:val="bottom"/>
            <w:tcBorders>
              <w:bottom w:val="single" w:sz="8" w:color="auto"/>
            </w:tcBorders>
          </w:tcPr>
          <w:p>
            <w:pPr>
              <w:jc w:val="right"/>
              <w:ind w:right="44"/>
              <w:spacing w:after="0"/>
              <w:rPr>
                <w:sz w:val="20"/>
                <w:szCs w:val="20"/>
                <w:color w:val="auto"/>
              </w:rPr>
            </w:pPr>
            <w:r>
              <w:rPr>
                <w:rFonts w:ascii="Times New Roman" w:cs="Times New Roman" w:eastAsia="Times New Roman" w:hAnsi="Times New Roman"/>
                <w:sz w:val="15"/>
                <w:szCs w:val="15"/>
                <w:color w:val="auto"/>
              </w:rPr>
              <w:t>20.58</w:t>
            </w:r>
          </w:p>
        </w:tc>
        <w:tc>
          <w:tcPr>
            <w:tcW w:w="140" w:type="dxa"/>
            <w:vAlign w:val="bottom"/>
          </w:tcPr>
          <w:p>
            <w:pPr>
              <w:spacing w:after="0"/>
              <w:rPr>
                <w:sz w:val="17"/>
                <w:szCs w:val="17"/>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40" w:type="dxa"/>
            <w:vAlign w:val="bottom"/>
            <w:tcBorders>
              <w:bottom w:val="single" w:sz="8" w:color="auto"/>
            </w:tcBorders>
          </w:tcPr>
          <w:p>
            <w:pPr>
              <w:jc w:val="right"/>
              <w:ind w:right="44"/>
              <w:spacing w:after="0"/>
              <w:rPr>
                <w:sz w:val="20"/>
                <w:szCs w:val="20"/>
                <w:color w:val="auto"/>
              </w:rPr>
            </w:pPr>
            <w:r>
              <w:rPr>
                <w:rFonts w:ascii="Times New Roman" w:cs="Times New Roman" w:eastAsia="Times New Roman" w:hAnsi="Times New Roman"/>
                <w:sz w:val="15"/>
                <w:szCs w:val="15"/>
                <w:color w:val="auto"/>
              </w:rPr>
              <w:t>20.00</w:t>
            </w:r>
          </w:p>
        </w:tc>
        <w:tc>
          <w:tcPr>
            <w:tcW w:w="160" w:type="dxa"/>
            <w:vAlign w:val="bottom"/>
          </w:tcPr>
          <w:p>
            <w:pPr>
              <w:spacing w:after="0"/>
              <w:rPr>
                <w:sz w:val="17"/>
                <w:szCs w:val="17"/>
                <w:color w:val="auto"/>
              </w:rPr>
            </w:pPr>
          </w:p>
        </w:tc>
        <w:tc>
          <w:tcPr>
            <w:tcW w:w="2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780" w:type="dxa"/>
            <w:vAlign w:val="bottom"/>
            <w:tcBorders>
              <w:bottom w:val="single" w:sz="8" w:color="auto"/>
            </w:tcBorders>
          </w:tcPr>
          <w:p>
            <w:pPr>
              <w:jc w:val="right"/>
              <w:ind w:right="64"/>
              <w:spacing w:after="0"/>
              <w:rPr>
                <w:sz w:val="20"/>
                <w:szCs w:val="20"/>
                <w:color w:val="auto"/>
              </w:rPr>
            </w:pPr>
            <w:r>
              <w:rPr>
                <w:rFonts w:ascii="Times New Roman" w:cs="Times New Roman" w:eastAsia="Times New Roman" w:hAnsi="Times New Roman"/>
                <w:sz w:val="15"/>
                <w:szCs w:val="15"/>
                <w:color w:val="auto"/>
              </w:rPr>
              <w:t>19.66</w:t>
            </w:r>
          </w:p>
        </w:tc>
        <w:tc>
          <w:tcPr>
            <w:tcW w:w="140" w:type="dxa"/>
            <w:vAlign w:val="bottom"/>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60" w:type="dxa"/>
            <w:vAlign w:val="bottom"/>
            <w:tcBorders>
              <w:bottom w:val="single" w:sz="8" w:color="auto"/>
            </w:tcBorders>
          </w:tcPr>
          <w:p>
            <w:pPr>
              <w:jc w:val="right"/>
              <w:ind w:right="44"/>
              <w:spacing w:after="0"/>
              <w:rPr>
                <w:sz w:val="20"/>
                <w:szCs w:val="20"/>
                <w:color w:val="auto"/>
              </w:rPr>
            </w:pPr>
            <w:r>
              <w:rPr>
                <w:rFonts w:ascii="Times New Roman" w:cs="Times New Roman" w:eastAsia="Times New Roman" w:hAnsi="Times New Roman"/>
                <w:sz w:val="15"/>
                <w:szCs w:val="15"/>
                <w:color w:val="auto"/>
              </w:rPr>
              <w:t>21.59</w:t>
            </w:r>
          </w:p>
        </w:tc>
        <w:tc>
          <w:tcPr>
            <w:tcW w:w="140" w:type="dxa"/>
            <w:vAlign w:val="bottom"/>
          </w:tcPr>
          <w:p>
            <w:pPr>
              <w:spacing w:after="0"/>
              <w:rPr>
                <w:sz w:val="17"/>
                <w:szCs w:val="17"/>
                <w:color w:val="auto"/>
              </w:rPr>
            </w:pPr>
          </w:p>
        </w:tc>
        <w:tc>
          <w:tcPr>
            <w:tcW w:w="240" w:type="dxa"/>
            <w:vAlign w:val="bottom"/>
            <w:tcBorders>
              <w:bottom w:val="single" w:sz="8" w:color="auto"/>
            </w:tcBorders>
          </w:tcPr>
          <w:p>
            <w:pPr>
              <w:jc w:val="right"/>
              <w:ind w:right="64"/>
              <w:spacing w:after="0"/>
              <w:rPr>
                <w:sz w:val="20"/>
                <w:szCs w:val="20"/>
                <w:color w:val="auto"/>
              </w:rPr>
            </w:pPr>
            <w:r>
              <w:rPr>
                <w:rFonts w:ascii="Times New Roman" w:cs="Times New Roman" w:eastAsia="Times New Roman" w:hAnsi="Times New Roman"/>
                <w:sz w:val="15"/>
                <w:szCs w:val="15"/>
                <w:color w:val="auto"/>
              </w:rPr>
              <w:t>$</w:t>
            </w:r>
          </w:p>
        </w:tc>
        <w:tc>
          <w:tcPr>
            <w:tcW w:w="780" w:type="dxa"/>
            <w:vAlign w:val="bottom"/>
            <w:tcBorders>
              <w:bottom w:val="single" w:sz="8" w:color="auto"/>
            </w:tcBorders>
          </w:tcPr>
          <w:p>
            <w:pPr>
              <w:jc w:val="right"/>
              <w:ind w:right="44"/>
              <w:spacing w:after="0"/>
              <w:rPr>
                <w:sz w:val="20"/>
                <w:szCs w:val="20"/>
                <w:color w:val="auto"/>
              </w:rPr>
            </w:pPr>
            <w:r>
              <w:rPr>
                <w:rFonts w:ascii="Times New Roman" w:cs="Times New Roman" w:eastAsia="Times New Roman" w:hAnsi="Times New Roman"/>
                <w:sz w:val="15"/>
                <w:szCs w:val="15"/>
                <w:color w:val="auto"/>
              </w:rPr>
              <w:t>19.66</w:t>
            </w:r>
          </w:p>
        </w:tc>
      </w:tr>
      <w:tr>
        <w:trPr>
          <w:trHeight w:val="20"/>
        </w:trPr>
        <w:tc>
          <w:tcPr>
            <w:tcW w:w="334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r>
        <w:trPr>
          <w:trHeight w:val="170"/>
        </w:trPr>
        <w:tc>
          <w:tcPr>
            <w:tcW w:w="33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r>
      <w:tr>
        <w:trPr>
          <w:trHeight w:val="148"/>
        </w:trPr>
        <w:tc>
          <w:tcPr>
            <w:tcW w:w="3340" w:type="dxa"/>
            <w:vAlign w:val="bottom"/>
          </w:tcPr>
          <w:p>
            <w:pPr>
              <w:ind w:left="20"/>
              <w:spacing w:after="0" w:line="149" w:lineRule="exact"/>
              <w:rPr>
                <w:sz w:val="20"/>
                <w:szCs w:val="20"/>
                <w:color w:val="auto"/>
              </w:rPr>
            </w:pPr>
            <w:r>
              <w:rPr>
                <w:rFonts w:ascii="Times New Roman" w:cs="Times New Roman" w:eastAsia="Times New Roman" w:hAnsi="Times New Roman"/>
                <w:sz w:val="15"/>
                <w:szCs w:val="15"/>
                <w:b w:val="1"/>
                <w:bCs w:val="1"/>
                <w:color w:val="auto"/>
              </w:rPr>
              <w:t>Return on tangible common equity</w:t>
            </w:r>
          </w:p>
        </w:tc>
        <w:tc>
          <w:tcPr>
            <w:tcW w:w="2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tcPr>
          <w:p>
            <w:pPr>
              <w:spacing w:after="0"/>
              <w:rPr>
                <w:sz w:val="12"/>
                <w:szCs w:val="12"/>
                <w:color w:val="auto"/>
              </w:rPr>
            </w:pPr>
          </w:p>
        </w:tc>
      </w:tr>
      <w:tr>
        <w:trPr>
          <w:trHeight w:val="209"/>
        </w:trPr>
        <w:tc>
          <w:tcPr>
            <w:tcW w:w="3340" w:type="dxa"/>
            <w:vAlign w:val="bottom"/>
          </w:tcPr>
          <w:p>
            <w:pPr>
              <w:ind w:left="20"/>
              <w:spacing w:after="0"/>
              <w:rPr>
                <w:sz w:val="20"/>
                <w:szCs w:val="20"/>
                <w:color w:val="auto"/>
              </w:rPr>
            </w:pPr>
            <w:r>
              <w:rPr>
                <w:rFonts w:ascii="Times New Roman" w:cs="Times New Roman" w:eastAsia="Times New Roman" w:hAnsi="Times New Roman"/>
                <w:sz w:val="15"/>
                <w:szCs w:val="15"/>
                <w:b w:val="1"/>
                <w:bCs w:val="1"/>
                <w:color w:val="auto"/>
              </w:rPr>
              <w:t>reconciliation</w:t>
            </w: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r>
      <w:tr>
        <w:trPr>
          <w:trHeight w:val="209"/>
        </w:trPr>
        <w:tc>
          <w:tcPr>
            <w:tcW w:w="3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Return on common equity (GAAP)</w:t>
            </w: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9.20 %</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8.45 %</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7.89 %</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8.40 %</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5.20 %</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8.53 %</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6.61 %</w:t>
            </w:r>
          </w:p>
        </w:tc>
      </w:tr>
      <w:tr>
        <w:trPr>
          <w:trHeight w:val="200"/>
        </w:trPr>
        <w:tc>
          <w:tcPr>
            <w:tcW w:w="334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Loss on sale of manufactured housing loans</w:t>
            </w:r>
          </w:p>
        </w:tc>
        <w:tc>
          <w:tcPr>
            <w:tcW w:w="240" w:type="dxa"/>
            <w:vAlign w:val="bottom"/>
          </w:tcPr>
          <w:p>
            <w:pPr>
              <w:spacing w:after="0"/>
              <w:rPr>
                <w:sz w:val="17"/>
                <w:szCs w:val="17"/>
                <w:color w:val="auto"/>
              </w:rPr>
            </w:pPr>
          </w:p>
        </w:tc>
        <w:tc>
          <w:tcPr>
            <w:tcW w:w="900" w:type="dxa"/>
            <w:vAlign w:val="bottom"/>
            <w:gridSpan w:val="2"/>
          </w:tcPr>
          <w:p>
            <w:pPr>
              <w:jc w:val="right"/>
              <w:ind w:right="320"/>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Pr>
          <w:p>
            <w:pPr>
              <w:spacing w:after="0"/>
              <w:rPr>
                <w:sz w:val="17"/>
                <w:szCs w:val="17"/>
                <w:color w:val="auto"/>
              </w:rPr>
            </w:pPr>
          </w:p>
        </w:tc>
        <w:tc>
          <w:tcPr>
            <w:tcW w:w="980" w:type="dxa"/>
            <w:vAlign w:val="bottom"/>
            <w:gridSpan w:val="2"/>
          </w:tcPr>
          <w:p>
            <w:pPr>
              <w:jc w:val="right"/>
              <w:ind w:right="340"/>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tcPr>
          <w:p>
            <w:pPr>
              <w:spacing w:after="0"/>
              <w:rPr>
                <w:sz w:val="17"/>
                <w:szCs w:val="17"/>
                <w:color w:val="auto"/>
              </w:rPr>
            </w:pPr>
          </w:p>
        </w:tc>
        <w:tc>
          <w:tcPr>
            <w:tcW w:w="900" w:type="dxa"/>
            <w:vAlign w:val="bottom"/>
            <w:gridSpan w:val="2"/>
          </w:tcPr>
          <w:p>
            <w:pPr>
              <w:jc w:val="right"/>
              <w:ind w:right="34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Pr>
          <w:p>
            <w:pPr>
              <w:spacing w:after="0"/>
              <w:rPr>
                <w:sz w:val="17"/>
                <w:szCs w:val="17"/>
                <w:color w:val="auto"/>
              </w:rPr>
            </w:pPr>
          </w:p>
        </w:tc>
        <w:tc>
          <w:tcPr>
            <w:tcW w:w="1000" w:type="dxa"/>
            <w:vAlign w:val="bottom"/>
            <w:gridSpan w:val="2"/>
          </w:tcPr>
          <w:p>
            <w:pPr>
              <w:jc w:val="right"/>
              <w:ind w:right="340"/>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tcPr>
          <w:p>
            <w:pPr>
              <w:spacing w:after="0"/>
              <w:rPr>
                <w:sz w:val="17"/>
                <w:szCs w:val="17"/>
                <w:color w:val="auto"/>
              </w:rPr>
            </w:pPr>
          </w:p>
        </w:tc>
        <w:tc>
          <w:tcPr>
            <w:tcW w:w="780" w:type="dxa"/>
            <w:vAlign w:val="bottom"/>
          </w:tcPr>
          <w:p>
            <w:pPr>
              <w:jc w:val="right"/>
              <w:ind w:right="124"/>
              <w:spacing w:after="0"/>
              <w:rPr>
                <w:sz w:val="20"/>
                <w:szCs w:val="20"/>
                <w:color w:val="auto"/>
              </w:rPr>
            </w:pPr>
            <w:r>
              <w:rPr>
                <w:rFonts w:ascii="Times New Roman" w:cs="Times New Roman" w:eastAsia="Times New Roman" w:hAnsi="Times New Roman"/>
                <w:sz w:val="15"/>
                <w:szCs w:val="15"/>
                <w:color w:val="auto"/>
              </w:rPr>
              <w:t>2.43</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gridSpan w:val="2"/>
          </w:tcPr>
          <w:p>
            <w:pPr>
              <w:jc w:val="right"/>
              <w:ind w:right="320"/>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tcPr>
          <w:p>
            <w:pPr>
              <w:spacing w:after="0"/>
              <w:rPr>
                <w:sz w:val="17"/>
                <w:szCs w:val="17"/>
                <w:color w:val="auto"/>
              </w:rPr>
            </w:pPr>
          </w:p>
        </w:tc>
        <w:tc>
          <w:tcPr>
            <w:tcW w:w="780" w:type="dxa"/>
            <w:vAlign w:val="bottom"/>
          </w:tcPr>
          <w:p>
            <w:pPr>
              <w:jc w:val="right"/>
              <w:ind w:right="104"/>
              <w:spacing w:after="0"/>
              <w:rPr>
                <w:sz w:val="20"/>
                <w:szCs w:val="20"/>
                <w:color w:val="auto"/>
              </w:rPr>
            </w:pPr>
            <w:r>
              <w:rPr>
                <w:rFonts w:ascii="Times New Roman" w:cs="Times New Roman" w:eastAsia="Times New Roman" w:hAnsi="Times New Roman"/>
                <w:sz w:val="15"/>
                <w:szCs w:val="15"/>
                <w:color w:val="auto"/>
              </w:rPr>
              <w:t>0.82</w:t>
            </w:r>
          </w:p>
        </w:tc>
      </w:tr>
      <w:tr>
        <w:trPr>
          <w:trHeight w:val="205"/>
        </w:trPr>
        <w:tc>
          <w:tcPr>
            <w:tcW w:w="3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Gain on lease termination</w:t>
            </w:r>
          </w:p>
        </w:tc>
        <w:tc>
          <w:tcPr>
            <w:tcW w:w="24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shd w:val="clear" w:color="auto" w:fill="CCEEFF"/>
          </w:tcPr>
          <w:p>
            <w:pPr>
              <w:spacing w:after="0"/>
              <w:rPr>
                <w:sz w:val="17"/>
                <w:szCs w:val="17"/>
                <w:color w:val="auto"/>
              </w:rPr>
            </w:pPr>
          </w:p>
        </w:tc>
        <w:tc>
          <w:tcPr>
            <w:tcW w:w="780" w:type="dxa"/>
            <w:vAlign w:val="bottom"/>
            <w:shd w:val="clear" w:color="auto" w:fill="CCEEFF"/>
          </w:tcPr>
          <w:p>
            <w:pPr>
              <w:jc w:val="right"/>
              <w:ind w:right="64"/>
              <w:spacing w:after="0"/>
              <w:rPr>
                <w:sz w:val="20"/>
                <w:szCs w:val="20"/>
                <w:color w:val="auto"/>
              </w:rPr>
            </w:pPr>
            <w:r>
              <w:rPr>
                <w:rFonts w:ascii="Times New Roman" w:cs="Times New Roman" w:eastAsia="Times New Roman" w:hAnsi="Times New Roman"/>
                <w:sz w:val="15"/>
                <w:szCs w:val="15"/>
                <w:color w:val="auto"/>
              </w:rPr>
              <w:t>(0.07)</w:t>
            </w:r>
          </w:p>
        </w:tc>
      </w:tr>
      <w:tr>
        <w:trPr>
          <w:trHeight w:val="148"/>
        </w:trPr>
        <w:tc>
          <w:tcPr>
            <w:tcW w:w="3340" w:type="dxa"/>
            <w:vAlign w:val="bottom"/>
          </w:tcPr>
          <w:p>
            <w:pPr>
              <w:ind w:left="20"/>
              <w:spacing w:after="0" w:line="149" w:lineRule="exact"/>
              <w:rPr>
                <w:sz w:val="20"/>
                <w:szCs w:val="20"/>
                <w:color w:val="auto"/>
              </w:rPr>
            </w:pPr>
            <w:r>
              <w:rPr>
                <w:rFonts w:ascii="Times New Roman" w:cs="Times New Roman" w:eastAsia="Times New Roman" w:hAnsi="Times New Roman"/>
                <w:sz w:val="15"/>
                <w:szCs w:val="15"/>
                <w:color w:val="auto"/>
              </w:rPr>
              <w:t>Loss on sale of FinTrust, including goodwill</w:t>
            </w:r>
          </w:p>
        </w:tc>
        <w:tc>
          <w:tcPr>
            <w:tcW w:w="2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tcPr>
          <w:p>
            <w:pPr>
              <w:spacing w:after="0"/>
              <w:rPr>
                <w:sz w:val="12"/>
                <w:szCs w:val="12"/>
                <w:color w:val="auto"/>
              </w:rPr>
            </w:pPr>
          </w:p>
        </w:tc>
      </w:tr>
      <w:tr>
        <w:trPr>
          <w:trHeight w:val="212"/>
        </w:trPr>
        <w:tc>
          <w:tcPr>
            <w:tcW w:w="334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impairment</w:t>
            </w:r>
          </w:p>
        </w:tc>
        <w:tc>
          <w:tcPr>
            <w:tcW w:w="240" w:type="dxa"/>
            <w:vAlign w:val="bottom"/>
          </w:tcPr>
          <w:p>
            <w:pPr>
              <w:spacing w:after="0"/>
              <w:rPr>
                <w:sz w:val="18"/>
                <w:szCs w:val="18"/>
                <w:color w:val="auto"/>
              </w:rPr>
            </w:pPr>
          </w:p>
        </w:tc>
        <w:tc>
          <w:tcPr>
            <w:tcW w:w="900" w:type="dxa"/>
            <w:vAlign w:val="bottom"/>
            <w:gridSpan w:val="2"/>
          </w:tcPr>
          <w:p>
            <w:pPr>
              <w:jc w:val="right"/>
              <w:ind w:right="320"/>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Pr>
          <w:p>
            <w:pPr>
              <w:spacing w:after="0"/>
              <w:rPr>
                <w:sz w:val="18"/>
                <w:szCs w:val="18"/>
                <w:color w:val="auto"/>
              </w:rPr>
            </w:pPr>
          </w:p>
        </w:tc>
        <w:tc>
          <w:tcPr>
            <w:tcW w:w="980" w:type="dxa"/>
            <w:vAlign w:val="bottom"/>
            <w:gridSpan w:val="2"/>
          </w:tcPr>
          <w:p>
            <w:pPr>
              <w:jc w:val="right"/>
              <w:ind w:right="340"/>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tcPr>
          <w:p>
            <w:pPr>
              <w:spacing w:after="0"/>
              <w:rPr>
                <w:sz w:val="18"/>
                <w:szCs w:val="18"/>
                <w:color w:val="auto"/>
              </w:rPr>
            </w:pPr>
          </w:p>
        </w:tc>
        <w:tc>
          <w:tcPr>
            <w:tcW w:w="900" w:type="dxa"/>
            <w:vAlign w:val="bottom"/>
            <w:gridSpan w:val="2"/>
          </w:tcPr>
          <w:p>
            <w:pPr>
              <w:jc w:val="right"/>
              <w:ind w:right="34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Pr>
          <w:p>
            <w:pPr>
              <w:spacing w:after="0"/>
              <w:rPr>
                <w:sz w:val="18"/>
                <w:szCs w:val="18"/>
                <w:color w:val="auto"/>
              </w:rPr>
            </w:pPr>
          </w:p>
        </w:tc>
        <w:tc>
          <w:tcPr>
            <w:tcW w:w="1000" w:type="dxa"/>
            <w:vAlign w:val="bottom"/>
            <w:gridSpan w:val="2"/>
          </w:tcPr>
          <w:p>
            <w:pPr>
              <w:jc w:val="right"/>
              <w:ind w:right="340"/>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tcPr>
          <w:p>
            <w:pPr>
              <w:spacing w:after="0"/>
              <w:rPr>
                <w:sz w:val="18"/>
                <w:szCs w:val="18"/>
                <w:color w:val="auto"/>
              </w:rPr>
            </w:pPr>
          </w:p>
        </w:tc>
        <w:tc>
          <w:tcPr>
            <w:tcW w:w="920" w:type="dxa"/>
            <w:vAlign w:val="bottom"/>
            <w:gridSpan w:val="2"/>
          </w:tcPr>
          <w:p>
            <w:pPr>
              <w:jc w:val="right"/>
              <w:ind w:right="34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8"/>
                <w:szCs w:val="18"/>
                <w:color w:val="auto"/>
              </w:rPr>
            </w:pPr>
          </w:p>
        </w:tc>
        <w:tc>
          <w:tcPr>
            <w:tcW w:w="1000" w:type="dxa"/>
            <w:vAlign w:val="bottom"/>
            <w:gridSpan w:val="2"/>
          </w:tcPr>
          <w:p>
            <w:pPr>
              <w:jc w:val="right"/>
              <w:ind w:right="320"/>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tcPr>
          <w:p>
            <w:pPr>
              <w:spacing w:after="0"/>
              <w:rPr>
                <w:sz w:val="18"/>
                <w:szCs w:val="18"/>
                <w:color w:val="auto"/>
              </w:rPr>
            </w:pPr>
          </w:p>
        </w:tc>
        <w:tc>
          <w:tcPr>
            <w:tcW w:w="780" w:type="dxa"/>
            <w:vAlign w:val="bottom"/>
          </w:tcPr>
          <w:p>
            <w:pPr>
              <w:jc w:val="right"/>
              <w:ind w:right="104"/>
              <w:spacing w:after="0"/>
              <w:rPr>
                <w:sz w:val="20"/>
                <w:szCs w:val="20"/>
                <w:color w:val="auto"/>
              </w:rPr>
            </w:pPr>
            <w:r>
              <w:rPr>
                <w:rFonts w:ascii="Times New Roman" w:cs="Times New Roman" w:eastAsia="Times New Roman" w:hAnsi="Times New Roman"/>
                <w:sz w:val="15"/>
                <w:szCs w:val="15"/>
                <w:color w:val="auto"/>
              </w:rPr>
              <w:t>0.16</w:t>
            </w:r>
          </w:p>
        </w:tc>
      </w:tr>
      <w:tr>
        <w:trPr>
          <w:trHeight w:val="206"/>
        </w:trPr>
        <w:tc>
          <w:tcPr>
            <w:tcW w:w="3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FDIC special assessment</w:t>
            </w:r>
          </w:p>
        </w:tc>
        <w:tc>
          <w:tcPr>
            <w:tcW w:w="24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shd w:val="clear" w:color="auto" w:fill="CCEEFF"/>
          </w:tcPr>
          <w:p>
            <w:pPr>
              <w:spacing w:after="0"/>
              <w:rPr>
                <w:sz w:val="17"/>
                <w:szCs w:val="17"/>
                <w:color w:val="auto"/>
              </w:rPr>
            </w:pPr>
          </w:p>
        </w:tc>
        <w:tc>
          <w:tcPr>
            <w:tcW w:w="780" w:type="dxa"/>
            <w:vAlign w:val="bottom"/>
            <w:shd w:val="clear" w:color="auto" w:fill="CCEEFF"/>
          </w:tcPr>
          <w:p>
            <w:pPr>
              <w:jc w:val="right"/>
              <w:ind w:right="104"/>
              <w:spacing w:after="0"/>
              <w:rPr>
                <w:sz w:val="20"/>
                <w:szCs w:val="20"/>
                <w:color w:val="auto"/>
              </w:rPr>
            </w:pPr>
            <w:r>
              <w:rPr>
                <w:rFonts w:ascii="Times New Roman" w:cs="Times New Roman" w:eastAsia="Times New Roman" w:hAnsi="Times New Roman"/>
                <w:sz w:val="15"/>
                <w:szCs w:val="15"/>
                <w:color w:val="auto"/>
              </w:rPr>
              <w:t>0.05</w:t>
            </w:r>
          </w:p>
        </w:tc>
      </w:tr>
      <w:tr>
        <w:trPr>
          <w:trHeight w:val="200"/>
        </w:trPr>
        <w:tc>
          <w:tcPr>
            <w:tcW w:w="334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Merger-related and other charges</w:t>
            </w:r>
          </w:p>
        </w:tc>
        <w:tc>
          <w:tcPr>
            <w:tcW w:w="240" w:type="dxa"/>
            <w:vAlign w:val="bottom"/>
          </w:tcPr>
          <w:p>
            <w:pPr>
              <w:spacing w:after="0"/>
              <w:rPr>
                <w:sz w:val="17"/>
                <w:szCs w:val="17"/>
                <w:color w:val="auto"/>
              </w:rPr>
            </w:pPr>
          </w:p>
        </w:tc>
        <w:tc>
          <w:tcPr>
            <w:tcW w:w="760" w:type="dxa"/>
            <w:vAlign w:val="bottom"/>
          </w:tcPr>
          <w:p>
            <w:pPr>
              <w:jc w:val="right"/>
              <w:ind w:right="104"/>
              <w:spacing w:after="0"/>
              <w:rPr>
                <w:sz w:val="20"/>
                <w:szCs w:val="20"/>
                <w:color w:val="auto"/>
              </w:rPr>
            </w:pPr>
            <w:r>
              <w:rPr>
                <w:rFonts w:ascii="Times New Roman" w:cs="Times New Roman" w:eastAsia="Times New Roman" w:hAnsi="Times New Roman"/>
                <w:sz w:val="15"/>
                <w:szCs w:val="15"/>
                <w:color w:val="auto"/>
              </w:rPr>
              <w:t>0.29</w:t>
            </w: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jc w:val="right"/>
              <w:ind w:right="104"/>
              <w:spacing w:after="0"/>
              <w:rPr>
                <w:sz w:val="20"/>
                <w:szCs w:val="20"/>
                <w:color w:val="auto"/>
              </w:rPr>
            </w:pPr>
            <w:r>
              <w:rPr>
                <w:rFonts w:ascii="Times New Roman" w:cs="Times New Roman" w:eastAsia="Times New Roman" w:hAnsi="Times New Roman"/>
                <w:sz w:val="15"/>
                <w:szCs w:val="15"/>
                <w:color w:val="auto"/>
              </w:rPr>
              <w:t>0.42</w:t>
            </w: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60" w:type="dxa"/>
            <w:vAlign w:val="bottom"/>
          </w:tcPr>
          <w:p>
            <w:pPr>
              <w:jc w:val="right"/>
              <w:ind w:right="124"/>
              <w:spacing w:after="0"/>
              <w:rPr>
                <w:sz w:val="20"/>
                <w:szCs w:val="20"/>
                <w:color w:val="auto"/>
              </w:rPr>
            </w:pPr>
            <w:r>
              <w:rPr>
                <w:rFonts w:ascii="Times New Roman" w:cs="Times New Roman" w:eastAsia="Times New Roman" w:hAnsi="Times New Roman"/>
                <w:sz w:val="15"/>
                <w:szCs w:val="15"/>
                <w:color w:val="auto"/>
              </w:rPr>
              <w:t>0.12</w:t>
            </w: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jc w:val="right"/>
              <w:ind w:right="104"/>
              <w:spacing w:after="0"/>
              <w:rPr>
                <w:sz w:val="20"/>
                <w:szCs w:val="20"/>
                <w:color w:val="auto"/>
              </w:rPr>
            </w:pPr>
            <w:r>
              <w:rPr>
                <w:rFonts w:ascii="Times New Roman" w:cs="Times New Roman" w:eastAsia="Times New Roman" w:hAnsi="Times New Roman"/>
                <w:sz w:val="15"/>
                <w:szCs w:val="15"/>
                <w:color w:val="auto"/>
              </w:rPr>
              <w:t>0.20</w:t>
            </w: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jc w:val="right"/>
              <w:ind w:right="124"/>
              <w:spacing w:after="0"/>
              <w:rPr>
                <w:sz w:val="20"/>
                <w:szCs w:val="20"/>
                <w:color w:val="auto"/>
              </w:rPr>
            </w:pPr>
            <w:r>
              <w:rPr>
                <w:rFonts w:ascii="Times New Roman" w:cs="Times New Roman" w:eastAsia="Times New Roman" w:hAnsi="Times New Roman"/>
                <w:sz w:val="15"/>
                <w:szCs w:val="15"/>
                <w:color w:val="auto"/>
              </w:rPr>
              <w:t>0.19</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jc w:val="right"/>
              <w:ind w:right="104"/>
              <w:spacing w:after="0"/>
              <w:rPr>
                <w:sz w:val="20"/>
                <w:szCs w:val="20"/>
                <w:color w:val="auto"/>
              </w:rPr>
            </w:pPr>
            <w:r>
              <w:rPr>
                <w:rFonts w:ascii="Times New Roman" w:cs="Times New Roman" w:eastAsia="Times New Roman" w:hAnsi="Times New Roman"/>
                <w:sz w:val="15"/>
                <w:szCs w:val="15"/>
                <w:color w:val="auto"/>
              </w:rPr>
              <w:t>0.27</w:t>
            </w: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jc w:val="right"/>
              <w:ind w:right="104"/>
              <w:spacing w:after="0"/>
              <w:rPr>
                <w:sz w:val="20"/>
                <w:szCs w:val="20"/>
                <w:color w:val="auto"/>
              </w:rPr>
            </w:pPr>
            <w:r>
              <w:rPr>
                <w:rFonts w:ascii="Times New Roman" w:cs="Times New Roman" w:eastAsia="Times New Roman" w:hAnsi="Times New Roman"/>
                <w:sz w:val="15"/>
                <w:szCs w:val="15"/>
                <w:color w:val="auto"/>
              </w:rPr>
              <w:t>0.19</w:t>
            </w:r>
          </w:p>
        </w:tc>
      </w:tr>
      <w:tr>
        <w:trPr>
          <w:trHeight w:val="205"/>
        </w:trPr>
        <w:tc>
          <w:tcPr>
            <w:tcW w:w="3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Deemed dividend on preferred stock redemption</w:t>
            </w:r>
          </w:p>
        </w:tc>
        <w:tc>
          <w:tcPr>
            <w:tcW w:w="240" w:type="dxa"/>
            <w:vAlign w:val="bottom"/>
            <w:shd w:val="clear" w:color="auto" w:fill="CCEEFF"/>
          </w:tcPr>
          <w:p>
            <w:pPr>
              <w:spacing w:after="0"/>
              <w:rPr>
                <w:sz w:val="17"/>
                <w:szCs w:val="17"/>
                <w:color w:val="auto"/>
              </w:rPr>
            </w:pPr>
          </w:p>
        </w:tc>
        <w:tc>
          <w:tcPr>
            <w:tcW w:w="760" w:type="dxa"/>
            <w:vAlign w:val="bottom"/>
            <w:shd w:val="clear" w:color="auto" w:fill="CCEEFF"/>
          </w:tcPr>
          <w:p>
            <w:pPr>
              <w:jc w:val="right"/>
              <w:ind w:right="104"/>
              <w:spacing w:after="0"/>
              <w:rPr>
                <w:sz w:val="20"/>
                <w:szCs w:val="20"/>
                <w:color w:val="auto"/>
              </w:rPr>
            </w:pPr>
            <w:r>
              <w:rPr>
                <w:rFonts w:ascii="Times New Roman" w:cs="Times New Roman" w:eastAsia="Times New Roman" w:hAnsi="Times New Roman"/>
                <w:sz w:val="15"/>
                <w:szCs w:val="15"/>
                <w:color w:val="auto"/>
              </w:rPr>
              <w:t>0.34</w:t>
            </w: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104"/>
              <w:spacing w:after="0"/>
              <w:rPr>
                <w:sz w:val="20"/>
                <w:szCs w:val="20"/>
                <w:color w:val="auto"/>
              </w:rPr>
            </w:pPr>
            <w:r>
              <w:rPr>
                <w:rFonts w:ascii="Times New Roman" w:cs="Times New Roman" w:eastAsia="Times New Roman" w:hAnsi="Times New Roman"/>
                <w:sz w:val="15"/>
                <w:szCs w:val="15"/>
                <w:color w:val="auto"/>
              </w:rPr>
              <w:t>0.12</w:t>
            </w:r>
          </w:p>
        </w:tc>
        <w:tc>
          <w:tcPr>
            <w:tcW w:w="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80" w:type="dxa"/>
            <w:vAlign w:val="bottom"/>
            <w:shd w:val="clear" w:color="auto" w:fill="CCEEFF"/>
          </w:tcPr>
          <w:p>
            <w:pPr>
              <w:jc w:val="right"/>
              <w:ind w:right="104"/>
              <w:spacing w:after="0"/>
              <w:rPr>
                <w:sz w:val="20"/>
                <w:szCs w:val="20"/>
                <w:color w:val="auto"/>
              </w:rPr>
            </w:pPr>
            <w:r>
              <w:rPr>
                <w:rFonts w:ascii="Times New Roman" w:cs="Times New Roman" w:eastAsia="Times New Roman" w:hAnsi="Times New Roman"/>
                <w:sz w:val="15"/>
                <w:szCs w:val="15"/>
                <w:color w:val="auto"/>
              </w:rPr>
              <w:t>—</w:t>
            </w:r>
          </w:p>
        </w:tc>
      </w:tr>
      <w:tr>
        <w:trPr>
          <w:trHeight w:val="194"/>
        </w:trPr>
        <w:tc>
          <w:tcPr>
            <w:tcW w:w="334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Return on common equity - operating</w:t>
            </w:r>
          </w:p>
        </w:tc>
        <w:tc>
          <w:tcPr>
            <w:tcW w:w="24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tcPr>
          <w:p>
            <w:pPr>
              <w:jc w:val="right"/>
              <w:ind w:right="104"/>
              <w:spacing w:after="0"/>
              <w:rPr>
                <w:sz w:val="20"/>
                <w:szCs w:val="20"/>
                <w:color w:val="auto"/>
              </w:rPr>
            </w:pPr>
            <w:r>
              <w:rPr>
                <w:rFonts w:ascii="Times New Roman" w:cs="Times New Roman" w:eastAsia="Times New Roman" w:hAnsi="Times New Roman"/>
                <w:sz w:val="15"/>
                <w:szCs w:val="15"/>
                <w:color w:val="auto"/>
              </w:rPr>
              <w:t>9.83</w:t>
            </w:r>
          </w:p>
        </w:tc>
        <w:tc>
          <w:tcPr>
            <w:tcW w:w="14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jc w:val="right"/>
              <w:ind w:right="104"/>
              <w:spacing w:after="0"/>
              <w:rPr>
                <w:sz w:val="20"/>
                <w:szCs w:val="20"/>
                <w:color w:val="auto"/>
              </w:rPr>
            </w:pPr>
            <w:r>
              <w:rPr>
                <w:rFonts w:ascii="Times New Roman" w:cs="Times New Roman" w:eastAsia="Times New Roman" w:hAnsi="Times New Roman"/>
                <w:sz w:val="15"/>
                <w:szCs w:val="15"/>
                <w:color w:val="auto"/>
              </w:rPr>
              <w:t>8.87</w:t>
            </w:r>
          </w:p>
        </w:tc>
        <w:tc>
          <w:tcPr>
            <w:tcW w:w="16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tcPr>
          <w:p>
            <w:pPr>
              <w:jc w:val="right"/>
              <w:ind w:right="124"/>
              <w:spacing w:after="0"/>
              <w:rPr>
                <w:sz w:val="20"/>
                <w:szCs w:val="20"/>
                <w:color w:val="auto"/>
              </w:rPr>
            </w:pPr>
            <w:r>
              <w:rPr>
                <w:rFonts w:ascii="Times New Roman" w:cs="Times New Roman" w:eastAsia="Times New Roman" w:hAnsi="Times New Roman"/>
                <w:sz w:val="15"/>
                <w:szCs w:val="15"/>
                <w:color w:val="auto"/>
              </w:rPr>
              <w:t>8.01</w:t>
            </w:r>
          </w:p>
        </w:tc>
        <w:tc>
          <w:tcPr>
            <w:tcW w:w="14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tcPr>
          <w:p>
            <w:pPr>
              <w:jc w:val="right"/>
              <w:ind w:right="104"/>
              <w:spacing w:after="0"/>
              <w:rPr>
                <w:sz w:val="20"/>
                <w:szCs w:val="20"/>
                <w:color w:val="auto"/>
              </w:rPr>
            </w:pPr>
            <w:r>
              <w:rPr>
                <w:rFonts w:ascii="Times New Roman" w:cs="Times New Roman" w:eastAsia="Times New Roman" w:hAnsi="Times New Roman"/>
                <w:sz w:val="15"/>
                <w:szCs w:val="15"/>
                <w:color w:val="auto"/>
              </w:rPr>
              <w:t>8.60</w:t>
            </w:r>
          </w:p>
        </w:tc>
        <w:tc>
          <w:tcPr>
            <w:tcW w:w="16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tcPr>
          <w:p>
            <w:pPr>
              <w:jc w:val="right"/>
              <w:ind w:right="124"/>
              <w:spacing w:after="0"/>
              <w:rPr>
                <w:sz w:val="20"/>
                <w:szCs w:val="20"/>
                <w:color w:val="auto"/>
              </w:rPr>
            </w:pPr>
            <w:r>
              <w:rPr>
                <w:rFonts w:ascii="Times New Roman" w:cs="Times New Roman" w:eastAsia="Times New Roman" w:hAnsi="Times New Roman"/>
                <w:sz w:val="15"/>
                <w:szCs w:val="15"/>
                <w:color w:val="auto"/>
              </w:rPr>
              <w:t>7.82</w:t>
            </w:r>
          </w:p>
        </w:tc>
        <w:tc>
          <w:tcPr>
            <w:tcW w:w="14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tcPr>
          <w:p>
            <w:pPr>
              <w:jc w:val="right"/>
              <w:ind w:right="104"/>
              <w:spacing w:after="0"/>
              <w:rPr>
                <w:sz w:val="20"/>
                <w:szCs w:val="20"/>
                <w:color w:val="auto"/>
              </w:rPr>
            </w:pPr>
            <w:r>
              <w:rPr>
                <w:rFonts w:ascii="Times New Roman" w:cs="Times New Roman" w:eastAsia="Times New Roman" w:hAnsi="Times New Roman"/>
                <w:sz w:val="15"/>
                <w:szCs w:val="15"/>
                <w:color w:val="auto"/>
              </w:rPr>
              <w:t>8.92</w:t>
            </w:r>
          </w:p>
        </w:tc>
        <w:tc>
          <w:tcPr>
            <w:tcW w:w="14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tcPr>
          <w:p>
            <w:pPr>
              <w:jc w:val="right"/>
              <w:ind w:right="104"/>
              <w:spacing w:after="0"/>
              <w:rPr>
                <w:sz w:val="20"/>
                <w:szCs w:val="20"/>
                <w:color w:val="auto"/>
              </w:rPr>
            </w:pPr>
            <w:r>
              <w:rPr>
                <w:rFonts w:ascii="Times New Roman" w:cs="Times New Roman" w:eastAsia="Times New Roman" w:hAnsi="Times New Roman"/>
                <w:sz w:val="15"/>
                <w:szCs w:val="15"/>
                <w:color w:val="auto"/>
              </w:rPr>
              <w:t>7.76</w:t>
            </w:r>
          </w:p>
        </w:tc>
      </w:tr>
      <w:tr>
        <w:trPr>
          <w:trHeight w:val="203"/>
        </w:trPr>
        <w:tc>
          <w:tcPr>
            <w:tcW w:w="3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Effect of goodwill and other intangibles</w:t>
            </w:r>
          </w:p>
        </w:tc>
        <w:tc>
          <w:tcPr>
            <w:tcW w:w="24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ind w:right="104"/>
              <w:spacing w:after="0"/>
              <w:rPr>
                <w:sz w:val="20"/>
                <w:szCs w:val="20"/>
                <w:color w:val="auto"/>
              </w:rPr>
            </w:pPr>
            <w:r>
              <w:rPr>
                <w:rFonts w:ascii="Times New Roman" w:cs="Times New Roman" w:eastAsia="Times New Roman" w:hAnsi="Times New Roman"/>
                <w:sz w:val="15"/>
                <w:szCs w:val="15"/>
                <w:color w:val="auto"/>
              </w:rPr>
              <w:t>3.73</w:t>
            </w:r>
          </w:p>
        </w:tc>
        <w:tc>
          <w:tcPr>
            <w:tcW w:w="14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ind w:right="104"/>
              <w:spacing w:after="0"/>
              <w:rPr>
                <w:sz w:val="20"/>
                <w:szCs w:val="20"/>
                <w:color w:val="auto"/>
              </w:rPr>
            </w:pPr>
            <w:r>
              <w:rPr>
                <w:rFonts w:ascii="Times New Roman" w:cs="Times New Roman" w:eastAsia="Times New Roman" w:hAnsi="Times New Roman"/>
                <w:sz w:val="15"/>
                <w:szCs w:val="15"/>
                <w:color w:val="auto"/>
              </w:rPr>
              <w:t>3.47</w:t>
            </w:r>
          </w:p>
        </w:tc>
        <w:tc>
          <w:tcPr>
            <w:tcW w:w="16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ind w:right="124"/>
              <w:spacing w:after="0"/>
              <w:rPr>
                <w:sz w:val="20"/>
                <w:szCs w:val="20"/>
                <w:color w:val="auto"/>
              </w:rPr>
            </w:pPr>
            <w:r>
              <w:rPr>
                <w:rFonts w:ascii="Times New Roman" w:cs="Times New Roman" w:eastAsia="Times New Roman" w:hAnsi="Times New Roman"/>
                <w:sz w:val="15"/>
                <w:szCs w:val="15"/>
                <w:color w:val="auto"/>
              </w:rPr>
              <w:t>3.20</w:t>
            </w:r>
          </w:p>
        </w:tc>
        <w:tc>
          <w:tcPr>
            <w:tcW w:w="14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ind w:right="104"/>
              <w:spacing w:after="0"/>
              <w:rPr>
                <w:sz w:val="20"/>
                <w:szCs w:val="20"/>
                <w:color w:val="auto"/>
              </w:rPr>
            </w:pPr>
            <w:r>
              <w:rPr>
                <w:rFonts w:ascii="Times New Roman" w:cs="Times New Roman" w:eastAsia="Times New Roman" w:hAnsi="Times New Roman"/>
                <w:sz w:val="15"/>
                <w:szCs w:val="15"/>
                <w:color w:val="auto"/>
              </w:rPr>
              <w:t>3.52</w:t>
            </w:r>
          </w:p>
        </w:tc>
        <w:tc>
          <w:tcPr>
            <w:tcW w:w="16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ind w:right="124"/>
              <w:spacing w:after="0"/>
              <w:rPr>
                <w:sz w:val="20"/>
                <w:szCs w:val="20"/>
                <w:color w:val="auto"/>
              </w:rPr>
            </w:pPr>
            <w:r>
              <w:rPr>
                <w:rFonts w:ascii="Times New Roman" w:cs="Times New Roman" w:eastAsia="Times New Roman" w:hAnsi="Times New Roman"/>
                <w:sz w:val="15"/>
                <w:szCs w:val="15"/>
                <w:color w:val="auto"/>
              </w:rPr>
              <w:t>3.35</w:t>
            </w:r>
          </w:p>
        </w:tc>
        <w:tc>
          <w:tcPr>
            <w:tcW w:w="14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ind w:right="104"/>
              <w:spacing w:after="0"/>
              <w:rPr>
                <w:sz w:val="20"/>
                <w:szCs w:val="20"/>
                <w:color w:val="auto"/>
              </w:rPr>
            </w:pPr>
            <w:r>
              <w:rPr>
                <w:rFonts w:ascii="Times New Roman" w:cs="Times New Roman" w:eastAsia="Times New Roman" w:hAnsi="Times New Roman"/>
                <w:sz w:val="15"/>
                <w:szCs w:val="15"/>
                <w:color w:val="auto"/>
              </w:rPr>
              <w:t>3.65</w:t>
            </w:r>
          </w:p>
        </w:tc>
        <w:tc>
          <w:tcPr>
            <w:tcW w:w="14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ind w:right="104"/>
              <w:spacing w:after="0"/>
              <w:rPr>
                <w:sz w:val="20"/>
                <w:szCs w:val="20"/>
                <w:color w:val="auto"/>
              </w:rPr>
            </w:pPr>
            <w:r>
              <w:rPr>
                <w:rFonts w:ascii="Times New Roman" w:cs="Times New Roman" w:eastAsia="Times New Roman" w:hAnsi="Times New Roman"/>
                <w:sz w:val="15"/>
                <w:szCs w:val="15"/>
                <w:color w:val="auto"/>
              </w:rPr>
              <w:t>3.42</w:t>
            </w:r>
          </w:p>
        </w:tc>
      </w:tr>
      <w:tr>
        <w:trPr>
          <w:trHeight w:val="198"/>
        </w:trPr>
        <w:tc>
          <w:tcPr>
            <w:tcW w:w="334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Return on tangible common equity - operating</w:t>
            </w:r>
          </w:p>
        </w:tc>
        <w:tc>
          <w:tcPr>
            <w:tcW w:w="24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13.56 %</w:t>
            </w:r>
          </w:p>
        </w:tc>
        <w:tc>
          <w:tcPr>
            <w:tcW w:w="14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12.34 %</w:t>
            </w:r>
          </w:p>
        </w:tc>
        <w:tc>
          <w:tcPr>
            <w:tcW w:w="16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11.21 %</w:t>
            </w:r>
          </w:p>
        </w:tc>
        <w:tc>
          <w:tcPr>
            <w:tcW w:w="14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12.12 %</w:t>
            </w:r>
          </w:p>
        </w:tc>
        <w:tc>
          <w:tcPr>
            <w:tcW w:w="16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11.17 %</w:t>
            </w:r>
          </w:p>
        </w:tc>
        <w:tc>
          <w:tcPr>
            <w:tcW w:w="14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12.57 %</w:t>
            </w:r>
          </w:p>
        </w:tc>
        <w:tc>
          <w:tcPr>
            <w:tcW w:w="14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11.18 %</w:t>
            </w:r>
          </w:p>
        </w:tc>
      </w:tr>
      <w:tr>
        <w:trPr>
          <w:trHeight w:val="20"/>
        </w:trPr>
        <w:tc>
          <w:tcPr>
            <w:tcW w:w="334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r>
        <w:trPr>
          <w:trHeight w:val="170"/>
        </w:trPr>
        <w:tc>
          <w:tcPr>
            <w:tcW w:w="33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r>
    </w:tbl>
    <w:p>
      <w:pPr>
        <w:spacing w:after="0" w:line="200" w:lineRule="exact"/>
        <w:rPr>
          <w:sz w:val="20"/>
          <w:szCs w:val="20"/>
          <w:color w:val="auto"/>
        </w:rPr>
      </w:pPr>
    </w:p>
    <w:p>
      <w:pPr>
        <w:sectPr>
          <w:pgSz w:w="11900" w:h="16838" w:orient="portrait"/>
          <w:cols w:equalWidth="0" w:num="1">
            <w:col w:w="11240"/>
          </w:cols>
          <w:pgMar w:left="320" w:top="1063" w:right="339" w:bottom="1440" w:gutter="0" w:footer="0" w:header="0"/>
        </w:sect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63" w:right="339" w:bottom="1440" w:gutter="0" w:footer="0" w:header="0"/>
          <w:type w:val="continuous"/>
        </w:sectPr>
      </w:pPr>
    </w:p>
    <w:bookmarkStart w:id="38" w:name="page39"/>
    <w:bookmarkEnd w:id="38"/>
    <w:p>
      <w:pPr>
        <w:ind w:left="20"/>
        <w:spacing w:after="0"/>
        <w:rPr>
          <w:sz w:val="20"/>
          <w:szCs w:val="20"/>
          <w:color w:val="auto"/>
        </w:rPr>
      </w:pPr>
      <w:r>
        <w:rPr>
          <w:rFonts w:ascii="Times New Roman" w:cs="Times New Roman" w:eastAsia="Times New Roman" w:hAnsi="Times New Roman"/>
          <w:sz w:val="15"/>
          <w:szCs w:val="15"/>
          <w:b w:val="1"/>
          <w:bCs w:val="1"/>
          <w:color w:val="auto"/>
        </w:rPr>
        <w:t>UNITED COMMUNITY BANKS, INC.</w:t>
      </w:r>
    </w:p>
    <w:p>
      <w:pPr>
        <w:spacing w:after="0" w:line="3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5"/>
          <w:szCs w:val="15"/>
          <w:b w:val="1"/>
          <w:bCs w:val="1"/>
          <w:color w:val="auto"/>
        </w:rPr>
        <w:t>Table 1 (Continued) - Financial Highlights</w:t>
      </w:r>
    </w:p>
    <w:p>
      <w:pPr>
        <w:spacing w:after="0" w:line="3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5"/>
          <w:szCs w:val="15"/>
          <w:b w:val="1"/>
          <w:bCs w:val="1"/>
          <w:color w:val="auto"/>
        </w:rPr>
        <w:t>Non-GAAP Performance Measures Reconciliation</w:t>
      </w:r>
    </w:p>
    <w:p>
      <w:pPr>
        <w:spacing w:after="0" w:line="3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5"/>
          <w:szCs w:val="15"/>
          <w:b w:val="1"/>
          <w:bCs w:val="1"/>
          <w:i w:val="1"/>
          <w:iCs w:val="1"/>
          <w:color w:val="auto"/>
        </w:rPr>
        <w:t>(dollars in thousands, except per share data)</w:t>
      </w:r>
    </w:p>
    <w:p>
      <w:pPr>
        <w:spacing w:after="0" w:line="30" w:lineRule="exact"/>
        <w:rPr>
          <w:sz w:val="20"/>
          <w:szCs w:val="20"/>
          <w:color w:val="auto"/>
        </w:rPr>
      </w:pPr>
    </w:p>
    <w:tbl>
      <w:tblPr>
        <w:tblLayout w:type="fixed"/>
        <w:tblInd w:w="0" w:type="dxa"/>
        <w:tblCellMar>
          <w:top w:w="0" w:type="dxa"/>
          <w:left w:w="0" w:type="dxa"/>
          <w:bottom w:w="0" w:type="dxa"/>
          <w:right w:w="0" w:type="dxa"/>
        </w:tblCellMar>
      </w:tblPr>
      <w:tr>
        <w:trPr>
          <w:trHeight w:val="150"/>
        </w:trPr>
        <w:tc>
          <w:tcPr>
            <w:tcW w:w="3660" w:type="dxa"/>
            <w:vAlign w:val="bottom"/>
            <w:tcBorders>
              <w:top w:val="single" w:sz="8" w:color="auto"/>
            </w:tcBorders>
          </w:tcPr>
          <w:p>
            <w:pPr>
              <w:spacing w:after="0"/>
              <w:rPr>
                <w:sz w:val="13"/>
                <w:szCs w:val="13"/>
                <w:color w:val="auto"/>
              </w:rPr>
            </w:pPr>
          </w:p>
        </w:tc>
        <w:tc>
          <w:tcPr>
            <w:tcW w:w="100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00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00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00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00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2060" w:type="dxa"/>
            <w:vAlign w:val="bottom"/>
            <w:tcBorders>
              <w:top w:val="single" w:sz="8" w:color="auto"/>
            </w:tcBorders>
            <w:gridSpan w:val="3"/>
          </w:tcPr>
          <w:p>
            <w:pPr>
              <w:jc w:val="right"/>
              <w:ind w:right="44"/>
              <w:spacing w:after="0" w:line="150" w:lineRule="exact"/>
              <w:rPr>
                <w:sz w:val="20"/>
                <w:szCs w:val="20"/>
                <w:color w:val="auto"/>
              </w:rPr>
            </w:pPr>
            <w:r>
              <w:rPr>
                <w:rFonts w:ascii="Times New Roman" w:cs="Times New Roman" w:eastAsia="Times New Roman" w:hAnsi="Times New Roman"/>
                <w:sz w:val="15"/>
                <w:szCs w:val="15"/>
                <w:b w:val="1"/>
                <w:bCs w:val="1"/>
                <w:color w:val="auto"/>
              </w:rPr>
              <w:t>For the Nine Months Ended</w:t>
            </w:r>
          </w:p>
        </w:tc>
      </w:tr>
      <w:tr>
        <w:trPr>
          <w:trHeight w:val="212"/>
        </w:trPr>
        <w:tc>
          <w:tcPr>
            <w:tcW w:w="3660" w:type="dxa"/>
            <w:vAlign w:val="bottom"/>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rPr>
              <w:t>2025</w:t>
            </w:r>
          </w:p>
        </w:tc>
        <w:tc>
          <w:tcPr>
            <w:tcW w:w="1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100" w:type="dxa"/>
            <w:vAlign w:val="bottom"/>
            <w:tcBorders>
              <w:bottom w:val="single" w:sz="8" w:color="auto"/>
            </w:tcBorders>
            <w:gridSpan w:val="3"/>
          </w:tcPr>
          <w:p>
            <w:pPr>
              <w:jc w:val="right"/>
              <w:ind w:right="824"/>
              <w:spacing w:after="0"/>
              <w:rPr>
                <w:sz w:val="20"/>
                <w:szCs w:val="20"/>
                <w:color w:val="auto"/>
              </w:rPr>
            </w:pPr>
            <w:r>
              <w:rPr>
                <w:rFonts w:ascii="Times New Roman" w:cs="Times New Roman" w:eastAsia="Times New Roman" w:hAnsi="Times New Roman"/>
                <w:sz w:val="15"/>
                <w:szCs w:val="15"/>
                <w:b w:val="1"/>
                <w:bCs w:val="1"/>
                <w:color w:val="auto"/>
              </w:rPr>
              <w:t>2024</w:t>
            </w:r>
          </w:p>
        </w:tc>
        <w:tc>
          <w:tcPr>
            <w:tcW w:w="100" w:type="dxa"/>
            <w:vAlign w:val="bottom"/>
          </w:tcPr>
          <w:p>
            <w:pPr>
              <w:spacing w:after="0"/>
              <w:rPr>
                <w:sz w:val="18"/>
                <w:szCs w:val="18"/>
                <w:color w:val="auto"/>
              </w:rPr>
            </w:pPr>
          </w:p>
        </w:tc>
        <w:tc>
          <w:tcPr>
            <w:tcW w:w="2060" w:type="dxa"/>
            <w:vAlign w:val="bottom"/>
            <w:tcBorders>
              <w:bottom w:val="single" w:sz="8" w:color="auto"/>
            </w:tcBorders>
            <w:gridSpan w:val="3"/>
          </w:tcPr>
          <w:p>
            <w:pPr>
              <w:jc w:val="right"/>
              <w:ind w:right="484"/>
              <w:spacing w:after="0"/>
              <w:rPr>
                <w:sz w:val="20"/>
                <w:szCs w:val="20"/>
                <w:color w:val="auto"/>
              </w:rPr>
            </w:pPr>
            <w:r>
              <w:rPr>
                <w:rFonts w:ascii="Times New Roman" w:cs="Times New Roman" w:eastAsia="Times New Roman" w:hAnsi="Times New Roman"/>
                <w:sz w:val="15"/>
                <w:szCs w:val="15"/>
                <w:b w:val="1"/>
                <w:bCs w:val="1"/>
                <w:color w:val="auto"/>
              </w:rPr>
              <w:t>September 30,</w:t>
            </w:r>
          </w:p>
        </w:tc>
      </w:tr>
      <w:tr>
        <w:trPr>
          <w:trHeight w:val="146"/>
        </w:trPr>
        <w:tc>
          <w:tcPr>
            <w:tcW w:w="36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gridSpan w:val="2"/>
          </w:tcPr>
          <w:p>
            <w:pPr>
              <w:jc w:val="center"/>
              <w:ind w:right="100"/>
              <w:spacing w:after="0" w:line="146" w:lineRule="exact"/>
              <w:rPr>
                <w:sz w:val="20"/>
                <w:szCs w:val="20"/>
                <w:color w:val="auto"/>
              </w:rPr>
            </w:pPr>
            <w:r>
              <w:rPr>
                <w:rFonts w:ascii="Times New Roman" w:cs="Times New Roman" w:eastAsia="Times New Roman" w:hAnsi="Times New Roman"/>
                <w:sz w:val="15"/>
                <w:szCs w:val="15"/>
                <w:b w:val="1"/>
                <w:bCs w:val="1"/>
                <w:color w:val="auto"/>
              </w:rPr>
              <w:t>Second</w:t>
            </w: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gridSpan w:val="2"/>
          </w:tcPr>
          <w:p>
            <w:pPr>
              <w:jc w:val="center"/>
              <w:ind w:right="120"/>
              <w:spacing w:after="0" w:line="146" w:lineRule="exact"/>
              <w:rPr>
                <w:sz w:val="20"/>
                <w:szCs w:val="20"/>
                <w:color w:val="auto"/>
              </w:rPr>
            </w:pPr>
            <w:r>
              <w:rPr>
                <w:rFonts w:ascii="Times New Roman" w:cs="Times New Roman" w:eastAsia="Times New Roman" w:hAnsi="Times New Roman"/>
                <w:sz w:val="15"/>
                <w:szCs w:val="15"/>
                <w:b w:val="1"/>
                <w:bCs w:val="1"/>
                <w:color w:val="auto"/>
              </w:rPr>
              <w:t>Fourth</w:t>
            </w: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spacing w:after="0"/>
              <w:rPr>
                <w:sz w:val="12"/>
                <w:szCs w:val="12"/>
                <w:color w:val="auto"/>
              </w:rPr>
            </w:pPr>
          </w:p>
        </w:tc>
      </w:tr>
      <w:tr>
        <w:trPr>
          <w:trHeight w:val="209"/>
        </w:trPr>
        <w:tc>
          <w:tcPr>
            <w:tcW w:w="3660" w:type="dxa"/>
            <w:vAlign w:val="bottom"/>
          </w:tcPr>
          <w:p>
            <w:pPr>
              <w:spacing w:after="0"/>
              <w:rPr>
                <w:sz w:val="18"/>
                <w:szCs w:val="18"/>
                <w:color w:val="auto"/>
              </w:rPr>
            </w:pPr>
          </w:p>
        </w:tc>
        <w:tc>
          <w:tcPr>
            <w:tcW w:w="1100" w:type="dxa"/>
            <w:vAlign w:val="bottom"/>
            <w:gridSpan w:val="2"/>
          </w:tcPr>
          <w:p>
            <w:pPr>
              <w:ind w:left="20"/>
              <w:spacing w:after="0"/>
              <w:rPr>
                <w:sz w:val="20"/>
                <w:szCs w:val="20"/>
                <w:color w:val="auto"/>
              </w:rPr>
            </w:pPr>
            <w:r>
              <w:rPr>
                <w:rFonts w:ascii="Times New Roman" w:cs="Times New Roman" w:eastAsia="Times New Roman" w:hAnsi="Times New Roman"/>
                <w:sz w:val="15"/>
                <w:szCs w:val="15"/>
                <w:b w:val="1"/>
                <w:bCs w:val="1"/>
                <w:color w:val="auto"/>
              </w:rPr>
              <w:t>Third Quarter</w:t>
            </w:r>
          </w:p>
        </w:tc>
        <w:tc>
          <w:tcPr>
            <w:tcW w:w="1100" w:type="dxa"/>
            <w:vAlign w:val="bottom"/>
            <w:gridSpan w:val="2"/>
          </w:tcPr>
          <w:p>
            <w:pPr>
              <w:jc w:val="center"/>
              <w:ind w:right="100"/>
              <w:spacing w:after="0"/>
              <w:rPr>
                <w:sz w:val="20"/>
                <w:szCs w:val="20"/>
                <w:color w:val="auto"/>
              </w:rPr>
            </w:pPr>
            <w:r>
              <w:rPr>
                <w:rFonts w:ascii="Times New Roman" w:cs="Times New Roman" w:eastAsia="Times New Roman" w:hAnsi="Times New Roman"/>
                <w:sz w:val="15"/>
                <w:szCs w:val="15"/>
                <w:b w:val="1"/>
                <w:bCs w:val="1"/>
                <w:color w:val="auto"/>
                <w:w w:val="98"/>
              </w:rPr>
              <w:t>Quarter</w:t>
            </w:r>
          </w:p>
        </w:tc>
        <w:tc>
          <w:tcPr>
            <w:tcW w:w="1120" w:type="dxa"/>
            <w:vAlign w:val="bottom"/>
            <w:gridSpan w:val="2"/>
          </w:tcPr>
          <w:p>
            <w:pPr>
              <w:ind w:left="60"/>
              <w:spacing w:after="0"/>
              <w:rPr>
                <w:sz w:val="20"/>
                <w:szCs w:val="20"/>
                <w:color w:val="auto"/>
              </w:rPr>
            </w:pPr>
            <w:r>
              <w:rPr>
                <w:rFonts w:ascii="Times New Roman" w:cs="Times New Roman" w:eastAsia="Times New Roman" w:hAnsi="Times New Roman"/>
                <w:sz w:val="15"/>
                <w:szCs w:val="15"/>
                <w:b w:val="1"/>
                <w:bCs w:val="1"/>
                <w:color w:val="auto"/>
              </w:rPr>
              <w:t>First Quarter</w:t>
            </w:r>
          </w:p>
        </w:tc>
        <w:tc>
          <w:tcPr>
            <w:tcW w:w="1100" w:type="dxa"/>
            <w:vAlign w:val="bottom"/>
            <w:gridSpan w:val="2"/>
          </w:tcPr>
          <w:p>
            <w:pPr>
              <w:jc w:val="center"/>
              <w:ind w:right="120"/>
              <w:spacing w:after="0"/>
              <w:rPr>
                <w:sz w:val="20"/>
                <w:szCs w:val="20"/>
                <w:color w:val="auto"/>
              </w:rPr>
            </w:pPr>
            <w:r>
              <w:rPr>
                <w:rFonts w:ascii="Times New Roman" w:cs="Times New Roman" w:eastAsia="Times New Roman" w:hAnsi="Times New Roman"/>
                <w:sz w:val="15"/>
                <w:szCs w:val="15"/>
                <w:b w:val="1"/>
                <w:bCs w:val="1"/>
                <w:color w:val="auto"/>
              </w:rPr>
              <w:t>Quarter</w:t>
            </w:r>
          </w:p>
        </w:tc>
        <w:tc>
          <w:tcPr>
            <w:tcW w:w="1100" w:type="dxa"/>
            <w:vAlign w:val="bottom"/>
            <w:gridSpan w:val="2"/>
          </w:tcPr>
          <w:p>
            <w:pPr>
              <w:ind w:left="20"/>
              <w:spacing w:after="0"/>
              <w:rPr>
                <w:sz w:val="20"/>
                <w:szCs w:val="20"/>
                <w:color w:val="auto"/>
              </w:rPr>
            </w:pPr>
            <w:r>
              <w:rPr>
                <w:rFonts w:ascii="Times New Roman" w:cs="Times New Roman" w:eastAsia="Times New Roman" w:hAnsi="Times New Roman"/>
                <w:sz w:val="15"/>
                <w:szCs w:val="15"/>
                <w:b w:val="1"/>
                <w:bCs w:val="1"/>
                <w:color w:val="auto"/>
              </w:rPr>
              <w:t>Third Quarter</w:t>
            </w:r>
          </w:p>
        </w:tc>
        <w:tc>
          <w:tcPr>
            <w:tcW w:w="980" w:type="dxa"/>
            <w:vAlign w:val="bottom"/>
          </w:tcPr>
          <w:p>
            <w:pPr>
              <w:jc w:val="right"/>
              <w:ind w:right="264"/>
              <w:spacing w:after="0"/>
              <w:rPr>
                <w:sz w:val="20"/>
                <w:szCs w:val="20"/>
                <w:color w:val="auto"/>
              </w:rPr>
            </w:pPr>
            <w:r>
              <w:rPr>
                <w:rFonts w:ascii="Times New Roman" w:cs="Times New Roman" w:eastAsia="Times New Roman" w:hAnsi="Times New Roman"/>
                <w:sz w:val="15"/>
                <w:szCs w:val="15"/>
                <w:b w:val="1"/>
                <w:bCs w:val="1"/>
                <w:color w:val="auto"/>
              </w:rPr>
              <w:t>2025</w:t>
            </w:r>
          </w:p>
        </w:tc>
        <w:tc>
          <w:tcPr>
            <w:tcW w:w="100" w:type="dxa"/>
            <w:vAlign w:val="bottom"/>
          </w:tcPr>
          <w:p>
            <w:pPr>
              <w:spacing w:after="0"/>
              <w:rPr>
                <w:sz w:val="18"/>
                <w:szCs w:val="18"/>
                <w:color w:val="auto"/>
              </w:rPr>
            </w:pPr>
          </w:p>
        </w:tc>
        <w:tc>
          <w:tcPr>
            <w:tcW w:w="980" w:type="dxa"/>
            <w:vAlign w:val="bottom"/>
          </w:tcPr>
          <w:p>
            <w:pPr>
              <w:jc w:val="right"/>
              <w:ind w:right="264"/>
              <w:spacing w:after="0"/>
              <w:rPr>
                <w:sz w:val="20"/>
                <w:szCs w:val="20"/>
                <w:color w:val="auto"/>
              </w:rPr>
            </w:pPr>
            <w:r>
              <w:rPr>
                <w:rFonts w:ascii="Times New Roman" w:cs="Times New Roman" w:eastAsia="Times New Roman" w:hAnsi="Times New Roman"/>
                <w:sz w:val="15"/>
                <w:szCs w:val="15"/>
                <w:b w:val="1"/>
                <w:bCs w:val="1"/>
                <w:color w:val="auto"/>
              </w:rPr>
              <w:t>2024</w:t>
            </w:r>
          </w:p>
        </w:tc>
      </w:tr>
      <w:tr>
        <w:trPr>
          <w:trHeight w:val="185"/>
        </w:trPr>
        <w:tc>
          <w:tcPr>
            <w:tcW w:w="3660" w:type="dxa"/>
            <w:vAlign w:val="bottom"/>
          </w:tcPr>
          <w:p>
            <w:pPr>
              <w:ind w:left="20"/>
              <w:spacing w:after="0"/>
              <w:rPr>
                <w:sz w:val="20"/>
                <w:szCs w:val="20"/>
                <w:color w:val="auto"/>
              </w:rPr>
            </w:pPr>
            <w:r>
              <w:rPr>
                <w:rFonts w:ascii="Times New Roman" w:cs="Times New Roman" w:eastAsia="Times New Roman" w:hAnsi="Times New Roman"/>
                <w:sz w:val="15"/>
                <w:szCs w:val="15"/>
                <w:b w:val="1"/>
                <w:bCs w:val="1"/>
                <w:color w:val="auto"/>
              </w:rPr>
              <w:t>Return on assets reconciliation</w:t>
            </w:r>
          </w:p>
        </w:tc>
        <w:tc>
          <w:tcPr>
            <w:tcW w:w="10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Borders>
              <w:top w:val="single" w:sz="8" w:color="auto"/>
            </w:tcBorders>
          </w:tcPr>
          <w:p>
            <w:pPr>
              <w:spacing w:after="0"/>
              <w:rPr>
                <w:sz w:val="16"/>
                <w:szCs w:val="16"/>
                <w:color w:val="auto"/>
              </w:rPr>
            </w:pPr>
          </w:p>
        </w:tc>
      </w:tr>
      <w:tr>
        <w:trPr>
          <w:trHeight w:val="207"/>
        </w:trPr>
        <w:tc>
          <w:tcPr>
            <w:tcW w:w="3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Return on assets (GAAP)</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1.29 %</w:t>
            </w: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1.11 %</w:t>
            </w: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1.02 %</w:t>
            </w: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1.06 %</w:t>
            </w: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0.67 %</w:t>
            </w: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1.16 %</w:t>
            </w: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0.85 %</w:t>
            </w:r>
          </w:p>
        </w:tc>
      </w:tr>
      <w:tr>
        <w:trPr>
          <w:trHeight w:val="200"/>
        </w:trPr>
        <w:tc>
          <w:tcPr>
            <w:tcW w:w="366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Loss on sale of manufactured housing loans</w:t>
            </w:r>
          </w:p>
        </w:tc>
        <w:tc>
          <w:tcPr>
            <w:tcW w:w="1100" w:type="dxa"/>
            <w:vAlign w:val="bottom"/>
            <w:gridSpan w:val="2"/>
          </w:tcPr>
          <w:p>
            <w:pPr>
              <w:jc w:val="right"/>
              <w:ind w:right="300"/>
              <w:spacing w:after="0"/>
              <w:rPr>
                <w:sz w:val="20"/>
                <w:szCs w:val="20"/>
                <w:color w:val="auto"/>
              </w:rPr>
            </w:pPr>
            <w:r>
              <w:rPr>
                <w:rFonts w:ascii="Times New Roman" w:cs="Times New Roman" w:eastAsia="Times New Roman" w:hAnsi="Times New Roman"/>
                <w:sz w:val="15"/>
                <w:szCs w:val="15"/>
                <w:color w:val="auto"/>
              </w:rPr>
              <w:t>—</w:t>
            </w:r>
          </w:p>
        </w:tc>
        <w:tc>
          <w:tcPr>
            <w:tcW w:w="1100" w:type="dxa"/>
            <w:vAlign w:val="bottom"/>
            <w:gridSpan w:val="2"/>
          </w:tcPr>
          <w:p>
            <w:pPr>
              <w:jc w:val="right"/>
              <w:ind w:right="280"/>
              <w:spacing w:after="0"/>
              <w:rPr>
                <w:sz w:val="20"/>
                <w:szCs w:val="20"/>
                <w:color w:val="auto"/>
              </w:rPr>
            </w:pPr>
            <w:r>
              <w:rPr>
                <w:rFonts w:ascii="Times New Roman" w:cs="Times New Roman" w:eastAsia="Times New Roman" w:hAnsi="Times New Roman"/>
                <w:sz w:val="15"/>
                <w:szCs w:val="15"/>
                <w:color w:val="auto"/>
              </w:rPr>
              <w:t>—</w:t>
            </w:r>
          </w:p>
        </w:tc>
        <w:tc>
          <w:tcPr>
            <w:tcW w:w="1120" w:type="dxa"/>
            <w:vAlign w:val="bottom"/>
            <w:gridSpan w:val="2"/>
          </w:tcPr>
          <w:p>
            <w:pPr>
              <w:jc w:val="right"/>
              <w:ind w:right="300"/>
              <w:spacing w:after="0"/>
              <w:rPr>
                <w:sz w:val="20"/>
                <w:szCs w:val="20"/>
                <w:color w:val="auto"/>
              </w:rPr>
            </w:pPr>
            <w:r>
              <w:rPr>
                <w:rFonts w:ascii="Times New Roman" w:cs="Times New Roman" w:eastAsia="Times New Roman" w:hAnsi="Times New Roman"/>
                <w:sz w:val="15"/>
                <w:szCs w:val="15"/>
                <w:color w:val="auto"/>
              </w:rPr>
              <w:t>—</w:t>
            </w:r>
          </w:p>
        </w:tc>
        <w:tc>
          <w:tcPr>
            <w:tcW w:w="1100" w:type="dxa"/>
            <w:vAlign w:val="bottom"/>
            <w:gridSpan w:val="2"/>
          </w:tcPr>
          <w:p>
            <w:pPr>
              <w:jc w:val="right"/>
              <w:ind w:right="300"/>
              <w:spacing w:after="0"/>
              <w:rPr>
                <w:sz w:val="20"/>
                <w:szCs w:val="20"/>
                <w:color w:val="auto"/>
              </w:rPr>
            </w:pPr>
            <w:r>
              <w:rPr>
                <w:rFonts w:ascii="Times New Roman" w:cs="Times New Roman" w:eastAsia="Times New Roman" w:hAnsi="Times New Roman"/>
                <w:sz w:val="15"/>
                <w:szCs w:val="15"/>
                <w:color w:val="auto"/>
              </w:rPr>
              <w:t>—</w:t>
            </w:r>
          </w:p>
        </w:tc>
        <w:tc>
          <w:tcPr>
            <w:tcW w:w="1000" w:type="dxa"/>
            <w:vAlign w:val="bottom"/>
          </w:tcPr>
          <w:p>
            <w:pPr>
              <w:jc w:val="right"/>
              <w:ind w:right="104"/>
              <w:spacing w:after="0"/>
              <w:rPr>
                <w:sz w:val="20"/>
                <w:szCs w:val="20"/>
                <w:color w:val="auto"/>
              </w:rPr>
            </w:pPr>
            <w:r>
              <w:rPr>
                <w:rFonts w:ascii="Times New Roman" w:cs="Times New Roman" w:eastAsia="Times New Roman" w:hAnsi="Times New Roman"/>
                <w:sz w:val="15"/>
                <w:szCs w:val="15"/>
                <w:color w:val="auto"/>
              </w:rPr>
              <w:t>0.31</w:t>
            </w:r>
          </w:p>
        </w:tc>
        <w:tc>
          <w:tcPr>
            <w:tcW w:w="100" w:type="dxa"/>
            <w:vAlign w:val="bottom"/>
          </w:tcPr>
          <w:p>
            <w:pPr>
              <w:spacing w:after="0"/>
              <w:rPr>
                <w:sz w:val="17"/>
                <w:szCs w:val="17"/>
                <w:color w:val="auto"/>
              </w:rPr>
            </w:pPr>
          </w:p>
        </w:tc>
        <w:tc>
          <w:tcPr>
            <w:tcW w:w="1080" w:type="dxa"/>
            <w:vAlign w:val="bottom"/>
            <w:gridSpan w:val="2"/>
          </w:tcPr>
          <w:p>
            <w:pPr>
              <w:jc w:val="right"/>
              <w:ind w:right="280"/>
              <w:spacing w:after="0"/>
              <w:rPr>
                <w:sz w:val="20"/>
                <w:szCs w:val="20"/>
                <w:color w:val="auto"/>
              </w:rPr>
            </w:pPr>
            <w:r>
              <w:rPr>
                <w:rFonts w:ascii="Times New Roman" w:cs="Times New Roman" w:eastAsia="Times New Roman" w:hAnsi="Times New Roman"/>
                <w:sz w:val="15"/>
                <w:szCs w:val="15"/>
                <w:color w:val="auto"/>
              </w:rPr>
              <w:t>—</w:t>
            </w:r>
          </w:p>
        </w:tc>
        <w:tc>
          <w:tcPr>
            <w:tcW w:w="980" w:type="dxa"/>
            <w:vAlign w:val="bottom"/>
          </w:tcPr>
          <w:p>
            <w:pPr>
              <w:jc w:val="right"/>
              <w:ind w:right="104"/>
              <w:spacing w:after="0"/>
              <w:rPr>
                <w:sz w:val="20"/>
                <w:szCs w:val="20"/>
                <w:color w:val="auto"/>
              </w:rPr>
            </w:pPr>
            <w:r>
              <w:rPr>
                <w:rFonts w:ascii="Times New Roman" w:cs="Times New Roman" w:eastAsia="Times New Roman" w:hAnsi="Times New Roman"/>
                <w:sz w:val="15"/>
                <w:szCs w:val="15"/>
                <w:color w:val="auto"/>
              </w:rPr>
              <w:t>0.10</w:t>
            </w:r>
          </w:p>
        </w:tc>
      </w:tr>
      <w:tr>
        <w:trPr>
          <w:trHeight w:val="205"/>
        </w:trPr>
        <w:tc>
          <w:tcPr>
            <w:tcW w:w="3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Gain on lease termination</w:t>
            </w:r>
          </w:p>
        </w:tc>
        <w:tc>
          <w:tcPr>
            <w:tcW w:w="11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5"/>
                <w:szCs w:val="15"/>
                <w:color w:val="auto"/>
              </w:rPr>
              <w:t>—</w:t>
            </w:r>
          </w:p>
        </w:tc>
        <w:tc>
          <w:tcPr>
            <w:tcW w:w="11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5"/>
                <w:szCs w:val="15"/>
                <w:color w:val="auto"/>
              </w:rPr>
              <w:t>—</w:t>
            </w:r>
          </w:p>
        </w:tc>
        <w:tc>
          <w:tcPr>
            <w:tcW w:w="11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5"/>
                <w:szCs w:val="15"/>
                <w:color w:val="auto"/>
              </w:rPr>
              <w:t>—</w:t>
            </w:r>
          </w:p>
        </w:tc>
        <w:tc>
          <w:tcPr>
            <w:tcW w:w="11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5"/>
                <w:szCs w:val="15"/>
                <w:color w:val="auto"/>
              </w:rPr>
              <w:t>—</w:t>
            </w:r>
          </w:p>
        </w:tc>
        <w:tc>
          <w:tcPr>
            <w:tcW w:w="11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5"/>
                <w:szCs w:val="15"/>
                <w:color w:val="auto"/>
              </w:rPr>
              <w:t>—</w:t>
            </w:r>
          </w:p>
        </w:tc>
        <w:tc>
          <w:tcPr>
            <w:tcW w:w="10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5"/>
                <w:szCs w:val="15"/>
                <w:color w:val="auto"/>
              </w:rPr>
              <w:t>—</w:t>
            </w:r>
          </w:p>
        </w:tc>
        <w:tc>
          <w:tcPr>
            <w:tcW w:w="980" w:type="dxa"/>
            <w:vAlign w:val="bottom"/>
            <w:shd w:val="clear" w:color="auto" w:fill="CCEEFF"/>
          </w:tcPr>
          <w:p>
            <w:pPr>
              <w:jc w:val="right"/>
              <w:ind w:right="64"/>
              <w:spacing w:after="0"/>
              <w:rPr>
                <w:sz w:val="20"/>
                <w:szCs w:val="20"/>
                <w:color w:val="auto"/>
              </w:rPr>
            </w:pPr>
            <w:r>
              <w:rPr>
                <w:rFonts w:ascii="Times New Roman" w:cs="Times New Roman" w:eastAsia="Times New Roman" w:hAnsi="Times New Roman"/>
                <w:sz w:val="15"/>
                <w:szCs w:val="15"/>
                <w:color w:val="auto"/>
              </w:rPr>
              <w:t>(0.01)</w:t>
            </w:r>
          </w:p>
        </w:tc>
      </w:tr>
      <w:tr>
        <w:trPr>
          <w:trHeight w:val="200"/>
        </w:trPr>
        <w:tc>
          <w:tcPr>
            <w:tcW w:w="366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Loss on sale of FinTrust, including goodwill impairment</w:t>
            </w:r>
          </w:p>
        </w:tc>
        <w:tc>
          <w:tcPr>
            <w:tcW w:w="1100" w:type="dxa"/>
            <w:vAlign w:val="bottom"/>
            <w:gridSpan w:val="2"/>
          </w:tcPr>
          <w:p>
            <w:pPr>
              <w:jc w:val="right"/>
              <w:ind w:right="300"/>
              <w:spacing w:after="0"/>
              <w:rPr>
                <w:sz w:val="20"/>
                <w:szCs w:val="20"/>
                <w:color w:val="auto"/>
              </w:rPr>
            </w:pPr>
            <w:r>
              <w:rPr>
                <w:rFonts w:ascii="Times New Roman" w:cs="Times New Roman" w:eastAsia="Times New Roman" w:hAnsi="Times New Roman"/>
                <w:sz w:val="15"/>
                <w:szCs w:val="15"/>
                <w:color w:val="auto"/>
              </w:rPr>
              <w:t>—</w:t>
            </w:r>
          </w:p>
        </w:tc>
        <w:tc>
          <w:tcPr>
            <w:tcW w:w="1100" w:type="dxa"/>
            <w:vAlign w:val="bottom"/>
            <w:gridSpan w:val="2"/>
          </w:tcPr>
          <w:p>
            <w:pPr>
              <w:jc w:val="right"/>
              <w:ind w:right="280"/>
              <w:spacing w:after="0"/>
              <w:rPr>
                <w:sz w:val="20"/>
                <w:szCs w:val="20"/>
                <w:color w:val="auto"/>
              </w:rPr>
            </w:pPr>
            <w:r>
              <w:rPr>
                <w:rFonts w:ascii="Times New Roman" w:cs="Times New Roman" w:eastAsia="Times New Roman" w:hAnsi="Times New Roman"/>
                <w:sz w:val="15"/>
                <w:szCs w:val="15"/>
                <w:color w:val="auto"/>
              </w:rPr>
              <w:t>—</w:t>
            </w:r>
          </w:p>
        </w:tc>
        <w:tc>
          <w:tcPr>
            <w:tcW w:w="1120" w:type="dxa"/>
            <w:vAlign w:val="bottom"/>
            <w:gridSpan w:val="2"/>
          </w:tcPr>
          <w:p>
            <w:pPr>
              <w:jc w:val="right"/>
              <w:ind w:right="300"/>
              <w:spacing w:after="0"/>
              <w:rPr>
                <w:sz w:val="20"/>
                <w:szCs w:val="20"/>
                <w:color w:val="auto"/>
              </w:rPr>
            </w:pPr>
            <w:r>
              <w:rPr>
                <w:rFonts w:ascii="Times New Roman" w:cs="Times New Roman" w:eastAsia="Times New Roman" w:hAnsi="Times New Roman"/>
                <w:sz w:val="15"/>
                <w:szCs w:val="15"/>
                <w:color w:val="auto"/>
              </w:rPr>
              <w:t>—</w:t>
            </w:r>
          </w:p>
        </w:tc>
        <w:tc>
          <w:tcPr>
            <w:tcW w:w="1100" w:type="dxa"/>
            <w:vAlign w:val="bottom"/>
            <w:gridSpan w:val="2"/>
          </w:tcPr>
          <w:p>
            <w:pPr>
              <w:jc w:val="right"/>
              <w:ind w:right="300"/>
              <w:spacing w:after="0"/>
              <w:rPr>
                <w:sz w:val="20"/>
                <w:szCs w:val="20"/>
                <w:color w:val="auto"/>
              </w:rPr>
            </w:pPr>
            <w:r>
              <w:rPr>
                <w:rFonts w:ascii="Times New Roman" w:cs="Times New Roman" w:eastAsia="Times New Roman" w:hAnsi="Times New Roman"/>
                <w:sz w:val="15"/>
                <w:szCs w:val="15"/>
                <w:color w:val="auto"/>
              </w:rPr>
              <w:t>—</w:t>
            </w:r>
          </w:p>
        </w:tc>
        <w:tc>
          <w:tcPr>
            <w:tcW w:w="1100" w:type="dxa"/>
            <w:vAlign w:val="bottom"/>
            <w:gridSpan w:val="2"/>
          </w:tcPr>
          <w:p>
            <w:pPr>
              <w:jc w:val="right"/>
              <w:ind w:right="280"/>
              <w:spacing w:after="0"/>
              <w:rPr>
                <w:sz w:val="20"/>
                <w:szCs w:val="20"/>
                <w:color w:val="auto"/>
              </w:rPr>
            </w:pPr>
            <w:r>
              <w:rPr>
                <w:rFonts w:ascii="Times New Roman" w:cs="Times New Roman" w:eastAsia="Times New Roman" w:hAnsi="Times New Roman"/>
                <w:sz w:val="15"/>
                <w:szCs w:val="15"/>
                <w:color w:val="auto"/>
              </w:rPr>
              <w:t>—</w:t>
            </w:r>
          </w:p>
        </w:tc>
        <w:tc>
          <w:tcPr>
            <w:tcW w:w="1080" w:type="dxa"/>
            <w:vAlign w:val="bottom"/>
            <w:gridSpan w:val="2"/>
          </w:tcPr>
          <w:p>
            <w:pPr>
              <w:jc w:val="right"/>
              <w:ind w:right="280"/>
              <w:spacing w:after="0"/>
              <w:rPr>
                <w:sz w:val="20"/>
                <w:szCs w:val="20"/>
                <w:color w:val="auto"/>
              </w:rPr>
            </w:pPr>
            <w:r>
              <w:rPr>
                <w:rFonts w:ascii="Times New Roman" w:cs="Times New Roman" w:eastAsia="Times New Roman" w:hAnsi="Times New Roman"/>
                <w:sz w:val="15"/>
                <w:szCs w:val="15"/>
                <w:color w:val="auto"/>
              </w:rPr>
              <w:t>—</w:t>
            </w:r>
          </w:p>
        </w:tc>
        <w:tc>
          <w:tcPr>
            <w:tcW w:w="980" w:type="dxa"/>
            <w:vAlign w:val="bottom"/>
          </w:tcPr>
          <w:p>
            <w:pPr>
              <w:jc w:val="right"/>
              <w:ind w:right="104"/>
              <w:spacing w:after="0"/>
              <w:rPr>
                <w:sz w:val="20"/>
                <w:szCs w:val="20"/>
                <w:color w:val="auto"/>
              </w:rPr>
            </w:pPr>
            <w:r>
              <w:rPr>
                <w:rFonts w:ascii="Times New Roman" w:cs="Times New Roman" w:eastAsia="Times New Roman" w:hAnsi="Times New Roman"/>
                <w:sz w:val="15"/>
                <w:szCs w:val="15"/>
                <w:color w:val="auto"/>
              </w:rPr>
              <w:t>0.02</w:t>
            </w:r>
          </w:p>
        </w:tc>
      </w:tr>
      <w:tr>
        <w:trPr>
          <w:trHeight w:val="205"/>
        </w:trPr>
        <w:tc>
          <w:tcPr>
            <w:tcW w:w="3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FDIC special assessment</w:t>
            </w:r>
          </w:p>
        </w:tc>
        <w:tc>
          <w:tcPr>
            <w:tcW w:w="11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5"/>
                <w:szCs w:val="15"/>
                <w:color w:val="auto"/>
              </w:rPr>
              <w:t>—</w:t>
            </w:r>
          </w:p>
        </w:tc>
        <w:tc>
          <w:tcPr>
            <w:tcW w:w="11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5"/>
                <w:szCs w:val="15"/>
                <w:color w:val="auto"/>
              </w:rPr>
              <w:t>—</w:t>
            </w:r>
          </w:p>
        </w:tc>
        <w:tc>
          <w:tcPr>
            <w:tcW w:w="11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5"/>
                <w:szCs w:val="15"/>
                <w:color w:val="auto"/>
              </w:rPr>
              <w:t>—</w:t>
            </w:r>
          </w:p>
        </w:tc>
        <w:tc>
          <w:tcPr>
            <w:tcW w:w="11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5"/>
                <w:szCs w:val="15"/>
                <w:color w:val="auto"/>
              </w:rPr>
              <w:t>—</w:t>
            </w:r>
          </w:p>
        </w:tc>
        <w:tc>
          <w:tcPr>
            <w:tcW w:w="11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5"/>
                <w:szCs w:val="15"/>
                <w:color w:val="auto"/>
              </w:rPr>
              <w:t>—</w:t>
            </w:r>
          </w:p>
        </w:tc>
        <w:tc>
          <w:tcPr>
            <w:tcW w:w="10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5"/>
                <w:szCs w:val="15"/>
                <w:color w:val="auto"/>
              </w:rPr>
              <w:t>—</w:t>
            </w:r>
          </w:p>
        </w:tc>
        <w:tc>
          <w:tcPr>
            <w:tcW w:w="980" w:type="dxa"/>
            <w:vAlign w:val="bottom"/>
            <w:shd w:val="clear" w:color="auto" w:fill="CCEEFF"/>
          </w:tcPr>
          <w:p>
            <w:pPr>
              <w:jc w:val="right"/>
              <w:ind w:right="104"/>
              <w:spacing w:after="0"/>
              <w:rPr>
                <w:sz w:val="20"/>
                <w:szCs w:val="20"/>
                <w:color w:val="auto"/>
              </w:rPr>
            </w:pPr>
            <w:r>
              <w:rPr>
                <w:rFonts w:ascii="Times New Roman" w:cs="Times New Roman" w:eastAsia="Times New Roman" w:hAnsi="Times New Roman"/>
                <w:sz w:val="15"/>
                <w:szCs w:val="15"/>
                <w:color w:val="auto"/>
              </w:rPr>
              <w:t>0.01</w:t>
            </w:r>
          </w:p>
        </w:tc>
      </w:tr>
      <w:tr>
        <w:trPr>
          <w:trHeight w:val="200"/>
        </w:trPr>
        <w:tc>
          <w:tcPr>
            <w:tcW w:w="36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5"/>
                <w:szCs w:val="15"/>
                <w:color w:val="auto"/>
              </w:rPr>
              <w:t>Merger-related and other charges</w:t>
            </w:r>
          </w:p>
        </w:tc>
        <w:tc>
          <w:tcPr>
            <w:tcW w:w="1000" w:type="dxa"/>
            <w:vAlign w:val="bottom"/>
            <w:tcBorders>
              <w:bottom w:val="single" w:sz="8" w:color="auto"/>
            </w:tcBorders>
          </w:tcPr>
          <w:p>
            <w:pPr>
              <w:jc w:val="right"/>
              <w:ind w:right="124"/>
              <w:spacing w:after="0"/>
              <w:rPr>
                <w:sz w:val="20"/>
                <w:szCs w:val="20"/>
                <w:color w:val="auto"/>
              </w:rPr>
            </w:pPr>
            <w:r>
              <w:rPr>
                <w:rFonts w:ascii="Times New Roman" w:cs="Times New Roman" w:eastAsia="Times New Roman" w:hAnsi="Times New Roman"/>
                <w:sz w:val="15"/>
                <w:szCs w:val="15"/>
                <w:color w:val="auto"/>
              </w:rPr>
              <w:t>0.04</w:t>
            </w:r>
          </w:p>
        </w:tc>
        <w:tc>
          <w:tcPr>
            <w:tcW w:w="100" w:type="dxa"/>
            <w:vAlign w:val="bottom"/>
            <w:tcBorders>
              <w:bottom w:val="single" w:sz="8" w:color="CCEEFF"/>
            </w:tcBorders>
          </w:tcPr>
          <w:p>
            <w:pPr>
              <w:spacing w:after="0"/>
              <w:rPr>
                <w:sz w:val="17"/>
                <w:szCs w:val="17"/>
                <w:color w:val="auto"/>
              </w:rPr>
            </w:pPr>
          </w:p>
        </w:tc>
        <w:tc>
          <w:tcPr>
            <w:tcW w:w="1000" w:type="dxa"/>
            <w:vAlign w:val="bottom"/>
            <w:tcBorders>
              <w:bottom w:val="single" w:sz="8" w:color="auto"/>
            </w:tcBorders>
          </w:tcPr>
          <w:p>
            <w:pPr>
              <w:jc w:val="right"/>
              <w:ind w:right="104"/>
              <w:spacing w:after="0"/>
              <w:rPr>
                <w:sz w:val="20"/>
                <w:szCs w:val="20"/>
                <w:color w:val="auto"/>
              </w:rPr>
            </w:pPr>
            <w:r>
              <w:rPr>
                <w:rFonts w:ascii="Times New Roman" w:cs="Times New Roman" w:eastAsia="Times New Roman" w:hAnsi="Times New Roman"/>
                <w:sz w:val="15"/>
                <w:szCs w:val="15"/>
                <w:color w:val="auto"/>
              </w:rPr>
              <w:t>0.05</w:t>
            </w:r>
          </w:p>
        </w:tc>
        <w:tc>
          <w:tcPr>
            <w:tcW w:w="100" w:type="dxa"/>
            <w:vAlign w:val="bottom"/>
            <w:tcBorders>
              <w:bottom w:val="single" w:sz="8" w:color="CCEEFF"/>
            </w:tcBorders>
          </w:tcPr>
          <w:p>
            <w:pPr>
              <w:spacing w:after="0"/>
              <w:rPr>
                <w:sz w:val="17"/>
                <w:szCs w:val="17"/>
                <w:color w:val="auto"/>
              </w:rPr>
            </w:pPr>
          </w:p>
        </w:tc>
        <w:tc>
          <w:tcPr>
            <w:tcW w:w="1000" w:type="dxa"/>
            <w:vAlign w:val="bottom"/>
            <w:tcBorders>
              <w:bottom w:val="single" w:sz="8" w:color="auto"/>
            </w:tcBorders>
          </w:tcPr>
          <w:p>
            <w:pPr>
              <w:jc w:val="right"/>
              <w:ind w:right="104"/>
              <w:spacing w:after="0"/>
              <w:rPr>
                <w:sz w:val="20"/>
                <w:szCs w:val="20"/>
                <w:color w:val="auto"/>
              </w:rPr>
            </w:pPr>
            <w:r>
              <w:rPr>
                <w:rFonts w:ascii="Times New Roman" w:cs="Times New Roman" w:eastAsia="Times New Roman" w:hAnsi="Times New Roman"/>
                <w:sz w:val="15"/>
                <w:szCs w:val="15"/>
                <w:color w:val="auto"/>
              </w:rPr>
              <w:t>0.02</w:t>
            </w:r>
          </w:p>
        </w:tc>
        <w:tc>
          <w:tcPr>
            <w:tcW w:w="120" w:type="dxa"/>
            <w:vAlign w:val="bottom"/>
            <w:tcBorders>
              <w:bottom w:val="single" w:sz="8" w:color="CCEEFF"/>
            </w:tcBorders>
          </w:tcPr>
          <w:p>
            <w:pPr>
              <w:spacing w:after="0"/>
              <w:rPr>
                <w:sz w:val="17"/>
                <w:szCs w:val="17"/>
                <w:color w:val="auto"/>
              </w:rPr>
            </w:pPr>
          </w:p>
        </w:tc>
        <w:tc>
          <w:tcPr>
            <w:tcW w:w="1000" w:type="dxa"/>
            <w:vAlign w:val="bottom"/>
            <w:tcBorders>
              <w:bottom w:val="single" w:sz="8" w:color="auto"/>
            </w:tcBorders>
          </w:tcPr>
          <w:p>
            <w:pPr>
              <w:jc w:val="right"/>
              <w:ind w:right="124"/>
              <w:spacing w:after="0"/>
              <w:rPr>
                <w:sz w:val="20"/>
                <w:szCs w:val="20"/>
                <w:color w:val="auto"/>
              </w:rPr>
            </w:pPr>
            <w:r>
              <w:rPr>
                <w:rFonts w:ascii="Times New Roman" w:cs="Times New Roman" w:eastAsia="Times New Roman" w:hAnsi="Times New Roman"/>
                <w:sz w:val="15"/>
                <w:szCs w:val="15"/>
                <w:color w:val="auto"/>
              </w:rPr>
              <w:t>0.02</w:t>
            </w:r>
          </w:p>
        </w:tc>
        <w:tc>
          <w:tcPr>
            <w:tcW w:w="100" w:type="dxa"/>
            <w:vAlign w:val="bottom"/>
            <w:tcBorders>
              <w:bottom w:val="single" w:sz="8" w:color="CCEEFF"/>
            </w:tcBorders>
          </w:tcPr>
          <w:p>
            <w:pPr>
              <w:spacing w:after="0"/>
              <w:rPr>
                <w:sz w:val="17"/>
                <w:szCs w:val="17"/>
                <w:color w:val="auto"/>
              </w:rPr>
            </w:pPr>
          </w:p>
        </w:tc>
        <w:tc>
          <w:tcPr>
            <w:tcW w:w="1000" w:type="dxa"/>
            <w:vAlign w:val="bottom"/>
            <w:tcBorders>
              <w:bottom w:val="single" w:sz="8" w:color="auto"/>
            </w:tcBorders>
          </w:tcPr>
          <w:p>
            <w:pPr>
              <w:jc w:val="right"/>
              <w:ind w:right="104"/>
              <w:spacing w:after="0"/>
              <w:rPr>
                <w:sz w:val="20"/>
                <w:szCs w:val="20"/>
                <w:color w:val="auto"/>
              </w:rPr>
            </w:pPr>
            <w:r>
              <w:rPr>
                <w:rFonts w:ascii="Times New Roman" w:cs="Times New Roman" w:eastAsia="Times New Roman" w:hAnsi="Times New Roman"/>
                <w:sz w:val="15"/>
                <w:szCs w:val="15"/>
                <w:color w:val="auto"/>
              </w:rPr>
              <w:t>0.03</w:t>
            </w:r>
          </w:p>
        </w:tc>
        <w:tc>
          <w:tcPr>
            <w:tcW w:w="100" w:type="dxa"/>
            <w:vAlign w:val="bottom"/>
            <w:tcBorders>
              <w:bottom w:val="single" w:sz="8" w:color="CCEEFF"/>
            </w:tcBorders>
          </w:tcPr>
          <w:p>
            <w:pPr>
              <w:spacing w:after="0"/>
              <w:rPr>
                <w:sz w:val="17"/>
                <w:szCs w:val="17"/>
                <w:color w:val="auto"/>
              </w:rPr>
            </w:pPr>
          </w:p>
        </w:tc>
        <w:tc>
          <w:tcPr>
            <w:tcW w:w="980" w:type="dxa"/>
            <w:vAlign w:val="bottom"/>
            <w:tcBorders>
              <w:bottom w:val="single" w:sz="8" w:color="auto"/>
            </w:tcBorders>
          </w:tcPr>
          <w:p>
            <w:pPr>
              <w:jc w:val="right"/>
              <w:ind w:right="104"/>
              <w:spacing w:after="0"/>
              <w:rPr>
                <w:sz w:val="20"/>
                <w:szCs w:val="20"/>
                <w:color w:val="auto"/>
              </w:rPr>
            </w:pPr>
            <w:r>
              <w:rPr>
                <w:rFonts w:ascii="Times New Roman" w:cs="Times New Roman" w:eastAsia="Times New Roman" w:hAnsi="Times New Roman"/>
                <w:sz w:val="15"/>
                <w:szCs w:val="15"/>
                <w:color w:val="auto"/>
              </w:rPr>
              <w:t>0.03</w:t>
            </w:r>
          </w:p>
        </w:tc>
        <w:tc>
          <w:tcPr>
            <w:tcW w:w="100" w:type="dxa"/>
            <w:vAlign w:val="bottom"/>
            <w:tcBorders>
              <w:bottom w:val="single" w:sz="8" w:color="CCEEFF"/>
            </w:tcBorders>
          </w:tcPr>
          <w:p>
            <w:pPr>
              <w:spacing w:after="0"/>
              <w:rPr>
                <w:sz w:val="17"/>
                <w:szCs w:val="17"/>
                <w:color w:val="auto"/>
              </w:rPr>
            </w:pPr>
          </w:p>
        </w:tc>
        <w:tc>
          <w:tcPr>
            <w:tcW w:w="980" w:type="dxa"/>
            <w:vAlign w:val="bottom"/>
            <w:tcBorders>
              <w:bottom w:val="single" w:sz="8" w:color="auto"/>
            </w:tcBorders>
          </w:tcPr>
          <w:p>
            <w:pPr>
              <w:jc w:val="right"/>
              <w:ind w:right="104"/>
              <w:spacing w:after="0"/>
              <w:rPr>
                <w:sz w:val="20"/>
                <w:szCs w:val="20"/>
                <w:color w:val="auto"/>
              </w:rPr>
            </w:pPr>
            <w:r>
              <w:rPr>
                <w:rFonts w:ascii="Times New Roman" w:cs="Times New Roman" w:eastAsia="Times New Roman" w:hAnsi="Times New Roman"/>
                <w:sz w:val="15"/>
                <w:szCs w:val="15"/>
                <w:color w:val="auto"/>
              </w:rPr>
              <w:t>0.02</w:t>
            </w:r>
          </w:p>
        </w:tc>
      </w:tr>
      <w:tr>
        <w:trPr>
          <w:trHeight w:val="223"/>
        </w:trPr>
        <w:tc>
          <w:tcPr>
            <w:tcW w:w="36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Return on assets - operating</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1.33 %</w:t>
            </w:r>
          </w:p>
        </w:tc>
        <w:tc>
          <w:tcPr>
            <w:tcW w:w="10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1.16 %</w:t>
            </w:r>
          </w:p>
        </w:tc>
        <w:tc>
          <w:tcPr>
            <w:tcW w:w="10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1.04 %</w:t>
            </w:r>
          </w:p>
        </w:tc>
        <w:tc>
          <w:tcPr>
            <w:tcW w:w="12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1.08 %</w:t>
            </w:r>
          </w:p>
        </w:tc>
        <w:tc>
          <w:tcPr>
            <w:tcW w:w="10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1.01 %</w:t>
            </w:r>
          </w:p>
        </w:tc>
        <w:tc>
          <w:tcPr>
            <w:tcW w:w="10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1.19 %</w:t>
            </w:r>
          </w:p>
        </w:tc>
        <w:tc>
          <w:tcPr>
            <w:tcW w:w="10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0.99 %</w:t>
            </w:r>
          </w:p>
        </w:tc>
      </w:tr>
      <w:tr>
        <w:trPr>
          <w:trHeight w:val="20"/>
        </w:trPr>
        <w:tc>
          <w:tcPr>
            <w:tcW w:w="366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r>
      <w:tr>
        <w:trPr>
          <w:trHeight w:val="149"/>
        </w:trPr>
        <w:tc>
          <w:tcPr>
            <w:tcW w:w="36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tcPr>
          <w:p>
            <w:pPr>
              <w:spacing w:after="0"/>
              <w:rPr>
                <w:sz w:val="13"/>
                <w:szCs w:val="13"/>
                <w:color w:val="auto"/>
              </w:rPr>
            </w:pPr>
          </w:p>
        </w:tc>
      </w:tr>
      <w:tr>
        <w:trPr>
          <w:trHeight w:val="203"/>
        </w:trPr>
        <w:tc>
          <w:tcPr>
            <w:tcW w:w="3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Efficiency ratio reconciliation</w:t>
            </w: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r>
      <w:tr>
        <w:trPr>
          <w:trHeight w:val="200"/>
        </w:trPr>
        <w:tc>
          <w:tcPr>
            <w:tcW w:w="366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Efficiency ratio (GAAP)</w:t>
            </w:r>
          </w:p>
        </w:tc>
        <w:tc>
          <w:tcPr>
            <w:tcW w:w="10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54.30 %</w:t>
            </w:r>
          </w:p>
        </w:tc>
        <w:tc>
          <w:tcPr>
            <w:tcW w:w="1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56.69 %</w:t>
            </w:r>
          </w:p>
        </w:tc>
        <w:tc>
          <w:tcPr>
            <w:tcW w:w="1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56.74 %</w:t>
            </w:r>
          </w:p>
        </w:tc>
        <w:tc>
          <w:tcPr>
            <w:tcW w:w="1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56.05 %</w:t>
            </w:r>
          </w:p>
        </w:tc>
        <w:tc>
          <w:tcPr>
            <w:tcW w:w="1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65.51 %</w:t>
            </w:r>
          </w:p>
        </w:tc>
        <w:tc>
          <w:tcPr>
            <w:tcW w:w="10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55.86 %</w:t>
            </w:r>
          </w:p>
        </w:tc>
        <w:tc>
          <w:tcPr>
            <w:tcW w:w="10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61.76 %</w:t>
            </w:r>
          </w:p>
        </w:tc>
      </w:tr>
      <w:tr>
        <w:trPr>
          <w:trHeight w:val="205"/>
        </w:trPr>
        <w:tc>
          <w:tcPr>
            <w:tcW w:w="3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Loss on sale of manufactured housing loans</w:t>
            </w:r>
          </w:p>
        </w:tc>
        <w:tc>
          <w:tcPr>
            <w:tcW w:w="11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5"/>
                <w:szCs w:val="15"/>
                <w:color w:val="auto"/>
              </w:rPr>
              <w:t>—</w:t>
            </w:r>
          </w:p>
        </w:tc>
        <w:tc>
          <w:tcPr>
            <w:tcW w:w="11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5"/>
                <w:szCs w:val="15"/>
                <w:color w:val="auto"/>
              </w:rPr>
              <w:t>—</w:t>
            </w:r>
          </w:p>
        </w:tc>
        <w:tc>
          <w:tcPr>
            <w:tcW w:w="11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5"/>
                <w:szCs w:val="15"/>
                <w:color w:val="auto"/>
              </w:rPr>
              <w:t>—</w:t>
            </w:r>
          </w:p>
        </w:tc>
        <w:tc>
          <w:tcPr>
            <w:tcW w:w="11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5"/>
                <w:szCs w:val="15"/>
                <w:color w:val="auto"/>
              </w:rPr>
              <w:t>—</w:t>
            </w:r>
          </w:p>
        </w:tc>
        <w:tc>
          <w:tcPr>
            <w:tcW w:w="1000" w:type="dxa"/>
            <w:vAlign w:val="bottom"/>
            <w:shd w:val="clear" w:color="auto" w:fill="CCEEFF"/>
          </w:tcPr>
          <w:p>
            <w:pPr>
              <w:jc w:val="right"/>
              <w:ind w:right="64"/>
              <w:spacing w:after="0"/>
              <w:rPr>
                <w:sz w:val="20"/>
                <w:szCs w:val="20"/>
                <w:color w:val="auto"/>
              </w:rPr>
            </w:pPr>
            <w:r>
              <w:rPr>
                <w:rFonts w:ascii="Times New Roman" w:cs="Times New Roman" w:eastAsia="Times New Roman" w:hAnsi="Times New Roman"/>
                <w:sz w:val="15"/>
                <w:szCs w:val="15"/>
                <w:color w:val="auto"/>
              </w:rPr>
              <w:t>(7.15)</w:t>
            </w:r>
          </w:p>
        </w:tc>
        <w:tc>
          <w:tcPr>
            <w:tcW w:w="10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5"/>
                <w:szCs w:val="15"/>
                <w:color w:val="auto"/>
              </w:rPr>
              <w:t>—</w:t>
            </w:r>
          </w:p>
        </w:tc>
        <w:tc>
          <w:tcPr>
            <w:tcW w:w="980" w:type="dxa"/>
            <w:vAlign w:val="bottom"/>
            <w:shd w:val="clear" w:color="auto" w:fill="CCEEFF"/>
          </w:tcPr>
          <w:p>
            <w:pPr>
              <w:jc w:val="right"/>
              <w:ind w:right="64"/>
              <w:spacing w:after="0"/>
              <w:rPr>
                <w:sz w:val="20"/>
                <w:szCs w:val="20"/>
                <w:color w:val="auto"/>
              </w:rPr>
            </w:pPr>
            <w:r>
              <w:rPr>
                <w:rFonts w:ascii="Times New Roman" w:cs="Times New Roman" w:eastAsia="Times New Roman" w:hAnsi="Times New Roman"/>
                <w:sz w:val="15"/>
                <w:szCs w:val="15"/>
                <w:color w:val="auto"/>
              </w:rPr>
              <w:t>(2.25)</w:t>
            </w:r>
          </w:p>
        </w:tc>
      </w:tr>
      <w:tr>
        <w:trPr>
          <w:trHeight w:val="200"/>
        </w:trPr>
        <w:tc>
          <w:tcPr>
            <w:tcW w:w="366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Gain on lease termination</w:t>
            </w:r>
          </w:p>
        </w:tc>
        <w:tc>
          <w:tcPr>
            <w:tcW w:w="1100" w:type="dxa"/>
            <w:vAlign w:val="bottom"/>
            <w:gridSpan w:val="2"/>
          </w:tcPr>
          <w:p>
            <w:pPr>
              <w:jc w:val="right"/>
              <w:ind w:right="300"/>
              <w:spacing w:after="0"/>
              <w:rPr>
                <w:sz w:val="20"/>
                <w:szCs w:val="20"/>
                <w:color w:val="auto"/>
              </w:rPr>
            </w:pPr>
            <w:r>
              <w:rPr>
                <w:rFonts w:ascii="Times New Roman" w:cs="Times New Roman" w:eastAsia="Times New Roman" w:hAnsi="Times New Roman"/>
                <w:sz w:val="15"/>
                <w:szCs w:val="15"/>
                <w:color w:val="auto"/>
              </w:rPr>
              <w:t>—</w:t>
            </w:r>
          </w:p>
        </w:tc>
        <w:tc>
          <w:tcPr>
            <w:tcW w:w="1100" w:type="dxa"/>
            <w:vAlign w:val="bottom"/>
            <w:gridSpan w:val="2"/>
          </w:tcPr>
          <w:p>
            <w:pPr>
              <w:jc w:val="right"/>
              <w:ind w:right="280"/>
              <w:spacing w:after="0"/>
              <w:rPr>
                <w:sz w:val="20"/>
                <w:szCs w:val="20"/>
                <w:color w:val="auto"/>
              </w:rPr>
            </w:pPr>
            <w:r>
              <w:rPr>
                <w:rFonts w:ascii="Times New Roman" w:cs="Times New Roman" w:eastAsia="Times New Roman" w:hAnsi="Times New Roman"/>
                <w:sz w:val="15"/>
                <w:szCs w:val="15"/>
                <w:color w:val="auto"/>
              </w:rPr>
              <w:t>—</w:t>
            </w:r>
          </w:p>
        </w:tc>
        <w:tc>
          <w:tcPr>
            <w:tcW w:w="1120" w:type="dxa"/>
            <w:vAlign w:val="bottom"/>
            <w:gridSpan w:val="2"/>
          </w:tcPr>
          <w:p>
            <w:pPr>
              <w:jc w:val="right"/>
              <w:ind w:right="300"/>
              <w:spacing w:after="0"/>
              <w:rPr>
                <w:sz w:val="20"/>
                <w:szCs w:val="20"/>
                <w:color w:val="auto"/>
              </w:rPr>
            </w:pPr>
            <w:r>
              <w:rPr>
                <w:rFonts w:ascii="Times New Roman" w:cs="Times New Roman" w:eastAsia="Times New Roman" w:hAnsi="Times New Roman"/>
                <w:sz w:val="15"/>
                <w:szCs w:val="15"/>
                <w:color w:val="auto"/>
              </w:rPr>
              <w:t>—</w:t>
            </w:r>
          </w:p>
        </w:tc>
        <w:tc>
          <w:tcPr>
            <w:tcW w:w="1100" w:type="dxa"/>
            <w:vAlign w:val="bottom"/>
            <w:gridSpan w:val="2"/>
          </w:tcPr>
          <w:p>
            <w:pPr>
              <w:jc w:val="right"/>
              <w:ind w:right="300"/>
              <w:spacing w:after="0"/>
              <w:rPr>
                <w:sz w:val="20"/>
                <w:szCs w:val="20"/>
                <w:color w:val="auto"/>
              </w:rPr>
            </w:pPr>
            <w:r>
              <w:rPr>
                <w:rFonts w:ascii="Times New Roman" w:cs="Times New Roman" w:eastAsia="Times New Roman" w:hAnsi="Times New Roman"/>
                <w:sz w:val="15"/>
                <w:szCs w:val="15"/>
                <w:color w:val="auto"/>
              </w:rPr>
              <w:t>—</w:t>
            </w:r>
          </w:p>
        </w:tc>
        <w:tc>
          <w:tcPr>
            <w:tcW w:w="1100" w:type="dxa"/>
            <w:vAlign w:val="bottom"/>
            <w:gridSpan w:val="2"/>
          </w:tcPr>
          <w:p>
            <w:pPr>
              <w:jc w:val="right"/>
              <w:ind w:right="280"/>
              <w:spacing w:after="0"/>
              <w:rPr>
                <w:sz w:val="20"/>
                <w:szCs w:val="20"/>
                <w:color w:val="auto"/>
              </w:rPr>
            </w:pPr>
            <w:r>
              <w:rPr>
                <w:rFonts w:ascii="Times New Roman" w:cs="Times New Roman" w:eastAsia="Times New Roman" w:hAnsi="Times New Roman"/>
                <w:sz w:val="15"/>
                <w:szCs w:val="15"/>
                <w:color w:val="auto"/>
              </w:rPr>
              <w:t>—</w:t>
            </w:r>
          </w:p>
        </w:tc>
        <w:tc>
          <w:tcPr>
            <w:tcW w:w="1080" w:type="dxa"/>
            <w:vAlign w:val="bottom"/>
            <w:gridSpan w:val="2"/>
          </w:tcPr>
          <w:p>
            <w:pPr>
              <w:jc w:val="right"/>
              <w:ind w:right="280"/>
              <w:spacing w:after="0"/>
              <w:rPr>
                <w:sz w:val="20"/>
                <w:szCs w:val="20"/>
                <w:color w:val="auto"/>
              </w:rPr>
            </w:pPr>
            <w:r>
              <w:rPr>
                <w:rFonts w:ascii="Times New Roman" w:cs="Times New Roman" w:eastAsia="Times New Roman" w:hAnsi="Times New Roman"/>
                <w:sz w:val="15"/>
                <w:szCs w:val="15"/>
                <w:color w:val="auto"/>
              </w:rPr>
              <w:t>—</w:t>
            </w:r>
          </w:p>
        </w:tc>
        <w:tc>
          <w:tcPr>
            <w:tcW w:w="980" w:type="dxa"/>
            <w:vAlign w:val="bottom"/>
          </w:tcPr>
          <w:p>
            <w:pPr>
              <w:jc w:val="right"/>
              <w:ind w:right="104"/>
              <w:spacing w:after="0"/>
              <w:rPr>
                <w:sz w:val="20"/>
                <w:szCs w:val="20"/>
                <w:color w:val="auto"/>
              </w:rPr>
            </w:pPr>
            <w:r>
              <w:rPr>
                <w:rFonts w:ascii="Times New Roman" w:cs="Times New Roman" w:eastAsia="Times New Roman" w:hAnsi="Times New Roman"/>
                <w:sz w:val="15"/>
                <w:szCs w:val="15"/>
                <w:color w:val="auto"/>
              </w:rPr>
              <w:t>0.21</w:t>
            </w:r>
          </w:p>
        </w:tc>
      </w:tr>
      <w:tr>
        <w:trPr>
          <w:trHeight w:val="205"/>
        </w:trPr>
        <w:tc>
          <w:tcPr>
            <w:tcW w:w="3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Loss on sale of FinTrust, including goodwill impairment</w:t>
            </w:r>
          </w:p>
        </w:tc>
        <w:tc>
          <w:tcPr>
            <w:tcW w:w="11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5"/>
                <w:szCs w:val="15"/>
                <w:color w:val="auto"/>
              </w:rPr>
              <w:t>—</w:t>
            </w:r>
          </w:p>
        </w:tc>
        <w:tc>
          <w:tcPr>
            <w:tcW w:w="11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5"/>
                <w:szCs w:val="15"/>
                <w:color w:val="auto"/>
              </w:rPr>
              <w:t>—</w:t>
            </w:r>
          </w:p>
        </w:tc>
        <w:tc>
          <w:tcPr>
            <w:tcW w:w="11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5"/>
                <w:szCs w:val="15"/>
                <w:color w:val="auto"/>
              </w:rPr>
              <w:t>—</w:t>
            </w:r>
          </w:p>
        </w:tc>
        <w:tc>
          <w:tcPr>
            <w:tcW w:w="11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5"/>
                <w:szCs w:val="15"/>
                <w:color w:val="auto"/>
              </w:rPr>
              <w:t>—</w:t>
            </w:r>
          </w:p>
        </w:tc>
        <w:tc>
          <w:tcPr>
            <w:tcW w:w="11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5"/>
                <w:szCs w:val="15"/>
                <w:color w:val="auto"/>
              </w:rPr>
              <w:t>—</w:t>
            </w:r>
          </w:p>
        </w:tc>
        <w:tc>
          <w:tcPr>
            <w:tcW w:w="10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5"/>
                <w:szCs w:val="15"/>
                <w:color w:val="auto"/>
              </w:rPr>
              <w:t>—</w:t>
            </w:r>
          </w:p>
        </w:tc>
        <w:tc>
          <w:tcPr>
            <w:tcW w:w="980" w:type="dxa"/>
            <w:vAlign w:val="bottom"/>
            <w:shd w:val="clear" w:color="auto" w:fill="CCEEFF"/>
          </w:tcPr>
          <w:p>
            <w:pPr>
              <w:jc w:val="right"/>
              <w:ind w:right="64"/>
              <w:spacing w:after="0"/>
              <w:rPr>
                <w:sz w:val="20"/>
                <w:szCs w:val="20"/>
                <w:color w:val="auto"/>
              </w:rPr>
            </w:pPr>
            <w:r>
              <w:rPr>
                <w:rFonts w:ascii="Times New Roman" w:cs="Times New Roman" w:eastAsia="Times New Roman" w:hAnsi="Times New Roman"/>
                <w:sz w:val="15"/>
                <w:szCs w:val="15"/>
                <w:color w:val="auto"/>
              </w:rPr>
              <w:t>(0.73)</w:t>
            </w:r>
          </w:p>
        </w:tc>
      </w:tr>
      <w:tr>
        <w:trPr>
          <w:trHeight w:val="200"/>
        </w:trPr>
        <w:tc>
          <w:tcPr>
            <w:tcW w:w="366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FDIC special assessment</w:t>
            </w:r>
          </w:p>
        </w:tc>
        <w:tc>
          <w:tcPr>
            <w:tcW w:w="1100" w:type="dxa"/>
            <w:vAlign w:val="bottom"/>
            <w:gridSpan w:val="2"/>
          </w:tcPr>
          <w:p>
            <w:pPr>
              <w:jc w:val="right"/>
              <w:ind w:right="300"/>
              <w:spacing w:after="0"/>
              <w:rPr>
                <w:sz w:val="20"/>
                <w:szCs w:val="20"/>
                <w:color w:val="auto"/>
              </w:rPr>
            </w:pPr>
            <w:r>
              <w:rPr>
                <w:rFonts w:ascii="Times New Roman" w:cs="Times New Roman" w:eastAsia="Times New Roman" w:hAnsi="Times New Roman"/>
                <w:sz w:val="15"/>
                <w:szCs w:val="15"/>
                <w:color w:val="auto"/>
              </w:rPr>
              <w:t>—</w:t>
            </w:r>
          </w:p>
        </w:tc>
        <w:tc>
          <w:tcPr>
            <w:tcW w:w="1100" w:type="dxa"/>
            <w:vAlign w:val="bottom"/>
            <w:gridSpan w:val="2"/>
          </w:tcPr>
          <w:p>
            <w:pPr>
              <w:jc w:val="right"/>
              <w:ind w:right="280"/>
              <w:spacing w:after="0"/>
              <w:rPr>
                <w:sz w:val="20"/>
                <w:szCs w:val="20"/>
                <w:color w:val="auto"/>
              </w:rPr>
            </w:pPr>
            <w:r>
              <w:rPr>
                <w:rFonts w:ascii="Times New Roman" w:cs="Times New Roman" w:eastAsia="Times New Roman" w:hAnsi="Times New Roman"/>
                <w:sz w:val="15"/>
                <w:szCs w:val="15"/>
                <w:color w:val="auto"/>
              </w:rPr>
              <w:t>—</w:t>
            </w:r>
          </w:p>
        </w:tc>
        <w:tc>
          <w:tcPr>
            <w:tcW w:w="1120" w:type="dxa"/>
            <w:vAlign w:val="bottom"/>
            <w:gridSpan w:val="2"/>
          </w:tcPr>
          <w:p>
            <w:pPr>
              <w:jc w:val="right"/>
              <w:ind w:right="300"/>
              <w:spacing w:after="0"/>
              <w:rPr>
                <w:sz w:val="20"/>
                <w:szCs w:val="20"/>
                <w:color w:val="auto"/>
              </w:rPr>
            </w:pPr>
            <w:r>
              <w:rPr>
                <w:rFonts w:ascii="Times New Roman" w:cs="Times New Roman" w:eastAsia="Times New Roman" w:hAnsi="Times New Roman"/>
                <w:sz w:val="15"/>
                <w:szCs w:val="15"/>
                <w:color w:val="auto"/>
              </w:rPr>
              <w:t>—</w:t>
            </w:r>
          </w:p>
        </w:tc>
        <w:tc>
          <w:tcPr>
            <w:tcW w:w="1100" w:type="dxa"/>
            <w:vAlign w:val="bottom"/>
            <w:gridSpan w:val="2"/>
          </w:tcPr>
          <w:p>
            <w:pPr>
              <w:jc w:val="right"/>
              <w:ind w:right="300"/>
              <w:spacing w:after="0"/>
              <w:rPr>
                <w:sz w:val="20"/>
                <w:szCs w:val="20"/>
                <w:color w:val="auto"/>
              </w:rPr>
            </w:pPr>
            <w:r>
              <w:rPr>
                <w:rFonts w:ascii="Times New Roman" w:cs="Times New Roman" w:eastAsia="Times New Roman" w:hAnsi="Times New Roman"/>
                <w:sz w:val="15"/>
                <w:szCs w:val="15"/>
                <w:color w:val="auto"/>
              </w:rPr>
              <w:t>—</w:t>
            </w:r>
          </w:p>
        </w:tc>
        <w:tc>
          <w:tcPr>
            <w:tcW w:w="1100" w:type="dxa"/>
            <w:vAlign w:val="bottom"/>
            <w:gridSpan w:val="2"/>
          </w:tcPr>
          <w:p>
            <w:pPr>
              <w:jc w:val="right"/>
              <w:ind w:right="280"/>
              <w:spacing w:after="0"/>
              <w:rPr>
                <w:sz w:val="20"/>
                <w:szCs w:val="20"/>
                <w:color w:val="auto"/>
              </w:rPr>
            </w:pPr>
            <w:r>
              <w:rPr>
                <w:rFonts w:ascii="Times New Roman" w:cs="Times New Roman" w:eastAsia="Times New Roman" w:hAnsi="Times New Roman"/>
                <w:sz w:val="15"/>
                <w:szCs w:val="15"/>
                <w:color w:val="auto"/>
              </w:rPr>
              <w:t>—</w:t>
            </w:r>
          </w:p>
        </w:tc>
        <w:tc>
          <w:tcPr>
            <w:tcW w:w="1080" w:type="dxa"/>
            <w:vAlign w:val="bottom"/>
            <w:gridSpan w:val="2"/>
          </w:tcPr>
          <w:p>
            <w:pPr>
              <w:jc w:val="right"/>
              <w:ind w:right="280"/>
              <w:spacing w:after="0"/>
              <w:rPr>
                <w:sz w:val="20"/>
                <w:szCs w:val="20"/>
                <w:color w:val="auto"/>
              </w:rPr>
            </w:pPr>
            <w:r>
              <w:rPr>
                <w:rFonts w:ascii="Times New Roman" w:cs="Times New Roman" w:eastAsia="Times New Roman" w:hAnsi="Times New Roman"/>
                <w:sz w:val="15"/>
                <w:szCs w:val="15"/>
                <w:color w:val="auto"/>
              </w:rPr>
              <w:t>—</w:t>
            </w:r>
          </w:p>
        </w:tc>
        <w:tc>
          <w:tcPr>
            <w:tcW w:w="980" w:type="dxa"/>
            <w:vAlign w:val="bottom"/>
          </w:tcPr>
          <w:p>
            <w:pPr>
              <w:jc w:val="right"/>
              <w:ind w:right="64"/>
              <w:spacing w:after="0"/>
              <w:rPr>
                <w:sz w:val="20"/>
                <w:szCs w:val="20"/>
                <w:color w:val="auto"/>
              </w:rPr>
            </w:pPr>
            <w:r>
              <w:rPr>
                <w:rFonts w:ascii="Times New Roman" w:cs="Times New Roman" w:eastAsia="Times New Roman" w:hAnsi="Times New Roman"/>
                <w:sz w:val="15"/>
                <w:szCs w:val="15"/>
                <w:color w:val="auto"/>
              </w:rPr>
              <w:t>(0.24)</w:t>
            </w:r>
          </w:p>
        </w:tc>
      </w:tr>
      <w:tr>
        <w:trPr>
          <w:trHeight w:val="203"/>
        </w:trPr>
        <w:tc>
          <w:tcPr>
            <w:tcW w:w="3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Merger-related and other charges</w:t>
            </w:r>
          </w:p>
        </w:tc>
        <w:tc>
          <w:tcPr>
            <w:tcW w:w="1000" w:type="dxa"/>
            <w:vAlign w:val="bottom"/>
            <w:tcBorders>
              <w:bottom w:val="single" w:sz="8" w:color="auto"/>
            </w:tcBorders>
            <w:shd w:val="clear" w:color="auto" w:fill="CCEEFF"/>
          </w:tcPr>
          <w:p>
            <w:pPr>
              <w:jc w:val="right"/>
              <w:ind w:right="84"/>
              <w:spacing w:after="0"/>
              <w:rPr>
                <w:sz w:val="20"/>
                <w:szCs w:val="20"/>
                <w:color w:val="auto"/>
              </w:rPr>
            </w:pPr>
            <w:r>
              <w:rPr>
                <w:rFonts w:ascii="Times New Roman" w:cs="Times New Roman" w:eastAsia="Times New Roman" w:hAnsi="Times New Roman"/>
                <w:sz w:val="15"/>
                <w:szCs w:val="15"/>
                <w:color w:val="auto"/>
              </w:rPr>
              <w:t>(1.25)</w:t>
            </w:r>
          </w:p>
        </w:tc>
        <w:tc>
          <w:tcPr>
            <w:tcW w:w="100" w:type="dxa"/>
            <w:vAlign w:val="bottom"/>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ind w:right="64"/>
              <w:spacing w:after="0"/>
              <w:rPr>
                <w:sz w:val="20"/>
                <w:szCs w:val="20"/>
                <w:color w:val="auto"/>
              </w:rPr>
            </w:pPr>
            <w:r>
              <w:rPr>
                <w:rFonts w:ascii="Times New Roman" w:cs="Times New Roman" w:eastAsia="Times New Roman" w:hAnsi="Times New Roman"/>
                <w:sz w:val="15"/>
                <w:szCs w:val="15"/>
                <w:color w:val="auto"/>
              </w:rPr>
              <w:t>(1.85)</w:t>
            </w:r>
          </w:p>
        </w:tc>
        <w:tc>
          <w:tcPr>
            <w:tcW w:w="100" w:type="dxa"/>
            <w:vAlign w:val="bottom"/>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ind w:right="64"/>
              <w:spacing w:after="0"/>
              <w:rPr>
                <w:sz w:val="20"/>
                <w:szCs w:val="20"/>
                <w:color w:val="auto"/>
              </w:rPr>
            </w:pPr>
            <w:r>
              <w:rPr>
                <w:rFonts w:ascii="Times New Roman" w:cs="Times New Roman" w:eastAsia="Times New Roman" w:hAnsi="Times New Roman"/>
                <w:sz w:val="15"/>
                <w:szCs w:val="15"/>
                <w:color w:val="auto"/>
              </w:rPr>
              <w:t>(0.52)</w:t>
            </w:r>
          </w:p>
        </w:tc>
        <w:tc>
          <w:tcPr>
            <w:tcW w:w="120" w:type="dxa"/>
            <w:vAlign w:val="bottom"/>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ind w:right="84"/>
              <w:spacing w:after="0"/>
              <w:rPr>
                <w:sz w:val="20"/>
                <w:szCs w:val="20"/>
                <w:color w:val="auto"/>
              </w:rPr>
            </w:pPr>
            <w:r>
              <w:rPr>
                <w:rFonts w:ascii="Times New Roman" w:cs="Times New Roman" w:eastAsia="Times New Roman" w:hAnsi="Times New Roman"/>
                <w:sz w:val="15"/>
                <w:szCs w:val="15"/>
                <w:color w:val="auto"/>
              </w:rPr>
              <w:t>(0.87)</w:t>
            </w:r>
          </w:p>
        </w:tc>
        <w:tc>
          <w:tcPr>
            <w:tcW w:w="100" w:type="dxa"/>
            <w:vAlign w:val="bottom"/>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ind w:right="64"/>
              <w:spacing w:after="0"/>
              <w:rPr>
                <w:sz w:val="20"/>
                <w:szCs w:val="20"/>
                <w:color w:val="auto"/>
              </w:rPr>
            </w:pPr>
            <w:r>
              <w:rPr>
                <w:rFonts w:ascii="Times New Roman" w:cs="Times New Roman" w:eastAsia="Times New Roman" w:hAnsi="Times New Roman"/>
                <w:sz w:val="15"/>
                <w:szCs w:val="15"/>
                <w:color w:val="auto"/>
              </w:rPr>
              <w:t>(0.99)</w:t>
            </w:r>
          </w:p>
        </w:tc>
        <w:tc>
          <w:tcPr>
            <w:tcW w:w="100" w:type="dxa"/>
            <w:vAlign w:val="bottom"/>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ind w:right="64"/>
              <w:spacing w:after="0"/>
              <w:rPr>
                <w:sz w:val="20"/>
                <w:szCs w:val="20"/>
                <w:color w:val="auto"/>
              </w:rPr>
            </w:pPr>
            <w:r>
              <w:rPr>
                <w:rFonts w:ascii="Times New Roman" w:cs="Times New Roman" w:eastAsia="Times New Roman" w:hAnsi="Times New Roman"/>
                <w:sz w:val="15"/>
                <w:szCs w:val="15"/>
                <w:color w:val="auto"/>
              </w:rPr>
              <w:t>(1.22)</w:t>
            </w:r>
          </w:p>
        </w:tc>
        <w:tc>
          <w:tcPr>
            <w:tcW w:w="100" w:type="dxa"/>
            <w:vAlign w:val="bottom"/>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ind w:right="64"/>
              <w:spacing w:after="0"/>
              <w:rPr>
                <w:sz w:val="20"/>
                <w:szCs w:val="20"/>
                <w:color w:val="auto"/>
              </w:rPr>
            </w:pPr>
            <w:r>
              <w:rPr>
                <w:rFonts w:ascii="Times New Roman" w:cs="Times New Roman" w:eastAsia="Times New Roman" w:hAnsi="Times New Roman"/>
                <w:sz w:val="15"/>
                <w:szCs w:val="15"/>
                <w:color w:val="auto"/>
              </w:rPr>
              <w:t>(0.91)</w:t>
            </w:r>
          </w:p>
        </w:tc>
      </w:tr>
      <w:tr>
        <w:trPr>
          <w:trHeight w:val="198"/>
        </w:trPr>
        <w:tc>
          <w:tcPr>
            <w:tcW w:w="366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Efficiency ratio - operating</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53.05 %</w:t>
            </w:r>
          </w:p>
        </w:tc>
        <w:tc>
          <w:tcPr>
            <w:tcW w:w="100" w:type="dxa"/>
            <w:vAlign w:val="bottom"/>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54.84 %</w:t>
            </w:r>
          </w:p>
        </w:tc>
        <w:tc>
          <w:tcPr>
            <w:tcW w:w="100" w:type="dxa"/>
            <w:vAlign w:val="bottom"/>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56.22 %</w:t>
            </w:r>
          </w:p>
        </w:tc>
        <w:tc>
          <w:tcPr>
            <w:tcW w:w="120" w:type="dxa"/>
            <w:vAlign w:val="bottom"/>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55.18 %</w:t>
            </w:r>
          </w:p>
        </w:tc>
        <w:tc>
          <w:tcPr>
            <w:tcW w:w="100" w:type="dxa"/>
            <w:vAlign w:val="bottom"/>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57.37 %</w:t>
            </w:r>
          </w:p>
        </w:tc>
        <w:tc>
          <w:tcPr>
            <w:tcW w:w="100" w:type="dxa"/>
            <w:vAlign w:val="bottom"/>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54.64 %</w:t>
            </w:r>
          </w:p>
        </w:tc>
        <w:tc>
          <w:tcPr>
            <w:tcW w:w="100" w:type="dxa"/>
            <w:vAlign w:val="bottom"/>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57.84 %</w:t>
            </w:r>
          </w:p>
        </w:tc>
      </w:tr>
      <w:tr>
        <w:trPr>
          <w:trHeight w:val="20"/>
        </w:trPr>
        <w:tc>
          <w:tcPr>
            <w:tcW w:w="366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r>
        <w:trPr>
          <w:trHeight w:val="169"/>
        </w:trPr>
        <w:tc>
          <w:tcPr>
            <w:tcW w:w="366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r>
      <w:tr>
        <w:trPr>
          <w:trHeight w:val="148"/>
        </w:trPr>
        <w:tc>
          <w:tcPr>
            <w:tcW w:w="3660" w:type="dxa"/>
            <w:vAlign w:val="bottom"/>
          </w:tcPr>
          <w:p>
            <w:pPr>
              <w:ind w:left="20"/>
              <w:spacing w:after="0" w:line="149" w:lineRule="exact"/>
              <w:rPr>
                <w:sz w:val="20"/>
                <w:szCs w:val="20"/>
                <w:color w:val="auto"/>
              </w:rPr>
            </w:pPr>
            <w:r>
              <w:rPr>
                <w:rFonts w:ascii="Times New Roman" w:cs="Times New Roman" w:eastAsia="Times New Roman" w:hAnsi="Times New Roman"/>
                <w:sz w:val="15"/>
                <w:szCs w:val="15"/>
                <w:b w:val="1"/>
                <w:bCs w:val="1"/>
                <w:color w:val="auto"/>
              </w:rPr>
              <w:t>Tangible common equity to tangible assets</w:t>
            </w: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spacing w:after="0"/>
              <w:rPr>
                <w:sz w:val="12"/>
                <w:szCs w:val="12"/>
                <w:color w:val="auto"/>
              </w:rPr>
            </w:pPr>
          </w:p>
        </w:tc>
      </w:tr>
      <w:tr>
        <w:trPr>
          <w:trHeight w:val="209"/>
        </w:trPr>
        <w:tc>
          <w:tcPr>
            <w:tcW w:w="3660" w:type="dxa"/>
            <w:vAlign w:val="bottom"/>
          </w:tcPr>
          <w:p>
            <w:pPr>
              <w:ind w:left="20"/>
              <w:spacing w:after="0"/>
              <w:rPr>
                <w:sz w:val="20"/>
                <w:szCs w:val="20"/>
                <w:color w:val="auto"/>
              </w:rPr>
            </w:pPr>
            <w:r>
              <w:rPr>
                <w:rFonts w:ascii="Times New Roman" w:cs="Times New Roman" w:eastAsia="Times New Roman" w:hAnsi="Times New Roman"/>
                <w:sz w:val="15"/>
                <w:szCs w:val="15"/>
                <w:b w:val="1"/>
                <w:bCs w:val="1"/>
                <w:color w:val="auto"/>
              </w:rPr>
              <w:t>reconciliation</w:t>
            </w: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09"/>
        </w:trPr>
        <w:tc>
          <w:tcPr>
            <w:tcW w:w="3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Equity to total assets (GAAP)</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12.78 %</w:t>
            </w: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12.86 %</w:t>
            </w: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12.56 %</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12.38 %</w:t>
            </w: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12.45 %</w:t>
            </w: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12.78 %</w:t>
            </w: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12.45 %</w:t>
            </w:r>
          </w:p>
        </w:tc>
      </w:tr>
      <w:tr>
        <w:trPr>
          <w:trHeight w:val="200"/>
        </w:trPr>
        <w:tc>
          <w:tcPr>
            <w:tcW w:w="366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Effect of goodwill and other intangibles</w:t>
            </w:r>
          </w:p>
        </w:tc>
        <w:tc>
          <w:tcPr>
            <w:tcW w:w="1000" w:type="dxa"/>
            <w:vAlign w:val="bottom"/>
          </w:tcPr>
          <w:p>
            <w:pPr>
              <w:jc w:val="right"/>
              <w:ind w:right="84"/>
              <w:spacing w:after="0"/>
              <w:rPr>
                <w:sz w:val="20"/>
                <w:szCs w:val="20"/>
                <w:color w:val="auto"/>
              </w:rPr>
            </w:pPr>
            <w:r>
              <w:rPr>
                <w:rFonts w:ascii="Times New Roman" w:cs="Times New Roman" w:eastAsia="Times New Roman" w:hAnsi="Times New Roman"/>
                <w:sz w:val="15"/>
                <w:szCs w:val="15"/>
                <w:color w:val="auto"/>
              </w:rPr>
              <w:t>(3.07)</w:t>
            </w:r>
          </w:p>
        </w:tc>
        <w:tc>
          <w:tcPr>
            <w:tcW w:w="100" w:type="dxa"/>
            <w:vAlign w:val="bottom"/>
          </w:tcPr>
          <w:p>
            <w:pPr>
              <w:spacing w:after="0"/>
              <w:rPr>
                <w:sz w:val="17"/>
                <w:szCs w:val="17"/>
                <w:color w:val="auto"/>
              </w:rPr>
            </w:pPr>
          </w:p>
        </w:tc>
        <w:tc>
          <w:tcPr>
            <w:tcW w:w="1000" w:type="dxa"/>
            <w:vAlign w:val="bottom"/>
          </w:tcPr>
          <w:p>
            <w:pPr>
              <w:jc w:val="right"/>
              <w:ind w:right="64"/>
              <w:spacing w:after="0"/>
              <w:rPr>
                <w:sz w:val="20"/>
                <w:szCs w:val="20"/>
                <w:color w:val="auto"/>
              </w:rPr>
            </w:pPr>
            <w:r>
              <w:rPr>
                <w:rFonts w:ascii="Times New Roman" w:cs="Times New Roman" w:eastAsia="Times New Roman" w:hAnsi="Times New Roman"/>
                <w:sz w:val="15"/>
                <w:szCs w:val="15"/>
                <w:color w:val="auto"/>
              </w:rPr>
              <w:t>(3.10)</w:t>
            </w:r>
          </w:p>
        </w:tc>
        <w:tc>
          <w:tcPr>
            <w:tcW w:w="100" w:type="dxa"/>
            <w:vAlign w:val="bottom"/>
          </w:tcPr>
          <w:p>
            <w:pPr>
              <w:spacing w:after="0"/>
              <w:rPr>
                <w:sz w:val="17"/>
                <w:szCs w:val="17"/>
                <w:color w:val="auto"/>
              </w:rPr>
            </w:pPr>
          </w:p>
        </w:tc>
        <w:tc>
          <w:tcPr>
            <w:tcW w:w="1000" w:type="dxa"/>
            <w:vAlign w:val="bottom"/>
          </w:tcPr>
          <w:p>
            <w:pPr>
              <w:jc w:val="right"/>
              <w:ind w:right="64"/>
              <w:spacing w:after="0"/>
              <w:rPr>
                <w:sz w:val="20"/>
                <w:szCs w:val="20"/>
                <w:color w:val="auto"/>
              </w:rPr>
            </w:pPr>
            <w:r>
              <w:rPr>
                <w:rFonts w:ascii="Times New Roman" w:cs="Times New Roman" w:eastAsia="Times New Roman" w:hAnsi="Times New Roman"/>
                <w:sz w:val="15"/>
                <w:szCs w:val="15"/>
                <w:color w:val="auto"/>
              </w:rPr>
              <w:t>(3.06)</w:t>
            </w:r>
          </w:p>
        </w:tc>
        <w:tc>
          <w:tcPr>
            <w:tcW w:w="120" w:type="dxa"/>
            <w:vAlign w:val="bottom"/>
          </w:tcPr>
          <w:p>
            <w:pPr>
              <w:spacing w:after="0"/>
              <w:rPr>
                <w:sz w:val="17"/>
                <w:szCs w:val="17"/>
                <w:color w:val="auto"/>
              </w:rPr>
            </w:pPr>
          </w:p>
        </w:tc>
        <w:tc>
          <w:tcPr>
            <w:tcW w:w="1000" w:type="dxa"/>
            <w:vAlign w:val="bottom"/>
          </w:tcPr>
          <w:p>
            <w:pPr>
              <w:jc w:val="right"/>
              <w:ind w:right="84"/>
              <w:spacing w:after="0"/>
              <w:rPr>
                <w:sz w:val="20"/>
                <w:szCs w:val="20"/>
                <w:color w:val="auto"/>
              </w:rPr>
            </w:pPr>
            <w:r>
              <w:rPr>
                <w:rFonts w:ascii="Times New Roman" w:cs="Times New Roman" w:eastAsia="Times New Roman" w:hAnsi="Times New Roman"/>
                <w:sz w:val="15"/>
                <w:szCs w:val="15"/>
                <w:color w:val="auto"/>
              </w:rPr>
              <w:t>(3.09)</w:t>
            </w:r>
          </w:p>
        </w:tc>
        <w:tc>
          <w:tcPr>
            <w:tcW w:w="100" w:type="dxa"/>
            <w:vAlign w:val="bottom"/>
          </w:tcPr>
          <w:p>
            <w:pPr>
              <w:spacing w:after="0"/>
              <w:rPr>
                <w:sz w:val="17"/>
                <w:szCs w:val="17"/>
                <w:color w:val="auto"/>
              </w:rPr>
            </w:pPr>
          </w:p>
        </w:tc>
        <w:tc>
          <w:tcPr>
            <w:tcW w:w="1000" w:type="dxa"/>
            <w:vAlign w:val="bottom"/>
          </w:tcPr>
          <w:p>
            <w:pPr>
              <w:jc w:val="right"/>
              <w:ind w:right="64"/>
              <w:spacing w:after="0"/>
              <w:rPr>
                <w:sz w:val="20"/>
                <w:szCs w:val="20"/>
                <w:color w:val="auto"/>
              </w:rPr>
            </w:pPr>
            <w:r>
              <w:rPr>
                <w:rFonts w:ascii="Times New Roman" w:cs="Times New Roman" w:eastAsia="Times New Roman" w:hAnsi="Times New Roman"/>
                <w:sz w:val="15"/>
                <w:szCs w:val="15"/>
                <w:color w:val="auto"/>
              </w:rPr>
              <w:t>(3.20)</w:t>
            </w:r>
          </w:p>
        </w:tc>
        <w:tc>
          <w:tcPr>
            <w:tcW w:w="100" w:type="dxa"/>
            <w:vAlign w:val="bottom"/>
          </w:tcPr>
          <w:p>
            <w:pPr>
              <w:spacing w:after="0"/>
              <w:rPr>
                <w:sz w:val="17"/>
                <w:szCs w:val="17"/>
                <w:color w:val="auto"/>
              </w:rPr>
            </w:pPr>
          </w:p>
        </w:tc>
        <w:tc>
          <w:tcPr>
            <w:tcW w:w="980" w:type="dxa"/>
            <w:vAlign w:val="bottom"/>
          </w:tcPr>
          <w:p>
            <w:pPr>
              <w:jc w:val="right"/>
              <w:ind w:right="64"/>
              <w:spacing w:after="0"/>
              <w:rPr>
                <w:sz w:val="20"/>
                <w:szCs w:val="20"/>
                <w:color w:val="auto"/>
              </w:rPr>
            </w:pPr>
            <w:r>
              <w:rPr>
                <w:rFonts w:ascii="Times New Roman" w:cs="Times New Roman" w:eastAsia="Times New Roman" w:hAnsi="Times New Roman"/>
                <w:sz w:val="15"/>
                <w:szCs w:val="15"/>
                <w:color w:val="auto"/>
              </w:rPr>
              <w:t>(3.07)</w:t>
            </w:r>
          </w:p>
        </w:tc>
        <w:tc>
          <w:tcPr>
            <w:tcW w:w="100" w:type="dxa"/>
            <w:vAlign w:val="bottom"/>
          </w:tcPr>
          <w:p>
            <w:pPr>
              <w:spacing w:after="0"/>
              <w:rPr>
                <w:sz w:val="17"/>
                <w:szCs w:val="17"/>
                <w:color w:val="auto"/>
              </w:rPr>
            </w:pPr>
          </w:p>
        </w:tc>
        <w:tc>
          <w:tcPr>
            <w:tcW w:w="980" w:type="dxa"/>
            <w:vAlign w:val="bottom"/>
          </w:tcPr>
          <w:p>
            <w:pPr>
              <w:jc w:val="right"/>
              <w:ind w:right="64"/>
              <w:spacing w:after="0"/>
              <w:rPr>
                <w:sz w:val="20"/>
                <w:szCs w:val="20"/>
                <w:color w:val="auto"/>
              </w:rPr>
            </w:pPr>
            <w:r>
              <w:rPr>
                <w:rFonts w:ascii="Times New Roman" w:cs="Times New Roman" w:eastAsia="Times New Roman" w:hAnsi="Times New Roman"/>
                <w:sz w:val="15"/>
                <w:szCs w:val="15"/>
                <w:color w:val="auto"/>
              </w:rPr>
              <w:t>(3.20)</w:t>
            </w:r>
          </w:p>
        </w:tc>
      </w:tr>
      <w:tr>
        <w:trPr>
          <w:trHeight w:val="203"/>
        </w:trPr>
        <w:tc>
          <w:tcPr>
            <w:tcW w:w="3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Effect of preferred equity</w:t>
            </w:r>
          </w:p>
        </w:tc>
        <w:tc>
          <w:tcPr>
            <w:tcW w:w="11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5"/>
                <w:szCs w:val="15"/>
                <w:color w:val="auto"/>
              </w:rPr>
              <w:t>—</w:t>
            </w:r>
          </w:p>
        </w:tc>
        <w:tc>
          <w:tcPr>
            <w:tcW w:w="1000" w:type="dxa"/>
            <w:vAlign w:val="bottom"/>
            <w:shd w:val="clear" w:color="auto" w:fill="CCEEFF"/>
          </w:tcPr>
          <w:p>
            <w:pPr>
              <w:jc w:val="right"/>
              <w:ind w:right="64"/>
              <w:spacing w:after="0"/>
              <w:rPr>
                <w:sz w:val="20"/>
                <w:szCs w:val="20"/>
                <w:color w:val="auto"/>
              </w:rPr>
            </w:pPr>
            <w:r>
              <w:rPr>
                <w:rFonts w:ascii="Times New Roman" w:cs="Times New Roman" w:eastAsia="Times New Roman" w:hAnsi="Times New Roman"/>
                <w:sz w:val="15"/>
                <w:szCs w:val="15"/>
                <w:color w:val="auto"/>
              </w:rPr>
              <w:t>(0.31)</w:t>
            </w: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64"/>
              <w:spacing w:after="0"/>
              <w:rPr>
                <w:sz w:val="20"/>
                <w:szCs w:val="20"/>
                <w:color w:val="auto"/>
              </w:rPr>
            </w:pPr>
            <w:r>
              <w:rPr>
                <w:rFonts w:ascii="Times New Roman" w:cs="Times New Roman" w:eastAsia="Times New Roman" w:hAnsi="Times New Roman"/>
                <w:sz w:val="15"/>
                <w:szCs w:val="15"/>
                <w:color w:val="auto"/>
              </w:rPr>
              <w:t>(0.32)</w:t>
            </w: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84"/>
              <w:spacing w:after="0"/>
              <w:rPr>
                <w:sz w:val="20"/>
                <w:szCs w:val="20"/>
                <w:color w:val="auto"/>
              </w:rPr>
            </w:pPr>
            <w:r>
              <w:rPr>
                <w:rFonts w:ascii="Times New Roman" w:cs="Times New Roman" w:eastAsia="Times New Roman" w:hAnsi="Times New Roman"/>
                <w:sz w:val="15"/>
                <w:szCs w:val="15"/>
                <w:color w:val="auto"/>
              </w:rPr>
              <w:t>(0.32)</w:t>
            </w: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64"/>
              <w:spacing w:after="0"/>
              <w:rPr>
                <w:sz w:val="20"/>
                <w:szCs w:val="20"/>
                <w:color w:val="auto"/>
              </w:rPr>
            </w:pPr>
            <w:r>
              <w:rPr>
                <w:rFonts w:ascii="Times New Roman" w:cs="Times New Roman" w:eastAsia="Times New Roman" w:hAnsi="Times New Roman"/>
                <w:sz w:val="15"/>
                <w:szCs w:val="15"/>
                <w:color w:val="auto"/>
              </w:rPr>
              <w:t>(0.32)</w:t>
            </w:r>
          </w:p>
        </w:tc>
        <w:tc>
          <w:tcPr>
            <w:tcW w:w="10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5"/>
                <w:szCs w:val="15"/>
                <w:color w:val="auto"/>
              </w:rPr>
              <w:t>—</w:t>
            </w:r>
          </w:p>
        </w:tc>
        <w:tc>
          <w:tcPr>
            <w:tcW w:w="980" w:type="dxa"/>
            <w:vAlign w:val="bottom"/>
            <w:shd w:val="clear" w:color="auto" w:fill="CCEEFF"/>
          </w:tcPr>
          <w:p>
            <w:pPr>
              <w:jc w:val="right"/>
              <w:ind w:right="64"/>
              <w:spacing w:after="0"/>
              <w:rPr>
                <w:sz w:val="20"/>
                <w:szCs w:val="20"/>
                <w:color w:val="auto"/>
              </w:rPr>
            </w:pPr>
            <w:r>
              <w:rPr>
                <w:rFonts w:ascii="Times New Roman" w:cs="Times New Roman" w:eastAsia="Times New Roman" w:hAnsi="Times New Roman"/>
                <w:sz w:val="15"/>
                <w:szCs w:val="15"/>
                <w:color w:val="auto"/>
              </w:rPr>
              <w:t>(0.32)</w:t>
            </w:r>
          </w:p>
        </w:tc>
      </w:tr>
      <w:tr>
        <w:trPr>
          <w:trHeight w:val="198"/>
        </w:trPr>
        <w:tc>
          <w:tcPr>
            <w:tcW w:w="366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Tangible common equity to tangible assets</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9.71 %</w:t>
            </w:r>
          </w:p>
        </w:tc>
        <w:tc>
          <w:tcPr>
            <w:tcW w:w="100" w:type="dxa"/>
            <w:vAlign w:val="bottom"/>
          </w:tcPr>
          <w:p>
            <w:pPr>
              <w:spacing w:after="0"/>
              <w:rPr>
                <w:sz w:val="17"/>
                <w:szCs w:val="17"/>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9.45 %</w:t>
            </w:r>
          </w:p>
        </w:tc>
        <w:tc>
          <w:tcPr>
            <w:tcW w:w="100" w:type="dxa"/>
            <w:vAlign w:val="bottom"/>
          </w:tcPr>
          <w:p>
            <w:pPr>
              <w:spacing w:after="0"/>
              <w:rPr>
                <w:sz w:val="17"/>
                <w:szCs w:val="17"/>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9.18 %</w:t>
            </w:r>
          </w:p>
        </w:tc>
        <w:tc>
          <w:tcPr>
            <w:tcW w:w="120" w:type="dxa"/>
            <w:vAlign w:val="bottom"/>
          </w:tcPr>
          <w:p>
            <w:pPr>
              <w:spacing w:after="0"/>
              <w:rPr>
                <w:sz w:val="17"/>
                <w:szCs w:val="17"/>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8.97 %</w:t>
            </w:r>
          </w:p>
        </w:tc>
        <w:tc>
          <w:tcPr>
            <w:tcW w:w="100" w:type="dxa"/>
            <w:vAlign w:val="bottom"/>
          </w:tcPr>
          <w:p>
            <w:pPr>
              <w:spacing w:after="0"/>
              <w:rPr>
                <w:sz w:val="17"/>
                <w:szCs w:val="17"/>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8.93 %</w:t>
            </w:r>
          </w:p>
        </w:tc>
        <w:tc>
          <w:tcPr>
            <w:tcW w:w="100" w:type="dxa"/>
            <w:vAlign w:val="bottom"/>
          </w:tcPr>
          <w:p>
            <w:pPr>
              <w:spacing w:after="0"/>
              <w:rPr>
                <w:sz w:val="17"/>
                <w:szCs w:val="17"/>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9.71 %</w:t>
            </w:r>
          </w:p>
        </w:tc>
        <w:tc>
          <w:tcPr>
            <w:tcW w:w="100" w:type="dxa"/>
            <w:vAlign w:val="bottom"/>
          </w:tcPr>
          <w:p>
            <w:pPr>
              <w:spacing w:after="0"/>
              <w:rPr>
                <w:sz w:val="17"/>
                <w:szCs w:val="17"/>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8.93 %</w:t>
            </w:r>
          </w:p>
        </w:tc>
      </w:tr>
      <w:tr>
        <w:trPr>
          <w:trHeight w:val="20"/>
        </w:trPr>
        <w:tc>
          <w:tcPr>
            <w:tcW w:w="366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3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Net Interest Revenue</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 the quarter:</w:t>
      </w:r>
    </w:p>
    <w:p>
      <w:pPr>
        <w:spacing w:after="0" w:line="243"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FTE net interest revenue for the third quarter of 2025 was $235 million, an increase of $24.4 million from the same period in 2024. Net interest spread and net interest margin were 2.73% and 3.58%, respectively, which were up 43 basis points and 25 basis points, respectively, compared to the third quarter of 2024. Improvement in the net interest spread and net interest margin resulted from cuts of 125 basis points in the federal funds rate beginning in September of 2024, which drove decreases in funding costs, and to a lesser extent, loan yields.</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 the nine months ended:</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FTE net interest revenue for the first nine months of 2025 and 2024 was $674 million and $620 million, respectively. During the first nine months of 2025, our net interest spread increased 35 basis points and our net interest margin increased by 18 basis points compared to the same period of 2024. Changes in net interest revenue and related metrics for the nine months ended 2025 were a result of the same factors affecting the quarter.</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63" w:right="339" w:bottom="1440" w:gutter="0" w:footer="0" w:header="0"/>
        </w:sectPr>
      </w:pPr>
    </w:p>
    <w:bookmarkStart w:id="39" w:name="page40"/>
    <w:bookmarkEnd w:id="39"/>
    <w:p>
      <w:pPr>
        <w:ind w:left="20"/>
        <w:spacing w:after="0"/>
        <w:rPr>
          <w:sz w:val="20"/>
          <w:szCs w:val="20"/>
          <w:color w:val="auto"/>
        </w:rPr>
      </w:pPr>
      <w:r>
        <w:rPr>
          <w:rFonts w:ascii="Times New Roman" w:cs="Times New Roman" w:eastAsia="Times New Roman" w:hAnsi="Times New Roman"/>
          <w:sz w:val="18"/>
          <w:szCs w:val="18"/>
          <w:b w:val="1"/>
          <w:bCs w:val="1"/>
          <w:color w:val="auto"/>
        </w:rPr>
        <w:t>Table 2 - Average Consolidated Balance Sheets and Net Interest Analysis</w:t>
      </w:r>
    </w:p>
    <w:p>
      <w:pPr>
        <w:spacing w:after="0" w:line="3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For the Three Months Ended September 30,</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i w:val="1"/>
          <w:iCs w:val="1"/>
          <w:color w:val="auto"/>
        </w:rPr>
        <w:t>(dollars in thousands, (FTE))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20320</wp:posOffset>
            </wp:positionV>
            <wp:extent cx="713232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2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7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42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40" w:type="dxa"/>
            <w:vAlign w:val="bottom"/>
            <w:gridSpan w:val="2"/>
          </w:tcPr>
          <w:p>
            <w:pPr>
              <w:ind w:left="100"/>
              <w:spacing w:after="0" w:line="158" w:lineRule="exact"/>
              <w:rPr>
                <w:sz w:val="20"/>
                <w:szCs w:val="20"/>
                <w:color w:val="auto"/>
              </w:rPr>
            </w:pPr>
            <w:r>
              <w:rPr>
                <w:rFonts w:ascii="Times New Roman" w:cs="Times New Roman" w:eastAsia="Times New Roman" w:hAnsi="Times New Roman"/>
                <w:sz w:val="16"/>
                <w:szCs w:val="16"/>
                <w:b w:val="1"/>
                <w:bCs w:val="1"/>
                <w:color w:val="auto"/>
              </w:rPr>
              <w:t>Average</w:t>
            </w:r>
          </w:p>
        </w:tc>
        <w:tc>
          <w:tcPr>
            <w:tcW w:w="180" w:type="dxa"/>
            <w:vAlign w:val="bottom"/>
          </w:tcPr>
          <w:p>
            <w:pPr>
              <w:spacing w:after="0"/>
              <w:rPr>
                <w:sz w:val="13"/>
                <w:szCs w:val="13"/>
                <w:color w:val="auto"/>
              </w:rPr>
            </w:pPr>
          </w:p>
        </w:tc>
        <w:tc>
          <w:tcPr>
            <w:tcW w:w="960" w:type="dxa"/>
            <w:vAlign w:val="bottom"/>
            <w:gridSpan w:val="2"/>
            <w:vMerge w:val="restart"/>
          </w:tcPr>
          <w:p>
            <w:pPr>
              <w:ind w:left="80"/>
              <w:spacing w:after="0"/>
              <w:rPr>
                <w:sz w:val="20"/>
                <w:szCs w:val="20"/>
                <w:color w:val="auto"/>
              </w:rPr>
            </w:pPr>
            <w:r>
              <w:rPr>
                <w:rFonts w:ascii="Times New Roman" w:cs="Times New Roman" w:eastAsia="Times New Roman" w:hAnsi="Times New Roman"/>
                <w:sz w:val="16"/>
                <w:szCs w:val="16"/>
                <w:b w:val="1"/>
                <w:bCs w:val="1"/>
                <w:color w:val="auto"/>
              </w:rPr>
              <w:t>Interest</w:t>
            </w: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Average Rate</w:t>
            </w: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80" w:type="dxa"/>
            <w:vAlign w:val="bottom"/>
            <w:gridSpan w:val="2"/>
          </w:tcPr>
          <w:p>
            <w:pPr>
              <w:ind w:left="100"/>
              <w:spacing w:after="0" w:line="158" w:lineRule="exact"/>
              <w:rPr>
                <w:sz w:val="20"/>
                <w:szCs w:val="20"/>
                <w:color w:val="auto"/>
              </w:rPr>
            </w:pPr>
            <w:r>
              <w:rPr>
                <w:rFonts w:ascii="Times New Roman" w:cs="Times New Roman" w:eastAsia="Times New Roman" w:hAnsi="Times New Roman"/>
                <w:sz w:val="16"/>
                <w:szCs w:val="16"/>
                <w:b w:val="1"/>
                <w:bCs w:val="1"/>
                <w:color w:val="auto"/>
              </w:rPr>
              <w:t>Average</w:t>
            </w:r>
          </w:p>
        </w:tc>
        <w:tc>
          <w:tcPr>
            <w:tcW w:w="180" w:type="dxa"/>
            <w:vAlign w:val="bottom"/>
          </w:tcPr>
          <w:p>
            <w:pPr>
              <w:spacing w:after="0"/>
              <w:rPr>
                <w:sz w:val="13"/>
                <w:szCs w:val="13"/>
                <w:color w:val="auto"/>
              </w:rPr>
            </w:pPr>
          </w:p>
        </w:tc>
        <w:tc>
          <w:tcPr>
            <w:tcW w:w="980" w:type="dxa"/>
            <w:vAlign w:val="bottom"/>
            <w:gridSpan w:val="2"/>
            <w:vMerge w:val="restart"/>
          </w:tcPr>
          <w:p>
            <w:pPr>
              <w:ind w:left="80"/>
              <w:spacing w:after="0"/>
              <w:rPr>
                <w:sz w:val="20"/>
                <w:szCs w:val="20"/>
                <w:color w:val="auto"/>
              </w:rPr>
            </w:pPr>
            <w:r>
              <w:rPr>
                <w:rFonts w:ascii="Times New Roman" w:cs="Times New Roman" w:eastAsia="Times New Roman" w:hAnsi="Times New Roman"/>
                <w:sz w:val="16"/>
                <w:szCs w:val="16"/>
                <w:b w:val="1"/>
                <w:bCs w:val="1"/>
                <w:color w:val="auto"/>
              </w:rPr>
              <w:t>Interest</w:t>
            </w: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Average Rate</w:t>
            </w:r>
          </w:p>
        </w:tc>
        <w:tc>
          <w:tcPr>
            <w:tcW w:w="0" w:type="dxa"/>
            <w:vAlign w:val="bottom"/>
          </w:tcPr>
          <w:p>
            <w:pPr>
              <w:spacing w:after="0"/>
              <w:rPr>
                <w:sz w:val="1"/>
                <w:szCs w:val="1"/>
                <w:color w:val="auto"/>
              </w:rPr>
            </w:pPr>
          </w:p>
        </w:tc>
      </w:tr>
      <w:tr>
        <w:trPr>
          <w:trHeight w:val="212"/>
        </w:trPr>
        <w:tc>
          <w:tcPr>
            <w:tcW w:w="4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Balance</w:t>
            </w:r>
          </w:p>
        </w:tc>
        <w:tc>
          <w:tcPr>
            <w:tcW w:w="180" w:type="dxa"/>
            <w:vAlign w:val="bottom"/>
          </w:tcPr>
          <w:p>
            <w:pPr>
              <w:spacing w:after="0"/>
              <w:rPr>
                <w:sz w:val="18"/>
                <w:szCs w:val="18"/>
                <w:color w:val="auto"/>
              </w:rPr>
            </w:pPr>
          </w:p>
        </w:tc>
        <w:tc>
          <w:tcPr>
            <w:tcW w:w="960" w:type="dxa"/>
            <w:vAlign w:val="bottom"/>
            <w:gridSpan w:val="2"/>
            <w:vMerge w:val="continue"/>
          </w:tcPr>
          <w:p>
            <w:pPr>
              <w:spacing w:after="0"/>
              <w:rPr>
                <w:sz w:val="18"/>
                <w:szCs w:val="18"/>
                <w:color w:val="auto"/>
              </w:rPr>
            </w:pPr>
          </w:p>
        </w:tc>
        <w:tc>
          <w:tcPr>
            <w:tcW w:w="100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gridSpan w:val="2"/>
          </w:tcPr>
          <w:p>
            <w:pPr>
              <w:ind w:left="120"/>
              <w:spacing w:after="0"/>
              <w:rPr>
                <w:sz w:val="20"/>
                <w:szCs w:val="20"/>
                <w:color w:val="auto"/>
              </w:rPr>
            </w:pPr>
            <w:r>
              <w:rPr>
                <w:rFonts w:ascii="Times New Roman" w:cs="Times New Roman" w:eastAsia="Times New Roman" w:hAnsi="Times New Roman"/>
                <w:sz w:val="16"/>
                <w:szCs w:val="16"/>
                <w:b w:val="1"/>
                <w:bCs w:val="1"/>
                <w:color w:val="auto"/>
              </w:rPr>
              <w:t>Balance</w:t>
            </w:r>
          </w:p>
        </w:tc>
        <w:tc>
          <w:tcPr>
            <w:tcW w:w="180" w:type="dxa"/>
            <w:vAlign w:val="bottom"/>
          </w:tcPr>
          <w:p>
            <w:pPr>
              <w:spacing w:after="0"/>
              <w:rPr>
                <w:sz w:val="18"/>
                <w:szCs w:val="18"/>
                <w:color w:val="auto"/>
              </w:rPr>
            </w:pPr>
          </w:p>
        </w:tc>
        <w:tc>
          <w:tcPr>
            <w:tcW w:w="980" w:type="dxa"/>
            <w:vAlign w:val="bottom"/>
            <w:gridSpan w:val="2"/>
            <w:vMerge w:val="continue"/>
          </w:tcPr>
          <w:p>
            <w:pPr>
              <w:spacing w:after="0"/>
              <w:rPr>
                <w:sz w:val="18"/>
                <w:szCs w:val="18"/>
                <w:color w:val="auto"/>
              </w:rPr>
            </w:pPr>
          </w:p>
        </w:tc>
        <w:tc>
          <w:tcPr>
            <w:tcW w:w="10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2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2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Interest-earning assets:</w:t>
            </w: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280" w:type="dxa"/>
            <w:vAlign w:val="bottom"/>
          </w:tcPr>
          <w:p>
            <w:pPr>
              <w:ind w:left="140"/>
              <w:spacing w:after="0" w:line="216" w:lineRule="exact"/>
              <w:rPr>
                <w:sz w:val="20"/>
                <w:szCs w:val="20"/>
                <w:color w:val="auto"/>
              </w:rPr>
            </w:pPr>
            <w:r>
              <w:rPr>
                <w:rFonts w:ascii="Times New Roman" w:cs="Times New Roman" w:eastAsia="Times New Roman" w:hAnsi="Times New Roman"/>
                <w:sz w:val="16"/>
                <w:szCs w:val="16"/>
                <w:color w:val="auto"/>
              </w:rPr>
              <w:t xml:space="preserve">Loans, net of unearned income (FTE) </w:t>
            </w:r>
            <w:r>
              <w:rPr>
                <w:rFonts w:ascii="Times New Roman" w:cs="Times New Roman" w:eastAsia="Times New Roman" w:hAnsi="Times New Roman"/>
                <w:sz w:val="21"/>
                <w:szCs w:val="21"/>
                <w:color w:val="auto"/>
                <w:vertAlign w:val="superscript"/>
              </w:rPr>
              <w:t>(1)(2)</w:t>
            </w: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19,010,663</w:t>
            </w:r>
          </w:p>
        </w:tc>
        <w:tc>
          <w:tcPr>
            <w:tcW w:w="1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297,725</w:t>
            </w:r>
          </w:p>
        </w:tc>
        <w:tc>
          <w:tcPr>
            <w:tcW w:w="1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6.21 %</w:t>
            </w:r>
          </w:p>
        </w:tc>
        <w:tc>
          <w:tcPr>
            <w:tcW w:w="300" w:type="dxa"/>
            <w:vAlign w:val="bottom"/>
            <w:gridSpan w:val="2"/>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18,051,741</w:t>
            </w:r>
          </w:p>
        </w:tc>
        <w:tc>
          <w:tcPr>
            <w:tcW w:w="1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291,164</w:t>
            </w:r>
          </w:p>
        </w:tc>
        <w:tc>
          <w:tcPr>
            <w:tcW w:w="1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6.42 %</w:t>
            </w:r>
          </w:p>
        </w:tc>
        <w:tc>
          <w:tcPr>
            <w:tcW w:w="0" w:type="dxa"/>
            <w:vAlign w:val="bottom"/>
          </w:tcPr>
          <w:p>
            <w:pPr>
              <w:spacing w:after="0"/>
              <w:rPr>
                <w:sz w:val="1"/>
                <w:szCs w:val="1"/>
                <w:color w:val="auto"/>
              </w:rPr>
            </w:pPr>
          </w:p>
        </w:tc>
      </w:tr>
      <w:tr>
        <w:trPr>
          <w:trHeight w:val="216"/>
        </w:trPr>
        <w:tc>
          <w:tcPr>
            <w:tcW w:w="4280" w:type="dxa"/>
            <w:vAlign w:val="bottom"/>
            <w:shd w:val="clear" w:color="auto" w:fill="CCEEFF"/>
          </w:tcPr>
          <w:p>
            <w:pPr>
              <w:ind w:left="140"/>
              <w:spacing w:after="0" w:line="216" w:lineRule="exact"/>
              <w:rPr>
                <w:sz w:val="20"/>
                <w:szCs w:val="20"/>
                <w:color w:val="auto"/>
              </w:rPr>
            </w:pPr>
            <w:r>
              <w:rPr>
                <w:rFonts w:ascii="Times New Roman" w:cs="Times New Roman" w:eastAsia="Times New Roman" w:hAnsi="Times New Roman"/>
                <w:sz w:val="16"/>
                <w:szCs w:val="16"/>
                <w:color w:val="auto"/>
              </w:rPr>
              <w:t xml:space="preserve">Taxable securities </w:t>
            </w:r>
            <w:r>
              <w:rPr>
                <w:rFonts w:ascii="Times New Roman" w:cs="Times New Roman" w:eastAsia="Times New Roman" w:hAnsi="Times New Roman"/>
                <w:sz w:val="21"/>
                <w:szCs w:val="21"/>
                <w:color w:val="auto"/>
                <w:vertAlign w:val="superscript"/>
              </w:rPr>
              <w:t>(3)</w:t>
            </w: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6,217,693</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51,522</w:t>
            </w: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3.31</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6,182,164</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51,284</w:t>
            </w: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3.32</w:t>
            </w:r>
          </w:p>
        </w:tc>
        <w:tc>
          <w:tcPr>
            <w:tcW w:w="0" w:type="dxa"/>
            <w:vAlign w:val="bottom"/>
          </w:tcPr>
          <w:p>
            <w:pPr>
              <w:spacing w:after="0"/>
              <w:rPr>
                <w:sz w:val="1"/>
                <w:szCs w:val="1"/>
                <w:color w:val="auto"/>
              </w:rPr>
            </w:pPr>
          </w:p>
        </w:tc>
      </w:tr>
      <w:tr>
        <w:trPr>
          <w:trHeight w:val="216"/>
        </w:trPr>
        <w:tc>
          <w:tcPr>
            <w:tcW w:w="4280" w:type="dxa"/>
            <w:vAlign w:val="bottom"/>
          </w:tcPr>
          <w:p>
            <w:pPr>
              <w:ind w:left="140"/>
              <w:spacing w:after="0" w:line="216" w:lineRule="exact"/>
              <w:rPr>
                <w:sz w:val="20"/>
                <w:szCs w:val="20"/>
                <w:color w:val="auto"/>
              </w:rPr>
            </w:pPr>
            <w:r>
              <w:rPr>
                <w:rFonts w:ascii="Times New Roman" w:cs="Times New Roman" w:eastAsia="Times New Roman" w:hAnsi="Times New Roman"/>
                <w:sz w:val="16"/>
                <w:szCs w:val="16"/>
                <w:color w:val="auto"/>
              </w:rPr>
              <w:t xml:space="preserve">Tax-exempt securities (FTE) </w:t>
            </w:r>
            <w:r>
              <w:rPr>
                <w:rFonts w:ascii="Times New Roman" w:cs="Times New Roman" w:eastAsia="Times New Roman" w:hAnsi="Times New Roman"/>
                <w:sz w:val="21"/>
                <w:szCs w:val="21"/>
                <w:color w:val="auto"/>
                <w:vertAlign w:val="superscript"/>
              </w:rPr>
              <w:t>(1)(3)</w:t>
            </w: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351,528</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2,249</w:t>
            </w:r>
          </w:p>
        </w:tc>
        <w:tc>
          <w:tcPr>
            <w:tcW w:w="100" w:type="dxa"/>
            <w:vAlign w:val="bottom"/>
          </w:tcPr>
          <w:p>
            <w:pPr>
              <w:spacing w:after="0"/>
              <w:rPr>
                <w:sz w:val="18"/>
                <w:szCs w:val="18"/>
                <w:color w:val="auto"/>
              </w:rPr>
            </w:pPr>
          </w:p>
        </w:tc>
        <w:tc>
          <w:tcPr>
            <w:tcW w:w="10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2.56</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361,359</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2,292</w:t>
            </w:r>
          </w:p>
        </w:tc>
        <w:tc>
          <w:tcPr>
            <w:tcW w:w="100" w:type="dxa"/>
            <w:vAlign w:val="bottom"/>
          </w:tcPr>
          <w:p>
            <w:pPr>
              <w:spacing w:after="0"/>
              <w:rPr>
                <w:sz w:val="18"/>
                <w:szCs w:val="18"/>
                <w:color w:val="auto"/>
              </w:rPr>
            </w:pPr>
          </w:p>
        </w:tc>
        <w:tc>
          <w:tcPr>
            <w:tcW w:w="10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2.54</w:t>
            </w:r>
          </w:p>
        </w:tc>
        <w:tc>
          <w:tcPr>
            <w:tcW w:w="0" w:type="dxa"/>
            <w:vAlign w:val="bottom"/>
          </w:tcPr>
          <w:p>
            <w:pPr>
              <w:spacing w:after="0"/>
              <w:rPr>
                <w:sz w:val="1"/>
                <w:szCs w:val="1"/>
                <w:color w:val="auto"/>
              </w:rPr>
            </w:pPr>
          </w:p>
        </w:tc>
      </w:tr>
      <w:tr>
        <w:trPr>
          <w:trHeight w:val="216"/>
        </w:trPr>
        <w:tc>
          <w:tcPr>
            <w:tcW w:w="42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Federal funds sold and other interest-earning assets</w:t>
            </w:r>
          </w:p>
        </w:tc>
        <w:tc>
          <w:tcPr>
            <w:tcW w:w="20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413,678</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3,389</w:t>
            </w: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3.25</w:t>
            </w:r>
          </w:p>
        </w:tc>
        <w:tc>
          <w:tcPr>
            <w:tcW w:w="1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505,792</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5,440</w:t>
            </w: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4.28</w:t>
            </w:r>
          </w:p>
        </w:tc>
        <w:tc>
          <w:tcPr>
            <w:tcW w:w="0" w:type="dxa"/>
            <w:vAlign w:val="bottom"/>
          </w:tcPr>
          <w:p>
            <w:pPr>
              <w:spacing w:after="0"/>
              <w:rPr>
                <w:sz w:val="1"/>
                <w:szCs w:val="1"/>
                <w:color w:val="auto"/>
              </w:rPr>
            </w:pPr>
          </w:p>
        </w:tc>
      </w:tr>
      <w:tr>
        <w:trPr>
          <w:trHeight w:val="207"/>
        </w:trPr>
        <w:tc>
          <w:tcPr>
            <w:tcW w:w="428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6"/>
                <w:szCs w:val="16"/>
                <w:b w:val="1"/>
                <w:bCs w:val="1"/>
                <w:color w:val="auto"/>
              </w:rPr>
              <w:t>Total interest-earning assets (FTE)</w:t>
            </w:r>
          </w:p>
        </w:tc>
        <w:tc>
          <w:tcPr>
            <w:tcW w:w="2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25,993,562</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354,885</w:t>
            </w:r>
          </w:p>
        </w:tc>
        <w:tc>
          <w:tcPr>
            <w:tcW w:w="100" w:type="dxa"/>
            <w:vAlign w:val="bottom"/>
            <w:tcBorders>
              <w:bottom w:val="single" w:sz="8" w:color="CCEEFF"/>
            </w:tcBorders>
          </w:tcPr>
          <w:p>
            <w:pPr>
              <w:spacing w:after="0"/>
              <w:rPr>
                <w:sz w:val="17"/>
                <w:szCs w:val="17"/>
                <w:color w:val="auto"/>
              </w:rPr>
            </w:pPr>
          </w:p>
        </w:tc>
        <w:tc>
          <w:tcPr>
            <w:tcW w:w="1000" w:type="dxa"/>
            <w:vAlign w:val="bottom"/>
            <w:tcBorders>
              <w:bottom w:val="single" w:sz="8" w:color="CCEEFF"/>
            </w:tcBorders>
          </w:tcPr>
          <w:p>
            <w:pPr>
              <w:jc w:val="right"/>
              <w:ind w:right="119"/>
              <w:spacing w:after="0"/>
              <w:rPr>
                <w:sz w:val="20"/>
                <w:szCs w:val="20"/>
                <w:color w:val="auto"/>
              </w:rPr>
            </w:pPr>
            <w:r>
              <w:rPr>
                <w:rFonts w:ascii="Times New Roman" w:cs="Times New Roman" w:eastAsia="Times New Roman" w:hAnsi="Times New Roman"/>
                <w:sz w:val="16"/>
                <w:szCs w:val="16"/>
                <w:color w:val="auto"/>
              </w:rPr>
              <w:t>5.42</w:t>
            </w:r>
          </w:p>
        </w:tc>
        <w:tc>
          <w:tcPr>
            <w:tcW w:w="1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25,101,056</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350,180</w:t>
            </w:r>
          </w:p>
        </w:tc>
        <w:tc>
          <w:tcPr>
            <w:tcW w:w="100" w:type="dxa"/>
            <w:vAlign w:val="bottom"/>
            <w:tcBorders>
              <w:bottom w:val="single" w:sz="8" w:color="CCEEFF"/>
            </w:tcBorders>
          </w:tcPr>
          <w:p>
            <w:pPr>
              <w:spacing w:after="0"/>
              <w:rPr>
                <w:sz w:val="17"/>
                <w:szCs w:val="17"/>
                <w:color w:val="auto"/>
              </w:rPr>
            </w:pPr>
          </w:p>
        </w:tc>
        <w:tc>
          <w:tcPr>
            <w:tcW w:w="1000" w:type="dxa"/>
            <w:vAlign w:val="bottom"/>
            <w:tcBorders>
              <w:bottom w:val="single" w:sz="8" w:color="CCEEFF"/>
            </w:tcBorders>
          </w:tcPr>
          <w:p>
            <w:pPr>
              <w:jc w:val="right"/>
              <w:ind w:right="119"/>
              <w:spacing w:after="0"/>
              <w:rPr>
                <w:sz w:val="20"/>
                <w:szCs w:val="20"/>
                <w:color w:val="auto"/>
              </w:rPr>
            </w:pPr>
            <w:r>
              <w:rPr>
                <w:rFonts w:ascii="Times New Roman" w:cs="Times New Roman" w:eastAsia="Times New Roman" w:hAnsi="Times New Roman"/>
                <w:sz w:val="16"/>
                <w:szCs w:val="16"/>
                <w:color w:val="auto"/>
              </w:rPr>
              <w:t>5.55</w:t>
            </w:r>
          </w:p>
        </w:tc>
        <w:tc>
          <w:tcPr>
            <w:tcW w:w="0" w:type="dxa"/>
            <w:vAlign w:val="bottom"/>
          </w:tcPr>
          <w:p>
            <w:pPr>
              <w:spacing w:after="0"/>
              <w:rPr>
                <w:sz w:val="1"/>
                <w:szCs w:val="1"/>
                <w:color w:val="auto"/>
              </w:rPr>
            </w:pPr>
          </w:p>
        </w:tc>
      </w:tr>
      <w:tr>
        <w:trPr>
          <w:trHeight w:val="199"/>
        </w:trPr>
        <w:tc>
          <w:tcPr>
            <w:tcW w:w="42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42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Noninterest-earning assets:</w:t>
            </w: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2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Allowance for credit losses</w:t>
            </w: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(220,805)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(215,008)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2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Cash and due from banks</w:t>
            </w: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206,772</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206,995</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2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Premises and equipment</w:t>
            </w: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397,490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399,262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280" w:type="dxa"/>
            <w:vAlign w:val="bottom"/>
            <w:tcBorders>
              <w:bottom w:val="single" w:sz="8" w:color="CCEEFF"/>
            </w:tcBorders>
          </w:tcPr>
          <w:p>
            <w:pPr>
              <w:ind w:left="140"/>
              <w:spacing w:after="0" w:line="216" w:lineRule="exact"/>
              <w:rPr>
                <w:sz w:val="20"/>
                <w:szCs w:val="20"/>
                <w:color w:val="auto"/>
              </w:rPr>
            </w:pPr>
            <w:r>
              <w:rPr>
                <w:rFonts w:ascii="Times New Roman" w:cs="Times New Roman" w:eastAsia="Times New Roman" w:hAnsi="Times New Roman"/>
                <w:sz w:val="16"/>
                <w:szCs w:val="16"/>
                <w:color w:val="auto"/>
              </w:rPr>
              <w:t xml:space="preserve">Other assets </w:t>
            </w:r>
            <w:r>
              <w:rPr>
                <w:rFonts w:ascii="Times New Roman" w:cs="Times New Roman" w:eastAsia="Times New Roman" w:hAnsi="Times New Roman"/>
                <w:sz w:val="21"/>
                <w:szCs w:val="21"/>
                <w:color w:val="auto"/>
                <w:vertAlign w:val="superscript"/>
              </w:rPr>
              <w:t>(3)</w:t>
            </w:r>
          </w:p>
        </w:tc>
        <w:tc>
          <w:tcPr>
            <w:tcW w:w="2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1,664,648</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86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0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1,615,468</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88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0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5"/>
        </w:trPr>
        <w:tc>
          <w:tcPr>
            <w:tcW w:w="428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6"/>
                <w:szCs w:val="16"/>
                <w:b w:val="1"/>
                <w:bCs w:val="1"/>
                <w:color w:val="auto"/>
              </w:rPr>
              <w:t>Total assets</w:t>
            </w: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28,041,667</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27,107,773</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2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4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4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Liabilities and Shareholders' Equity:</w:t>
            </w: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2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Interest-bearing liabilities:</w:t>
            </w: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2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Interest-bearing deposits:</w:t>
            </w: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2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NOW and interest-bearing demand</w:t>
            </w: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5,825,997</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35,050</w:t>
            </w:r>
          </w:p>
        </w:tc>
        <w:tc>
          <w:tcPr>
            <w:tcW w:w="100" w:type="dxa"/>
            <w:vAlign w:val="bottom"/>
          </w:tcPr>
          <w:p>
            <w:pPr>
              <w:spacing w:after="0"/>
              <w:rPr>
                <w:sz w:val="18"/>
                <w:szCs w:val="18"/>
                <w:color w:val="auto"/>
              </w:rPr>
            </w:pPr>
          </w:p>
        </w:tc>
        <w:tc>
          <w:tcPr>
            <w:tcW w:w="10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2.39</w:t>
            </w:r>
          </w:p>
        </w:tc>
        <w:tc>
          <w:tcPr>
            <w:tcW w:w="300" w:type="dxa"/>
            <w:vAlign w:val="bottom"/>
            <w:gridSpan w:val="2"/>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5,797,845</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43,401</w:t>
            </w:r>
          </w:p>
        </w:tc>
        <w:tc>
          <w:tcPr>
            <w:tcW w:w="100" w:type="dxa"/>
            <w:vAlign w:val="bottom"/>
          </w:tcPr>
          <w:p>
            <w:pPr>
              <w:spacing w:after="0"/>
              <w:rPr>
                <w:sz w:val="18"/>
                <w:szCs w:val="18"/>
                <w:color w:val="auto"/>
              </w:rPr>
            </w:pPr>
          </w:p>
        </w:tc>
        <w:tc>
          <w:tcPr>
            <w:tcW w:w="10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2.98</w:t>
            </w:r>
          </w:p>
        </w:tc>
        <w:tc>
          <w:tcPr>
            <w:tcW w:w="0" w:type="dxa"/>
            <w:vAlign w:val="bottom"/>
          </w:tcPr>
          <w:p>
            <w:pPr>
              <w:spacing w:after="0"/>
              <w:rPr>
                <w:sz w:val="1"/>
                <w:szCs w:val="1"/>
                <w:color w:val="auto"/>
              </w:rPr>
            </w:pPr>
          </w:p>
        </w:tc>
      </w:tr>
      <w:tr>
        <w:trPr>
          <w:trHeight w:val="219"/>
        </w:trPr>
        <w:tc>
          <w:tcPr>
            <w:tcW w:w="42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Money market</w:t>
            </w: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6,907,894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50,661</w:t>
            </w: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2.91</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6,342,455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56,874</w:t>
            </w: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3.57</w:t>
            </w:r>
          </w:p>
        </w:tc>
        <w:tc>
          <w:tcPr>
            <w:tcW w:w="0" w:type="dxa"/>
            <w:vAlign w:val="bottom"/>
          </w:tcPr>
          <w:p>
            <w:pPr>
              <w:spacing w:after="0"/>
              <w:rPr>
                <w:sz w:val="1"/>
                <w:szCs w:val="1"/>
                <w:color w:val="auto"/>
              </w:rPr>
            </w:pPr>
          </w:p>
        </w:tc>
      </w:tr>
      <w:tr>
        <w:trPr>
          <w:trHeight w:val="213"/>
        </w:trPr>
        <w:tc>
          <w:tcPr>
            <w:tcW w:w="42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Savings</w:t>
            </w: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1,107,509</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641</w:t>
            </w:r>
          </w:p>
        </w:tc>
        <w:tc>
          <w:tcPr>
            <w:tcW w:w="100" w:type="dxa"/>
            <w:vAlign w:val="bottom"/>
          </w:tcPr>
          <w:p>
            <w:pPr>
              <w:spacing w:after="0"/>
              <w:rPr>
                <w:sz w:val="18"/>
                <w:szCs w:val="18"/>
                <w:color w:val="auto"/>
              </w:rPr>
            </w:pPr>
          </w:p>
        </w:tc>
        <w:tc>
          <w:tcPr>
            <w:tcW w:w="10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0.23</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1,126,774</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672</w:t>
            </w:r>
          </w:p>
        </w:tc>
        <w:tc>
          <w:tcPr>
            <w:tcW w:w="100" w:type="dxa"/>
            <w:vAlign w:val="bottom"/>
          </w:tcPr>
          <w:p>
            <w:pPr>
              <w:spacing w:after="0"/>
              <w:rPr>
                <w:sz w:val="18"/>
                <w:szCs w:val="18"/>
                <w:color w:val="auto"/>
              </w:rPr>
            </w:pPr>
          </w:p>
        </w:tc>
        <w:tc>
          <w:tcPr>
            <w:tcW w:w="10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0.24</w:t>
            </w:r>
          </w:p>
        </w:tc>
        <w:tc>
          <w:tcPr>
            <w:tcW w:w="0" w:type="dxa"/>
            <w:vAlign w:val="bottom"/>
          </w:tcPr>
          <w:p>
            <w:pPr>
              <w:spacing w:after="0"/>
              <w:rPr>
                <w:sz w:val="1"/>
                <w:szCs w:val="1"/>
                <w:color w:val="auto"/>
              </w:rPr>
            </w:pPr>
          </w:p>
        </w:tc>
      </w:tr>
      <w:tr>
        <w:trPr>
          <w:trHeight w:val="219"/>
        </w:trPr>
        <w:tc>
          <w:tcPr>
            <w:tcW w:w="42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Time</w:t>
            </w: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3,656,172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31,602</w:t>
            </w: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3.43</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3,465,980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34,560</w:t>
            </w: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3.97</w:t>
            </w:r>
          </w:p>
        </w:tc>
        <w:tc>
          <w:tcPr>
            <w:tcW w:w="0" w:type="dxa"/>
            <w:vAlign w:val="bottom"/>
          </w:tcPr>
          <w:p>
            <w:pPr>
              <w:spacing w:after="0"/>
              <w:rPr>
                <w:sz w:val="1"/>
                <w:szCs w:val="1"/>
                <w:color w:val="auto"/>
              </w:rPr>
            </w:pPr>
          </w:p>
        </w:tc>
      </w:tr>
      <w:tr>
        <w:trPr>
          <w:trHeight w:val="213"/>
        </w:trPr>
        <w:tc>
          <w:tcPr>
            <w:tcW w:w="428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6"/>
                <w:szCs w:val="16"/>
                <w:color w:val="auto"/>
              </w:rPr>
              <w:t>Brokered time deposits</w:t>
            </w:r>
          </w:p>
        </w:tc>
        <w:tc>
          <w:tcPr>
            <w:tcW w:w="2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50,529</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521</w:t>
            </w:r>
          </w:p>
        </w:tc>
        <w:tc>
          <w:tcPr>
            <w:tcW w:w="100" w:type="dxa"/>
            <w:vAlign w:val="bottom"/>
            <w:tcBorders>
              <w:bottom w:val="single" w:sz="8" w:color="CCEEFF"/>
            </w:tcBorders>
          </w:tcPr>
          <w:p>
            <w:pPr>
              <w:spacing w:after="0"/>
              <w:rPr>
                <w:sz w:val="18"/>
                <w:szCs w:val="18"/>
                <w:color w:val="auto"/>
              </w:rPr>
            </w:pPr>
          </w:p>
        </w:tc>
        <w:tc>
          <w:tcPr>
            <w:tcW w:w="1000" w:type="dxa"/>
            <w:vAlign w:val="bottom"/>
            <w:tcBorders>
              <w:bottom w:val="single" w:sz="8" w:color="CCEEFF"/>
            </w:tcBorders>
          </w:tcPr>
          <w:p>
            <w:pPr>
              <w:jc w:val="right"/>
              <w:ind w:right="119"/>
              <w:spacing w:after="0"/>
              <w:rPr>
                <w:sz w:val="20"/>
                <w:szCs w:val="20"/>
                <w:color w:val="auto"/>
              </w:rPr>
            </w:pPr>
            <w:r>
              <w:rPr>
                <w:rFonts w:ascii="Times New Roman" w:cs="Times New Roman" w:eastAsia="Times New Roman" w:hAnsi="Times New Roman"/>
                <w:sz w:val="16"/>
                <w:szCs w:val="16"/>
                <w:color w:val="auto"/>
              </w:rPr>
              <w:t>4.09</w:t>
            </w: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50,364</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642</w:t>
            </w:r>
          </w:p>
        </w:tc>
        <w:tc>
          <w:tcPr>
            <w:tcW w:w="100" w:type="dxa"/>
            <w:vAlign w:val="bottom"/>
            <w:tcBorders>
              <w:bottom w:val="single" w:sz="8" w:color="CCEEFF"/>
            </w:tcBorders>
          </w:tcPr>
          <w:p>
            <w:pPr>
              <w:spacing w:after="0"/>
              <w:rPr>
                <w:sz w:val="18"/>
                <w:szCs w:val="18"/>
                <w:color w:val="auto"/>
              </w:rPr>
            </w:pPr>
          </w:p>
        </w:tc>
        <w:tc>
          <w:tcPr>
            <w:tcW w:w="1000" w:type="dxa"/>
            <w:vAlign w:val="bottom"/>
            <w:tcBorders>
              <w:bottom w:val="single" w:sz="8" w:color="CCEEFF"/>
            </w:tcBorders>
          </w:tcPr>
          <w:p>
            <w:pPr>
              <w:jc w:val="right"/>
              <w:ind w:right="119"/>
              <w:spacing w:after="0"/>
              <w:rPr>
                <w:sz w:val="20"/>
                <w:szCs w:val="20"/>
                <w:color w:val="auto"/>
              </w:rPr>
            </w:pPr>
            <w:r>
              <w:rPr>
                <w:rFonts w:ascii="Times New Roman" w:cs="Times New Roman" w:eastAsia="Times New Roman" w:hAnsi="Times New Roman"/>
                <w:sz w:val="16"/>
                <w:szCs w:val="16"/>
                <w:color w:val="auto"/>
              </w:rPr>
              <w:t>5.07</w:t>
            </w:r>
          </w:p>
        </w:tc>
        <w:tc>
          <w:tcPr>
            <w:tcW w:w="0" w:type="dxa"/>
            <w:vAlign w:val="bottom"/>
          </w:tcPr>
          <w:p>
            <w:pPr>
              <w:spacing w:after="0"/>
              <w:rPr>
                <w:sz w:val="1"/>
                <w:szCs w:val="1"/>
                <w:color w:val="auto"/>
              </w:rPr>
            </w:pPr>
          </w:p>
        </w:tc>
      </w:tr>
      <w:tr>
        <w:trPr>
          <w:trHeight w:val="212"/>
        </w:trPr>
        <w:tc>
          <w:tcPr>
            <w:tcW w:w="42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Total interest-bearing deposits</w:t>
            </w:r>
          </w:p>
        </w:tc>
        <w:tc>
          <w:tcPr>
            <w:tcW w:w="20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17,548,101</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118,475</w:t>
            </w: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2.68</w:t>
            </w:r>
          </w:p>
        </w:tc>
        <w:tc>
          <w:tcPr>
            <w:tcW w:w="1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16,783,418</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136,149</w:t>
            </w: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3.23</w:t>
            </w:r>
          </w:p>
        </w:tc>
        <w:tc>
          <w:tcPr>
            <w:tcW w:w="0" w:type="dxa"/>
            <w:vAlign w:val="bottom"/>
          </w:tcPr>
          <w:p>
            <w:pPr>
              <w:spacing w:after="0"/>
              <w:rPr>
                <w:sz w:val="1"/>
                <w:szCs w:val="1"/>
                <w:color w:val="auto"/>
              </w:rPr>
            </w:pPr>
          </w:p>
        </w:tc>
      </w:tr>
      <w:tr>
        <w:trPr>
          <w:trHeight w:val="207"/>
        </w:trPr>
        <w:tc>
          <w:tcPr>
            <w:tcW w:w="42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Federal funds purchased and other borrowings</w:t>
            </w:r>
          </w:p>
        </w:tc>
        <w:tc>
          <w:tcPr>
            <w:tcW w:w="20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2,284</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w:t>
            </w:r>
          </w:p>
        </w:tc>
        <w:tc>
          <w:tcPr>
            <w:tcW w:w="100" w:type="dxa"/>
            <w:vAlign w:val="bottom"/>
          </w:tcPr>
          <w:p>
            <w:pPr>
              <w:spacing w:after="0"/>
              <w:rPr>
                <w:sz w:val="17"/>
                <w:szCs w:val="17"/>
                <w:color w:val="auto"/>
              </w:rPr>
            </w:pPr>
          </w:p>
        </w:tc>
        <w:tc>
          <w:tcPr>
            <w:tcW w:w="10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4.34</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1,899</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w:t>
            </w:r>
          </w:p>
        </w:tc>
        <w:tc>
          <w:tcPr>
            <w:tcW w:w="100" w:type="dxa"/>
            <w:vAlign w:val="bottom"/>
          </w:tcPr>
          <w:p>
            <w:pPr>
              <w:spacing w:after="0"/>
              <w:rPr>
                <w:sz w:val="17"/>
                <w:szCs w:val="17"/>
                <w:color w:val="auto"/>
              </w:rPr>
            </w:pPr>
          </w:p>
        </w:tc>
        <w:tc>
          <w:tcPr>
            <w:tcW w:w="10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5.66</w:t>
            </w:r>
          </w:p>
        </w:tc>
        <w:tc>
          <w:tcPr>
            <w:tcW w:w="0" w:type="dxa"/>
            <w:vAlign w:val="bottom"/>
          </w:tcPr>
          <w:p>
            <w:pPr>
              <w:spacing w:after="0"/>
              <w:rPr>
                <w:sz w:val="1"/>
                <w:szCs w:val="1"/>
                <w:color w:val="auto"/>
              </w:rPr>
            </w:pPr>
          </w:p>
        </w:tc>
      </w:tr>
      <w:tr>
        <w:trPr>
          <w:trHeight w:val="219"/>
        </w:trPr>
        <w:tc>
          <w:tcPr>
            <w:tcW w:w="42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Federal Home Loan Bank advances</w:t>
            </w:r>
          </w:p>
        </w:tc>
        <w:tc>
          <w:tcPr>
            <w:tcW w:w="20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42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Long-term debt</w:t>
            </w:r>
          </w:p>
        </w:tc>
        <w:tc>
          <w:tcPr>
            <w:tcW w:w="2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155,197</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1,721</w:t>
            </w:r>
          </w:p>
        </w:tc>
        <w:tc>
          <w:tcPr>
            <w:tcW w:w="100" w:type="dxa"/>
            <w:vAlign w:val="bottom"/>
            <w:tcBorders>
              <w:bottom w:val="single" w:sz="8" w:color="CCEEFF"/>
            </w:tcBorders>
          </w:tcPr>
          <w:p>
            <w:pPr>
              <w:spacing w:after="0"/>
              <w:rPr>
                <w:sz w:val="18"/>
                <w:szCs w:val="18"/>
                <w:color w:val="auto"/>
              </w:rPr>
            </w:pPr>
          </w:p>
        </w:tc>
        <w:tc>
          <w:tcPr>
            <w:tcW w:w="1000" w:type="dxa"/>
            <w:vAlign w:val="bottom"/>
            <w:tcBorders>
              <w:bottom w:val="single" w:sz="8" w:color="CCEEFF"/>
            </w:tcBorders>
          </w:tcPr>
          <w:p>
            <w:pPr>
              <w:jc w:val="right"/>
              <w:ind w:right="119"/>
              <w:spacing w:after="0"/>
              <w:rPr>
                <w:sz w:val="20"/>
                <w:szCs w:val="20"/>
                <w:color w:val="auto"/>
              </w:rPr>
            </w:pPr>
            <w:r>
              <w:rPr>
                <w:rFonts w:ascii="Times New Roman" w:cs="Times New Roman" w:eastAsia="Times New Roman" w:hAnsi="Times New Roman"/>
                <w:sz w:val="16"/>
                <w:szCs w:val="16"/>
                <w:color w:val="auto"/>
              </w:rPr>
              <w:t>4.40</w:t>
            </w: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323,544</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3,724</w:t>
            </w:r>
          </w:p>
        </w:tc>
        <w:tc>
          <w:tcPr>
            <w:tcW w:w="100" w:type="dxa"/>
            <w:vAlign w:val="bottom"/>
            <w:tcBorders>
              <w:bottom w:val="single" w:sz="8" w:color="CCEEFF"/>
            </w:tcBorders>
          </w:tcPr>
          <w:p>
            <w:pPr>
              <w:spacing w:after="0"/>
              <w:rPr>
                <w:sz w:val="18"/>
                <w:szCs w:val="18"/>
                <w:color w:val="auto"/>
              </w:rPr>
            </w:pPr>
          </w:p>
        </w:tc>
        <w:tc>
          <w:tcPr>
            <w:tcW w:w="1000" w:type="dxa"/>
            <w:vAlign w:val="bottom"/>
            <w:tcBorders>
              <w:bottom w:val="single" w:sz="8" w:color="CCEEFF"/>
            </w:tcBorders>
          </w:tcPr>
          <w:p>
            <w:pPr>
              <w:jc w:val="right"/>
              <w:ind w:right="119"/>
              <w:spacing w:after="0"/>
              <w:rPr>
                <w:sz w:val="20"/>
                <w:szCs w:val="20"/>
                <w:color w:val="auto"/>
              </w:rPr>
            </w:pPr>
            <w:r>
              <w:rPr>
                <w:rFonts w:ascii="Times New Roman" w:cs="Times New Roman" w:eastAsia="Times New Roman" w:hAnsi="Times New Roman"/>
                <w:sz w:val="16"/>
                <w:szCs w:val="16"/>
                <w:color w:val="auto"/>
              </w:rPr>
              <w:t>4.58</w:t>
            </w:r>
          </w:p>
        </w:tc>
        <w:tc>
          <w:tcPr>
            <w:tcW w:w="0" w:type="dxa"/>
            <w:vAlign w:val="bottom"/>
          </w:tcPr>
          <w:p>
            <w:pPr>
              <w:spacing w:after="0"/>
              <w:rPr>
                <w:sz w:val="1"/>
                <w:szCs w:val="1"/>
                <w:color w:val="auto"/>
              </w:rPr>
            </w:pPr>
          </w:p>
        </w:tc>
      </w:tr>
      <w:tr>
        <w:trPr>
          <w:trHeight w:val="212"/>
        </w:trPr>
        <w:tc>
          <w:tcPr>
            <w:tcW w:w="42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Total borrowed funds</w:t>
            </w:r>
          </w:p>
        </w:tc>
        <w:tc>
          <w:tcPr>
            <w:tcW w:w="20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157,481</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1,746</w:t>
            </w: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4.40</w:t>
            </w:r>
          </w:p>
        </w:tc>
        <w:tc>
          <w:tcPr>
            <w:tcW w:w="1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325,454</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3,751</w:t>
            </w: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4.59</w:t>
            </w:r>
          </w:p>
        </w:tc>
        <w:tc>
          <w:tcPr>
            <w:tcW w:w="0" w:type="dxa"/>
            <w:vAlign w:val="bottom"/>
          </w:tcPr>
          <w:p>
            <w:pPr>
              <w:spacing w:after="0"/>
              <w:rPr>
                <w:sz w:val="1"/>
                <w:szCs w:val="1"/>
                <w:color w:val="auto"/>
              </w:rPr>
            </w:pPr>
          </w:p>
        </w:tc>
      </w:tr>
      <w:tr>
        <w:trPr>
          <w:trHeight w:val="207"/>
        </w:trPr>
        <w:tc>
          <w:tcPr>
            <w:tcW w:w="428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6"/>
                <w:szCs w:val="16"/>
                <w:b w:val="1"/>
                <w:bCs w:val="1"/>
                <w:color w:val="auto"/>
              </w:rPr>
              <w:t>Total interest-bearing liabilities</w:t>
            </w:r>
          </w:p>
        </w:tc>
        <w:tc>
          <w:tcPr>
            <w:tcW w:w="2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17,705,582</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120,221</w:t>
            </w:r>
          </w:p>
        </w:tc>
        <w:tc>
          <w:tcPr>
            <w:tcW w:w="100" w:type="dxa"/>
            <w:vAlign w:val="bottom"/>
            <w:tcBorders>
              <w:bottom w:val="single" w:sz="8" w:color="CCEEFF"/>
            </w:tcBorders>
          </w:tcPr>
          <w:p>
            <w:pPr>
              <w:spacing w:after="0"/>
              <w:rPr>
                <w:sz w:val="17"/>
                <w:szCs w:val="17"/>
                <w:color w:val="auto"/>
              </w:rPr>
            </w:pPr>
          </w:p>
        </w:tc>
        <w:tc>
          <w:tcPr>
            <w:tcW w:w="1000" w:type="dxa"/>
            <w:vAlign w:val="bottom"/>
            <w:tcBorders>
              <w:bottom w:val="single" w:sz="8" w:color="CCEEFF"/>
            </w:tcBorders>
          </w:tcPr>
          <w:p>
            <w:pPr>
              <w:jc w:val="right"/>
              <w:ind w:right="119"/>
              <w:spacing w:after="0"/>
              <w:rPr>
                <w:sz w:val="20"/>
                <w:szCs w:val="20"/>
                <w:color w:val="auto"/>
              </w:rPr>
            </w:pPr>
            <w:r>
              <w:rPr>
                <w:rFonts w:ascii="Times New Roman" w:cs="Times New Roman" w:eastAsia="Times New Roman" w:hAnsi="Times New Roman"/>
                <w:sz w:val="16"/>
                <w:szCs w:val="16"/>
                <w:color w:val="auto"/>
              </w:rPr>
              <w:t>2.69</w:t>
            </w:r>
          </w:p>
        </w:tc>
        <w:tc>
          <w:tcPr>
            <w:tcW w:w="1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17,108,872</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139,900</w:t>
            </w:r>
          </w:p>
        </w:tc>
        <w:tc>
          <w:tcPr>
            <w:tcW w:w="100" w:type="dxa"/>
            <w:vAlign w:val="bottom"/>
            <w:tcBorders>
              <w:bottom w:val="single" w:sz="8" w:color="CCEEFF"/>
            </w:tcBorders>
          </w:tcPr>
          <w:p>
            <w:pPr>
              <w:spacing w:after="0"/>
              <w:rPr>
                <w:sz w:val="17"/>
                <w:szCs w:val="17"/>
                <w:color w:val="auto"/>
              </w:rPr>
            </w:pPr>
          </w:p>
        </w:tc>
        <w:tc>
          <w:tcPr>
            <w:tcW w:w="1000" w:type="dxa"/>
            <w:vAlign w:val="bottom"/>
            <w:tcBorders>
              <w:bottom w:val="single" w:sz="8" w:color="CCEEFF"/>
            </w:tcBorders>
          </w:tcPr>
          <w:p>
            <w:pPr>
              <w:jc w:val="right"/>
              <w:ind w:right="119"/>
              <w:spacing w:after="0"/>
              <w:rPr>
                <w:sz w:val="20"/>
                <w:szCs w:val="20"/>
                <w:color w:val="auto"/>
              </w:rPr>
            </w:pPr>
            <w:r>
              <w:rPr>
                <w:rFonts w:ascii="Times New Roman" w:cs="Times New Roman" w:eastAsia="Times New Roman" w:hAnsi="Times New Roman"/>
                <w:sz w:val="16"/>
                <w:szCs w:val="16"/>
                <w:color w:val="auto"/>
              </w:rPr>
              <w:t>3.25</w:t>
            </w:r>
          </w:p>
        </w:tc>
        <w:tc>
          <w:tcPr>
            <w:tcW w:w="0" w:type="dxa"/>
            <w:vAlign w:val="bottom"/>
          </w:tcPr>
          <w:p>
            <w:pPr>
              <w:spacing w:after="0"/>
              <w:rPr>
                <w:sz w:val="1"/>
                <w:szCs w:val="1"/>
                <w:color w:val="auto"/>
              </w:rPr>
            </w:pPr>
          </w:p>
        </w:tc>
      </w:tr>
      <w:tr>
        <w:trPr>
          <w:trHeight w:val="199"/>
        </w:trPr>
        <w:tc>
          <w:tcPr>
            <w:tcW w:w="42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42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Noninterest-bearing liabilities:</w:t>
            </w: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2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Noninterest-bearing deposits</w:t>
            </w: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6,366,723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6,239,926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2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Other liabilities</w:t>
            </w:r>
          </w:p>
        </w:tc>
        <w:tc>
          <w:tcPr>
            <w:tcW w:w="2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334,443</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86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0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391,574</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88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0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42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Total liabilities</w:t>
            </w: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24,406,748</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23,740,372</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2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Shareholders' equity</w:t>
            </w:r>
          </w:p>
        </w:tc>
        <w:tc>
          <w:tcPr>
            <w:tcW w:w="2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3,634,919</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86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0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3,367,401</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88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0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42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b w:val="1"/>
                <w:bCs w:val="1"/>
                <w:color w:val="auto"/>
              </w:rPr>
              <w:t>Total liabilities and shareholders' equity</w:t>
            </w: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28,041,667</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27,107,773</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2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4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1"/>
        </w:trPr>
        <w:tc>
          <w:tcPr>
            <w:tcW w:w="4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Net interest revenue (FTE)</w:t>
            </w:r>
          </w:p>
        </w:tc>
        <w:tc>
          <w:tcPr>
            <w:tcW w:w="2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234,664</w:t>
            </w:r>
          </w:p>
        </w:tc>
        <w:tc>
          <w:tcPr>
            <w:tcW w:w="10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210,280</w:t>
            </w:r>
          </w:p>
        </w:tc>
        <w:tc>
          <w:tcPr>
            <w:tcW w:w="10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28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6"/>
                <w:szCs w:val="16"/>
                <w:color w:val="auto"/>
              </w:rPr>
              <w:t>Net interest-rate spread (FTE)</w:t>
            </w:r>
          </w:p>
        </w:tc>
        <w:tc>
          <w:tcPr>
            <w:tcW w:w="2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CCEEFF"/>
            </w:tcBorders>
            <w:vMerge w:val="restart"/>
          </w:tcPr>
          <w:p>
            <w:pPr>
              <w:jc w:val="right"/>
              <w:spacing w:after="0"/>
              <w:rPr>
                <w:sz w:val="20"/>
                <w:szCs w:val="20"/>
                <w:color w:val="auto"/>
              </w:rPr>
            </w:pPr>
            <w:r>
              <w:rPr>
                <w:rFonts w:ascii="Times New Roman" w:cs="Times New Roman" w:eastAsia="Times New Roman" w:hAnsi="Times New Roman"/>
                <w:sz w:val="16"/>
                <w:szCs w:val="16"/>
                <w:color w:val="auto"/>
              </w:rPr>
              <w:t>2.73 %</w:t>
            </w: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CCEEFF"/>
            </w:tcBorders>
            <w:vMerge w:val="restart"/>
          </w:tcPr>
          <w:p>
            <w:pPr>
              <w:jc w:val="right"/>
              <w:spacing w:after="0"/>
              <w:rPr>
                <w:sz w:val="20"/>
                <w:szCs w:val="20"/>
                <w:color w:val="auto"/>
              </w:rPr>
            </w:pPr>
            <w:r>
              <w:rPr>
                <w:rFonts w:ascii="Times New Roman" w:cs="Times New Roman" w:eastAsia="Times New Roman" w:hAnsi="Times New Roman"/>
                <w:sz w:val="16"/>
                <w:szCs w:val="16"/>
                <w:color w:val="auto"/>
              </w:rPr>
              <w:t>2.30 %</w:t>
            </w:r>
          </w:p>
        </w:tc>
        <w:tc>
          <w:tcPr>
            <w:tcW w:w="0" w:type="dxa"/>
            <w:vAlign w:val="bottom"/>
          </w:tcPr>
          <w:p>
            <w:pPr>
              <w:spacing w:after="0" w:line="20" w:lineRule="exact"/>
              <w:rPr>
                <w:sz w:val="1"/>
                <w:szCs w:val="1"/>
                <w:color w:val="auto"/>
              </w:rPr>
            </w:pPr>
          </w:p>
        </w:tc>
      </w:tr>
      <w:tr>
        <w:trPr>
          <w:trHeight w:val="163"/>
        </w:trPr>
        <w:tc>
          <w:tcPr>
            <w:tcW w:w="428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Borders>
              <w:bottom w:val="single" w:sz="8" w:color="auto"/>
            </w:tcBorders>
            <w:vMerge w:val="continue"/>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42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4280" w:type="dxa"/>
            <w:vAlign w:val="bottom"/>
            <w:tcBorders>
              <w:bottom w:val="single" w:sz="8" w:color="CCEEFF"/>
            </w:tcBorders>
            <w:shd w:val="clear" w:color="auto" w:fill="CCEEFF"/>
          </w:tcPr>
          <w:p>
            <w:pPr>
              <w:ind w:left="20"/>
              <w:spacing w:after="0" w:line="210" w:lineRule="exact"/>
              <w:rPr>
                <w:sz w:val="20"/>
                <w:szCs w:val="20"/>
                <w:color w:val="auto"/>
              </w:rPr>
            </w:pPr>
            <w:r>
              <w:rPr>
                <w:rFonts w:ascii="Times New Roman" w:cs="Times New Roman" w:eastAsia="Times New Roman" w:hAnsi="Times New Roman"/>
                <w:sz w:val="16"/>
                <w:szCs w:val="16"/>
                <w:color w:val="auto"/>
              </w:rPr>
              <w:t xml:space="preserve">Net interest margin (FTE) </w:t>
            </w:r>
            <w:r>
              <w:rPr>
                <w:rFonts w:ascii="Times New Roman" w:cs="Times New Roman" w:eastAsia="Times New Roman" w:hAnsi="Times New Roman"/>
                <w:sz w:val="21"/>
                <w:szCs w:val="21"/>
                <w:color w:val="auto"/>
                <w:vertAlign w:val="superscript"/>
              </w:rPr>
              <w:t>(4)</w:t>
            </w:r>
          </w:p>
        </w:tc>
        <w:tc>
          <w:tcPr>
            <w:tcW w:w="2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3.58 %</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3.33 %</w:t>
            </w:r>
          </w:p>
        </w:tc>
        <w:tc>
          <w:tcPr>
            <w:tcW w:w="0" w:type="dxa"/>
            <w:vAlign w:val="bottom"/>
          </w:tcPr>
          <w:p>
            <w:pPr>
              <w:spacing w:after="0"/>
              <w:rPr>
                <w:sz w:val="1"/>
                <w:szCs w:val="1"/>
                <w:color w:val="auto"/>
              </w:rPr>
            </w:pPr>
          </w:p>
        </w:tc>
      </w:tr>
      <w:tr>
        <w:trPr>
          <w:trHeight w:val="20"/>
        </w:trPr>
        <w:tc>
          <w:tcPr>
            <w:tcW w:w="42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4" w:lineRule="exact"/>
        <w:rPr>
          <w:sz w:val="20"/>
          <w:szCs w:val="20"/>
          <w:color w:val="auto"/>
        </w:rPr>
      </w:pPr>
    </w:p>
    <w:p>
      <w:pPr>
        <w:jc w:val="both"/>
        <w:ind w:left="340" w:hanging="332"/>
        <w:spacing w:after="0" w:line="267" w:lineRule="auto"/>
        <w:tabs>
          <w:tab w:leader="none" w:pos="327" w:val="left"/>
        </w:tabs>
        <w:numPr>
          <w:ilvl w:val="0"/>
          <w:numId w:val="13"/>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Interest revenue on tax-exempt securities and loans includes a taxable-equivalent adjustment to reflect comparable interest on taxable securities and loans. The FTE adjustment totaled $1.04 million and $1.09 million, respectively, for the three months ended September 30, 2025 and 2024. The tax rate used to calculate the adjustment was 25%, reflecting the statutory federal income tax rate and the federal tax adjusted state income tax rate.</w:t>
      </w:r>
    </w:p>
    <w:p>
      <w:pPr>
        <w:spacing w:after="0" w:line="1" w:lineRule="exact"/>
        <w:rPr>
          <w:rFonts w:ascii="Times New Roman" w:cs="Times New Roman" w:eastAsia="Times New Roman" w:hAnsi="Times New Roman"/>
          <w:sz w:val="9"/>
          <w:szCs w:val="9"/>
          <w:color w:val="auto"/>
        </w:rPr>
      </w:pPr>
    </w:p>
    <w:p>
      <w:pPr>
        <w:ind w:left="320" w:hanging="312"/>
        <w:spacing w:after="0" w:line="192" w:lineRule="auto"/>
        <w:tabs>
          <w:tab w:leader="none" w:pos="320" w:val="left"/>
        </w:tabs>
        <w:numPr>
          <w:ilvl w:val="0"/>
          <w:numId w:val="13"/>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Included in the average balance of loans outstanding are loans on which the accrual of interest has been discontinued and loans that are held for sale.</w:t>
      </w:r>
    </w:p>
    <w:p>
      <w:pPr>
        <w:spacing w:after="0" w:line="3" w:lineRule="exact"/>
        <w:rPr>
          <w:rFonts w:ascii="Times New Roman" w:cs="Times New Roman" w:eastAsia="Times New Roman" w:hAnsi="Times New Roman"/>
          <w:sz w:val="19"/>
          <w:szCs w:val="19"/>
          <w:color w:val="auto"/>
          <w:vertAlign w:val="superscript"/>
        </w:rPr>
      </w:pPr>
    </w:p>
    <w:p>
      <w:pPr>
        <w:ind w:left="340" w:hanging="332"/>
        <w:spacing w:after="0" w:line="211" w:lineRule="auto"/>
        <w:tabs>
          <w:tab w:leader="none" w:pos="346" w:val="left"/>
        </w:tabs>
        <w:numPr>
          <w:ilvl w:val="0"/>
          <w:numId w:val="13"/>
        </w:numPr>
        <w:rPr>
          <w:rFonts w:ascii="Arial" w:cs="Arial" w:eastAsia="Arial" w:hAnsi="Arial"/>
          <w:sz w:val="19"/>
          <w:szCs w:val="19"/>
          <w:color w:val="auto"/>
          <w:vertAlign w:val="superscript"/>
        </w:rPr>
      </w:pPr>
      <w:r>
        <w:rPr>
          <w:rFonts w:ascii="Times New Roman" w:cs="Times New Roman" w:eastAsia="Times New Roman" w:hAnsi="Times New Roman"/>
          <w:sz w:val="14"/>
          <w:szCs w:val="14"/>
          <w:color w:val="auto"/>
        </w:rPr>
        <w:t>Unrealized losses on AFS securities, including those related to the transfer from AFS to HTM, have been reclassified to other assets. Pretax unrealized losses of $223 million in 2025 and $295 million in 2024 are included in other assets for purposes of this presentation.</w:t>
      </w:r>
    </w:p>
    <w:p>
      <w:pPr>
        <w:ind w:left="320" w:hanging="312"/>
        <w:spacing w:after="0" w:line="192" w:lineRule="auto"/>
        <w:tabs>
          <w:tab w:leader="none" w:pos="320" w:val="left"/>
        </w:tabs>
        <w:numPr>
          <w:ilvl w:val="0"/>
          <w:numId w:val="13"/>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Net interest margin is taxable equivalent net interest revenue divided by average interest-earning assets.</w:t>
      </w:r>
    </w:p>
    <w:p>
      <w:pPr>
        <w:sectPr>
          <w:pgSz w:w="11900" w:h="16838" w:orient="portrait"/>
          <w:cols w:equalWidth="0" w:num="1">
            <w:col w:w="11240"/>
          </w:cols>
          <w:pgMar w:left="320" w:top="968" w:right="339" w:bottom="1440" w:gutter="0" w:footer="0" w:header="0"/>
        </w:sectPr>
      </w:pPr>
    </w:p>
    <w:p>
      <w:pPr>
        <w:spacing w:after="0" w:line="200" w:lineRule="exact"/>
        <w:rPr>
          <w:sz w:val="20"/>
          <w:szCs w:val="20"/>
          <w:color w:val="auto"/>
        </w:rPr>
      </w:pPr>
    </w:p>
    <w:p>
      <w:pPr>
        <w:spacing w:after="0" w:line="3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68" w:right="339" w:bottom="1440" w:gutter="0" w:footer="0" w:header="0"/>
          <w:type w:val="continuous"/>
        </w:sectPr>
      </w:pPr>
    </w:p>
    <w:bookmarkStart w:id="40" w:name="page41"/>
    <w:bookmarkEnd w:id="40"/>
    <w:p>
      <w:pPr>
        <w:ind w:left="120"/>
        <w:spacing w:after="0"/>
        <w:rPr>
          <w:sz w:val="20"/>
          <w:szCs w:val="20"/>
          <w:color w:val="auto"/>
        </w:rPr>
      </w:pPr>
      <w:r>
        <w:rPr>
          <w:rFonts w:ascii="Times New Roman" w:cs="Times New Roman" w:eastAsia="Times New Roman" w:hAnsi="Times New Roman"/>
          <w:sz w:val="18"/>
          <w:szCs w:val="18"/>
          <w:b w:val="1"/>
          <w:bCs w:val="1"/>
          <w:color w:val="auto"/>
        </w:rPr>
        <w:t>Table 3 - Average Consolidated Balance Sheets and Net Interest Analysis</w:t>
      </w:r>
    </w:p>
    <w:p>
      <w:pPr>
        <w:spacing w:after="0" w:line="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For the Nine Months Ended September 30,</w:t>
      </w:r>
    </w:p>
    <w:p>
      <w:pPr>
        <w:spacing w:after="0" w:line="2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6"/>
          <w:szCs w:val="16"/>
          <w:i w:val="1"/>
          <w:iCs w:val="1"/>
          <w:color w:val="auto"/>
        </w:rPr>
        <w:t>(dollars in thousands, (FTE))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68580</wp:posOffset>
            </wp:positionH>
            <wp:positionV relativeFrom="paragraph">
              <wp:posOffset>20320</wp:posOffset>
            </wp:positionV>
            <wp:extent cx="713232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45" w:lineRule="exact"/>
        <w:rPr>
          <w:sz w:val="20"/>
          <w:szCs w:val="20"/>
          <w:color w:val="auto"/>
        </w:rPr>
      </w:pPr>
    </w:p>
    <w:tbl>
      <w:tblPr>
        <w:tblLayout w:type="fixed"/>
        <w:tblInd w:w="100" w:type="dxa"/>
        <w:tblCellMar>
          <w:top w:w="0" w:type="dxa"/>
          <w:left w:w="0" w:type="dxa"/>
          <w:bottom w:w="0" w:type="dxa"/>
          <w:right w:w="0" w:type="dxa"/>
        </w:tblCellMar>
      </w:tblPr>
      <w:tr>
        <w:trPr>
          <w:trHeight w:val="215"/>
        </w:trPr>
        <w:tc>
          <w:tcPr>
            <w:tcW w:w="42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42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60" w:type="dxa"/>
            <w:vAlign w:val="bottom"/>
            <w:gridSpan w:val="2"/>
          </w:tcPr>
          <w:p>
            <w:pPr>
              <w:ind w:left="100"/>
              <w:spacing w:after="0" w:line="158" w:lineRule="exact"/>
              <w:rPr>
                <w:sz w:val="20"/>
                <w:szCs w:val="20"/>
                <w:color w:val="auto"/>
              </w:rPr>
            </w:pPr>
            <w:r>
              <w:rPr>
                <w:rFonts w:ascii="Times New Roman" w:cs="Times New Roman" w:eastAsia="Times New Roman" w:hAnsi="Times New Roman"/>
                <w:sz w:val="16"/>
                <w:szCs w:val="16"/>
                <w:b w:val="1"/>
                <w:bCs w:val="1"/>
                <w:color w:val="auto"/>
              </w:rPr>
              <w:t>Average</w:t>
            </w:r>
          </w:p>
        </w:tc>
        <w:tc>
          <w:tcPr>
            <w:tcW w:w="160" w:type="dxa"/>
            <w:vAlign w:val="bottom"/>
          </w:tcPr>
          <w:p>
            <w:pPr>
              <w:spacing w:after="0"/>
              <w:rPr>
                <w:sz w:val="13"/>
                <w:szCs w:val="13"/>
                <w:color w:val="auto"/>
              </w:rPr>
            </w:pPr>
          </w:p>
        </w:tc>
        <w:tc>
          <w:tcPr>
            <w:tcW w:w="960" w:type="dxa"/>
            <w:vAlign w:val="bottom"/>
            <w:gridSpan w:val="2"/>
            <w:vMerge w:val="restart"/>
          </w:tcPr>
          <w:p>
            <w:pPr>
              <w:ind w:left="80"/>
              <w:spacing w:after="0"/>
              <w:rPr>
                <w:sz w:val="20"/>
                <w:szCs w:val="20"/>
                <w:color w:val="auto"/>
              </w:rPr>
            </w:pPr>
            <w:r>
              <w:rPr>
                <w:rFonts w:ascii="Times New Roman" w:cs="Times New Roman" w:eastAsia="Times New Roman" w:hAnsi="Times New Roman"/>
                <w:sz w:val="16"/>
                <w:szCs w:val="16"/>
                <w:b w:val="1"/>
                <w:bCs w:val="1"/>
                <w:color w:val="auto"/>
              </w:rPr>
              <w:t>Interest</w:t>
            </w:r>
          </w:p>
        </w:tc>
        <w:tc>
          <w:tcPr>
            <w:tcW w:w="1000" w:type="dxa"/>
            <w:vAlign w:val="bottom"/>
            <w:vMerge w:val="restart"/>
          </w:tcPr>
          <w:p>
            <w:pPr>
              <w:ind w:left="40"/>
              <w:spacing w:after="0"/>
              <w:rPr>
                <w:sz w:val="20"/>
                <w:szCs w:val="20"/>
                <w:color w:val="auto"/>
              </w:rPr>
            </w:pPr>
            <w:r>
              <w:rPr>
                <w:rFonts w:ascii="Times New Roman" w:cs="Times New Roman" w:eastAsia="Times New Roman" w:hAnsi="Times New Roman"/>
                <w:sz w:val="16"/>
                <w:szCs w:val="16"/>
                <w:b w:val="1"/>
                <w:bCs w:val="1"/>
                <w:color w:val="auto"/>
              </w:rPr>
              <w:t>Average Rate</w:t>
            </w: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60" w:type="dxa"/>
            <w:vAlign w:val="bottom"/>
            <w:gridSpan w:val="2"/>
          </w:tcPr>
          <w:p>
            <w:pPr>
              <w:ind w:left="100"/>
              <w:spacing w:after="0" w:line="158" w:lineRule="exact"/>
              <w:rPr>
                <w:sz w:val="20"/>
                <w:szCs w:val="20"/>
                <w:color w:val="auto"/>
              </w:rPr>
            </w:pPr>
            <w:r>
              <w:rPr>
                <w:rFonts w:ascii="Times New Roman" w:cs="Times New Roman" w:eastAsia="Times New Roman" w:hAnsi="Times New Roman"/>
                <w:sz w:val="16"/>
                <w:szCs w:val="16"/>
                <w:b w:val="1"/>
                <w:bCs w:val="1"/>
                <w:color w:val="auto"/>
              </w:rPr>
              <w:t>Average</w:t>
            </w:r>
          </w:p>
        </w:tc>
        <w:tc>
          <w:tcPr>
            <w:tcW w:w="180" w:type="dxa"/>
            <w:vAlign w:val="bottom"/>
          </w:tcPr>
          <w:p>
            <w:pPr>
              <w:spacing w:after="0"/>
              <w:rPr>
                <w:sz w:val="13"/>
                <w:szCs w:val="13"/>
                <w:color w:val="auto"/>
              </w:rPr>
            </w:pPr>
          </w:p>
        </w:tc>
        <w:tc>
          <w:tcPr>
            <w:tcW w:w="960" w:type="dxa"/>
            <w:vAlign w:val="bottom"/>
            <w:gridSpan w:val="2"/>
            <w:vMerge w:val="restart"/>
          </w:tcPr>
          <w:p>
            <w:pPr>
              <w:ind w:left="80"/>
              <w:spacing w:after="0"/>
              <w:rPr>
                <w:sz w:val="20"/>
                <w:szCs w:val="20"/>
                <w:color w:val="auto"/>
              </w:rPr>
            </w:pPr>
            <w:r>
              <w:rPr>
                <w:rFonts w:ascii="Times New Roman" w:cs="Times New Roman" w:eastAsia="Times New Roman" w:hAnsi="Times New Roman"/>
                <w:sz w:val="16"/>
                <w:szCs w:val="16"/>
                <w:b w:val="1"/>
                <w:bCs w:val="1"/>
                <w:color w:val="auto"/>
              </w:rPr>
              <w:t>Interest</w:t>
            </w: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Average Rate</w:t>
            </w:r>
          </w:p>
        </w:tc>
        <w:tc>
          <w:tcPr>
            <w:tcW w:w="0" w:type="dxa"/>
            <w:vAlign w:val="bottom"/>
          </w:tcPr>
          <w:p>
            <w:pPr>
              <w:spacing w:after="0"/>
              <w:rPr>
                <w:sz w:val="1"/>
                <w:szCs w:val="1"/>
                <w:color w:val="auto"/>
              </w:rPr>
            </w:pPr>
          </w:p>
        </w:tc>
      </w:tr>
      <w:tr>
        <w:trPr>
          <w:trHeight w:val="212"/>
        </w:trPr>
        <w:tc>
          <w:tcPr>
            <w:tcW w:w="4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Balance</w:t>
            </w:r>
          </w:p>
        </w:tc>
        <w:tc>
          <w:tcPr>
            <w:tcW w:w="160" w:type="dxa"/>
            <w:vAlign w:val="bottom"/>
          </w:tcPr>
          <w:p>
            <w:pPr>
              <w:spacing w:after="0"/>
              <w:rPr>
                <w:sz w:val="18"/>
                <w:szCs w:val="18"/>
                <w:color w:val="auto"/>
              </w:rPr>
            </w:pPr>
          </w:p>
        </w:tc>
        <w:tc>
          <w:tcPr>
            <w:tcW w:w="960" w:type="dxa"/>
            <w:vAlign w:val="bottom"/>
            <w:gridSpan w:val="2"/>
            <w:vMerge w:val="continue"/>
          </w:tcPr>
          <w:p>
            <w:pPr>
              <w:spacing w:after="0"/>
              <w:rPr>
                <w:sz w:val="18"/>
                <w:szCs w:val="18"/>
                <w:color w:val="auto"/>
              </w:rPr>
            </w:pPr>
          </w:p>
        </w:tc>
        <w:tc>
          <w:tcPr>
            <w:tcW w:w="100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Balance</w:t>
            </w:r>
          </w:p>
        </w:tc>
        <w:tc>
          <w:tcPr>
            <w:tcW w:w="180" w:type="dxa"/>
            <w:vAlign w:val="bottom"/>
          </w:tcPr>
          <w:p>
            <w:pPr>
              <w:spacing w:after="0"/>
              <w:rPr>
                <w:sz w:val="18"/>
                <w:szCs w:val="18"/>
                <w:color w:val="auto"/>
              </w:rPr>
            </w:pPr>
          </w:p>
        </w:tc>
        <w:tc>
          <w:tcPr>
            <w:tcW w:w="960" w:type="dxa"/>
            <w:vAlign w:val="bottom"/>
            <w:gridSpan w:val="2"/>
            <w:vMerge w:val="continue"/>
          </w:tcPr>
          <w:p>
            <w:pPr>
              <w:spacing w:after="0"/>
              <w:rPr>
                <w:sz w:val="18"/>
                <w:szCs w:val="18"/>
                <w:color w:val="auto"/>
              </w:rPr>
            </w:pPr>
          </w:p>
        </w:tc>
        <w:tc>
          <w:tcPr>
            <w:tcW w:w="10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2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18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Interest-earning assets:</w:t>
            </w: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280" w:type="dxa"/>
            <w:vAlign w:val="bottom"/>
          </w:tcPr>
          <w:p>
            <w:pPr>
              <w:ind w:left="140"/>
              <w:spacing w:after="0" w:line="216" w:lineRule="exact"/>
              <w:rPr>
                <w:sz w:val="20"/>
                <w:szCs w:val="20"/>
                <w:color w:val="auto"/>
              </w:rPr>
            </w:pPr>
            <w:r>
              <w:rPr>
                <w:rFonts w:ascii="Times New Roman" w:cs="Times New Roman" w:eastAsia="Times New Roman" w:hAnsi="Times New Roman"/>
                <w:sz w:val="16"/>
                <w:szCs w:val="16"/>
                <w:color w:val="auto"/>
              </w:rPr>
              <w:t xml:space="preserve">Loans, net of unearned income (FTE) </w:t>
            </w:r>
            <w:r>
              <w:rPr>
                <w:rFonts w:ascii="Times New Roman" w:cs="Times New Roman" w:eastAsia="Times New Roman" w:hAnsi="Times New Roman"/>
                <w:sz w:val="21"/>
                <w:szCs w:val="21"/>
                <w:color w:val="auto"/>
                <w:vertAlign w:val="superscript"/>
              </w:rPr>
              <w:t>(1)(2)</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18,632,384</w:t>
            </w:r>
          </w:p>
        </w:tc>
        <w:tc>
          <w:tcPr>
            <w:tcW w:w="1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859,678</w:t>
            </w:r>
          </w:p>
        </w:tc>
        <w:tc>
          <w:tcPr>
            <w:tcW w:w="100" w:type="dxa"/>
            <w:vAlign w:val="bottom"/>
          </w:tcPr>
          <w:p>
            <w:pPr>
              <w:spacing w:after="0"/>
              <w:rPr>
                <w:sz w:val="18"/>
                <w:szCs w:val="18"/>
                <w:color w:val="auto"/>
              </w:rPr>
            </w:pPr>
          </w:p>
        </w:tc>
        <w:tc>
          <w:tcPr>
            <w:tcW w:w="1000" w:type="dxa"/>
            <w:vAlign w:val="bottom"/>
          </w:tcPr>
          <w:p>
            <w:pPr>
              <w:ind w:left="520"/>
              <w:spacing w:after="0"/>
              <w:rPr>
                <w:sz w:val="20"/>
                <w:szCs w:val="20"/>
                <w:color w:val="auto"/>
              </w:rPr>
            </w:pPr>
            <w:r>
              <w:rPr>
                <w:rFonts w:ascii="Times New Roman" w:cs="Times New Roman" w:eastAsia="Times New Roman" w:hAnsi="Times New Roman"/>
                <w:sz w:val="16"/>
                <w:szCs w:val="16"/>
                <w:color w:val="auto"/>
              </w:rPr>
              <w:t>6.17 %</w:t>
            </w:r>
          </w:p>
        </w:tc>
        <w:tc>
          <w:tcPr>
            <w:tcW w:w="320" w:type="dxa"/>
            <w:vAlign w:val="bottom"/>
            <w:gridSpan w:val="2"/>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18,187,790</w:t>
            </w:r>
          </w:p>
        </w:tc>
        <w:tc>
          <w:tcPr>
            <w:tcW w:w="1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866,502</w:t>
            </w: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6.36 %</w:t>
            </w:r>
          </w:p>
        </w:tc>
        <w:tc>
          <w:tcPr>
            <w:tcW w:w="0" w:type="dxa"/>
            <w:vAlign w:val="bottom"/>
          </w:tcPr>
          <w:p>
            <w:pPr>
              <w:spacing w:after="0"/>
              <w:rPr>
                <w:sz w:val="1"/>
                <w:szCs w:val="1"/>
                <w:color w:val="auto"/>
              </w:rPr>
            </w:pPr>
          </w:p>
        </w:tc>
      </w:tr>
      <w:tr>
        <w:trPr>
          <w:trHeight w:val="216"/>
        </w:trPr>
        <w:tc>
          <w:tcPr>
            <w:tcW w:w="4280" w:type="dxa"/>
            <w:vAlign w:val="bottom"/>
            <w:shd w:val="clear" w:color="auto" w:fill="CCEEFF"/>
          </w:tcPr>
          <w:p>
            <w:pPr>
              <w:ind w:left="140"/>
              <w:spacing w:after="0" w:line="216" w:lineRule="exact"/>
              <w:rPr>
                <w:sz w:val="20"/>
                <w:szCs w:val="20"/>
                <w:color w:val="auto"/>
              </w:rPr>
            </w:pPr>
            <w:r>
              <w:rPr>
                <w:rFonts w:ascii="Times New Roman" w:cs="Times New Roman" w:eastAsia="Times New Roman" w:hAnsi="Times New Roman"/>
                <w:sz w:val="16"/>
                <w:szCs w:val="16"/>
                <w:color w:val="auto"/>
              </w:rPr>
              <w:t xml:space="preserve">Taxable securities </w:t>
            </w:r>
            <w:r>
              <w:rPr>
                <w:rFonts w:ascii="Times New Roman" w:cs="Times New Roman" w:eastAsia="Times New Roman" w:hAnsi="Times New Roman"/>
                <w:sz w:val="21"/>
                <w:szCs w:val="21"/>
                <w:color w:val="auto"/>
                <w:vertAlign w:val="superscript"/>
              </w:rPr>
              <w:t>(3)</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6,480,641</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162,885</w:t>
            </w: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6"/>
                <w:szCs w:val="16"/>
                <w:color w:val="auto"/>
              </w:rPr>
              <w:t>3.35</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5,988,368</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144,363</w:t>
            </w: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3.21</w:t>
            </w:r>
          </w:p>
        </w:tc>
        <w:tc>
          <w:tcPr>
            <w:tcW w:w="0" w:type="dxa"/>
            <w:vAlign w:val="bottom"/>
          </w:tcPr>
          <w:p>
            <w:pPr>
              <w:spacing w:after="0"/>
              <w:rPr>
                <w:sz w:val="1"/>
                <w:szCs w:val="1"/>
                <w:color w:val="auto"/>
              </w:rPr>
            </w:pPr>
          </w:p>
        </w:tc>
      </w:tr>
      <w:tr>
        <w:trPr>
          <w:trHeight w:val="216"/>
        </w:trPr>
        <w:tc>
          <w:tcPr>
            <w:tcW w:w="4280" w:type="dxa"/>
            <w:vAlign w:val="bottom"/>
          </w:tcPr>
          <w:p>
            <w:pPr>
              <w:ind w:left="140"/>
              <w:spacing w:after="0" w:line="216" w:lineRule="exact"/>
              <w:rPr>
                <w:sz w:val="20"/>
                <w:szCs w:val="20"/>
                <w:color w:val="auto"/>
              </w:rPr>
            </w:pPr>
            <w:r>
              <w:rPr>
                <w:rFonts w:ascii="Times New Roman" w:cs="Times New Roman" w:eastAsia="Times New Roman" w:hAnsi="Times New Roman"/>
                <w:sz w:val="16"/>
                <w:szCs w:val="16"/>
                <w:color w:val="auto"/>
              </w:rPr>
              <w:t xml:space="preserve">Tax-exempt securities (FTE) </w:t>
            </w:r>
            <w:r>
              <w:rPr>
                <w:rFonts w:ascii="Times New Roman" w:cs="Times New Roman" w:eastAsia="Times New Roman" w:hAnsi="Times New Roman"/>
                <w:sz w:val="21"/>
                <w:szCs w:val="21"/>
                <w:color w:val="auto"/>
                <w:vertAlign w:val="superscript"/>
              </w:rPr>
              <w:t>(1)(3)</w:t>
            </w: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354,115</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6,730</w:t>
            </w:r>
          </w:p>
        </w:tc>
        <w:tc>
          <w:tcPr>
            <w:tcW w:w="100" w:type="dxa"/>
            <w:vAlign w:val="bottom"/>
          </w:tcPr>
          <w:p>
            <w:pPr>
              <w:spacing w:after="0"/>
              <w:rPr>
                <w:sz w:val="18"/>
                <w:szCs w:val="18"/>
                <w:color w:val="auto"/>
              </w:rPr>
            </w:pPr>
          </w:p>
        </w:tc>
        <w:tc>
          <w:tcPr>
            <w:tcW w:w="1000" w:type="dxa"/>
            <w:vAlign w:val="bottom"/>
          </w:tcPr>
          <w:p>
            <w:pPr>
              <w:ind w:left="520"/>
              <w:spacing w:after="0"/>
              <w:rPr>
                <w:sz w:val="20"/>
                <w:szCs w:val="20"/>
                <w:color w:val="auto"/>
              </w:rPr>
            </w:pPr>
            <w:r>
              <w:rPr>
                <w:rFonts w:ascii="Times New Roman" w:cs="Times New Roman" w:eastAsia="Times New Roman" w:hAnsi="Times New Roman"/>
                <w:sz w:val="16"/>
                <w:szCs w:val="16"/>
                <w:color w:val="auto"/>
              </w:rPr>
              <w:t>2.53</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363,692</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6,876</w:t>
            </w:r>
          </w:p>
        </w:tc>
        <w:tc>
          <w:tcPr>
            <w:tcW w:w="100" w:type="dxa"/>
            <w:vAlign w:val="bottom"/>
          </w:tcPr>
          <w:p>
            <w:pPr>
              <w:spacing w:after="0"/>
              <w:rPr>
                <w:sz w:val="18"/>
                <w:szCs w:val="18"/>
                <w:color w:val="auto"/>
              </w:rPr>
            </w:pPr>
          </w:p>
        </w:tc>
        <w:tc>
          <w:tcPr>
            <w:tcW w:w="10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2.52</w:t>
            </w:r>
          </w:p>
        </w:tc>
        <w:tc>
          <w:tcPr>
            <w:tcW w:w="0" w:type="dxa"/>
            <w:vAlign w:val="bottom"/>
          </w:tcPr>
          <w:p>
            <w:pPr>
              <w:spacing w:after="0"/>
              <w:rPr>
                <w:sz w:val="1"/>
                <w:szCs w:val="1"/>
                <w:color w:val="auto"/>
              </w:rPr>
            </w:pPr>
          </w:p>
        </w:tc>
      </w:tr>
      <w:tr>
        <w:trPr>
          <w:trHeight w:val="216"/>
        </w:trPr>
        <w:tc>
          <w:tcPr>
            <w:tcW w:w="42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Federal funds sold and other interest-earning assets</w:t>
            </w:r>
          </w:p>
        </w:tc>
        <w:tc>
          <w:tcPr>
            <w:tcW w:w="18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422,123</w:t>
            </w:r>
          </w:p>
        </w:tc>
        <w:tc>
          <w:tcPr>
            <w:tcW w:w="1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10,288</w:t>
            </w: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6"/>
                <w:szCs w:val="16"/>
                <w:color w:val="auto"/>
              </w:rPr>
              <w:t>3.26</w:t>
            </w:r>
          </w:p>
        </w:tc>
        <w:tc>
          <w:tcPr>
            <w:tcW w:w="1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559,786</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18,256</w:t>
            </w: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4.36</w:t>
            </w:r>
          </w:p>
        </w:tc>
        <w:tc>
          <w:tcPr>
            <w:tcW w:w="0" w:type="dxa"/>
            <w:vAlign w:val="bottom"/>
          </w:tcPr>
          <w:p>
            <w:pPr>
              <w:spacing w:after="0"/>
              <w:rPr>
                <w:sz w:val="1"/>
                <w:szCs w:val="1"/>
                <w:color w:val="auto"/>
              </w:rPr>
            </w:pPr>
          </w:p>
        </w:tc>
      </w:tr>
      <w:tr>
        <w:trPr>
          <w:trHeight w:val="207"/>
        </w:trPr>
        <w:tc>
          <w:tcPr>
            <w:tcW w:w="428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6"/>
                <w:szCs w:val="16"/>
                <w:b w:val="1"/>
                <w:bCs w:val="1"/>
                <w:color w:val="auto"/>
              </w:rPr>
              <w:t>Total interest-earning assets (FTE)</w:t>
            </w:r>
          </w:p>
        </w:tc>
        <w:tc>
          <w:tcPr>
            <w:tcW w:w="1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25,889,263</w:t>
            </w:r>
          </w:p>
        </w:tc>
        <w:tc>
          <w:tcPr>
            <w:tcW w:w="1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1,039,581</w:t>
            </w:r>
          </w:p>
        </w:tc>
        <w:tc>
          <w:tcPr>
            <w:tcW w:w="100" w:type="dxa"/>
            <w:vAlign w:val="bottom"/>
            <w:tcBorders>
              <w:bottom w:val="single" w:sz="8" w:color="CCEEFF"/>
            </w:tcBorders>
          </w:tcPr>
          <w:p>
            <w:pPr>
              <w:spacing w:after="0"/>
              <w:rPr>
                <w:sz w:val="17"/>
                <w:szCs w:val="17"/>
                <w:color w:val="auto"/>
              </w:rPr>
            </w:pPr>
          </w:p>
        </w:tc>
        <w:tc>
          <w:tcPr>
            <w:tcW w:w="1000" w:type="dxa"/>
            <w:vAlign w:val="bottom"/>
            <w:tcBorders>
              <w:bottom w:val="single" w:sz="8" w:color="CCEEFF"/>
            </w:tcBorders>
          </w:tcPr>
          <w:p>
            <w:pPr>
              <w:ind w:left="520"/>
              <w:spacing w:after="0"/>
              <w:rPr>
                <w:sz w:val="20"/>
                <w:szCs w:val="20"/>
                <w:color w:val="auto"/>
              </w:rPr>
            </w:pPr>
            <w:r>
              <w:rPr>
                <w:rFonts w:ascii="Times New Roman" w:cs="Times New Roman" w:eastAsia="Times New Roman" w:hAnsi="Times New Roman"/>
                <w:sz w:val="16"/>
                <w:szCs w:val="16"/>
                <w:color w:val="auto"/>
              </w:rPr>
              <w:t>5.37</w:t>
            </w:r>
          </w:p>
        </w:tc>
        <w:tc>
          <w:tcPr>
            <w:tcW w:w="12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25,099,636</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1,035,997</w:t>
            </w:r>
          </w:p>
        </w:tc>
        <w:tc>
          <w:tcPr>
            <w:tcW w:w="100" w:type="dxa"/>
            <w:vAlign w:val="bottom"/>
            <w:tcBorders>
              <w:bottom w:val="single" w:sz="8" w:color="CCEEFF"/>
            </w:tcBorders>
          </w:tcPr>
          <w:p>
            <w:pPr>
              <w:spacing w:after="0"/>
              <w:rPr>
                <w:sz w:val="17"/>
                <w:szCs w:val="17"/>
                <w:color w:val="auto"/>
              </w:rPr>
            </w:pPr>
          </w:p>
        </w:tc>
        <w:tc>
          <w:tcPr>
            <w:tcW w:w="1060" w:type="dxa"/>
            <w:vAlign w:val="bottom"/>
            <w:tcBorders>
              <w:bottom w:val="single" w:sz="8" w:color="CCEEFF"/>
            </w:tcBorders>
          </w:tcPr>
          <w:p>
            <w:pPr>
              <w:jc w:val="right"/>
              <w:ind w:right="119"/>
              <w:spacing w:after="0"/>
              <w:rPr>
                <w:sz w:val="20"/>
                <w:szCs w:val="20"/>
                <w:color w:val="auto"/>
              </w:rPr>
            </w:pPr>
            <w:r>
              <w:rPr>
                <w:rFonts w:ascii="Times New Roman" w:cs="Times New Roman" w:eastAsia="Times New Roman" w:hAnsi="Times New Roman"/>
                <w:sz w:val="16"/>
                <w:szCs w:val="16"/>
                <w:color w:val="auto"/>
              </w:rPr>
              <w:t>5.51</w:t>
            </w:r>
          </w:p>
        </w:tc>
        <w:tc>
          <w:tcPr>
            <w:tcW w:w="0" w:type="dxa"/>
            <w:vAlign w:val="bottom"/>
          </w:tcPr>
          <w:p>
            <w:pPr>
              <w:spacing w:after="0"/>
              <w:rPr>
                <w:sz w:val="1"/>
                <w:szCs w:val="1"/>
                <w:color w:val="auto"/>
              </w:rPr>
            </w:pPr>
          </w:p>
        </w:tc>
      </w:tr>
      <w:tr>
        <w:trPr>
          <w:trHeight w:val="199"/>
        </w:trPr>
        <w:tc>
          <w:tcPr>
            <w:tcW w:w="42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42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Non-interest-earning assets:</w:t>
            </w: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2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Allowance for loan losses</w:t>
            </w: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(217,050)</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(214,372)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2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Cash and due from banks</w:t>
            </w: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210,027</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210,982</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2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Premises and equipment</w:t>
            </w: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397,395</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392,561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280" w:type="dxa"/>
            <w:vAlign w:val="bottom"/>
            <w:tcBorders>
              <w:bottom w:val="single" w:sz="8" w:color="CCEEFF"/>
            </w:tcBorders>
          </w:tcPr>
          <w:p>
            <w:pPr>
              <w:ind w:left="140"/>
              <w:spacing w:after="0" w:line="216" w:lineRule="exact"/>
              <w:rPr>
                <w:sz w:val="20"/>
                <w:szCs w:val="20"/>
                <w:color w:val="auto"/>
              </w:rPr>
            </w:pPr>
            <w:r>
              <w:rPr>
                <w:rFonts w:ascii="Times New Roman" w:cs="Times New Roman" w:eastAsia="Times New Roman" w:hAnsi="Times New Roman"/>
                <w:sz w:val="16"/>
                <w:szCs w:val="16"/>
                <w:color w:val="auto"/>
              </w:rPr>
              <w:t xml:space="preserve">Other assets </w:t>
            </w:r>
            <w:r>
              <w:rPr>
                <w:rFonts w:ascii="Times New Roman" w:cs="Times New Roman" w:eastAsia="Times New Roman" w:hAnsi="Times New Roman"/>
                <w:sz w:val="21"/>
                <w:szCs w:val="21"/>
                <w:color w:val="auto"/>
                <w:vertAlign w:val="superscript"/>
              </w:rPr>
              <w:t>(3)</w:t>
            </w:r>
          </w:p>
        </w:tc>
        <w:tc>
          <w:tcPr>
            <w:tcW w:w="1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1,637,493</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86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0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1,613,118</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86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06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5"/>
        </w:trPr>
        <w:tc>
          <w:tcPr>
            <w:tcW w:w="428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6"/>
                <w:szCs w:val="16"/>
                <w:b w:val="1"/>
                <w:bCs w:val="1"/>
                <w:color w:val="auto"/>
              </w:rPr>
              <w:t>Total assets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27,917,128</w:t>
            </w: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27,101,925</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2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4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4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Liabilities and Shareholders' Equity:</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2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Interest-bearing liabilities:</w:t>
            </w: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2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Interest-bearing deposits:</w:t>
            </w: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2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NOW and interest-bearing demand</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6,002,702</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109,396</w:t>
            </w:r>
          </w:p>
        </w:tc>
        <w:tc>
          <w:tcPr>
            <w:tcW w:w="100" w:type="dxa"/>
            <w:vAlign w:val="bottom"/>
          </w:tcPr>
          <w:p>
            <w:pPr>
              <w:spacing w:after="0"/>
              <w:rPr>
                <w:sz w:val="18"/>
                <w:szCs w:val="18"/>
                <w:color w:val="auto"/>
              </w:rPr>
            </w:pPr>
          </w:p>
        </w:tc>
        <w:tc>
          <w:tcPr>
            <w:tcW w:w="1000" w:type="dxa"/>
            <w:vAlign w:val="bottom"/>
          </w:tcPr>
          <w:p>
            <w:pPr>
              <w:ind w:left="520"/>
              <w:spacing w:after="0"/>
              <w:rPr>
                <w:sz w:val="20"/>
                <w:szCs w:val="20"/>
                <w:color w:val="auto"/>
              </w:rPr>
            </w:pPr>
            <w:r>
              <w:rPr>
                <w:rFonts w:ascii="Times New Roman" w:cs="Times New Roman" w:eastAsia="Times New Roman" w:hAnsi="Times New Roman"/>
                <w:sz w:val="16"/>
                <w:szCs w:val="16"/>
                <w:color w:val="auto"/>
              </w:rPr>
              <w:t>2.44</w:t>
            </w:r>
          </w:p>
        </w:tc>
        <w:tc>
          <w:tcPr>
            <w:tcW w:w="320" w:type="dxa"/>
            <w:vAlign w:val="bottom"/>
            <w:gridSpan w:val="2"/>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5,913,566</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133,522</w:t>
            </w:r>
          </w:p>
        </w:tc>
        <w:tc>
          <w:tcPr>
            <w:tcW w:w="100" w:type="dxa"/>
            <w:vAlign w:val="bottom"/>
          </w:tcPr>
          <w:p>
            <w:pPr>
              <w:spacing w:after="0"/>
              <w:rPr>
                <w:sz w:val="18"/>
                <w:szCs w:val="18"/>
                <w:color w:val="auto"/>
              </w:rPr>
            </w:pPr>
          </w:p>
        </w:tc>
        <w:tc>
          <w:tcPr>
            <w:tcW w:w="10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3.02</w:t>
            </w:r>
          </w:p>
        </w:tc>
        <w:tc>
          <w:tcPr>
            <w:tcW w:w="0" w:type="dxa"/>
            <w:vAlign w:val="bottom"/>
          </w:tcPr>
          <w:p>
            <w:pPr>
              <w:spacing w:after="0"/>
              <w:rPr>
                <w:sz w:val="1"/>
                <w:szCs w:val="1"/>
                <w:color w:val="auto"/>
              </w:rPr>
            </w:pPr>
          </w:p>
        </w:tc>
      </w:tr>
      <w:tr>
        <w:trPr>
          <w:trHeight w:val="219"/>
        </w:trPr>
        <w:tc>
          <w:tcPr>
            <w:tcW w:w="42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Money market</w:t>
            </w: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6,713,585</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149,805</w:t>
            </w: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6"/>
                <w:szCs w:val="16"/>
                <w:color w:val="auto"/>
              </w:rPr>
              <w:t>2.98</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6,092,649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160,883</w:t>
            </w: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3.53</w:t>
            </w:r>
          </w:p>
        </w:tc>
        <w:tc>
          <w:tcPr>
            <w:tcW w:w="0" w:type="dxa"/>
            <w:vAlign w:val="bottom"/>
          </w:tcPr>
          <w:p>
            <w:pPr>
              <w:spacing w:after="0"/>
              <w:rPr>
                <w:sz w:val="1"/>
                <w:szCs w:val="1"/>
                <w:color w:val="auto"/>
              </w:rPr>
            </w:pPr>
          </w:p>
        </w:tc>
      </w:tr>
      <w:tr>
        <w:trPr>
          <w:trHeight w:val="213"/>
        </w:trPr>
        <w:tc>
          <w:tcPr>
            <w:tcW w:w="42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Savings</w:t>
            </w: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1,133,078</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2,722</w:t>
            </w:r>
          </w:p>
        </w:tc>
        <w:tc>
          <w:tcPr>
            <w:tcW w:w="100" w:type="dxa"/>
            <w:vAlign w:val="bottom"/>
          </w:tcPr>
          <w:p>
            <w:pPr>
              <w:spacing w:after="0"/>
              <w:rPr>
                <w:sz w:val="18"/>
                <w:szCs w:val="18"/>
                <w:color w:val="auto"/>
              </w:rPr>
            </w:pPr>
          </w:p>
        </w:tc>
        <w:tc>
          <w:tcPr>
            <w:tcW w:w="1000" w:type="dxa"/>
            <w:vAlign w:val="bottom"/>
          </w:tcPr>
          <w:p>
            <w:pPr>
              <w:ind w:left="520"/>
              <w:spacing w:after="0"/>
              <w:rPr>
                <w:sz w:val="20"/>
                <w:szCs w:val="20"/>
                <w:color w:val="auto"/>
              </w:rPr>
            </w:pPr>
            <w:r>
              <w:rPr>
                <w:rFonts w:ascii="Times New Roman" w:cs="Times New Roman" w:eastAsia="Times New Roman" w:hAnsi="Times New Roman"/>
                <w:sz w:val="16"/>
                <w:szCs w:val="16"/>
                <w:color w:val="auto"/>
              </w:rPr>
              <w:t>0.32</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1,159,982</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2,065</w:t>
            </w:r>
          </w:p>
        </w:tc>
        <w:tc>
          <w:tcPr>
            <w:tcW w:w="100" w:type="dxa"/>
            <w:vAlign w:val="bottom"/>
          </w:tcPr>
          <w:p>
            <w:pPr>
              <w:spacing w:after="0"/>
              <w:rPr>
                <w:sz w:val="18"/>
                <w:szCs w:val="18"/>
                <w:color w:val="auto"/>
              </w:rPr>
            </w:pPr>
          </w:p>
        </w:tc>
        <w:tc>
          <w:tcPr>
            <w:tcW w:w="10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0.24</w:t>
            </w:r>
          </w:p>
        </w:tc>
        <w:tc>
          <w:tcPr>
            <w:tcW w:w="0" w:type="dxa"/>
            <w:vAlign w:val="bottom"/>
          </w:tcPr>
          <w:p>
            <w:pPr>
              <w:spacing w:after="0"/>
              <w:rPr>
                <w:sz w:val="1"/>
                <w:szCs w:val="1"/>
                <w:color w:val="auto"/>
              </w:rPr>
            </w:pPr>
          </w:p>
        </w:tc>
      </w:tr>
      <w:tr>
        <w:trPr>
          <w:trHeight w:val="219"/>
        </w:trPr>
        <w:tc>
          <w:tcPr>
            <w:tcW w:w="42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Time</w:t>
            </w: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3,545,792</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93,029</w:t>
            </w: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6"/>
                <w:szCs w:val="16"/>
                <w:color w:val="auto"/>
              </w:rPr>
              <w:t>3.51</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3,535,343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106,199</w:t>
            </w: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4.01</w:t>
            </w:r>
          </w:p>
        </w:tc>
        <w:tc>
          <w:tcPr>
            <w:tcW w:w="0" w:type="dxa"/>
            <w:vAlign w:val="bottom"/>
          </w:tcPr>
          <w:p>
            <w:pPr>
              <w:spacing w:after="0"/>
              <w:rPr>
                <w:sz w:val="1"/>
                <w:szCs w:val="1"/>
                <w:color w:val="auto"/>
              </w:rPr>
            </w:pPr>
          </w:p>
        </w:tc>
      </w:tr>
      <w:tr>
        <w:trPr>
          <w:trHeight w:val="213"/>
        </w:trPr>
        <w:tc>
          <w:tcPr>
            <w:tcW w:w="428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6"/>
                <w:szCs w:val="16"/>
                <w:color w:val="auto"/>
              </w:rPr>
              <w:t>Brokered time deposits</w:t>
            </w:r>
          </w:p>
        </w:tc>
        <w:tc>
          <w:tcPr>
            <w:tcW w:w="1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50,488</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1,593</w:t>
            </w:r>
          </w:p>
        </w:tc>
        <w:tc>
          <w:tcPr>
            <w:tcW w:w="100" w:type="dxa"/>
            <w:vAlign w:val="bottom"/>
            <w:tcBorders>
              <w:bottom w:val="single" w:sz="8" w:color="CCEEFF"/>
            </w:tcBorders>
          </w:tcPr>
          <w:p>
            <w:pPr>
              <w:spacing w:after="0"/>
              <w:rPr>
                <w:sz w:val="18"/>
                <w:szCs w:val="18"/>
                <w:color w:val="auto"/>
              </w:rPr>
            </w:pPr>
          </w:p>
        </w:tc>
        <w:tc>
          <w:tcPr>
            <w:tcW w:w="1000" w:type="dxa"/>
            <w:vAlign w:val="bottom"/>
            <w:tcBorders>
              <w:bottom w:val="single" w:sz="8" w:color="CCEEFF"/>
            </w:tcBorders>
          </w:tcPr>
          <w:p>
            <w:pPr>
              <w:ind w:left="520"/>
              <w:spacing w:after="0"/>
              <w:rPr>
                <w:sz w:val="20"/>
                <w:szCs w:val="20"/>
                <w:color w:val="auto"/>
              </w:rPr>
            </w:pPr>
            <w:r>
              <w:rPr>
                <w:rFonts w:ascii="Times New Roman" w:cs="Times New Roman" w:eastAsia="Times New Roman" w:hAnsi="Times New Roman"/>
                <w:sz w:val="16"/>
                <w:szCs w:val="16"/>
                <w:color w:val="auto"/>
              </w:rPr>
              <w:t>4.22</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50,343</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1,726</w:t>
            </w:r>
          </w:p>
        </w:tc>
        <w:tc>
          <w:tcPr>
            <w:tcW w:w="100" w:type="dxa"/>
            <w:vAlign w:val="bottom"/>
            <w:tcBorders>
              <w:bottom w:val="single" w:sz="8" w:color="CCEEFF"/>
            </w:tcBorders>
          </w:tcPr>
          <w:p>
            <w:pPr>
              <w:spacing w:after="0"/>
              <w:rPr>
                <w:sz w:val="18"/>
                <w:szCs w:val="18"/>
                <w:color w:val="auto"/>
              </w:rPr>
            </w:pPr>
          </w:p>
        </w:tc>
        <w:tc>
          <w:tcPr>
            <w:tcW w:w="1060" w:type="dxa"/>
            <w:vAlign w:val="bottom"/>
            <w:tcBorders>
              <w:bottom w:val="single" w:sz="8" w:color="CCEEFF"/>
            </w:tcBorders>
          </w:tcPr>
          <w:p>
            <w:pPr>
              <w:jc w:val="right"/>
              <w:ind w:right="119"/>
              <w:spacing w:after="0"/>
              <w:rPr>
                <w:sz w:val="20"/>
                <w:szCs w:val="20"/>
                <w:color w:val="auto"/>
              </w:rPr>
            </w:pPr>
            <w:r>
              <w:rPr>
                <w:rFonts w:ascii="Times New Roman" w:cs="Times New Roman" w:eastAsia="Times New Roman" w:hAnsi="Times New Roman"/>
                <w:sz w:val="16"/>
                <w:szCs w:val="16"/>
                <w:color w:val="auto"/>
              </w:rPr>
              <w:t>4.58</w:t>
            </w:r>
          </w:p>
        </w:tc>
        <w:tc>
          <w:tcPr>
            <w:tcW w:w="0" w:type="dxa"/>
            <w:vAlign w:val="bottom"/>
          </w:tcPr>
          <w:p>
            <w:pPr>
              <w:spacing w:after="0"/>
              <w:rPr>
                <w:sz w:val="1"/>
                <w:szCs w:val="1"/>
                <w:color w:val="auto"/>
              </w:rPr>
            </w:pPr>
          </w:p>
        </w:tc>
      </w:tr>
      <w:tr>
        <w:trPr>
          <w:trHeight w:val="212"/>
        </w:trPr>
        <w:tc>
          <w:tcPr>
            <w:tcW w:w="42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Total interest-bearing deposits</w:t>
            </w:r>
          </w:p>
        </w:tc>
        <w:tc>
          <w:tcPr>
            <w:tcW w:w="18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17,445,645</w:t>
            </w:r>
          </w:p>
        </w:tc>
        <w:tc>
          <w:tcPr>
            <w:tcW w:w="1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356,545</w:t>
            </w: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6"/>
                <w:szCs w:val="16"/>
                <w:color w:val="auto"/>
              </w:rPr>
              <w:t>2.73</w:t>
            </w:r>
          </w:p>
        </w:tc>
        <w:tc>
          <w:tcPr>
            <w:tcW w:w="1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16,751,883</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404,395</w:t>
            </w: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3.22</w:t>
            </w:r>
          </w:p>
        </w:tc>
        <w:tc>
          <w:tcPr>
            <w:tcW w:w="0" w:type="dxa"/>
            <w:vAlign w:val="bottom"/>
          </w:tcPr>
          <w:p>
            <w:pPr>
              <w:spacing w:after="0"/>
              <w:rPr>
                <w:sz w:val="1"/>
                <w:szCs w:val="1"/>
                <w:color w:val="auto"/>
              </w:rPr>
            </w:pPr>
          </w:p>
        </w:tc>
      </w:tr>
      <w:tr>
        <w:trPr>
          <w:trHeight w:val="207"/>
        </w:trPr>
        <w:tc>
          <w:tcPr>
            <w:tcW w:w="42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Federal funds purchased and other borrowings</w:t>
            </w:r>
          </w:p>
        </w:tc>
        <w:tc>
          <w:tcPr>
            <w:tcW w:w="1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29,865</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1,215</w:t>
            </w:r>
          </w:p>
        </w:tc>
        <w:tc>
          <w:tcPr>
            <w:tcW w:w="100" w:type="dxa"/>
            <w:vAlign w:val="bottom"/>
          </w:tcPr>
          <w:p>
            <w:pPr>
              <w:spacing w:after="0"/>
              <w:rPr>
                <w:sz w:val="17"/>
                <w:szCs w:val="17"/>
                <w:color w:val="auto"/>
              </w:rPr>
            </w:pPr>
          </w:p>
        </w:tc>
        <w:tc>
          <w:tcPr>
            <w:tcW w:w="1000" w:type="dxa"/>
            <w:vAlign w:val="bottom"/>
          </w:tcPr>
          <w:p>
            <w:pPr>
              <w:ind w:left="520"/>
              <w:spacing w:after="0"/>
              <w:rPr>
                <w:sz w:val="20"/>
                <w:szCs w:val="20"/>
                <w:color w:val="auto"/>
              </w:rPr>
            </w:pPr>
            <w:r>
              <w:rPr>
                <w:rFonts w:ascii="Times New Roman" w:cs="Times New Roman" w:eastAsia="Times New Roman" w:hAnsi="Times New Roman"/>
                <w:sz w:val="16"/>
                <w:szCs w:val="16"/>
                <w:color w:val="auto"/>
              </w:rPr>
              <w:t>5.44</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2,001</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87</w:t>
            </w:r>
          </w:p>
        </w:tc>
        <w:tc>
          <w:tcPr>
            <w:tcW w:w="100" w:type="dxa"/>
            <w:vAlign w:val="bottom"/>
          </w:tcPr>
          <w:p>
            <w:pPr>
              <w:spacing w:after="0"/>
              <w:rPr>
                <w:sz w:val="17"/>
                <w:szCs w:val="17"/>
                <w:color w:val="auto"/>
              </w:rPr>
            </w:pPr>
          </w:p>
        </w:tc>
        <w:tc>
          <w:tcPr>
            <w:tcW w:w="10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5.81</w:t>
            </w:r>
          </w:p>
        </w:tc>
        <w:tc>
          <w:tcPr>
            <w:tcW w:w="0" w:type="dxa"/>
            <w:vAlign w:val="bottom"/>
          </w:tcPr>
          <w:p>
            <w:pPr>
              <w:spacing w:after="0"/>
              <w:rPr>
                <w:sz w:val="1"/>
                <w:szCs w:val="1"/>
                <w:color w:val="auto"/>
              </w:rPr>
            </w:pPr>
          </w:p>
        </w:tc>
      </w:tr>
      <w:tr>
        <w:trPr>
          <w:trHeight w:val="219"/>
        </w:trPr>
        <w:tc>
          <w:tcPr>
            <w:tcW w:w="42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Federal Home Loan Bank advances</w:t>
            </w: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12,824</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433</w:t>
            </w: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6"/>
                <w:szCs w:val="16"/>
                <w:color w:val="auto"/>
              </w:rPr>
              <w:t>4.51</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42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Long-term debt</w:t>
            </w:r>
          </w:p>
        </w:tc>
        <w:tc>
          <w:tcPr>
            <w:tcW w:w="1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215,440</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7,198</w:t>
            </w:r>
          </w:p>
        </w:tc>
        <w:tc>
          <w:tcPr>
            <w:tcW w:w="100" w:type="dxa"/>
            <w:vAlign w:val="bottom"/>
            <w:tcBorders>
              <w:bottom w:val="single" w:sz="8" w:color="CCEEFF"/>
            </w:tcBorders>
          </w:tcPr>
          <w:p>
            <w:pPr>
              <w:spacing w:after="0"/>
              <w:rPr>
                <w:sz w:val="18"/>
                <w:szCs w:val="18"/>
                <w:color w:val="auto"/>
              </w:rPr>
            </w:pPr>
          </w:p>
        </w:tc>
        <w:tc>
          <w:tcPr>
            <w:tcW w:w="1000" w:type="dxa"/>
            <w:vAlign w:val="bottom"/>
            <w:tcBorders>
              <w:bottom w:val="single" w:sz="8" w:color="CCEEFF"/>
            </w:tcBorders>
          </w:tcPr>
          <w:p>
            <w:pPr>
              <w:ind w:left="520"/>
              <w:spacing w:after="0"/>
              <w:rPr>
                <w:sz w:val="20"/>
                <w:szCs w:val="20"/>
                <w:color w:val="auto"/>
              </w:rPr>
            </w:pPr>
            <w:r>
              <w:rPr>
                <w:rFonts w:ascii="Times New Roman" w:cs="Times New Roman" w:eastAsia="Times New Roman" w:hAnsi="Times New Roman"/>
                <w:sz w:val="16"/>
                <w:szCs w:val="16"/>
                <w:color w:val="auto"/>
              </w:rPr>
              <w:t>4.47</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324,414</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11,262</w:t>
            </w:r>
          </w:p>
        </w:tc>
        <w:tc>
          <w:tcPr>
            <w:tcW w:w="100" w:type="dxa"/>
            <w:vAlign w:val="bottom"/>
            <w:tcBorders>
              <w:bottom w:val="single" w:sz="8" w:color="CCEEFF"/>
            </w:tcBorders>
          </w:tcPr>
          <w:p>
            <w:pPr>
              <w:spacing w:after="0"/>
              <w:rPr>
                <w:sz w:val="18"/>
                <w:szCs w:val="18"/>
                <w:color w:val="auto"/>
              </w:rPr>
            </w:pPr>
          </w:p>
        </w:tc>
        <w:tc>
          <w:tcPr>
            <w:tcW w:w="1060" w:type="dxa"/>
            <w:vAlign w:val="bottom"/>
            <w:tcBorders>
              <w:bottom w:val="single" w:sz="8" w:color="CCEEFF"/>
            </w:tcBorders>
          </w:tcPr>
          <w:p>
            <w:pPr>
              <w:jc w:val="right"/>
              <w:ind w:right="119"/>
              <w:spacing w:after="0"/>
              <w:rPr>
                <w:sz w:val="20"/>
                <w:szCs w:val="20"/>
                <w:color w:val="auto"/>
              </w:rPr>
            </w:pPr>
            <w:r>
              <w:rPr>
                <w:rFonts w:ascii="Times New Roman" w:cs="Times New Roman" w:eastAsia="Times New Roman" w:hAnsi="Times New Roman"/>
                <w:sz w:val="16"/>
                <w:szCs w:val="16"/>
                <w:color w:val="auto"/>
              </w:rPr>
              <w:t>4.64</w:t>
            </w:r>
          </w:p>
        </w:tc>
        <w:tc>
          <w:tcPr>
            <w:tcW w:w="0" w:type="dxa"/>
            <w:vAlign w:val="bottom"/>
          </w:tcPr>
          <w:p>
            <w:pPr>
              <w:spacing w:after="0"/>
              <w:rPr>
                <w:sz w:val="1"/>
                <w:szCs w:val="1"/>
                <w:color w:val="auto"/>
              </w:rPr>
            </w:pPr>
          </w:p>
        </w:tc>
      </w:tr>
      <w:tr>
        <w:trPr>
          <w:trHeight w:val="212"/>
        </w:trPr>
        <w:tc>
          <w:tcPr>
            <w:tcW w:w="42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Total borrowed funds</w:t>
            </w:r>
          </w:p>
        </w:tc>
        <w:tc>
          <w:tcPr>
            <w:tcW w:w="18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258,129</w:t>
            </w:r>
          </w:p>
        </w:tc>
        <w:tc>
          <w:tcPr>
            <w:tcW w:w="1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8,846</w:t>
            </w: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6"/>
                <w:szCs w:val="16"/>
                <w:color w:val="auto"/>
              </w:rPr>
              <w:t>4.58</w:t>
            </w:r>
          </w:p>
        </w:tc>
        <w:tc>
          <w:tcPr>
            <w:tcW w:w="1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326,420</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11,349</w:t>
            </w: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4.64</w:t>
            </w:r>
          </w:p>
        </w:tc>
        <w:tc>
          <w:tcPr>
            <w:tcW w:w="0" w:type="dxa"/>
            <w:vAlign w:val="bottom"/>
          </w:tcPr>
          <w:p>
            <w:pPr>
              <w:spacing w:after="0"/>
              <w:rPr>
                <w:sz w:val="1"/>
                <w:szCs w:val="1"/>
                <w:color w:val="auto"/>
              </w:rPr>
            </w:pPr>
          </w:p>
        </w:tc>
      </w:tr>
      <w:tr>
        <w:trPr>
          <w:trHeight w:val="207"/>
        </w:trPr>
        <w:tc>
          <w:tcPr>
            <w:tcW w:w="428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6"/>
                <w:szCs w:val="16"/>
                <w:b w:val="1"/>
                <w:bCs w:val="1"/>
                <w:color w:val="auto"/>
              </w:rPr>
              <w:t>Total interest-bearing liabilities</w:t>
            </w:r>
          </w:p>
        </w:tc>
        <w:tc>
          <w:tcPr>
            <w:tcW w:w="1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17,703,774</w:t>
            </w:r>
          </w:p>
        </w:tc>
        <w:tc>
          <w:tcPr>
            <w:tcW w:w="1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365,391</w:t>
            </w:r>
          </w:p>
        </w:tc>
        <w:tc>
          <w:tcPr>
            <w:tcW w:w="100" w:type="dxa"/>
            <w:vAlign w:val="bottom"/>
            <w:tcBorders>
              <w:bottom w:val="single" w:sz="8" w:color="CCEEFF"/>
            </w:tcBorders>
          </w:tcPr>
          <w:p>
            <w:pPr>
              <w:spacing w:after="0"/>
              <w:rPr>
                <w:sz w:val="17"/>
                <w:szCs w:val="17"/>
                <w:color w:val="auto"/>
              </w:rPr>
            </w:pPr>
          </w:p>
        </w:tc>
        <w:tc>
          <w:tcPr>
            <w:tcW w:w="1000" w:type="dxa"/>
            <w:vAlign w:val="bottom"/>
            <w:tcBorders>
              <w:bottom w:val="single" w:sz="8" w:color="CCEEFF"/>
            </w:tcBorders>
          </w:tcPr>
          <w:p>
            <w:pPr>
              <w:ind w:left="520"/>
              <w:spacing w:after="0"/>
              <w:rPr>
                <w:sz w:val="20"/>
                <w:szCs w:val="20"/>
                <w:color w:val="auto"/>
              </w:rPr>
            </w:pPr>
            <w:r>
              <w:rPr>
                <w:rFonts w:ascii="Times New Roman" w:cs="Times New Roman" w:eastAsia="Times New Roman" w:hAnsi="Times New Roman"/>
                <w:sz w:val="16"/>
                <w:szCs w:val="16"/>
                <w:color w:val="auto"/>
              </w:rPr>
              <w:t>2.76</w:t>
            </w:r>
          </w:p>
        </w:tc>
        <w:tc>
          <w:tcPr>
            <w:tcW w:w="12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17,078,303</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415,744</w:t>
            </w:r>
          </w:p>
        </w:tc>
        <w:tc>
          <w:tcPr>
            <w:tcW w:w="100" w:type="dxa"/>
            <w:vAlign w:val="bottom"/>
            <w:tcBorders>
              <w:bottom w:val="single" w:sz="8" w:color="CCEEFF"/>
            </w:tcBorders>
          </w:tcPr>
          <w:p>
            <w:pPr>
              <w:spacing w:after="0"/>
              <w:rPr>
                <w:sz w:val="17"/>
                <w:szCs w:val="17"/>
                <w:color w:val="auto"/>
              </w:rPr>
            </w:pPr>
          </w:p>
        </w:tc>
        <w:tc>
          <w:tcPr>
            <w:tcW w:w="1060" w:type="dxa"/>
            <w:vAlign w:val="bottom"/>
            <w:tcBorders>
              <w:bottom w:val="single" w:sz="8" w:color="CCEEFF"/>
            </w:tcBorders>
          </w:tcPr>
          <w:p>
            <w:pPr>
              <w:jc w:val="right"/>
              <w:ind w:right="119"/>
              <w:spacing w:after="0"/>
              <w:rPr>
                <w:sz w:val="20"/>
                <w:szCs w:val="20"/>
                <w:color w:val="auto"/>
              </w:rPr>
            </w:pPr>
            <w:r>
              <w:rPr>
                <w:rFonts w:ascii="Times New Roman" w:cs="Times New Roman" w:eastAsia="Times New Roman" w:hAnsi="Times New Roman"/>
                <w:sz w:val="16"/>
                <w:szCs w:val="16"/>
                <w:color w:val="auto"/>
              </w:rPr>
              <w:t>3.25</w:t>
            </w:r>
          </w:p>
        </w:tc>
        <w:tc>
          <w:tcPr>
            <w:tcW w:w="0" w:type="dxa"/>
            <w:vAlign w:val="bottom"/>
          </w:tcPr>
          <w:p>
            <w:pPr>
              <w:spacing w:after="0"/>
              <w:rPr>
                <w:sz w:val="1"/>
                <w:szCs w:val="1"/>
                <w:color w:val="auto"/>
              </w:rPr>
            </w:pPr>
          </w:p>
        </w:tc>
      </w:tr>
      <w:tr>
        <w:trPr>
          <w:trHeight w:val="199"/>
        </w:trPr>
        <w:tc>
          <w:tcPr>
            <w:tcW w:w="42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42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Noninterest-bearing liabilities:</w:t>
            </w: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2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Noninterest-bearing deposits</w:t>
            </w: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6,304,792</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6,306,919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2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Other liabilities</w:t>
            </w:r>
          </w:p>
        </w:tc>
        <w:tc>
          <w:tcPr>
            <w:tcW w:w="1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350,211</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86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0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394,323</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86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06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42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Total liabilities</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24,358,777</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23,779,545</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2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Shareholders' equity</w:t>
            </w:r>
          </w:p>
        </w:tc>
        <w:tc>
          <w:tcPr>
            <w:tcW w:w="1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3,558,351</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86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0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3,322,380</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86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06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42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b w:val="1"/>
                <w:bCs w:val="1"/>
                <w:color w:val="auto"/>
              </w:rPr>
              <w:t>Total liabilities and shareholders' equity</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27,917,128</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27,101,925</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2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4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1"/>
        </w:trPr>
        <w:tc>
          <w:tcPr>
            <w:tcW w:w="4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Net interest revenue (FTE)</w:t>
            </w:r>
          </w:p>
        </w:tc>
        <w:tc>
          <w:tcPr>
            <w:tcW w:w="18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674,190</w:t>
            </w:r>
          </w:p>
        </w:tc>
        <w:tc>
          <w:tcPr>
            <w:tcW w:w="10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620,253</w:t>
            </w:r>
          </w:p>
        </w:tc>
        <w:tc>
          <w:tcPr>
            <w:tcW w:w="1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28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6"/>
                <w:szCs w:val="16"/>
                <w:color w:val="auto"/>
              </w:rPr>
              <w:t>Net interest-rate spread (FTE)</w:t>
            </w:r>
          </w:p>
        </w:tc>
        <w:tc>
          <w:tcPr>
            <w:tcW w:w="18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CCEEFF"/>
            </w:tcBorders>
            <w:vMerge w:val="restart"/>
          </w:tcPr>
          <w:p>
            <w:pPr>
              <w:ind w:left="520"/>
              <w:spacing w:after="0"/>
              <w:rPr>
                <w:sz w:val="20"/>
                <w:szCs w:val="20"/>
                <w:color w:val="auto"/>
              </w:rPr>
            </w:pPr>
            <w:r>
              <w:rPr>
                <w:rFonts w:ascii="Times New Roman" w:cs="Times New Roman" w:eastAsia="Times New Roman" w:hAnsi="Times New Roman"/>
                <w:sz w:val="16"/>
                <w:szCs w:val="16"/>
                <w:color w:val="auto"/>
              </w:rPr>
              <w:t>2.61 %</w:t>
            </w: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CCEEFF"/>
            </w:tcBorders>
            <w:vMerge w:val="restart"/>
          </w:tcPr>
          <w:p>
            <w:pPr>
              <w:jc w:val="right"/>
              <w:spacing w:after="0"/>
              <w:rPr>
                <w:sz w:val="20"/>
                <w:szCs w:val="20"/>
                <w:color w:val="auto"/>
              </w:rPr>
            </w:pPr>
            <w:r>
              <w:rPr>
                <w:rFonts w:ascii="Times New Roman" w:cs="Times New Roman" w:eastAsia="Times New Roman" w:hAnsi="Times New Roman"/>
                <w:sz w:val="16"/>
                <w:szCs w:val="16"/>
                <w:color w:val="auto"/>
              </w:rPr>
              <w:t>2.26 %</w:t>
            </w:r>
          </w:p>
        </w:tc>
        <w:tc>
          <w:tcPr>
            <w:tcW w:w="0" w:type="dxa"/>
            <w:vAlign w:val="bottom"/>
          </w:tcPr>
          <w:p>
            <w:pPr>
              <w:spacing w:after="0" w:line="20" w:lineRule="exact"/>
              <w:rPr>
                <w:sz w:val="1"/>
                <w:szCs w:val="1"/>
                <w:color w:val="auto"/>
              </w:rPr>
            </w:pPr>
          </w:p>
        </w:tc>
      </w:tr>
      <w:tr>
        <w:trPr>
          <w:trHeight w:val="163"/>
        </w:trPr>
        <w:tc>
          <w:tcPr>
            <w:tcW w:w="428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Borders>
              <w:bottom w:val="single" w:sz="8" w:color="auto"/>
            </w:tcBorders>
            <w:vMerge w:val="continue"/>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42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4280" w:type="dxa"/>
            <w:vAlign w:val="bottom"/>
            <w:tcBorders>
              <w:bottom w:val="single" w:sz="8" w:color="CCEEFF"/>
            </w:tcBorders>
            <w:shd w:val="clear" w:color="auto" w:fill="CCEEFF"/>
          </w:tcPr>
          <w:p>
            <w:pPr>
              <w:ind w:left="20"/>
              <w:spacing w:after="0" w:line="210" w:lineRule="exact"/>
              <w:rPr>
                <w:sz w:val="20"/>
                <w:szCs w:val="20"/>
                <w:color w:val="auto"/>
              </w:rPr>
            </w:pPr>
            <w:r>
              <w:rPr>
                <w:rFonts w:ascii="Times New Roman" w:cs="Times New Roman" w:eastAsia="Times New Roman" w:hAnsi="Times New Roman"/>
                <w:sz w:val="16"/>
                <w:szCs w:val="16"/>
                <w:color w:val="auto"/>
              </w:rPr>
              <w:t xml:space="preserve">Net interest margin (FTE) </w:t>
            </w:r>
            <w:r>
              <w:rPr>
                <w:rFonts w:ascii="Times New Roman" w:cs="Times New Roman" w:eastAsia="Times New Roman" w:hAnsi="Times New Roman"/>
                <w:sz w:val="21"/>
                <w:szCs w:val="21"/>
                <w:color w:val="auto"/>
                <w:vertAlign w:val="superscript"/>
              </w:rPr>
              <w:t>(4)</w:t>
            </w:r>
          </w:p>
        </w:tc>
        <w:tc>
          <w:tcPr>
            <w:tcW w:w="18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auto"/>
            </w:tcBorders>
            <w:shd w:val="clear" w:color="auto" w:fill="CCEEFF"/>
          </w:tcPr>
          <w:p>
            <w:pPr>
              <w:ind w:left="520"/>
              <w:spacing w:after="0"/>
              <w:rPr>
                <w:sz w:val="20"/>
                <w:szCs w:val="20"/>
                <w:color w:val="auto"/>
              </w:rPr>
            </w:pPr>
            <w:r>
              <w:rPr>
                <w:rFonts w:ascii="Times New Roman" w:cs="Times New Roman" w:eastAsia="Times New Roman" w:hAnsi="Times New Roman"/>
                <w:sz w:val="16"/>
                <w:szCs w:val="16"/>
                <w:color w:val="auto"/>
              </w:rPr>
              <w:t>3.48 %</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3.30 %</w:t>
            </w:r>
          </w:p>
        </w:tc>
        <w:tc>
          <w:tcPr>
            <w:tcW w:w="0" w:type="dxa"/>
            <w:vAlign w:val="bottom"/>
          </w:tcPr>
          <w:p>
            <w:pPr>
              <w:spacing w:after="0"/>
              <w:rPr>
                <w:sz w:val="1"/>
                <w:szCs w:val="1"/>
                <w:color w:val="auto"/>
              </w:rPr>
            </w:pPr>
          </w:p>
        </w:tc>
      </w:tr>
      <w:tr>
        <w:trPr>
          <w:trHeight w:val="20"/>
        </w:trPr>
        <w:tc>
          <w:tcPr>
            <w:tcW w:w="42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4" w:lineRule="exact"/>
        <w:rPr>
          <w:sz w:val="20"/>
          <w:szCs w:val="20"/>
          <w:color w:val="auto"/>
        </w:rPr>
      </w:pPr>
    </w:p>
    <w:p>
      <w:pPr>
        <w:jc w:val="both"/>
        <w:ind w:left="280" w:hanging="280"/>
        <w:spacing w:after="0" w:line="267" w:lineRule="auto"/>
        <w:tabs>
          <w:tab w:leader="none" w:pos="267" w:val="left"/>
        </w:tabs>
        <w:numPr>
          <w:ilvl w:val="0"/>
          <w:numId w:val="14"/>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Interest revenue on tax-exempt securities and loans includes a taxable-equivalent adjustment to reflect comparable interest on taxable securities and loans. The FTE adjustment totaled $3.01 million and $3.22 million, respectively, for the nine months ended September 30, 2025 and 2024. The tax rate used to calculate the adjustment was 25%, reflecting the statutory federal income tax rate and the federal tax adjusted state income tax rate.</w:t>
      </w:r>
    </w:p>
    <w:p>
      <w:pPr>
        <w:spacing w:after="0" w:line="1" w:lineRule="exact"/>
        <w:rPr>
          <w:rFonts w:ascii="Times New Roman" w:cs="Times New Roman" w:eastAsia="Times New Roman" w:hAnsi="Times New Roman"/>
          <w:sz w:val="9"/>
          <w:szCs w:val="9"/>
          <w:color w:val="auto"/>
        </w:rPr>
      </w:pPr>
    </w:p>
    <w:p>
      <w:pPr>
        <w:ind w:left="260" w:hanging="260"/>
        <w:spacing w:after="0" w:line="192" w:lineRule="auto"/>
        <w:tabs>
          <w:tab w:leader="none" w:pos="260" w:val="left"/>
        </w:tabs>
        <w:numPr>
          <w:ilvl w:val="0"/>
          <w:numId w:val="14"/>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Included in the average balance of loans outstanding are loans on which the accrual of interest has been discontinued and loans that are held for sale.</w:t>
      </w:r>
    </w:p>
    <w:p>
      <w:pPr>
        <w:spacing w:after="0" w:line="3" w:lineRule="exact"/>
        <w:rPr>
          <w:rFonts w:ascii="Times New Roman" w:cs="Times New Roman" w:eastAsia="Times New Roman" w:hAnsi="Times New Roman"/>
          <w:sz w:val="19"/>
          <w:szCs w:val="19"/>
          <w:color w:val="auto"/>
          <w:vertAlign w:val="superscript"/>
        </w:rPr>
      </w:pPr>
    </w:p>
    <w:p>
      <w:pPr>
        <w:ind w:left="280" w:hanging="280"/>
        <w:spacing w:after="0" w:line="211" w:lineRule="auto"/>
        <w:tabs>
          <w:tab w:leader="none" w:pos="286" w:val="left"/>
        </w:tabs>
        <w:numPr>
          <w:ilvl w:val="0"/>
          <w:numId w:val="14"/>
        </w:numPr>
        <w:rPr>
          <w:rFonts w:ascii="Arial" w:cs="Arial" w:eastAsia="Arial" w:hAnsi="Arial"/>
          <w:sz w:val="19"/>
          <w:szCs w:val="19"/>
          <w:color w:val="auto"/>
          <w:vertAlign w:val="superscript"/>
        </w:rPr>
      </w:pPr>
      <w:r>
        <w:rPr>
          <w:rFonts w:ascii="Times New Roman" w:cs="Times New Roman" w:eastAsia="Times New Roman" w:hAnsi="Times New Roman"/>
          <w:sz w:val="14"/>
          <w:szCs w:val="14"/>
          <w:color w:val="auto"/>
        </w:rPr>
        <w:t>Unrealized gains and losses on AFS securities, including those related to the transfer from AFS to HTM, have been reclassified to other assets. Pretax unrealized losses of $244 million and $320 million in 2025 and 2024, respectively, are included in other assets for purposes of this presentation.</w:t>
      </w:r>
    </w:p>
    <w:p>
      <w:pPr>
        <w:ind w:left="260" w:hanging="260"/>
        <w:spacing w:after="0" w:line="192" w:lineRule="auto"/>
        <w:tabs>
          <w:tab w:leader="none" w:pos="260" w:val="left"/>
        </w:tabs>
        <w:numPr>
          <w:ilvl w:val="0"/>
          <w:numId w:val="14"/>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Net interest margin is taxable equivalent net-interest revenue divided by average interest-earning assets.</w:t>
      </w:r>
    </w:p>
    <w:p>
      <w:pPr>
        <w:sectPr>
          <w:pgSz w:w="11900" w:h="16838" w:orient="portrait"/>
          <w:cols w:equalWidth="0" w:num="1">
            <w:col w:w="11340"/>
          </w:cols>
          <w:pgMar w:left="220" w:top="968" w:right="339" w:bottom="1440" w:gutter="0" w:footer="0" w:header="0"/>
        </w:sectPr>
      </w:pPr>
    </w:p>
    <w:p>
      <w:pPr>
        <w:spacing w:after="0" w:line="200" w:lineRule="exact"/>
        <w:rPr>
          <w:sz w:val="20"/>
          <w:szCs w:val="20"/>
          <w:color w:val="auto"/>
        </w:rPr>
      </w:pPr>
    </w:p>
    <w:p>
      <w:pPr>
        <w:spacing w:after="0" w:line="38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55880</wp:posOffset>
            </wp:positionH>
            <wp:positionV relativeFrom="paragraph">
              <wp:posOffset>73025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40"/>
          </w:cols>
          <w:pgMar w:left="220" w:top="968" w:right="339" w:bottom="1440" w:gutter="0" w:footer="0" w:header="0"/>
          <w:type w:val="continuous"/>
        </w:sectPr>
      </w:pPr>
    </w:p>
    <w:bookmarkStart w:id="41" w:name="page42"/>
    <w:bookmarkEnd w:id="41"/>
    <w:p>
      <w:pPr>
        <w:spacing w:after="0"/>
        <w:rPr>
          <w:sz w:val="20"/>
          <w:szCs w:val="20"/>
          <w:color w:val="auto"/>
        </w:rPr>
      </w:pPr>
      <w:r>
        <w:rPr>
          <w:rFonts w:ascii="Times New Roman" w:cs="Times New Roman" w:eastAsia="Times New Roman" w:hAnsi="Times New Roman"/>
          <w:sz w:val="18"/>
          <w:szCs w:val="18"/>
          <w:b w:val="1"/>
          <w:bCs w:val="1"/>
          <w:i w:val="1"/>
          <w:iCs w:val="1"/>
          <w:color w:val="auto"/>
        </w:rPr>
        <w:t>Noninterest Income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the components of noninterest income for the periods indicated.</w:t>
      </w:r>
    </w:p>
    <w:p>
      <w:pPr>
        <w:spacing w:after="0" w:line="14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Table 4 - Noninterest Income</w:t>
      </w:r>
    </w:p>
    <w:p>
      <w:pPr>
        <w:spacing w:after="0" w:line="3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i w:val="1"/>
          <w:iCs w:val="1"/>
          <w:color w:val="auto"/>
        </w:rPr>
        <w:t>(dollars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7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60" w:type="dxa"/>
            <w:vAlign w:val="bottom"/>
            <w:gridSpan w:val="5"/>
          </w:tcPr>
          <w:p>
            <w:pPr>
              <w:ind w:left="12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100" w:type="dxa"/>
            <w:vAlign w:val="bottom"/>
          </w:tcPr>
          <w:p>
            <w:pPr>
              <w:spacing w:after="0"/>
              <w:rPr>
                <w:sz w:val="16"/>
                <w:szCs w:val="16"/>
                <w:color w:val="auto"/>
              </w:rPr>
            </w:pPr>
          </w:p>
        </w:tc>
        <w:tc>
          <w:tcPr>
            <w:tcW w:w="1800" w:type="dxa"/>
            <w:vAlign w:val="bottom"/>
            <w:gridSpan w:val="4"/>
            <w:vMerge w:val="restart"/>
          </w:tcPr>
          <w:p>
            <w:pPr>
              <w:ind w:left="52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240" w:type="dxa"/>
            <w:vAlign w:val="bottom"/>
          </w:tcPr>
          <w:p>
            <w:pPr>
              <w:spacing w:after="0"/>
              <w:rPr>
                <w:sz w:val="16"/>
                <w:szCs w:val="16"/>
                <w:color w:val="auto"/>
              </w:rPr>
            </w:pPr>
          </w:p>
        </w:tc>
        <w:tc>
          <w:tcPr>
            <w:tcW w:w="2120" w:type="dxa"/>
            <w:vAlign w:val="bottom"/>
            <w:gridSpan w:val="5"/>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rPr>
              <w:t>Nine Months Ended</w:t>
            </w:r>
          </w:p>
        </w:tc>
        <w:tc>
          <w:tcPr>
            <w:tcW w:w="100" w:type="dxa"/>
            <w:vAlign w:val="bottom"/>
          </w:tcPr>
          <w:p>
            <w:pPr>
              <w:spacing w:after="0"/>
              <w:rPr>
                <w:sz w:val="16"/>
                <w:szCs w:val="16"/>
                <w:color w:val="auto"/>
              </w:rPr>
            </w:pPr>
          </w:p>
        </w:tc>
        <w:tc>
          <w:tcPr>
            <w:tcW w:w="1700" w:type="dxa"/>
            <w:vAlign w:val="bottom"/>
            <w:gridSpan w:val="3"/>
            <w:vMerge w:val="restart"/>
          </w:tcPr>
          <w:p>
            <w:pPr>
              <w:jc w:val="right"/>
              <w:ind w:right="559"/>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0" w:type="dxa"/>
            <w:vAlign w:val="bottom"/>
          </w:tcPr>
          <w:p>
            <w:pPr>
              <w:spacing w:after="0"/>
              <w:rPr>
                <w:sz w:val="1"/>
                <w:szCs w:val="1"/>
                <w:color w:val="auto"/>
              </w:rPr>
            </w:pPr>
          </w:p>
        </w:tc>
      </w:tr>
      <w:tr>
        <w:trPr>
          <w:trHeight w:val="214"/>
        </w:trPr>
        <w:tc>
          <w:tcPr>
            <w:tcW w:w="2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60" w:type="dxa"/>
            <w:vAlign w:val="bottom"/>
            <w:gridSpan w:val="5"/>
          </w:tcPr>
          <w:p>
            <w:pPr>
              <w:ind w:left="36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100" w:type="dxa"/>
            <w:vAlign w:val="bottom"/>
          </w:tcPr>
          <w:p>
            <w:pPr>
              <w:spacing w:after="0"/>
              <w:rPr>
                <w:sz w:val="18"/>
                <w:szCs w:val="18"/>
                <w:color w:val="auto"/>
              </w:rPr>
            </w:pPr>
          </w:p>
        </w:tc>
        <w:tc>
          <w:tcPr>
            <w:tcW w:w="1800" w:type="dxa"/>
            <w:vAlign w:val="bottom"/>
            <w:gridSpan w:val="4"/>
            <w:vMerge w:val="continue"/>
          </w:tcPr>
          <w:p>
            <w:pPr>
              <w:spacing w:after="0"/>
              <w:rPr>
                <w:sz w:val="18"/>
                <w:szCs w:val="18"/>
                <w:color w:val="auto"/>
              </w:rPr>
            </w:pPr>
          </w:p>
        </w:tc>
        <w:tc>
          <w:tcPr>
            <w:tcW w:w="240" w:type="dxa"/>
            <w:vAlign w:val="bottom"/>
          </w:tcPr>
          <w:p>
            <w:pPr>
              <w:spacing w:after="0"/>
              <w:rPr>
                <w:sz w:val="18"/>
                <w:szCs w:val="18"/>
                <w:color w:val="auto"/>
              </w:rPr>
            </w:pPr>
          </w:p>
        </w:tc>
        <w:tc>
          <w:tcPr>
            <w:tcW w:w="2120" w:type="dxa"/>
            <w:vAlign w:val="bottom"/>
            <w:gridSpan w:val="5"/>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100" w:type="dxa"/>
            <w:vAlign w:val="bottom"/>
          </w:tcPr>
          <w:p>
            <w:pPr>
              <w:spacing w:after="0"/>
              <w:rPr>
                <w:sz w:val="18"/>
                <w:szCs w:val="18"/>
                <w:color w:val="auto"/>
              </w:rPr>
            </w:pPr>
          </w:p>
        </w:tc>
        <w:tc>
          <w:tcPr>
            <w:tcW w:w="1700" w:type="dxa"/>
            <w:vAlign w:val="bottom"/>
            <w:gridSpan w:val="3"/>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780" w:type="dxa"/>
            <w:vAlign w:val="bottom"/>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ind w:left="120"/>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Borders>
              <w:top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ind w:right="27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2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680" w:type="dxa"/>
            <w:vAlign w:val="bottom"/>
            <w:tcBorders>
              <w:top w:val="single" w:sz="8" w:color="auto"/>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w w:val="96"/>
              </w:rPr>
              <w:t>Amount</w:t>
            </w:r>
          </w:p>
        </w:tc>
        <w:tc>
          <w:tcPr>
            <w:tcW w:w="100" w:type="dxa"/>
            <w:vAlign w:val="bottom"/>
            <w:tcBorders>
              <w:top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Percent</w:t>
            </w:r>
          </w:p>
        </w:tc>
        <w:tc>
          <w:tcPr>
            <w:tcW w:w="100" w:type="dxa"/>
            <w:vAlign w:val="bottom"/>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Borders>
              <w:top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ind w:right="27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2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68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w w:val="99"/>
              </w:rPr>
              <w:t>Amount</w:t>
            </w:r>
          </w:p>
        </w:tc>
        <w:tc>
          <w:tcPr>
            <w:tcW w:w="100" w:type="dxa"/>
            <w:vAlign w:val="bottom"/>
            <w:tcBorders>
              <w:top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Percent</w:t>
            </w:r>
          </w:p>
        </w:tc>
        <w:tc>
          <w:tcPr>
            <w:tcW w:w="0" w:type="dxa"/>
            <w:vAlign w:val="bottom"/>
          </w:tcPr>
          <w:p>
            <w:pPr>
              <w:spacing w:after="0"/>
              <w:rPr>
                <w:sz w:val="1"/>
                <w:szCs w:val="1"/>
                <w:color w:val="auto"/>
              </w:rPr>
            </w:pPr>
          </w:p>
        </w:tc>
      </w:tr>
      <w:tr>
        <w:trPr>
          <w:trHeight w:val="197"/>
        </w:trPr>
        <w:tc>
          <w:tcPr>
            <w:tcW w:w="27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Service charges and fees:</w:t>
            </w: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27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Overdraft fees</w:t>
            </w: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3,573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3,603</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9,894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9,977</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0" w:type="dxa"/>
            <w:vAlign w:val="bottom"/>
          </w:tcPr>
          <w:p>
            <w:pPr>
              <w:spacing w:after="0"/>
              <w:rPr>
                <w:sz w:val="1"/>
                <w:szCs w:val="1"/>
                <w:color w:val="auto"/>
              </w:rPr>
            </w:pPr>
          </w:p>
        </w:tc>
      </w:tr>
      <w:tr>
        <w:trPr>
          <w:trHeight w:val="213"/>
        </w:trPr>
        <w:tc>
          <w:tcPr>
            <w:tcW w:w="27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ATM and debit card fees</w:t>
            </w: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4,232</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3,833</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399</w:t>
            </w:r>
          </w:p>
        </w:tc>
        <w:tc>
          <w:tcPr>
            <w:tcW w:w="1020" w:type="dxa"/>
            <w:vAlign w:val="bottom"/>
            <w:gridSpan w:val="2"/>
          </w:tcPr>
          <w:p>
            <w:pPr>
              <w:jc w:val="right"/>
              <w:ind w:right="119"/>
              <w:spacing w:after="0"/>
              <w:rPr>
                <w:sz w:val="20"/>
                <w:szCs w:val="20"/>
                <w:color w:val="auto"/>
              </w:rPr>
            </w:pPr>
            <w:r>
              <w:rPr>
                <w:rFonts w:ascii="Times New Roman" w:cs="Times New Roman" w:eastAsia="Times New Roman" w:hAnsi="Times New Roman"/>
                <w:sz w:val="16"/>
                <w:szCs w:val="16"/>
                <w:color w:val="auto"/>
              </w:rPr>
              <w:t>10</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11,987</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11,277</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710</w:t>
            </w:r>
          </w:p>
        </w:tc>
        <w:tc>
          <w:tcPr>
            <w:tcW w:w="1020" w:type="dxa"/>
            <w:vAlign w:val="bottom"/>
            <w:gridSpan w:val="2"/>
          </w:tcPr>
          <w:p>
            <w:pPr>
              <w:jc w:val="right"/>
              <w:ind w:right="119"/>
              <w:spacing w:after="0"/>
              <w:rPr>
                <w:sz w:val="20"/>
                <w:szCs w:val="20"/>
                <w:color w:val="auto"/>
              </w:rPr>
            </w:pPr>
            <w:r>
              <w:rPr>
                <w:rFonts w:ascii="Times New Roman" w:cs="Times New Roman" w:eastAsia="Times New Roman" w:hAnsi="Times New Roman"/>
                <w:sz w:val="16"/>
                <w:szCs w:val="16"/>
                <w:color w:val="auto"/>
              </w:rPr>
              <w:t>6</w:t>
            </w:r>
          </w:p>
        </w:tc>
        <w:tc>
          <w:tcPr>
            <w:tcW w:w="0" w:type="dxa"/>
            <w:vAlign w:val="bottom"/>
          </w:tcPr>
          <w:p>
            <w:pPr>
              <w:spacing w:after="0"/>
              <w:rPr>
                <w:sz w:val="1"/>
                <w:szCs w:val="1"/>
                <w:color w:val="auto"/>
              </w:rPr>
            </w:pPr>
          </w:p>
        </w:tc>
      </w:tr>
      <w:tr>
        <w:trPr>
          <w:trHeight w:val="219"/>
        </w:trPr>
        <w:tc>
          <w:tcPr>
            <w:tcW w:w="27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Other service charges and fees</w:t>
            </w:r>
          </w:p>
        </w:tc>
        <w:tc>
          <w:tcPr>
            <w:tcW w:w="24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3,595</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3,052</w:t>
            </w:r>
          </w:p>
        </w:tc>
        <w:tc>
          <w:tcPr>
            <w:tcW w:w="12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543</w:t>
            </w:r>
          </w:p>
        </w:tc>
        <w:tc>
          <w:tcPr>
            <w:tcW w:w="1020" w:type="dxa"/>
            <w:vAlign w:val="bottom"/>
            <w:gridSpan w:val="2"/>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18</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9,176</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9,118</w:t>
            </w:r>
          </w:p>
        </w:tc>
        <w:tc>
          <w:tcPr>
            <w:tcW w:w="12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w:t>
            </w:r>
          </w:p>
        </w:tc>
        <w:tc>
          <w:tcPr>
            <w:tcW w:w="1020" w:type="dxa"/>
            <w:vAlign w:val="bottom"/>
            <w:gridSpan w:val="2"/>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w:t>
            </w:r>
          </w:p>
        </w:tc>
        <w:tc>
          <w:tcPr>
            <w:tcW w:w="0" w:type="dxa"/>
            <w:vAlign w:val="bottom"/>
          </w:tcPr>
          <w:p>
            <w:pPr>
              <w:spacing w:after="0"/>
              <w:rPr>
                <w:sz w:val="1"/>
                <w:szCs w:val="1"/>
                <w:color w:val="auto"/>
              </w:rPr>
            </w:pPr>
          </w:p>
        </w:tc>
      </w:tr>
      <w:tr>
        <w:trPr>
          <w:trHeight w:val="207"/>
        </w:trPr>
        <w:tc>
          <w:tcPr>
            <w:tcW w:w="27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Total service charges and fees</w:t>
            </w:r>
          </w:p>
        </w:tc>
        <w:tc>
          <w:tcPr>
            <w:tcW w:w="24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11,400</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10,488</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912</w:t>
            </w:r>
          </w:p>
        </w:tc>
        <w:tc>
          <w:tcPr>
            <w:tcW w:w="1020" w:type="dxa"/>
            <w:vAlign w:val="bottom"/>
            <w:gridSpan w:val="2"/>
          </w:tcPr>
          <w:p>
            <w:pPr>
              <w:jc w:val="right"/>
              <w:ind w:right="119"/>
              <w:spacing w:after="0"/>
              <w:rPr>
                <w:sz w:val="20"/>
                <w:szCs w:val="20"/>
                <w:color w:val="auto"/>
              </w:rPr>
            </w:pPr>
            <w:r>
              <w:rPr>
                <w:rFonts w:ascii="Times New Roman" w:cs="Times New Roman" w:eastAsia="Times New Roman" w:hAnsi="Times New Roman"/>
                <w:sz w:val="16"/>
                <w:szCs w:val="16"/>
                <w:color w:val="auto"/>
              </w:rPr>
              <w:t>9</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31,057</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30,372</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685</w:t>
            </w:r>
          </w:p>
        </w:tc>
        <w:tc>
          <w:tcPr>
            <w:tcW w:w="1020" w:type="dxa"/>
            <w:vAlign w:val="bottom"/>
            <w:gridSpan w:val="2"/>
          </w:tcPr>
          <w:p>
            <w:pPr>
              <w:jc w:val="right"/>
              <w:ind w:right="119"/>
              <w:spacing w:after="0"/>
              <w:rPr>
                <w:sz w:val="20"/>
                <w:szCs w:val="20"/>
                <w:color w:val="auto"/>
              </w:rPr>
            </w:pPr>
            <w:r>
              <w:rPr>
                <w:rFonts w:ascii="Times New Roman" w:cs="Times New Roman" w:eastAsia="Times New Roman" w:hAnsi="Times New Roman"/>
                <w:sz w:val="16"/>
                <w:szCs w:val="16"/>
                <w:color w:val="auto"/>
              </w:rPr>
              <w:t>2</w:t>
            </w:r>
          </w:p>
        </w:tc>
        <w:tc>
          <w:tcPr>
            <w:tcW w:w="0" w:type="dxa"/>
            <w:vAlign w:val="bottom"/>
          </w:tcPr>
          <w:p>
            <w:pPr>
              <w:spacing w:after="0"/>
              <w:rPr>
                <w:sz w:val="1"/>
                <w:szCs w:val="1"/>
                <w:color w:val="auto"/>
              </w:rPr>
            </w:pPr>
          </w:p>
        </w:tc>
      </w:tr>
      <w:tr>
        <w:trPr>
          <w:trHeight w:val="219"/>
        </w:trPr>
        <w:tc>
          <w:tcPr>
            <w:tcW w:w="2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Mortgage loan gains and related fees</w:t>
            </w: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7,098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3,520</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3,578</w:t>
            </w:r>
          </w:p>
        </w:tc>
        <w:tc>
          <w:tcPr>
            <w:tcW w:w="10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n/m</w:t>
            </w: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18,590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17,830</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760</w:t>
            </w:r>
          </w:p>
        </w:tc>
        <w:tc>
          <w:tcPr>
            <w:tcW w:w="1020" w:type="dxa"/>
            <w:vAlign w:val="bottom"/>
            <w:gridSpan w:val="2"/>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4</w:t>
            </w:r>
          </w:p>
        </w:tc>
        <w:tc>
          <w:tcPr>
            <w:tcW w:w="0" w:type="dxa"/>
            <w:vAlign w:val="bottom"/>
          </w:tcPr>
          <w:p>
            <w:pPr>
              <w:spacing w:after="0"/>
              <w:rPr>
                <w:sz w:val="1"/>
                <w:szCs w:val="1"/>
                <w:color w:val="auto"/>
              </w:rPr>
            </w:pPr>
          </w:p>
        </w:tc>
      </w:tr>
      <w:tr>
        <w:trPr>
          <w:trHeight w:val="213"/>
        </w:trPr>
        <w:tc>
          <w:tcPr>
            <w:tcW w:w="27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Wealth management fees</w:t>
            </w: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4,757</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6,338</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(1,581)</w:t>
            </w:r>
          </w:p>
        </w:tc>
        <w:tc>
          <w:tcPr>
            <w:tcW w:w="1020" w:type="dxa"/>
            <w:vAlign w:val="bottom"/>
            <w:gridSpan w:val="2"/>
          </w:tcPr>
          <w:p>
            <w:pPr>
              <w:jc w:val="right"/>
              <w:ind w:right="79"/>
              <w:spacing w:after="0"/>
              <w:rPr>
                <w:sz w:val="20"/>
                <w:szCs w:val="20"/>
                <w:color w:val="auto"/>
              </w:rPr>
            </w:pPr>
            <w:r>
              <w:rPr>
                <w:rFonts w:ascii="Times New Roman" w:cs="Times New Roman" w:eastAsia="Times New Roman" w:hAnsi="Times New Roman"/>
                <w:sz w:val="16"/>
                <w:szCs w:val="16"/>
                <w:color w:val="auto"/>
              </w:rPr>
              <w:t>(25)</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13,622</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19,037</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(5,415)</w:t>
            </w:r>
          </w:p>
        </w:tc>
        <w:tc>
          <w:tcPr>
            <w:tcW w:w="1020" w:type="dxa"/>
            <w:vAlign w:val="bottom"/>
            <w:gridSpan w:val="2"/>
          </w:tcPr>
          <w:p>
            <w:pPr>
              <w:jc w:val="right"/>
              <w:ind w:right="79"/>
              <w:spacing w:after="0"/>
              <w:rPr>
                <w:sz w:val="20"/>
                <w:szCs w:val="20"/>
                <w:color w:val="auto"/>
              </w:rPr>
            </w:pPr>
            <w:r>
              <w:rPr>
                <w:rFonts w:ascii="Times New Roman" w:cs="Times New Roman" w:eastAsia="Times New Roman" w:hAnsi="Times New Roman"/>
                <w:sz w:val="16"/>
                <w:szCs w:val="16"/>
                <w:color w:val="auto"/>
              </w:rPr>
              <w:t>(28)</w:t>
            </w:r>
          </w:p>
        </w:tc>
        <w:tc>
          <w:tcPr>
            <w:tcW w:w="0" w:type="dxa"/>
            <w:vAlign w:val="bottom"/>
          </w:tcPr>
          <w:p>
            <w:pPr>
              <w:spacing w:after="0"/>
              <w:rPr>
                <w:sz w:val="1"/>
                <w:szCs w:val="1"/>
                <w:color w:val="auto"/>
              </w:rPr>
            </w:pPr>
          </w:p>
        </w:tc>
      </w:tr>
      <w:tr>
        <w:trPr>
          <w:trHeight w:val="219"/>
        </w:trPr>
        <w:tc>
          <w:tcPr>
            <w:tcW w:w="2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gains (losses) on sales of other loans</w:t>
            </w: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2,385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(25,700)</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28,085</w:t>
            </w:r>
          </w:p>
        </w:tc>
        <w:tc>
          <w:tcPr>
            <w:tcW w:w="10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n/m</w:t>
            </w: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5,776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(22,867)</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28,643</w:t>
            </w: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n/m</w:t>
            </w:r>
          </w:p>
        </w:tc>
        <w:tc>
          <w:tcPr>
            <w:tcW w:w="0" w:type="dxa"/>
            <w:vAlign w:val="bottom"/>
          </w:tcPr>
          <w:p>
            <w:pPr>
              <w:spacing w:after="0"/>
              <w:rPr>
                <w:sz w:val="1"/>
                <w:szCs w:val="1"/>
                <w:color w:val="auto"/>
              </w:rPr>
            </w:pPr>
          </w:p>
        </w:tc>
      </w:tr>
      <w:tr>
        <w:trPr>
          <w:trHeight w:val="213"/>
        </w:trPr>
        <w:tc>
          <w:tcPr>
            <w:tcW w:w="27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Lending and loan servicing fees</w:t>
            </w: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4,235</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3,512</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723</w:t>
            </w:r>
          </w:p>
        </w:tc>
        <w:tc>
          <w:tcPr>
            <w:tcW w:w="1020" w:type="dxa"/>
            <w:vAlign w:val="bottom"/>
            <w:gridSpan w:val="2"/>
          </w:tcPr>
          <w:p>
            <w:pPr>
              <w:jc w:val="right"/>
              <w:ind w:right="119"/>
              <w:spacing w:after="0"/>
              <w:rPr>
                <w:sz w:val="20"/>
                <w:szCs w:val="20"/>
                <w:color w:val="auto"/>
              </w:rPr>
            </w:pPr>
            <w:r>
              <w:rPr>
                <w:rFonts w:ascii="Times New Roman" w:cs="Times New Roman" w:eastAsia="Times New Roman" w:hAnsi="Times New Roman"/>
                <w:sz w:val="16"/>
                <w:szCs w:val="16"/>
                <w:color w:val="auto"/>
              </w:rPr>
              <w:t>21</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12,090</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11,050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1,040</w:t>
            </w:r>
          </w:p>
        </w:tc>
        <w:tc>
          <w:tcPr>
            <w:tcW w:w="1020" w:type="dxa"/>
            <w:vAlign w:val="bottom"/>
            <w:gridSpan w:val="2"/>
          </w:tcPr>
          <w:p>
            <w:pPr>
              <w:jc w:val="right"/>
              <w:ind w:right="119"/>
              <w:spacing w:after="0"/>
              <w:rPr>
                <w:sz w:val="20"/>
                <w:szCs w:val="20"/>
                <w:color w:val="auto"/>
              </w:rPr>
            </w:pPr>
            <w:r>
              <w:rPr>
                <w:rFonts w:ascii="Times New Roman" w:cs="Times New Roman" w:eastAsia="Times New Roman" w:hAnsi="Times New Roman"/>
                <w:sz w:val="16"/>
                <w:szCs w:val="16"/>
                <w:color w:val="auto"/>
              </w:rPr>
              <w:t>9</w:t>
            </w:r>
          </w:p>
        </w:tc>
        <w:tc>
          <w:tcPr>
            <w:tcW w:w="0" w:type="dxa"/>
            <w:vAlign w:val="bottom"/>
          </w:tcPr>
          <w:p>
            <w:pPr>
              <w:spacing w:after="0"/>
              <w:rPr>
                <w:sz w:val="1"/>
                <w:szCs w:val="1"/>
                <w:color w:val="auto"/>
              </w:rPr>
            </w:pPr>
          </w:p>
        </w:tc>
      </w:tr>
      <w:tr>
        <w:trPr>
          <w:trHeight w:val="219"/>
        </w:trPr>
        <w:tc>
          <w:tcPr>
            <w:tcW w:w="2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Securities gains, net</w:t>
            </w: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w:t>
            </w:r>
          </w:p>
        </w:tc>
        <w:tc>
          <w:tcPr>
            <w:tcW w:w="10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n/m</w:t>
            </w: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341</w:t>
            </w: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n/m</w:t>
            </w:r>
          </w:p>
        </w:tc>
        <w:tc>
          <w:tcPr>
            <w:tcW w:w="0" w:type="dxa"/>
            <w:vAlign w:val="bottom"/>
          </w:tcPr>
          <w:p>
            <w:pPr>
              <w:spacing w:after="0"/>
              <w:rPr>
                <w:sz w:val="1"/>
                <w:szCs w:val="1"/>
                <w:color w:val="auto"/>
              </w:rPr>
            </w:pPr>
          </w:p>
        </w:tc>
      </w:tr>
      <w:tr>
        <w:trPr>
          <w:trHeight w:val="213"/>
        </w:trPr>
        <w:tc>
          <w:tcPr>
            <w:tcW w:w="27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noninterest income:</w:t>
            </w: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7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Customer derivative fees</w:t>
            </w: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1,454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1,139</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315</w:t>
            </w:r>
          </w:p>
        </w:tc>
        <w:tc>
          <w:tcPr>
            <w:tcW w:w="1020" w:type="dxa"/>
            <w:vAlign w:val="bottom"/>
            <w:gridSpan w:val="2"/>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3,611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1,577</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2,034</w:t>
            </w: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n/m</w:t>
            </w:r>
          </w:p>
        </w:tc>
        <w:tc>
          <w:tcPr>
            <w:tcW w:w="0" w:type="dxa"/>
            <w:vAlign w:val="bottom"/>
          </w:tcPr>
          <w:p>
            <w:pPr>
              <w:spacing w:after="0"/>
              <w:rPr>
                <w:sz w:val="1"/>
                <w:szCs w:val="1"/>
                <w:color w:val="auto"/>
              </w:rPr>
            </w:pPr>
          </w:p>
        </w:tc>
      </w:tr>
      <w:tr>
        <w:trPr>
          <w:trHeight w:val="213"/>
        </w:trPr>
        <w:tc>
          <w:tcPr>
            <w:tcW w:w="27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Other investment income</w:t>
            </w: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2,233</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1,182</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1,051</w:t>
            </w:r>
          </w:p>
        </w:tc>
        <w:tc>
          <w:tcPr>
            <w:tcW w:w="10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n/m</w:t>
            </w: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2,304</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4,130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(1,826)</w:t>
            </w:r>
          </w:p>
        </w:tc>
        <w:tc>
          <w:tcPr>
            <w:tcW w:w="100" w:type="dxa"/>
            <w:vAlign w:val="bottom"/>
          </w:tcPr>
          <w:p>
            <w:pPr>
              <w:spacing w:after="0"/>
              <w:rPr>
                <w:sz w:val="18"/>
                <w:szCs w:val="18"/>
                <w:color w:val="auto"/>
              </w:rPr>
            </w:pPr>
          </w:p>
        </w:tc>
        <w:tc>
          <w:tcPr>
            <w:tcW w:w="9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n/m</w:t>
            </w:r>
          </w:p>
        </w:tc>
        <w:tc>
          <w:tcPr>
            <w:tcW w:w="0" w:type="dxa"/>
            <w:vAlign w:val="bottom"/>
          </w:tcPr>
          <w:p>
            <w:pPr>
              <w:spacing w:after="0"/>
              <w:rPr>
                <w:sz w:val="1"/>
                <w:szCs w:val="1"/>
                <w:color w:val="auto"/>
              </w:rPr>
            </w:pPr>
          </w:p>
        </w:tc>
      </w:tr>
      <w:tr>
        <w:trPr>
          <w:trHeight w:val="219"/>
        </w:trPr>
        <w:tc>
          <w:tcPr>
            <w:tcW w:w="27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BOLI</w:t>
            </w: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3,557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2,571</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986</w:t>
            </w:r>
          </w:p>
        </w:tc>
        <w:tc>
          <w:tcPr>
            <w:tcW w:w="1020" w:type="dxa"/>
            <w:vAlign w:val="bottom"/>
            <w:gridSpan w:val="2"/>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38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7,692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7,375</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317</w:t>
            </w:r>
          </w:p>
        </w:tc>
        <w:tc>
          <w:tcPr>
            <w:tcW w:w="1020" w:type="dxa"/>
            <w:vAlign w:val="bottom"/>
            <w:gridSpan w:val="2"/>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4</w:t>
            </w:r>
          </w:p>
        </w:tc>
        <w:tc>
          <w:tcPr>
            <w:tcW w:w="0" w:type="dxa"/>
            <w:vAlign w:val="bottom"/>
          </w:tcPr>
          <w:p>
            <w:pPr>
              <w:spacing w:after="0"/>
              <w:rPr>
                <w:sz w:val="1"/>
                <w:szCs w:val="1"/>
                <w:color w:val="auto"/>
              </w:rPr>
            </w:pPr>
          </w:p>
        </w:tc>
      </w:tr>
      <w:tr>
        <w:trPr>
          <w:trHeight w:val="213"/>
        </w:trPr>
        <w:tc>
          <w:tcPr>
            <w:tcW w:w="27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Treasury management income</w:t>
            </w: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2,197</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1,755</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442</w:t>
            </w:r>
          </w:p>
        </w:tc>
        <w:tc>
          <w:tcPr>
            <w:tcW w:w="1020" w:type="dxa"/>
            <w:vAlign w:val="bottom"/>
            <w:gridSpan w:val="2"/>
          </w:tcPr>
          <w:p>
            <w:pPr>
              <w:jc w:val="right"/>
              <w:ind w:right="119"/>
              <w:spacing w:after="0"/>
              <w:rPr>
                <w:sz w:val="20"/>
                <w:szCs w:val="20"/>
                <w:color w:val="auto"/>
              </w:rPr>
            </w:pPr>
            <w:r>
              <w:rPr>
                <w:rFonts w:ascii="Times New Roman" w:cs="Times New Roman" w:eastAsia="Times New Roman" w:hAnsi="Times New Roman"/>
                <w:sz w:val="16"/>
                <w:szCs w:val="16"/>
                <w:color w:val="auto"/>
              </w:rPr>
              <w:t>25</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6,155</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4,943</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1,212</w:t>
            </w:r>
          </w:p>
        </w:tc>
        <w:tc>
          <w:tcPr>
            <w:tcW w:w="1020" w:type="dxa"/>
            <w:vAlign w:val="bottom"/>
            <w:gridSpan w:val="2"/>
          </w:tcPr>
          <w:p>
            <w:pPr>
              <w:jc w:val="right"/>
              <w:ind w:right="119"/>
              <w:spacing w:after="0"/>
              <w:rPr>
                <w:sz w:val="20"/>
                <w:szCs w:val="20"/>
                <w:color w:val="auto"/>
              </w:rPr>
            </w:pPr>
            <w:r>
              <w:rPr>
                <w:rFonts w:ascii="Times New Roman" w:cs="Times New Roman" w:eastAsia="Times New Roman" w:hAnsi="Times New Roman"/>
                <w:sz w:val="16"/>
                <w:szCs w:val="16"/>
                <w:color w:val="auto"/>
              </w:rPr>
              <w:t>25</w:t>
            </w:r>
          </w:p>
        </w:tc>
        <w:tc>
          <w:tcPr>
            <w:tcW w:w="0" w:type="dxa"/>
            <w:vAlign w:val="bottom"/>
          </w:tcPr>
          <w:p>
            <w:pPr>
              <w:spacing w:after="0"/>
              <w:rPr>
                <w:sz w:val="1"/>
                <w:szCs w:val="1"/>
                <w:color w:val="auto"/>
              </w:rPr>
            </w:pPr>
          </w:p>
        </w:tc>
      </w:tr>
      <w:tr>
        <w:trPr>
          <w:trHeight w:val="219"/>
        </w:trPr>
        <w:tc>
          <w:tcPr>
            <w:tcW w:w="27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Other</w:t>
            </w:r>
          </w:p>
        </w:tc>
        <w:tc>
          <w:tcPr>
            <w:tcW w:w="24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3,854</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3,286</w:t>
            </w:r>
          </w:p>
        </w:tc>
        <w:tc>
          <w:tcPr>
            <w:tcW w:w="12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568</w:t>
            </w:r>
          </w:p>
        </w:tc>
        <w:tc>
          <w:tcPr>
            <w:tcW w:w="1020" w:type="dxa"/>
            <w:vAlign w:val="bottom"/>
            <w:gridSpan w:val="2"/>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17</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12,345</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10,787</w:t>
            </w:r>
          </w:p>
        </w:tc>
        <w:tc>
          <w:tcPr>
            <w:tcW w:w="12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1,558</w:t>
            </w:r>
          </w:p>
        </w:tc>
        <w:tc>
          <w:tcPr>
            <w:tcW w:w="1020" w:type="dxa"/>
            <w:vAlign w:val="bottom"/>
            <w:gridSpan w:val="2"/>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14</w:t>
            </w:r>
          </w:p>
        </w:tc>
        <w:tc>
          <w:tcPr>
            <w:tcW w:w="0" w:type="dxa"/>
            <w:vAlign w:val="bottom"/>
          </w:tcPr>
          <w:p>
            <w:pPr>
              <w:spacing w:after="0"/>
              <w:rPr>
                <w:sz w:val="1"/>
                <w:szCs w:val="1"/>
                <w:color w:val="auto"/>
              </w:rPr>
            </w:pPr>
          </w:p>
        </w:tc>
      </w:tr>
      <w:tr>
        <w:trPr>
          <w:trHeight w:val="207"/>
        </w:trPr>
        <w:tc>
          <w:tcPr>
            <w:tcW w:w="278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6"/>
                <w:szCs w:val="16"/>
                <w:color w:val="auto"/>
              </w:rPr>
              <w:t>Total other noninterest income</w:t>
            </w:r>
          </w:p>
        </w:tc>
        <w:tc>
          <w:tcPr>
            <w:tcW w:w="2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13,295</w:t>
            </w: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9,933</w:t>
            </w:r>
          </w:p>
        </w:tc>
        <w:tc>
          <w:tcPr>
            <w:tcW w:w="12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3,362</w:t>
            </w:r>
          </w:p>
        </w:tc>
        <w:tc>
          <w:tcPr>
            <w:tcW w:w="1020" w:type="dxa"/>
            <w:vAlign w:val="bottom"/>
            <w:tcBorders>
              <w:bottom w:val="single" w:sz="8" w:color="CCEEFF"/>
            </w:tcBorders>
            <w:gridSpan w:val="2"/>
          </w:tcPr>
          <w:p>
            <w:pPr>
              <w:jc w:val="right"/>
              <w:ind w:right="119"/>
              <w:spacing w:after="0"/>
              <w:rPr>
                <w:sz w:val="20"/>
                <w:szCs w:val="20"/>
                <w:color w:val="auto"/>
              </w:rPr>
            </w:pPr>
            <w:r>
              <w:rPr>
                <w:rFonts w:ascii="Times New Roman" w:cs="Times New Roman" w:eastAsia="Times New Roman" w:hAnsi="Times New Roman"/>
                <w:sz w:val="16"/>
                <w:szCs w:val="16"/>
                <w:color w:val="auto"/>
              </w:rPr>
              <w:t>34</w:t>
            </w: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32,107</w:t>
            </w: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28,812</w:t>
            </w:r>
          </w:p>
        </w:tc>
        <w:tc>
          <w:tcPr>
            <w:tcW w:w="12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3,295</w:t>
            </w:r>
          </w:p>
        </w:tc>
        <w:tc>
          <w:tcPr>
            <w:tcW w:w="1020" w:type="dxa"/>
            <w:vAlign w:val="bottom"/>
            <w:tcBorders>
              <w:bottom w:val="single" w:sz="8" w:color="CCEEFF"/>
            </w:tcBorders>
            <w:gridSpan w:val="2"/>
          </w:tcPr>
          <w:p>
            <w:pPr>
              <w:jc w:val="right"/>
              <w:ind w:right="119"/>
              <w:spacing w:after="0"/>
              <w:rPr>
                <w:sz w:val="20"/>
                <w:szCs w:val="20"/>
                <w:color w:val="auto"/>
              </w:rPr>
            </w:pPr>
            <w:r>
              <w:rPr>
                <w:rFonts w:ascii="Times New Roman" w:cs="Times New Roman" w:eastAsia="Times New Roman" w:hAnsi="Times New Roman"/>
                <w:sz w:val="16"/>
                <w:szCs w:val="16"/>
                <w:color w:val="auto"/>
              </w:rPr>
              <w:t>11</w:t>
            </w:r>
          </w:p>
        </w:tc>
        <w:tc>
          <w:tcPr>
            <w:tcW w:w="0" w:type="dxa"/>
            <w:vAlign w:val="bottom"/>
          </w:tcPr>
          <w:p>
            <w:pPr>
              <w:spacing w:after="0"/>
              <w:rPr>
                <w:sz w:val="1"/>
                <w:szCs w:val="1"/>
                <w:color w:val="auto"/>
              </w:rPr>
            </w:pPr>
          </w:p>
        </w:tc>
      </w:tr>
      <w:tr>
        <w:trPr>
          <w:trHeight w:val="237"/>
        </w:trPr>
        <w:tc>
          <w:tcPr>
            <w:tcW w:w="27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Total noninterest income</w:t>
            </w: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43,219</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8,091</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35,128</w:t>
            </w:r>
          </w:p>
        </w:tc>
        <w:tc>
          <w:tcPr>
            <w:tcW w:w="10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gridSpan w:val="2"/>
            <w:shd w:val="clear" w:color="auto" w:fill="CCEEFF"/>
          </w:tcPr>
          <w:p>
            <w:pPr>
              <w:ind w:left="640"/>
              <w:spacing w:after="0"/>
              <w:rPr>
                <w:sz w:val="20"/>
                <w:szCs w:val="20"/>
                <w:color w:val="auto"/>
              </w:rPr>
            </w:pPr>
            <w:r>
              <w:rPr>
                <w:rFonts w:ascii="Times New Roman" w:cs="Times New Roman" w:eastAsia="Times New Roman" w:hAnsi="Times New Roman"/>
                <w:sz w:val="16"/>
                <w:szCs w:val="16"/>
                <w:color w:val="auto"/>
              </w:rPr>
              <w:t>n/m</w:t>
            </w: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113,583</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84,234</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29,349</w:t>
            </w:r>
          </w:p>
        </w:tc>
        <w:tc>
          <w:tcPr>
            <w:tcW w:w="1020" w:type="dxa"/>
            <w:vAlign w:val="bottom"/>
            <w:tcBorders>
              <w:bottom w:val="single" w:sz="8" w:color="CCEEFF"/>
            </w:tcBorders>
            <w:gridSpan w:val="2"/>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35</w:t>
            </w:r>
          </w:p>
        </w:tc>
        <w:tc>
          <w:tcPr>
            <w:tcW w:w="0" w:type="dxa"/>
            <w:vAlign w:val="bottom"/>
          </w:tcPr>
          <w:p>
            <w:pPr>
              <w:spacing w:after="0"/>
              <w:rPr>
                <w:sz w:val="1"/>
                <w:szCs w:val="1"/>
                <w:color w:val="auto"/>
              </w:rPr>
            </w:pPr>
          </w:p>
        </w:tc>
      </w:tr>
      <w:tr>
        <w:trPr>
          <w:trHeight w:val="20"/>
        </w:trPr>
        <w:tc>
          <w:tcPr>
            <w:tcW w:w="27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increase in mortgage loan gains and related fees for the three months ended September 30, 2025 compared to the same period of 2024 was primarily a result of more favorable fair value adjustments to our mortgage servicing asset which provided an increase of $3.00 million compared to 2024. The following table provides an overview of mortgage metrics for the periods presented.</w:t>
      </w:r>
    </w:p>
    <w:p>
      <w:pPr>
        <w:spacing w:after="0" w:line="23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Table 5 - Mortgage Loan Metrics</w:t>
      </w:r>
    </w:p>
    <w:p>
      <w:pPr>
        <w:spacing w:after="0" w:line="3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i w:val="1"/>
          <w:iCs w:val="1"/>
          <w:color w:val="auto"/>
        </w:rPr>
        <w:t>(dollars in thousands)</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2860" w:type="dxa"/>
            <w:vAlign w:val="bottom"/>
            <w:tcBorders>
              <w:top w:val="single" w:sz="8" w:color="auto"/>
            </w:tcBorders>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980" w:type="dxa"/>
            <w:vAlign w:val="bottom"/>
            <w:tcBorders>
              <w:top w:val="single" w:sz="8" w:color="auto"/>
            </w:tcBorders>
          </w:tcPr>
          <w:p>
            <w:pPr>
              <w:spacing w:after="0"/>
              <w:rPr>
                <w:sz w:val="13"/>
                <w:szCs w:val="13"/>
                <w:color w:val="auto"/>
              </w:rPr>
            </w:pPr>
          </w:p>
        </w:tc>
        <w:tc>
          <w:tcPr>
            <w:tcW w:w="1660" w:type="dxa"/>
            <w:vAlign w:val="bottom"/>
            <w:tcBorders>
              <w:top w:val="single" w:sz="8" w:color="auto"/>
            </w:tcBorders>
            <w:gridSpan w:val="5"/>
          </w:tcPr>
          <w:p>
            <w:pPr>
              <w:jc w:val="center"/>
              <w:ind w:right="60"/>
              <w:spacing w:after="0" w:line="155" w:lineRule="exact"/>
              <w:rPr>
                <w:sz w:val="20"/>
                <w:szCs w:val="20"/>
                <w:color w:val="auto"/>
              </w:rPr>
            </w:pPr>
            <w:r>
              <w:rPr>
                <w:rFonts w:ascii="Times New Roman" w:cs="Times New Roman" w:eastAsia="Times New Roman" w:hAnsi="Times New Roman"/>
                <w:sz w:val="16"/>
                <w:szCs w:val="16"/>
                <w:b w:val="1"/>
                <w:bCs w:val="1"/>
                <w:color w:val="auto"/>
              </w:rPr>
              <w:t>Three Months Ended</w:t>
            </w:r>
          </w:p>
        </w:tc>
        <w:tc>
          <w:tcPr>
            <w:tcW w:w="120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980" w:type="dxa"/>
            <w:vAlign w:val="bottom"/>
            <w:tcBorders>
              <w:top w:val="single" w:sz="8" w:color="auto"/>
            </w:tcBorders>
          </w:tcPr>
          <w:p>
            <w:pPr>
              <w:spacing w:after="0"/>
              <w:rPr>
                <w:sz w:val="13"/>
                <w:szCs w:val="13"/>
                <w:color w:val="auto"/>
              </w:rPr>
            </w:pPr>
          </w:p>
        </w:tc>
        <w:tc>
          <w:tcPr>
            <w:tcW w:w="1640" w:type="dxa"/>
            <w:vAlign w:val="bottom"/>
            <w:tcBorders>
              <w:top w:val="single" w:sz="8" w:color="auto"/>
            </w:tcBorders>
            <w:gridSpan w:val="5"/>
          </w:tcPr>
          <w:p>
            <w:pPr>
              <w:jc w:val="center"/>
              <w:ind w:right="40"/>
              <w:spacing w:after="0" w:line="155" w:lineRule="exact"/>
              <w:rPr>
                <w:sz w:val="20"/>
                <w:szCs w:val="20"/>
                <w:color w:val="auto"/>
              </w:rPr>
            </w:pPr>
            <w:r>
              <w:rPr>
                <w:rFonts w:ascii="Times New Roman" w:cs="Times New Roman" w:eastAsia="Times New Roman" w:hAnsi="Times New Roman"/>
                <w:sz w:val="16"/>
                <w:szCs w:val="16"/>
                <w:b w:val="1"/>
                <w:bCs w:val="1"/>
                <w:color w:val="auto"/>
              </w:rPr>
              <w:t>Nine Months Ended</w:t>
            </w:r>
          </w:p>
        </w:tc>
        <w:tc>
          <w:tcPr>
            <w:tcW w:w="1220" w:type="dxa"/>
            <w:vAlign w:val="bottom"/>
            <w:tcBorders>
              <w:top w:val="single" w:sz="8" w:color="auto"/>
            </w:tcBorders>
          </w:tcPr>
          <w:p>
            <w:pPr>
              <w:spacing w:after="0"/>
              <w:rPr>
                <w:sz w:val="13"/>
                <w:szCs w:val="13"/>
                <w:color w:val="auto"/>
              </w:rPr>
            </w:pPr>
          </w:p>
        </w:tc>
      </w:tr>
      <w:tr>
        <w:trPr>
          <w:trHeight w:val="214"/>
        </w:trPr>
        <w:tc>
          <w:tcPr>
            <w:tcW w:w="286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gridSpan w:val="3"/>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120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gridSpan w:val="3"/>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1220" w:type="dxa"/>
            <w:vAlign w:val="bottom"/>
            <w:tcBorders>
              <w:bottom w:val="single" w:sz="8" w:color="auto"/>
            </w:tcBorders>
          </w:tcPr>
          <w:p>
            <w:pPr>
              <w:spacing w:after="0"/>
              <w:rPr>
                <w:sz w:val="18"/>
                <w:szCs w:val="18"/>
                <w:color w:val="auto"/>
              </w:rPr>
            </w:pPr>
          </w:p>
        </w:tc>
      </w:tr>
      <w:tr>
        <w:trPr>
          <w:trHeight w:val="210"/>
        </w:trPr>
        <w:tc>
          <w:tcPr>
            <w:tcW w:w="286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9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39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259"/>
              <w:spacing w:after="0"/>
              <w:rPr>
                <w:sz w:val="20"/>
                <w:szCs w:val="20"/>
                <w:color w:val="auto"/>
              </w:rPr>
            </w:pPr>
            <w:r>
              <w:rPr>
                <w:rFonts w:ascii="Times New Roman" w:cs="Times New Roman" w:eastAsia="Times New Roman" w:hAnsi="Times New Roman"/>
                <w:sz w:val="16"/>
                <w:szCs w:val="16"/>
                <w:b w:val="1"/>
                <w:bCs w:val="1"/>
                <w:color w:val="auto"/>
              </w:rPr>
              <w:t>% Change</w:t>
            </w:r>
          </w:p>
        </w:tc>
        <w:tc>
          <w:tcPr>
            <w:tcW w:w="8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7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37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6"/>
                <w:szCs w:val="16"/>
                <w:b w:val="1"/>
                <w:bCs w:val="1"/>
                <w:color w:val="auto"/>
              </w:rPr>
              <w:t>% Change</w:t>
            </w:r>
          </w:p>
        </w:tc>
      </w:tr>
      <w:tr>
        <w:trPr>
          <w:trHeight w:val="211"/>
        </w:trPr>
        <w:tc>
          <w:tcPr>
            <w:tcW w:w="2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Mortgage rate locks</w:t>
            </w: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377,494</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306,281</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23 %</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1,066,455</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860,793</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6"/>
                <w:szCs w:val="16"/>
                <w:color w:val="auto"/>
              </w:rPr>
              <w:t>24 %</w:t>
            </w:r>
          </w:p>
        </w:tc>
      </w:tr>
      <w:tr>
        <w:trPr>
          <w:trHeight w:val="216"/>
        </w:trPr>
        <w:tc>
          <w:tcPr>
            <w:tcW w:w="2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16"/>
        </w:trPr>
        <w:tc>
          <w:tcPr>
            <w:tcW w:w="2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Mortgage loans sold</w:t>
            </w: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174,859</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171,692</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2</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491,020</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442,282</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6"/>
                <w:szCs w:val="16"/>
                <w:color w:val="auto"/>
              </w:rPr>
              <w:t>11</w:t>
            </w:r>
          </w:p>
        </w:tc>
      </w:tr>
      <w:tr>
        <w:trPr>
          <w:trHeight w:val="216"/>
        </w:trPr>
        <w:tc>
          <w:tcPr>
            <w:tcW w:w="2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16"/>
        </w:trPr>
        <w:tc>
          <w:tcPr>
            <w:tcW w:w="2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Mortgage loans originated:</w:t>
            </w: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r>
      <w:tr>
        <w:trPr>
          <w:trHeight w:val="213"/>
        </w:trPr>
        <w:tc>
          <w:tcPr>
            <w:tcW w:w="28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Purchases</w:t>
            </w: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241,159</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212,470</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14</w:t>
            </w:r>
          </w:p>
        </w:tc>
        <w:tc>
          <w:tcPr>
            <w:tcW w:w="80" w:type="dxa"/>
            <w:vAlign w:val="bottom"/>
          </w:tcPr>
          <w:p>
            <w:pPr>
              <w:spacing w:after="0"/>
              <w:rPr>
                <w:sz w:val="18"/>
                <w:szCs w:val="18"/>
                <w:color w:val="auto"/>
              </w:rPr>
            </w:pP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656,026</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551,755</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ind w:left="860"/>
              <w:spacing w:after="0"/>
              <w:rPr>
                <w:sz w:val="20"/>
                <w:szCs w:val="20"/>
                <w:color w:val="auto"/>
              </w:rPr>
            </w:pPr>
            <w:r>
              <w:rPr>
                <w:rFonts w:ascii="Times New Roman" w:cs="Times New Roman" w:eastAsia="Times New Roman" w:hAnsi="Times New Roman"/>
                <w:sz w:val="16"/>
                <w:szCs w:val="16"/>
                <w:color w:val="auto"/>
              </w:rPr>
              <w:t>19</w:t>
            </w:r>
          </w:p>
        </w:tc>
      </w:tr>
      <w:tr>
        <w:trPr>
          <w:trHeight w:val="219"/>
        </w:trPr>
        <w:tc>
          <w:tcPr>
            <w:tcW w:w="28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Refinances</w:t>
            </w:r>
          </w:p>
        </w:tc>
        <w:tc>
          <w:tcPr>
            <w:tcW w:w="2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41,497</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26,186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58</w:t>
            </w:r>
          </w:p>
        </w:tc>
        <w:tc>
          <w:tcPr>
            <w:tcW w:w="8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98,892</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72,737</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6"/>
                <w:szCs w:val="16"/>
                <w:color w:val="auto"/>
              </w:rPr>
              <w:t>36</w:t>
            </w:r>
          </w:p>
        </w:tc>
      </w:tr>
      <w:tr>
        <w:trPr>
          <w:trHeight w:val="210"/>
        </w:trPr>
        <w:tc>
          <w:tcPr>
            <w:tcW w:w="286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Total</w:t>
            </w:r>
          </w:p>
        </w:tc>
        <w:tc>
          <w:tcPr>
            <w:tcW w:w="28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282,656</w:t>
            </w:r>
          </w:p>
        </w:tc>
        <w:tc>
          <w:tcPr>
            <w:tcW w:w="10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238,656</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18</w:t>
            </w:r>
          </w:p>
        </w:tc>
        <w:tc>
          <w:tcPr>
            <w:tcW w:w="80" w:type="dxa"/>
            <w:vAlign w:val="bottom"/>
          </w:tcPr>
          <w:p>
            <w:pPr>
              <w:spacing w:after="0"/>
              <w:rPr>
                <w:sz w:val="18"/>
                <w:szCs w:val="18"/>
                <w:color w:val="auto"/>
              </w:rPr>
            </w:pPr>
          </w:p>
        </w:tc>
        <w:tc>
          <w:tcPr>
            <w:tcW w:w="28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754,918</w:t>
            </w:r>
          </w:p>
        </w:tc>
        <w:tc>
          <w:tcPr>
            <w:tcW w:w="12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624,492</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ind w:left="860"/>
              <w:spacing w:after="0"/>
              <w:rPr>
                <w:sz w:val="20"/>
                <w:szCs w:val="20"/>
                <w:color w:val="auto"/>
              </w:rPr>
            </w:pPr>
            <w:r>
              <w:rPr>
                <w:rFonts w:ascii="Times New Roman" w:cs="Times New Roman" w:eastAsia="Times New Roman" w:hAnsi="Times New Roman"/>
                <w:sz w:val="16"/>
                <w:szCs w:val="16"/>
                <w:color w:val="auto"/>
              </w:rPr>
              <w:t>21</w:t>
            </w:r>
          </w:p>
        </w:tc>
      </w:tr>
      <w:tr>
        <w:trPr>
          <w:trHeight w:val="20"/>
        </w:trPr>
        <w:tc>
          <w:tcPr>
            <w:tcW w:w="28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r>
    </w:tbl>
    <w:p>
      <w:pPr>
        <w:spacing w:after="0" w:line="29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decrease in wealth management fees reflects the decrease in assets under management and advisement as a result of the FinTrust sale in the fourth quarter of 2024. Assets under management and advisement totaled $3.46 billion and $5.59 billion at September 30, 2025 and 2024, respectively.</w:t>
      </w:r>
    </w:p>
    <w:p>
      <w:pPr>
        <w:spacing w:after="0" w:line="189"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change in gains on sales of other loans for the three and nine months ended September 30, 2025 was primarily driven by the periods of 2024 including a $27.2 million loss on the sale of substantially all of our manufactured housing portfolio.</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42" w:name="page43"/>
    <w:bookmarkEnd w:id="42"/>
    <w:p>
      <w:pPr>
        <w:jc w:val="both"/>
        <w:spacing w:after="0" w:line="282" w:lineRule="auto"/>
        <w:rPr>
          <w:sz w:val="20"/>
          <w:szCs w:val="20"/>
          <w:color w:val="auto"/>
        </w:rPr>
      </w:pPr>
      <w:r>
        <w:rPr>
          <w:rFonts w:ascii="Times New Roman" w:cs="Times New Roman" w:eastAsia="Times New Roman" w:hAnsi="Times New Roman"/>
          <w:sz w:val="18"/>
          <w:szCs w:val="18"/>
          <w:color w:val="auto"/>
        </w:rPr>
        <w:t>Customer derivative fees for the three and nine months ended September 30, 2025 were up due to stronger loan growth and increased product demand, attributable to the lower interest rate environment compared to the same periods of 2024.</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During the third quarter of 2025, other investment income increased, due to stronger investment performance, particularly our limited partnership and mutual fund investments, compared to the same period of 2024. The decrease for the nine months ended September 30, 2025 was driven by weaker market conditions during the first six months of 2025, particularly related to our mutual fund and other equity investments. Our other investment portfolio includes mutual funds, equity securities, fintech and other limited partnership investments. Gains and losses from these investments are generally unrealized.</w:t>
      </w:r>
    </w:p>
    <w:p>
      <w:pPr>
        <w:spacing w:after="0" w:line="20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increase in BOLI earnings during the third quarter of 2025 was driven by higher death benefits received during the period compared to the third quarter of 2024.</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increase in other noninterest income was largely driven by a positive change in collateral charges related to derivative positions.</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Provision for Credit Losses</w:t>
      </w:r>
    </w:p>
    <w:p>
      <w:pPr>
        <w:spacing w:after="0" w:line="25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recorded provisions for credit losses of $7.91 million and $35.1 million for the three and nine months ended September 30, 2025, compared to $14.4 million and $39.6 million for the same periods of 2024. The provision expense for the three and nine months ended September 30, 2025 reflected the partial release of the 2024 Hurricane Helene reserve of $2.54 million and $7.92 million, respectively. In addition, provision expense for the nine months ended September 30, 2025 included $2.49 million for ANB’s non-PCD loans and unfunded commitments. The three and nine months ended September 30, 2024 included $9.89 million of provision expense related to the establishment of the Hurricane Helene reserve.</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Additional discussion on credit quality and the ACL is included in the “Asset Quality and Risk Elements” section of MD&amp;A in this Report.</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Noninterest Expense</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the components of noninterest expense for the periods indicated.</w:t>
      </w:r>
    </w:p>
    <w:p>
      <w:pPr>
        <w:spacing w:after="0" w:line="28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Table 6 - Noninterest Expense</w:t>
      </w:r>
    </w:p>
    <w:p>
      <w:pPr>
        <w:spacing w:after="0" w:line="3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i w:val="1"/>
          <w:iCs w:val="1"/>
          <w:color w:val="auto"/>
        </w:rPr>
        <w:t>(dollars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8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7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40" w:type="dxa"/>
            <w:vAlign w:val="bottom"/>
            <w:gridSpan w:val="5"/>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120" w:type="dxa"/>
            <w:vAlign w:val="bottom"/>
          </w:tcPr>
          <w:p>
            <w:pPr>
              <w:spacing w:after="0"/>
              <w:rPr>
                <w:sz w:val="16"/>
                <w:szCs w:val="16"/>
                <w:color w:val="auto"/>
              </w:rPr>
            </w:pPr>
          </w:p>
        </w:tc>
        <w:tc>
          <w:tcPr>
            <w:tcW w:w="1860" w:type="dxa"/>
            <w:vAlign w:val="bottom"/>
            <w:gridSpan w:val="4"/>
            <w:vMerge w:val="restart"/>
          </w:tcPr>
          <w:p>
            <w:pPr>
              <w:ind w:left="56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240" w:type="dxa"/>
            <w:vAlign w:val="bottom"/>
          </w:tcPr>
          <w:p>
            <w:pPr>
              <w:spacing w:after="0"/>
              <w:rPr>
                <w:sz w:val="16"/>
                <w:szCs w:val="16"/>
                <w:color w:val="auto"/>
              </w:rPr>
            </w:pPr>
          </w:p>
        </w:tc>
        <w:tc>
          <w:tcPr>
            <w:tcW w:w="2060" w:type="dxa"/>
            <w:vAlign w:val="bottom"/>
            <w:gridSpan w:val="5"/>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rPr>
              <w:t>Nine Months Ended</w:t>
            </w:r>
          </w:p>
        </w:tc>
        <w:tc>
          <w:tcPr>
            <w:tcW w:w="120" w:type="dxa"/>
            <w:vAlign w:val="bottom"/>
          </w:tcPr>
          <w:p>
            <w:pPr>
              <w:spacing w:after="0"/>
              <w:rPr>
                <w:sz w:val="16"/>
                <w:szCs w:val="16"/>
                <w:color w:val="auto"/>
              </w:rPr>
            </w:pPr>
          </w:p>
        </w:tc>
        <w:tc>
          <w:tcPr>
            <w:tcW w:w="1760" w:type="dxa"/>
            <w:vAlign w:val="bottom"/>
            <w:gridSpan w:val="3"/>
            <w:vMerge w:val="restart"/>
          </w:tcPr>
          <w:p>
            <w:pPr>
              <w:jc w:val="right"/>
              <w:ind w:right="599"/>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0" w:type="dxa"/>
            <w:vAlign w:val="bottom"/>
          </w:tcPr>
          <w:p>
            <w:pPr>
              <w:spacing w:after="0"/>
              <w:rPr>
                <w:sz w:val="1"/>
                <w:szCs w:val="1"/>
                <w:color w:val="auto"/>
              </w:rPr>
            </w:pPr>
          </w:p>
        </w:tc>
      </w:tr>
      <w:tr>
        <w:trPr>
          <w:trHeight w:val="214"/>
        </w:trPr>
        <w:tc>
          <w:tcPr>
            <w:tcW w:w="2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40" w:type="dxa"/>
            <w:vAlign w:val="bottom"/>
            <w:gridSpan w:val="5"/>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120" w:type="dxa"/>
            <w:vAlign w:val="bottom"/>
          </w:tcPr>
          <w:p>
            <w:pPr>
              <w:spacing w:after="0"/>
              <w:rPr>
                <w:sz w:val="18"/>
                <w:szCs w:val="18"/>
                <w:color w:val="auto"/>
              </w:rPr>
            </w:pPr>
          </w:p>
        </w:tc>
        <w:tc>
          <w:tcPr>
            <w:tcW w:w="1860" w:type="dxa"/>
            <w:vAlign w:val="bottom"/>
            <w:gridSpan w:val="4"/>
            <w:vMerge w:val="continue"/>
          </w:tcPr>
          <w:p>
            <w:pPr>
              <w:spacing w:after="0"/>
              <w:rPr>
                <w:sz w:val="18"/>
                <w:szCs w:val="18"/>
                <w:color w:val="auto"/>
              </w:rPr>
            </w:pPr>
          </w:p>
        </w:tc>
        <w:tc>
          <w:tcPr>
            <w:tcW w:w="240" w:type="dxa"/>
            <w:vAlign w:val="bottom"/>
          </w:tcPr>
          <w:p>
            <w:pPr>
              <w:spacing w:after="0"/>
              <w:rPr>
                <w:sz w:val="18"/>
                <w:szCs w:val="18"/>
                <w:color w:val="auto"/>
              </w:rPr>
            </w:pPr>
          </w:p>
        </w:tc>
        <w:tc>
          <w:tcPr>
            <w:tcW w:w="2060" w:type="dxa"/>
            <w:vAlign w:val="bottom"/>
            <w:gridSpan w:val="5"/>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120" w:type="dxa"/>
            <w:vAlign w:val="bottom"/>
          </w:tcPr>
          <w:p>
            <w:pPr>
              <w:spacing w:after="0"/>
              <w:rPr>
                <w:sz w:val="18"/>
                <w:szCs w:val="18"/>
                <w:color w:val="auto"/>
              </w:rPr>
            </w:pPr>
          </w:p>
        </w:tc>
        <w:tc>
          <w:tcPr>
            <w:tcW w:w="1760" w:type="dxa"/>
            <w:vAlign w:val="bottom"/>
            <w:gridSpan w:val="3"/>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780" w:type="dxa"/>
            <w:vAlign w:val="bottom"/>
            <w:tcBorders>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ind w:right="25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Borders>
              <w:top w:val="single" w:sz="8" w:color="auto"/>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ind w:right="27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700" w:type="dxa"/>
            <w:vAlign w:val="bottom"/>
            <w:tcBorders>
              <w:top w:val="single" w:sz="8" w:color="auto"/>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w w:val="99"/>
              </w:rPr>
              <w:t>Amount</w:t>
            </w:r>
          </w:p>
        </w:tc>
        <w:tc>
          <w:tcPr>
            <w:tcW w:w="120" w:type="dxa"/>
            <w:vAlign w:val="bottom"/>
            <w:tcBorders>
              <w:top w:val="single" w:sz="8" w:color="auto"/>
              <w:bottom w:val="single" w:sz="8" w:color="CCEEFF"/>
            </w:tcBorders>
          </w:tcPr>
          <w:p>
            <w:pPr>
              <w:spacing w:after="0"/>
              <w:rPr>
                <w:sz w:val="18"/>
                <w:szCs w:val="18"/>
                <w:color w:val="auto"/>
              </w:rPr>
            </w:pPr>
          </w:p>
        </w:tc>
        <w:tc>
          <w:tcPr>
            <w:tcW w:w="940" w:type="dxa"/>
            <w:vAlign w:val="bottom"/>
            <w:tcBorders>
              <w:top w:val="single" w:sz="8" w:color="auto"/>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Percent</w:t>
            </w:r>
          </w:p>
        </w:tc>
        <w:tc>
          <w:tcPr>
            <w:tcW w:w="100" w:type="dxa"/>
            <w:vAlign w:val="bottom"/>
            <w:tcBorders>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ind w:right="27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20" w:type="dxa"/>
            <w:vAlign w:val="bottom"/>
            <w:tcBorders>
              <w:top w:val="single" w:sz="8" w:color="auto"/>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ind w:right="27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700" w:type="dxa"/>
            <w:vAlign w:val="bottom"/>
            <w:tcBorders>
              <w:top w:val="single" w:sz="8" w:color="auto"/>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w w:val="99"/>
              </w:rPr>
              <w:t>Amount</w:t>
            </w:r>
          </w:p>
        </w:tc>
        <w:tc>
          <w:tcPr>
            <w:tcW w:w="120" w:type="dxa"/>
            <w:vAlign w:val="bottom"/>
            <w:tcBorders>
              <w:top w:val="single" w:sz="8" w:color="auto"/>
              <w:bottom w:val="single" w:sz="8" w:color="CCEEFF"/>
            </w:tcBorders>
          </w:tcPr>
          <w:p>
            <w:pPr>
              <w:spacing w:after="0"/>
              <w:rPr>
                <w:sz w:val="18"/>
                <w:szCs w:val="18"/>
                <w:color w:val="auto"/>
              </w:rPr>
            </w:pPr>
          </w:p>
        </w:tc>
        <w:tc>
          <w:tcPr>
            <w:tcW w:w="940" w:type="dxa"/>
            <w:vAlign w:val="bottom"/>
            <w:tcBorders>
              <w:top w:val="single" w:sz="8" w:color="auto"/>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Percent</w:t>
            </w:r>
          </w:p>
        </w:tc>
        <w:tc>
          <w:tcPr>
            <w:tcW w:w="0" w:type="dxa"/>
            <w:vAlign w:val="bottom"/>
          </w:tcPr>
          <w:p>
            <w:pPr>
              <w:spacing w:after="0"/>
              <w:rPr>
                <w:sz w:val="1"/>
                <w:szCs w:val="1"/>
                <w:color w:val="auto"/>
              </w:rPr>
            </w:pPr>
          </w:p>
        </w:tc>
      </w:tr>
      <w:tr>
        <w:trPr>
          <w:trHeight w:val="211"/>
        </w:trPr>
        <w:tc>
          <w:tcPr>
            <w:tcW w:w="2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Salaries and employee benefits</w:t>
            </w: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90,667</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83,533</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7,134</w:t>
            </w: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9 %</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261,931</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254,336</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7,595</w:t>
            </w: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3 %</w:t>
            </w:r>
          </w:p>
        </w:tc>
        <w:tc>
          <w:tcPr>
            <w:tcW w:w="0" w:type="dxa"/>
            <w:vAlign w:val="bottom"/>
          </w:tcPr>
          <w:p>
            <w:pPr>
              <w:spacing w:after="0"/>
              <w:rPr>
                <w:sz w:val="1"/>
                <w:szCs w:val="1"/>
                <w:color w:val="auto"/>
              </w:rPr>
            </w:pPr>
          </w:p>
        </w:tc>
      </w:tr>
      <w:tr>
        <w:trPr>
          <w:trHeight w:val="213"/>
        </w:trPr>
        <w:tc>
          <w:tcPr>
            <w:tcW w:w="27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Communications and equipment</w:t>
            </w: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13,937</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12,626</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1,311</w:t>
            </w:r>
          </w:p>
        </w:tc>
        <w:tc>
          <w:tcPr>
            <w:tcW w:w="1060" w:type="dxa"/>
            <w:vAlign w:val="bottom"/>
            <w:gridSpan w:val="2"/>
          </w:tcPr>
          <w:p>
            <w:pPr>
              <w:jc w:val="right"/>
              <w:ind w:right="119"/>
              <w:spacing w:after="0"/>
              <w:rPr>
                <w:sz w:val="20"/>
                <w:szCs w:val="20"/>
                <w:color w:val="auto"/>
              </w:rPr>
            </w:pPr>
            <w:r>
              <w:rPr>
                <w:rFonts w:ascii="Times New Roman" w:cs="Times New Roman" w:eastAsia="Times New Roman" w:hAnsi="Times New Roman"/>
                <w:sz w:val="16"/>
                <w:szCs w:val="16"/>
                <w:color w:val="auto"/>
              </w:rPr>
              <w:t>10</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40,968</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36,534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4,434</w:t>
            </w:r>
          </w:p>
        </w:tc>
        <w:tc>
          <w:tcPr>
            <w:tcW w:w="1060" w:type="dxa"/>
            <w:vAlign w:val="bottom"/>
            <w:gridSpan w:val="2"/>
          </w:tcPr>
          <w:p>
            <w:pPr>
              <w:jc w:val="right"/>
              <w:ind w:right="119"/>
              <w:spacing w:after="0"/>
              <w:rPr>
                <w:sz w:val="20"/>
                <w:szCs w:val="20"/>
                <w:color w:val="auto"/>
              </w:rPr>
            </w:pPr>
            <w:r>
              <w:rPr>
                <w:rFonts w:ascii="Times New Roman" w:cs="Times New Roman" w:eastAsia="Times New Roman" w:hAnsi="Times New Roman"/>
                <w:sz w:val="16"/>
                <w:szCs w:val="16"/>
                <w:color w:val="auto"/>
              </w:rPr>
              <w:t>12</w:t>
            </w:r>
          </w:p>
        </w:tc>
        <w:tc>
          <w:tcPr>
            <w:tcW w:w="0" w:type="dxa"/>
            <w:vAlign w:val="bottom"/>
          </w:tcPr>
          <w:p>
            <w:pPr>
              <w:spacing w:after="0"/>
              <w:rPr>
                <w:sz w:val="1"/>
                <w:szCs w:val="1"/>
                <w:color w:val="auto"/>
              </w:rPr>
            </w:pPr>
          </w:p>
        </w:tc>
      </w:tr>
      <w:tr>
        <w:trPr>
          <w:trHeight w:val="219"/>
        </w:trPr>
        <w:tc>
          <w:tcPr>
            <w:tcW w:w="2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Occupancy</w:t>
            </w: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11,502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11,311</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191</w:t>
            </w:r>
          </w:p>
        </w:tc>
        <w:tc>
          <w:tcPr>
            <w:tcW w:w="1060" w:type="dxa"/>
            <w:vAlign w:val="bottom"/>
            <w:gridSpan w:val="2"/>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33,366</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33,466</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w:t>
            </w: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27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Advertising and public relations</w:t>
            </w: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2,053</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2,041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1060" w:type="dxa"/>
            <w:vAlign w:val="bottom"/>
            <w:gridSpan w:val="2"/>
          </w:tcPr>
          <w:p>
            <w:pPr>
              <w:jc w:val="right"/>
              <w:ind w:right="119"/>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6,815</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6,401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414</w:t>
            </w:r>
          </w:p>
        </w:tc>
        <w:tc>
          <w:tcPr>
            <w:tcW w:w="1060" w:type="dxa"/>
            <w:vAlign w:val="bottom"/>
            <w:gridSpan w:val="2"/>
          </w:tcPr>
          <w:p>
            <w:pPr>
              <w:jc w:val="right"/>
              <w:ind w:right="119"/>
              <w:spacing w:after="0"/>
              <w:rPr>
                <w:sz w:val="20"/>
                <w:szCs w:val="20"/>
                <w:color w:val="auto"/>
              </w:rPr>
            </w:pPr>
            <w:r>
              <w:rPr>
                <w:rFonts w:ascii="Times New Roman" w:cs="Times New Roman" w:eastAsia="Times New Roman" w:hAnsi="Times New Roman"/>
                <w:sz w:val="16"/>
                <w:szCs w:val="16"/>
                <w:color w:val="auto"/>
              </w:rPr>
              <w:t>6</w:t>
            </w:r>
          </w:p>
        </w:tc>
        <w:tc>
          <w:tcPr>
            <w:tcW w:w="0" w:type="dxa"/>
            <w:vAlign w:val="bottom"/>
          </w:tcPr>
          <w:p>
            <w:pPr>
              <w:spacing w:after="0"/>
              <w:rPr>
                <w:sz w:val="1"/>
                <w:szCs w:val="1"/>
                <w:color w:val="auto"/>
              </w:rPr>
            </w:pPr>
          </w:p>
        </w:tc>
      </w:tr>
      <w:tr>
        <w:trPr>
          <w:trHeight w:val="219"/>
        </w:trPr>
        <w:tc>
          <w:tcPr>
            <w:tcW w:w="2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Postage, printing and supplies</w:t>
            </w: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2,735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2,477</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258</w:t>
            </w:r>
          </w:p>
        </w:tc>
        <w:tc>
          <w:tcPr>
            <w:tcW w:w="1060" w:type="dxa"/>
            <w:vAlign w:val="bottom"/>
            <w:gridSpan w:val="2"/>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7,791</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7,376</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415</w:t>
            </w:r>
          </w:p>
        </w:tc>
        <w:tc>
          <w:tcPr>
            <w:tcW w:w="1060" w:type="dxa"/>
            <w:vAlign w:val="bottom"/>
            <w:gridSpan w:val="2"/>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6</w:t>
            </w:r>
          </w:p>
        </w:tc>
        <w:tc>
          <w:tcPr>
            <w:tcW w:w="0" w:type="dxa"/>
            <w:vAlign w:val="bottom"/>
          </w:tcPr>
          <w:p>
            <w:pPr>
              <w:spacing w:after="0"/>
              <w:rPr>
                <w:sz w:val="1"/>
                <w:szCs w:val="1"/>
                <w:color w:val="auto"/>
              </w:rPr>
            </w:pPr>
          </w:p>
        </w:tc>
      </w:tr>
      <w:tr>
        <w:trPr>
          <w:trHeight w:val="213"/>
        </w:trPr>
        <w:tc>
          <w:tcPr>
            <w:tcW w:w="27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Professional fees</w:t>
            </w: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6,282</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6,432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(150)</w:t>
            </w:r>
          </w:p>
        </w:tc>
        <w:tc>
          <w:tcPr>
            <w:tcW w:w="1060" w:type="dxa"/>
            <w:vAlign w:val="bottom"/>
            <w:gridSpan w:val="2"/>
          </w:tcPr>
          <w:p>
            <w:pPr>
              <w:jc w:val="right"/>
              <w:ind w:right="79"/>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17,822</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18,464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(642)</w:t>
            </w:r>
          </w:p>
        </w:tc>
        <w:tc>
          <w:tcPr>
            <w:tcW w:w="1060" w:type="dxa"/>
            <w:vAlign w:val="bottom"/>
            <w:gridSpan w:val="2"/>
          </w:tcPr>
          <w:p>
            <w:pPr>
              <w:jc w:val="right"/>
              <w:ind w:right="79"/>
              <w:spacing w:after="0"/>
              <w:rPr>
                <w:sz w:val="20"/>
                <w:szCs w:val="20"/>
                <w:color w:val="auto"/>
              </w:rPr>
            </w:pPr>
            <w:r>
              <w:rPr>
                <w:rFonts w:ascii="Times New Roman" w:cs="Times New Roman" w:eastAsia="Times New Roman" w:hAnsi="Times New Roman"/>
                <w:sz w:val="16"/>
                <w:szCs w:val="16"/>
                <w:color w:val="auto"/>
              </w:rPr>
              <w:t>(3)</w:t>
            </w:r>
          </w:p>
        </w:tc>
        <w:tc>
          <w:tcPr>
            <w:tcW w:w="0" w:type="dxa"/>
            <w:vAlign w:val="bottom"/>
          </w:tcPr>
          <w:p>
            <w:pPr>
              <w:spacing w:after="0"/>
              <w:rPr>
                <w:sz w:val="1"/>
                <w:szCs w:val="1"/>
                <w:color w:val="auto"/>
              </w:rPr>
            </w:pPr>
          </w:p>
        </w:tc>
      </w:tr>
      <w:tr>
        <w:trPr>
          <w:trHeight w:val="219"/>
        </w:trPr>
        <w:tc>
          <w:tcPr>
            <w:tcW w:w="2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Lending and loan servicing expense</w:t>
            </w: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2,428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2,227</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201</w:t>
            </w:r>
          </w:p>
        </w:tc>
        <w:tc>
          <w:tcPr>
            <w:tcW w:w="1060" w:type="dxa"/>
            <w:vAlign w:val="bottom"/>
            <w:gridSpan w:val="2"/>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6,745</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6,068</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677</w:t>
            </w:r>
          </w:p>
        </w:tc>
        <w:tc>
          <w:tcPr>
            <w:tcW w:w="1060" w:type="dxa"/>
            <w:vAlign w:val="bottom"/>
            <w:gridSpan w:val="2"/>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11</w:t>
            </w:r>
          </w:p>
        </w:tc>
        <w:tc>
          <w:tcPr>
            <w:tcW w:w="0" w:type="dxa"/>
            <w:vAlign w:val="bottom"/>
          </w:tcPr>
          <w:p>
            <w:pPr>
              <w:spacing w:after="0"/>
              <w:rPr>
                <w:sz w:val="1"/>
                <w:szCs w:val="1"/>
                <w:color w:val="auto"/>
              </w:rPr>
            </w:pPr>
          </w:p>
        </w:tc>
      </w:tr>
      <w:tr>
        <w:trPr>
          <w:trHeight w:val="213"/>
        </w:trPr>
        <w:tc>
          <w:tcPr>
            <w:tcW w:w="27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Outside services - electronic banking</w:t>
            </w: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3,543</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4,433</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(890)</w:t>
            </w:r>
          </w:p>
        </w:tc>
        <w:tc>
          <w:tcPr>
            <w:tcW w:w="1060" w:type="dxa"/>
            <w:vAlign w:val="bottom"/>
            <w:gridSpan w:val="2"/>
          </w:tcPr>
          <w:p>
            <w:pPr>
              <w:jc w:val="right"/>
              <w:ind w:right="79"/>
              <w:spacing w:after="0"/>
              <w:rPr>
                <w:sz w:val="20"/>
                <w:szCs w:val="20"/>
                <w:color w:val="auto"/>
              </w:rPr>
            </w:pPr>
            <w:r>
              <w:rPr>
                <w:rFonts w:ascii="Times New Roman" w:cs="Times New Roman" w:eastAsia="Times New Roman" w:hAnsi="Times New Roman"/>
                <w:sz w:val="16"/>
                <w:szCs w:val="16"/>
                <w:color w:val="auto"/>
              </w:rPr>
              <w:t>(20)</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9,876</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10,163</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(287)</w:t>
            </w:r>
          </w:p>
        </w:tc>
        <w:tc>
          <w:tcPr>
            <w:tcW w:w="1060" w:type="dxa"/>
            <w:vAlign w:val="bottom"/>
            <w:gridSpan w:val="2"/>
          </w:tcPr>
          <w:p>
            <w:pPr>
              <w:jc w:val="right"/>
              <w:ind w:right="79"/>
              <w:spacing w:after="0"/>
              <w:rPr>
                <w:sz w:val="20"/>
                <w:szCs w:val="20"/>
                <w:color w:val="auto"/>
              </w:rPr>
            </w:pPr>
            <w:r>
              <w:rPr>
                <w:rFonts w:ascii="Times New Roman" w:cs="Times New Roman" w:eastAsia="Times New Roman" w:hAnsi="Times New Roman"/>
                <w:sz w:val="16"/>
                <w:szCs w:val="16"/>
                <w:color w:val="auto"/>
              </w:rPr>
              <w:t>(3)</w:t>
            </w:r>
          </w:p>
        </w:tc>
        <w:tc>
          <w:tcPr>
            <w:tcW w:w="0" w:type="dxa"/>
            <w:vAlign w:val="bottom"/>
          </w:tcPr>
          <w:p>
            <w:pPr>
              <w:spacing w:after="0"/>
              <w:rPr>
                <w:sz w:val="1"/>
                <w:szCs w:val="1"/>
                <w:color w:val="auto"/>
              </w:rPr>
            </w:pPr>
          </w:p>
        </w:tc>
      </w:tr>
      <w:tr>
        <w:trPr>
          <w:trHeight w:val="165"/>
        </w:trPr>
        <w:tc>
          <w:tcPr>
            <w:tcW w:w="2780" w:type="dxa"/>
            <w:vAlign w:val="bottom"/>
            <w:shd w:val="clear" w:color="auto" w:fill="CCEEFF"/>
          </w:tcPr>
          <w:p>
            <w:pPr>
              <w:ind w:left="20"/>
              <w:spacing w:after="0" w:line="165" w:lineRule="exact"/>
              <w:rPr>
                <w:sz w:val="20"/>
                <w:szCs w:val="20"/>
                <w:color w:val="auto"/>
              </w:rPr>
            </w:pPr>
            <w:r>
              <w:rPr>
                <w:rFonts w:ascii="Times New Roman" w:cs="Times New Roman" w:eastAsia="Times New Roman" w:hAnsi="Times New Roman"/>
                <w:sz w:val="16"/>
                <w:szCs w:val="16"/>
                <w:color w:val="auto"/>
              </w:rPr>
              <w:t>FDIC assessments and other regulatory</w:t>
            </w:r>
          </w:p>
        </w:tc>
        <w:tc>
          <w:tcPr>
            <w:tcW w:w="220" w:type="dxa"/>
            <w:vAlign w:val="bottom"/>
            <w:shd w:val="clear" w:color="auto" w:fill="CCEEFF"/>
          </w:tcPr>
          <w:p>
            <w:pPr>
              <w:spacing w:after="0"/>
              <w:rPr>
                <w:sz w:val="14"/>
                <w:szCs w:val="14"/>
                <w:color w:val="auto"/>
              </w:rPr>
            </w:pP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4,846</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5,003</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(157)</w:t>
            </w:r>
          </w:p>
        </w:tc>
        <w:tc>
          <w:tcPr>
            <w:tcW w:w="1060" w:type="dxa"/>
            <w:vAlign w:val="bottom"/>
            <w:gridSpan w:val="2"/>
            <w:vMerge w:val="restart"/>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14,233</w:t>
            </w:r>
          </w:p>
        </w:tc>
        <w:tc>
          <w:tcPr>
            <w:tcW w:w="1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17,036</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(2,803)</w:t>
            </w:r>
          </w:p>
        </w:tc>
        <w:tc>
          <w:tcPr>
            <w:tcW w:w="1060" w:type="dxa"/>
            <w:vAlign w:val="bottom"/>
            <w:gridSpan w:val="2"/>
            <w:vMerge w:val="restart"/>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(16)</w:t>
            </w:r>
          </w:p>
        </w:tc>
        <w:tc>
          <w:tcPr>
            <w:tcW w:w="0" w:type="dxa"/>
            <w:vAlign w:val="bottom"/>
          </w:tcPr>
          <w:p>
            <w:pPr>
              <w:spacing w:after="0"/>
              <w:rPr>
                <w:sz w:val="1"/>
                <w:szCs w:val="1"/>
                <w:color w:val="auto"/>
              </w:rPr>
            </w:pPr>
          </w:p>
        </w:tc>
      </w:tr>
      <w:tr>
        <w:trPr>
          <w:trHeight w:val="216"/>
        </w:trPr>
        <w:tc>
          <w:tcPr>
            <w:tcW w:w="2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charges</w:t>
            </w:r>
          </w:p>
        </w:tc>
        <w:tc>
          <w:tcPr>
            <w:tcW w:w="220" w:type="dxa"/>
            <w:vAlign w:val="bottom"/>
            <w:shd w:val="clear" w:color="auto" w:fill="CCEEFF"/>
          </w:tcPr>
          <w:p>
            <w:pPr>
              <w:spacing w:after="0"/>
              <w:rPr>
                <w:sz w:val="18"/>
                <w:szCs w:val="18"/>
                <w:color w:val="auto"/>
              </w:rPr>
            </w:pPr>
          </w:p>
        </w:tc>
        <w:tc>
          <w:tcPr>
            <w:tcW w:w="8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vMerge w:val="continue"/>
            <w:shd w:val="clear" w:color="auto" w:fill="CCEEFF"/>
          </w:tcPr>
          <w:p>
            <w:pPr>
              <w:spacing w:after="0"/>
              <w:rPr>
                <w:sz w:val="18"/>
                <w:szCs w:val="18"/>
                <w:color w:val="auto"/>
              </w:rPr>
            </w:pPr>
          </w:p>
        </w:tc>
        <w:tc>
          <w:tcPr>
            <w:tcW w:w="106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vMerge w:val="continue"/>
            <w:shd w:val="clear" w:color="auto" w:fill="CCEEFF"/>
          </w:tcPr>
          <w:p>
            <w:pPr>
              <w:spacing w:after="0"/>
              <w:rPr>
                <w:sz w:val="18"/>
                <w:szCs w:val="18"/>
                <w:color w:val="auto"/>
              </w:rPr>
            </w:pPr>
          </w:p>
        </w:tc>
        <w:tc>
          <w:tcPr>
            <w:tcW w:w="1060" w:type="dxa"/>
            <w:vAlign w:val="bottom"/>
            <w:gridSpan w:val="2"/>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7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Amortization of intangibles</w:t>
            </w: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3,313</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3,528</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(215)</w:t>
            </w:r>
          </w:p>
        </w:tc>
        <w:tc>
          <w:tcPr>
            <w:tcW w:w="1060" w:type="dxa"/>
            <w:vAlign w:val="bottom"/>
            <w:gridSpan w:val="2"/>
          </w:tcPr>
          <w:p>
            <w:pPr>
              <w:jc w:val="right"/>
              <w:ind w:right="79"/>
              <w:spacing w:after="0"/>
              <w:rPr>
                <w:sz w:val="20"/>
                <w:szCs w:val="20"/>
                <w:color w:val="auto"/>
              </w:rPr>
            </w:pPr>
            <w:r>
              <w:rPr>
                <w:rFonts w:ascii="Times New Roman" w:cs="Times New Roman" w:eastAsia="Times New Roman" w:hAnsi="Times New Roman"/>
                <w:sz w:val="16"/>
                <w:szCs w:val="16"/>
                <w:color w:val="auto"/>
              </w:rPr>
              <w:t>(6)</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9,891</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11,209</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(1,318)</w:t>
            </w:r>
          </w:p>
        </w:tc>
        <w:tc>
          <w:tcPr>
            <w:tcW w:w="1060" w:type="dxa"/>
            <w:vAlign w:val="bottom"/>
            <w:gridSpan w:val="2"/>
          </w:tcPr>
          <w:p>
            <w:pPr>
              <w:jc w:val="right"/>
              <w:ind w:right="79"/>
              <w:spacing w:after="0"/>
              <w:rPr>
                <w:sz w:val="20"/>
                <w:szCs w:val="20"/>
                <w:color w:val="auto"/>
              </w:rPr>
            </w:pPr>
            <w:r>
              <w:rPr>
                <w:rFonts w:ascii="Times New Roman" w:cs="Times New Roman" w:eastAsia="Times New Roman" w:hAnsi="Times New Roman"/>
                <w:sz w:val="16"/>
                <w:szCs w:val="16"/>
                <w:color w:val="auto"/>
              </w:rPr>
              <w:t>(12)</w:t>
            </w:r>
          </w:p>
        </w:tc>
        <w:tc>
          <w:tcPr>
            <w:tcW w:w="0" w:type="dxa"/>
            <w:vAlign w:val="bottom"/>
          </w:tcPr>
          <w:p>
            <w:pPr>
              <w:spacing w:after="0"/>
              <w:rPr>
                <w:sz w:val="1"/>
                <w:szCs w:val="1"/>
                <w:color w:val="auto"/>
              </w:rPr>
            </w:pPr>
          </w:p>
        </w:tc>
      </w:tr>
      <w:tr>
        <w:trPr>
          <w:trHeight w:val="219"/>
        </w:trPr>
        <w:tc>
          <w:tcPr>
            <w:tcW w:w="2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Merger-related and other charges</w:t>
            </w: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3,468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2,176</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1,292</w:t>
            </w:r>
          </w:p>
        </w:tc>
        <w:tc>
          <w:tcPr>
            <w:tcW w:w="12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6"/>
                <w:szCs w:val="16"/>
                <w:color w:val="auto"/>
              </w:rPr>
              <w:t>n/m</w:t>
            </w: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9,598</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6,420</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3,178</w:t>
            </w: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n/m</w:t>
            </w:r>
          </w:p>
        </w:tc>
        <w:tc>
          <w:tcPr>
            <w:tcW w:w="0" w:type="dxa"/>
            <w:vAlign w:val="bottom"/>
          </w:tcPr>
          <w:p>
            <w:pPr>
              <w:spacing w:after="0"/>
              <w:rPr>
                <w:sz w:val="1"/>
                <w:szCs w:val="1"/>
                <w:color w:val="auto"/>
              </w:rPr>
            </w:pPr>
          </w:p>
        </w:tc>
      </w:tr>
      <w:tr>
        <w:trPr>
          <w:trHeight w:val="213"/>
        </w:trPr>
        <w:tc>
          <w:tcPr>
            <w:tcW w:w="27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Other</w:t>
            </w:r>
          </w:p>
        </w:tc>
        <w:tc>
          <w:tcPr>
            <w:tcW w:w="2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6,094</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7,278</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(1,184)</w:t>
            </w:r>
          </w:p>
        </w:tc>
        <w:tc>
          <w:tcPr>
            <w:tcW w:w="1060" w:type="dxa"/>
            <w:vAlign w:val="bottom"/>
            <w:tcBorders>
              <w:bottom w:val="single" w:sz="8" w:color="CCEEFF"/>
            </w:tcBorders>
            <w:gridSpan w:val="2"/>
          </w:tcPr>
          <w:p>
            <w:pPr>
              <w:jc w:val="right"/>
              <w:ind w:right="79"/>
              <w:spacing w:after="0"/>
              <w:rPr>
                <w:sz w:val="20"/>
                <w:szCs w:val="20"/>
                <w:color w:val="auto"/>
              </w:rPr>
            </w:pPr>
            <w:r>
              <w:rPr>
                <w:rFonts w:ascii="Times New Roman" w:cs="Times New Roman" w:eastAsia="Times New Roman" w:hAnsi="Times New Roman"/>
                <w:sz w:val="16"/>
                <w:szCs w:val="16"/>
                <w:color w:val="auto"/>
              </w:rPr>
              <w:t>(16)</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20,850</w:t>
            </w: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27,638</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(6,788)</w:t>
            </w:r>
          </w:p>
        </w:tc>
        <w:tc>
          <w:tcPr>
            <w:tcW w:w="1060" w:type="dxa"/>
            <w:vAlign w:val="bottom"/>
            <w:tcBorders>
              <w:bottom w:val="single" w:sz="8" w:color="CCEEFF"/>
            </w:tcBorders>
            <w:gridSpan w:val="2"/>
          </w:tcPr>
          <w:p>
            <w:pPr>
              <w:jc w:val="right"/>
              <w:ind w:right="79"/>
              <w:spacing w:after="0"/>
              <w:rPr>
                <w:sz w:val="20"/>
                <w:szCs w:val="20"/>
                <w:color w:val="auto"/>
              </w:rPr>
            </w:pPr>
            <w:r>
              <w:rPr>
                <w:rFonts w:ascii="Times New Roman" w:cs="Times New Roman" w:eastAsia="Times New Roman" w:hAnsi="Times New Roman"/>
                <w:sz w:val="16"/>
                <w:szCs w:val="16"/>
                <w:color w:val="auto"/>
              </w:rPr>
              <w:t>(25)</w:t>
            </w:r>
          </w:p>
        </w:tc>
        <w:tc>
          <w:tcPr>
            <w:tcW w:w="0" w:type="dxa"/>
            <w:vAlign w:val="bottom"/>
          </w:tcPr>
          <w:p>
            <w:pPr>
              <w:spacing w:after="0"/>
              <w:rPr>
                <w:sz w:val="1"/>
                <w:szCs w:val="1"/>
                <w:color w:val="auto"/>
              </w:rPr>
            </w:pPr>
          </w:p>
        </w:tc>
      </w:tr>
      <w:tr>
        <w:trPr>
          <w:trHeight w:val="237"/>
        </w:trPr>
        <w:tc>
          <w:tcPr>
            <w:tcW w:w="27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Total noninterest expense</w:t>
            </w: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150,868</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143,065</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7,803</w:t>
            </w:r>
          </w:p>
        </w:tc>
        <w:tc>
          <w:tcPr>
            <w:tcW w:w="1060" w:type="dxa"/>
            <w:vAlign w:val="bottom"/>
            <w:tcBorders>
              <w:bottom w:val="single" w:sz="8" w:color="CCEEFF"/>
            </w:tcBorders>
            <w:gridSpan w:val="2"/>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5</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439,886</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435,111</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4,775</w:t>
            </w:r>
          </w:p>
        </w:tc>
        <w:tc>
          <w:tcPr>
            <w:tcW w:w="1060" w:type="dxa"/>
            <w:vAlign w:val="bottom"/>
            <w:tcBorders>
              <w:bottom w:val="single" w:sz="8" w:color="CCEEFF"/>
            </w:tcBorders>
            <w:gridSpan w:val="2"/>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w:t>
            </w:r>
          </w:p>
        </w:tc>
        <w:tc>
          <w:tcPr>
            <w:tcW w:w="0" w:type="dxa"/>
            <w:vAlign w:val="bottom"/>
          </w:tcPr>
          <w:p>
            <w:pPr>
              <w:spacing w:after="0"/>
              <w:rPr>
                <w:sz w:val="1"/>
                <w:szCs w:val="1"/>
                <w:color w:val="auto"/>
              </w:rPr>
            </w:pPr>
          </w:p>
        </w:tc>
      </w:tr>
      <w:tr>
        <w:trPr>
          <w:trHeight w:val="20"/>
        </w:trPr>
        <w:tc>
          <w:tcPr>
            <w:tcW w:w="27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increase in salaries and employee benefits for the third quarter and first nine months of 2025 compared to the same periods of 2024 was mostly driven by annual merit increases that went into effect on April 1, 2025, higher performance-related incentive compensation and the addition of ANB employees on May 1, 2025.</w:t>
      </w:r>
    </w:p>
    <w:p>
      <w:pPr>
        <w:sectPr>
          <w:pgSz w:w="11900" w:h="16838" w:orient="portrait"/>
          <w:cols w:equalWidth="0" w:num="1">
            <w:col w:w="11240"/>
          </w:cols>
          <w:pgMar w:left="320" w:top="93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type w:val="continuous"/>
        </w:sectPr>
      </w:pPr>
    </w:p>
    <w:bookmarkStart w:id="43" w:name="page44"/>
    <w:bookmarkEnd w:id="43"/>
    <w:p>
      <w:pPr>
        <w:jc w:val="both"/>
        <w:spacing w:after="0" w:line="282" w:lineRule="auto"/>
        <w:rPr>
          <w:sz w:val="20"/>
          <w:szCs w:val="20"/>
          <w:color w:val="auto"/>
        </w:rPr>
      </w:pPr>
      <w:r>
        <w:rPr>
          <w:rFonts w:ascii="Times New Roman" w:cs="Times New Roman" w:eastAsia="Times New Roman" w:hAnsi="Times New Roman"/>
          <w:sz w:val="18"/>
          <w:szCs w:val="18"/>
          <w:color w:val="auto"/>
        </w:rPr>
        <w:t>Communications and equipment expense for the third quarter and first nine months of 2025 compared to the same periods of 2024 increased primarily due to new software contracts and incremental software contract costs on existing contracts, including volume based increases.</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FDIC assessments and other regulatory charges decreased for the first nine months of 2025 as the comparative period of 2024 included $1.74 million of FDIC special assessment accrued expense.</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decrease in amortization of intangibles was primarily driven by the natural decline in amortization expense of our core deposit intangibles over time.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decrease was partially offset by ANB core deposit intangible amortization expense starting in May 2025.</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increase in merger-related and other charges for the third quarter and first nine months of 2025 was primarily driven by ANB merger-related costs.</w:t>
      </w:r>
    </w:p>
    <w:p>
      <w:pPr>
        <w:spacing w:after="0" w:line="252"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Other noninterest expense for the nine months ended 2025 decreased compared to the same period of last year as 2024 included a goodwill write-down of $5.10 million related to the sale of FinTrust. In addition, for the three and nine months ended September 30, 2025, fraud losses declined compared to the same periods of 2024.</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 Expense</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income tax expense and the effective tax rate for the periods indicated.</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Table 7 - Income Tax Expense</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(dollars in thousands)</w:t>
      </w:r>
    </w:p>
    <w:p>
      <w:pPr>
        <w:spacing w:after="0" w:line="13"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5320" w:type="dxa"/>
            <w:vAlign w:val="bottom"/>
            <w:tcBorders>
              <w:top w:val="single" w:sz="8" w:color="auto"/>
            </w:tcBorders>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2680" w:type="dxa"/>
            <w:vAlign w:val="bottom"/>
            <w:tcBorders>
              <w:top w:val="single" w:sz="8" w:color="auto"/>
            </w:tcBorders>
            <w:gridSpan w:val="4"/>
          </w:tcPr>
          <w:p>
            <w:pPr>
              <w:jc w:val="center"/>
              <w:ind w:right="420"/>
              <w:spacing w:after="0" w:line="175" w:lineRule="exact"/>
              <w:rPr>
                <w:sz w:val="20"/>
                <w:szCs w:val="20"/>
                <w:color w:val="auto"/>
              </w:rPr>
            </w:pPr>
            <w:r>
              <w:rPr>
                <w:rFonts w:ascii="Times New Roman" w:cs="Times New Roman" w:eastAsia="Times New Roman" w:hAnsi="Times New Roman"/>
                <w:sz w:val="16"/>
                <w:szCs w:val="16"/>
                <w:b w:val="1"/>
                <w:bCs w:val="1"/>
                <w:color w:val="auto"/>
              </w:rPr>
              <w:t>Three Months Ended</w:t>
            </w:r>
          </w:p>
        </w:tc>
        <w:tc>
          <w:tcPr>
            <w:tcW w:w="320" w:type="dxa"/>
            <w:vAlign w:val="bottom"/>
            <w:tcBorders>
              <w:top w:val="single" w:sz="8" w:color="auto"/>
            </w:tcBorders>
          </w:tcPr>
          <w:p>
            <w:pPr>
              <w:spacing w:after="0"/>
              <w:rPr>
                <w:sz w:val="15"/>
                <w:szCs w:val="15"/>
                <w:color w:val="auto"/>
              </w:rPr>
            </w:pPr>
          </w:p>
        </w:tc>
        <w:tc>
          <w:tcPr>
            <w:tcW w:w="2600" w:type="dxa"/>
            <w:vAlign w:val="bottom"/>
            <w:tcBorders>
              <w:top w:val="single" w:sz="8" w:color="auto"/>
            </w:tcBorders>
            <w:gridSpan w:val="3"/>
          </w:tcPr>
          <w:p>
            <w:pPr>
              <w:jc w:val="center"/>
              <w:ind w:right="239"/>
              <w:spacing w:after="0" w:line="175" w:lineRule="exact"/>
              <w:rPr>
                <w:sz w:val="20"/>
                <w:szCs w:val="20"/>
                <w:color w:val="auto"/>
              </w:rPr>
            </w:pPr>
            <w:r>
              <w:rPr>
                <w:rFonts w:ascii="Times New Roman" w:cs="Times New Roman" w:eastAsia="Times New Roman" w:hAnsi="Times New Roman"/>
                <w:sz w:val="16"/>
                <w:szCs w:val="16"/>
                <w:b w:val="1"/>
                <w:bCs w:val="1"/>
                <w:color w:val="auto"/>
              </w:rPr>
              <w:t>Nine Months Ended</w:t>
            </w:r>
          </w:p>
        </w:tc>
      </w:tr>
      <w:tr>
        <w:trPr>
          <w:trHeight w:val="214"/>
        </w:trPr>
        <w:tc>
          <w:tcPr>
            <w:tcW w:w="53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gridSpan w:val="2"/>
          </w:tcPr>
          <w:p>
            <w:pPr>
              <w:jc w:val="center"/>
              <w:ind w:left="499"/>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9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gridSpan w:val="2"/>
          </w:tcPr>
          <w:p>
            <w:pPr>
              <w:jc w:val="center"/>
              <w:ind w:left="519"/>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920" w:type="dxa"/>
            <w:vAlign w:val="bottom"/>
            <w:tcBorders>
              <w:bottom w:val="single" w:sz="8" w:color="auto"/>
            </w:tcBorders>
          </w:tcPr>
          <w:p>
            <w:pPr>
              <w:spacing w:after="0"/>
              <w:rPr>
                <w:sz w:val="18"/>
                <w:szCs w:val="18"/>
                <w:color w:val="auto"/>
              </w:rPr>
            </w:pPr>
          </w:p>
        </w:tc>
      </w:tr>
      <w:tr>
        <w:trPr>
          <w:trHeight w:val="209"/>
        </w:trPr>
        <w:tc>
          <w:tcPr>
            <w:tcW w:w="532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519"/>
              <w:spacing w:after="0"/>
              <w:rPr>
                <w:sz w:val="20"/>
                <w:szCs w:val="20"/>
                <w:color w:val="auto"/>
              </w:rPr>
            </w:pPr>
            <w:r>
              <w:rPr>
                <w:rFonts w:ascii="Times New Roman" w:cs="Times New Roman" w:eastAsia="Times New Roman" w:hAnsi="Times New Roman"/>
                <w:sz w:val="16"/>
                <w:szCs w:val="16"/>
                <w:b w:val="1"/>
                <w:bCs w:val="1"/>
                <w:color w:val="auto"/>
              </w:rPr>
              <w:t>2025</w:t>
            </w:r>
          </w:p>
        </w:tc>
        <w:tc>
          <w:tcPr>
            <w:tcW w:w="5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45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519"/>
              <w:spacing w:after="0"/>
              <w:rPr>
                <w:sz w:val="20"/>
                <w:szCs w:val="20"/>
                <w:color w:val="auto"/>
              </w:rPr>
            </w:pPr>
            <w:r>
              <w:rPr>
                <w:rFonts w:ascii="Times New Roman" w:cs="Times New Roman" w:eastAsia="Times New Roman" w:hAnsi="Times New Roman"/>
                <w:sz w:val="16"/>
                <w:szCs w:val="16"/>
                <w:b w:val="1"/>
                <w:bCs w:val="1"/>
                <w:color w:val="auto"/>
              </w:rPr>
              <w:t>2025</w:t>
            </w:r>
          </w:p>
        </w:tc>
        <w:tc>
          <w:tcPr>
            <w:tcW w:w="5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459"/>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211"/>
        </w:trPr>
        <w:tc>
          <w:tcPr>
            <w:tcW w:w="5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before income taxes</w:t>
            </w:r>
          </w:p>
        </w:tc>
        <w:tc>
          <w:tcPr>
            <w:tcW w:w="3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rPr>
              <w:t>118,073</w:t>
            </w:r>
          </w:p>
        </w:tc>
        <w:tc>
          <w:tcPr>
            <w:tcW w:w="540" w:type="dxa"/>
            <w:vAlign w:val="bottom"/>
            <w:shd w:val="clear" w:color="auto" w:fill="CCEEFF"/>
          </w:tcPr>
          <w:p>
            <w:pPr>
              <w:jc w:val="right"/>
              <w:ind w:right="319"/>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59,784</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rPr>
              <w:t>309,734</w:t>
            </w:r>
          </w:p>
        </w:tc>
        <w:tc>
          <w:tcPr>
            <w:tcW w:w="540" w:type="dxa"/>
            <w:vAlign w:val="bottom"/>
            <w:shd w:val="clear" w:color="auto" w:fill="CCEEFF"/>
          </w:tcPr>
          <w:p>
            <w:pPr>
              <w:jc w:val="right"/>
              <w:ind w:right="299"/>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226,596</w:t>
            </w:r>
          </w:p>
        </w:tc>
      </w:tr>
      <w:tr>
        <w:trPr>
          <w:trHeight w:val="213"/>
        </w:trPr>
        <w:tc>
          <w:tcPr>
            <w:tcW w:w="53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Income tax expense</w:t>
            </w:r>
          </w:p>
        </w:tc>
        <w:tc>
          <w:tcPr>
            <w:tcW w:w="320" w:type="dxa"/>
            <w:vAlign w:val="bottom"/>
          </w:tcPr>
          <w:p>
            <w:pPr>
              <w:spacing w:after="0"/>
              <w:rPr>
                <w:sz w:val="18"/>
                <w:szCs w:val="18"/>
                <w:color w:val="auto"/>
              </w:rPr>
            </w:pPr>
          </w:p>
        </w:tc>
        <w:tc>
          <w:tcPr>
            <w:tcW w:w="114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rPr>
              <w:t>26,579</w:t>
            </w:r>
          </w:p>
        </w:tc>
        <w:tc>
          <w:tcPr>
            <w:tcW w:w="540" w:type="dxa"/>
            <w:vAlign w:val="bottom"/>
          </w:tcPr>
          <w:p>
            <w:pPr>
              <w:spacing w:after="0"/>
              <w:rPr>
                <w:sz w:val="18"/>
                <w:szCs w:val="18"/>
                <w:color w:val="auto"/>
              </w:rPr>
            </w:pPr>
          </w:p>
        </w:tc>
        <w:tc>
          <w:tcPr>
            <w:tcW w:w="9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12,437</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rPr>
              <w:t>68,094</w:t>
            </w:r>
          </w:p>
        </w:tc>
        <w:tc>
          <w:tcPr>
            <w:tcW w:w="540" w:type="dxa"/>
            <w:vAlign w:val="bottom"/>
          </w:tcPr>
          <w:p>
            <w:pPr>
              <w:spacing w:after="0"/>
              <w:rPr>
                <w:sz w:val="18"/>
                <w:szCs w:val="18"/>
                <w:color w:val="auto"/>
              </w:rPr>
            </w:pPr>
          </w:p>
        </w:tc>
        <w:tc>
          <w:tcPr>
            <w:tcW w:w="92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50,003</w:t>
            </w:r>
          </w:p>
        </w:tc>
      </w:tr>
      <w:tr>
        <w:trPr>
          <w:trHeight w:val="219"/>
        </w:trPr>
        <w:tc>
          <w:tcPr>
            <w:tcW w:w="5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Effective tax rate</w:t>
            </w: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22.5 %</w:t>
            </w:r>
          </w:p>
        </w:tc>
        <w:tc>
          <w:tcPr>
            <w:tcW w:w="5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20.8 %</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22.0 %</w:t>
            </w:r>
          </w:p>
        </w:tc>
        <w:tc>
          <w:tcPr>
            <w:tcW w:w="5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22.1 %</w:t>
            </w:r>
          </w:p>
        </w:tc>
      </w:tr>
    </w:tbl>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Balance Sheet Review</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Total assets at September 30, 2025 and December 31, 2024 were $28.1 billion and $27.7 billion, respectively. Total liabilities at September 30, 2025 and December 31, 2024 were $24.5 billion and $24.3 billion, respectively. Shareholders’ equity totaled $3.60 billion and $3.43 billion at September 30, 2025 and December 31, 2024, respectively.</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b w:val="1"/>
          <w:bCs w:val="1"/>
          <w:i w:val="1"/>
          <w:iCs w:val="1"/>
          <w:color w:val="auto"/>
        </w:rPr>
        <w:t>Loans</w:t>
      </w:r>
    </w:p>
    <w:p>
      <w:pPr>
        <w:spacing w:after="0" w:line="25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Our loan portfolio is our largest category of interest-earning assets. The following table presents the loan portfolio and the allocation of the ACL by loan type for the periods indicated.</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Table 8 - Loan Portfolio Composition and ACL Allocation</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(dollars in thousands)</w:t>
      </w:r>
    </w:p>
    <w:p>
      <w:pPr>
        <w:spacing w:after="0" w:line="111" w:lineRule="exact"/>
        <w:rPr>
          <w:sz w:val="20"/>
          <w:szCs w:val="20"/>
          <w:color w:val="auto"/>
        </w:rPr>
      </w:pPr>
    </w:p>
    <w:tbl>
      <w:tblPr>
        <w:tblLayout w:type="fixed"/>
        <w:tblInd w:w="160" w:type="dxa"/>
        <w:tblCellMar>
          <w:top w:w="0" w:type="dxa"/>
          <w:left w:w="0" w:type="dxa"/>
          <w:bottom w:w="0" w:type="dxa"/>
          <w:right w:w="0" w:type="dxa"/>
        </w:tblCellMar>
      </w:tblPr>
      <w:tr>
        <w:trPr>
          <w:trHeight w:val="228"/>
        </w:trPr>
        <w:tc>
          <w:tcPr>
            <w:tcW w:w="194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2100" w:type="dxa"/>
            <w:vAlign w:val="bottom"/>
            <w:tcBorders>
              <w:top w:val="single" w:sz="8" w:color="auto"/>
              <w:bottom w:val="single" w:sz="8" w:color="auto"/>
            </w:tcBorders>
            <w:gridSpan w:val="4"/>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rPr>
              <w:t>September 30, 2025</w:t>
            </w:r>
          </w:p>
        </w:tc>
        <w:tc>
          <w:tcPr>
            <w:tcW w:w="12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2220" w:type="dxa"/>
            <w:vAlign w:val="bottom"/>
            <w:tcBorders>
              <w:top w:val="single" w:sz="8" w:color="auto"/>
              <w:bottom w:val="single" w:sz="8" w:color="auto"/>
            </w:tcBorders>
            <w:gridSpan w:val="4"/>
          </w:tcPr>
          <w:p>
            <w:pPr>
              <w:jc w:val="right"/>
              <w:ind w:right="519"/>
              <w:spacing w:after="0"/>
              <w:rPr>
                <w:sz w:val="20"/>
                <w:szCs w:val="20"/>
                <w:color w:val="auto"/>
              </w:rPr>
            </w:pPr>
            <w:r>
              <w:rPr>
                <w:rFonts w:ascii="Times New Roman" w:cs="Times New Roman" w:eastAsia="Times New Roman" w:hAnsi="Times New Roman"/>
                <w:sz w:val="16"/>
                <w:szCs w:val="16"/>
                <w:b w:val="1"/>
                <w:bCs w:val="1"/>
                <w:color w:val="auto"/>
              </w:rPr>
              <w:t>December 31, 2024</w:t>
            </w:r>
          </w:p>
        </w:tc>
        <w:tc>
          <w:tcPr>
            <w:tcW w:w="10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57"/>
        </w:trPr>
        <w:tc>
          <w:tcPr>
            <w:tcW w:w="19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40" w:type="dxa"/>
            <w:vAlign w:val="bottom"/>
            <w:vMerge w:val="restart"/>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Loans</w:t>
            </w:r>
          </w:p>
        </w:tc>
        <w:tc>
          <w:tcPr>
            <w:tcW w:w="100" w:type="dxa"/>
            <w:vAlign w:val="bottom"/>
          </w:tcPr>
          <w:p>
            <w:pPr>
              <w:spacing w:after="0"/>
              <w:rPr>
                <w:sz w:val="13"/>
                <w:szCs w:val="13"/>
                <w:color w:val="auto"/>
              </w:rPr>
            </w:pPr>
          </w:p>
        </w:tc>
        <w:tc>
          <w:tcPr>
            <w:tcW w:w="1340" w:type="dxa"/>
            <w:vAlign w:val="bottom"/>
            <w:gridSpan w:val="3"/>
          </w:tcPr>
          <w:p>
            <w:pPr>
              <w:jc w:val="right"/>
              <w:ind w:right="599"/>
              <w:spacing w:after="0" w:line="158" w:lineRule="exact"/>
              <w:rPr>
                <w:sz w:val="20"/>
                <w:szCs w:val="20"/>
                <w:color w:val="auto"/>
              </w:rPr>
            </w:pPr>
            <w:r>
              <w:rPr>
                <w:rFonts w:ascii="Times New Roman" w:cs="Times New Roman" w:eastAsia="Times New Roman" w:hAnsi="Times New Roman"/>
                <w:sz w:val="16"/>
                <w:szCs w:val="16"/>
                <w:b w:val="1"/>
                <w:bCs w:val="1"/>
                <w:color w:val="auto"/>
              </w:rPr>
              <w:t>% of</w:t>
            </w:r>
          </w:p>
        </w:tc>
        <w:tc>
          <w:tcPr>
            <w:tcW w:w="760" w:type="dxa"/>
            <w:vAlign w:val="bottom"/>
            <w:vMerge w:val="restart"/>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rPr>
              <w:t>ACL</w:t>
            </w:r>
          </w:p>
        </w:tc>
        <w:tc>
          <w:tcPr>
            <w:tcW w:w="120" w:type="dxa"/>
            <w:vAlign w:val="bottom"/>
          </w:tcPr>
          <w:p>
            <w:pPr>
              <w:spacing w:after="0"/>
              <w:rPr>
                <w:sz w:val="13"/>
                <w:szCs w:val="13"/>
                <w:color w:val="auto"/>
              </w:rPr>
            </w:pPr>
          </w:p>
        </w:tc>
        <w:tc>
          <w:tcPr>
            <w:tcW w:w="860" w:type="dxa"/>
            <w:vAlign w:val="bottom"/>
          </w:tcPr>
          <w:p>
            <w:pPr>
              <w:jc w:val="center"/>
              <w:spacing w:after="0" w:line="158" w:lineRule="exact"/>
              <w:rPr>
                <w:sz w:val="20"/>
                <w:szCs w:val="20"/>
                <w:color w:val="auto"/>
              </w:rPr>
            </w:pPr>
            <w:r>
              <w:rPr>
                <w:rFonts w:ascii="Times New Roman" w:cs="Times New Roman" w:eastAsia="Times New Roman" w:hAnsi="Times New Roman"/>
                <w:sz w:val="16"/>
                <w:szCs w:val="16"/>
                <w:b w:val="1"/>
                <w:bCs w:val="1"/>
                <w:color w:val="auto"/>
                <w:w w:val="97"/>
              </w:rPr>
              <w:t>ACL to</w:t>
            </w: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40" w:type="dxa"/>
            <w:vAlign w:val="bottom"/>
            <w:vMerge w:val="restart"/>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Loans</w:t>
            </w:r>
          </w:p>
        </w:tc>
        <w:tc>
          <w:tcPr>
            <w:tcW w:w="120" w:type="dxa"/>
            <w:vAlign w:val="bottom"/>
          </w:tcPr>
          <w:p>
            <w:pPr>
              <w:spacing w:after="0"/>
              <w:rPr>
                <w:sz w:val="13"/>
                <w:szCs w:val="13"/>
                <w:color w:val="auto"/>
              </w:rPr>
            </w:pPr>
          </w:p>
        </w:tc>
        <w:tc>
          <w:tcPr>
            <w:tcW w:w="1360" w:type="dxa"/>
            <w:vAlign w:val="bottom"/>
            <w:gridSpan w:val="3"/>
            <w:vMerge w:val="restart"/>
          </w:tcPr>
          <w:p>
            <w:pPr>
              <w:jc w:val="right"/>
              <w:ind w:right="279"/>
              <w:spacing w:after="0"/>
              <w:rPr>
                <w:sz w:val="20"/>
                <w:szCs w:val="20"/>
                <w:color w:val="auto"/>
              </w:rPr>
            </w:pPr>
            <w:r>
              <w:rPr>
                <w:rFonts w:ascii="Times New Roman" w:cs="Times New Roman" w:eastAsia="Times New Roman" w:hAnsi="Times New Roman"/>
                <w:sz w:val="16"/>
                <w:szCs w:val="16"/>
                <w:b w:val="1"/>
                <w:bCs w:val="1"/>
                <w:color w:val="auto"/>
              </w:rPr>
              <w:t>% of portfolio</w:t>
            </w:r>
          </w:p>
        </w:tc>
        <w:tc>
          <w:tcPr>
            <w:tcW w:w="860" w:type="dxa"/>
            <w:vAlign w:val="bottom"/>
            <w:vMerge w:val="restart"/>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ACL</w:t>
            </w:r>
          </w:p>
        </w:tc>
        <w:tc>
          <w:tcPr>
            <w:tcW w:w="100" w:type="dxa"/>
            <w:vAlign w:val="bottom"/>
          </w:tcPr>
          <w:p>
            <w:pPr>
              <w:spacing w:after="0"/>
              <w:rPr>
                <w:sz w:val="13"/>
                <w:szCs w:val="13"/>
                <w:color w:val="auto"/>
              </w:rPr>
            </w:pPr>
          </w:p>
        </w:tc>
        <w:tc>
          <w:tcPr>
            <w:tcW w:w="920" w:type="dxa"/>
            <w:vAlign w:val="bottom"/>
          </w:tcPr>
          <w:p>
            <w:pPr>
              <w:jc w:val="right"/>
              <w:ind w:right="119"/>
              <w:spacing w:after="0" w:line="158" w:lineRule="exact"/>
              <w:rPr>
                <w:sz w:val="20"/>
                <w:szCs w:val="20"/>
                <w:color w:val="auto"/>
              </w:rPr>
            </w:pPr>
            <w:r>
              <w:rPr>
                <w:rFonts w:ascii="Times New Roman" w:cs="Times New Roman" w:eastAsia="Times New Roman" w:hAnsi="Times New Roman"/>
                <w:sz w:val="16"/>
                <w:szCs w:val="16"/>
                <w:b w:val="1"/>
                <w:bCs w:val="1"/>
                <w:color w:val="auto"/>
              </w:rPr>
              <w:t>ACL to</w:t>
            </w:r>
          </w:p>
        </w:tc>
        <w:tc>
          <w:tcPr>
            <w:tcW w:w="0" w:type="dxa"/>
            <w:vAlign w:val="bottom"/>
          </w:tcPr>
          <w:p>
            <w:pPr>
              <w:spacing w:after="0"/>
              <w:rPr>
                <w:sz w:val="1"/>
                <w:szCs w:val="1"/>
                <w:color w:val="auto"/>
              </w:rPr>
            </w:pPr>
          </w:p>
        </w:tc>
      </w:tr>
      <w:tr>
        <w:trPr>
          <w:trHeight w:val="214"/>
        </w:trPr>
        <w:tc>
          <w:tcPr>
            <w:tcW w:w="1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3"/>
          </w:tcPr>
          <w:p>
            <w:pPr>
              <w:jc w:val="right"/>
              <w:ind w:right="459"/>
              <w:spacing w:after="0"/>
              <w:rPr>
                <w:sz w:val="20"/>
                <w:szCs w:val="20"/>
                <w:color w:val="auto"/>
              </w:rPr>
            </w:pPr>
            <w:r>
              <w:rPr>
                <w:rFonts w:ascii="Times New Roman" w:cs="Times New Roman" w:eastAsia="Times New Roman" w:hAnsi="Times New Roman"/>
                <w:sz w:val="16"/>
                <w:szCs w:val="16"/>
                <w:b w:val="1"/>
                <w:bCs w:val="1"/>
                <w:color w:val="auto"/>
              </w:rPr>
              <w:t>portfolio</w:t>
            </w:r>
          </w:p>
        </w:tc>
        <w:tc>
          <w:tcPr>
            <w:tcW w:w="76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Loans</w:t>
            </w:r>
          </w:p>
        </w:tc>
        <w:tc>
          <w:tcPr>
            <w:tcW w:w="240" w:type="dxa"/>
            <w:vAlign w:val="bottom"/>
          </w:tcPr>
          <w:p>
            <w:pPr>
              <w:spacing w:after="0"/>
              <w:rPr>
                <w:sz w:val="18"/>
                <w:szCs w:val="18"/>
                <w:color w:val="auto"/>
              </w:rPr>
            </w:pPr>
          </w:p>
        </w:tc>
        <w:tc>
          <w:tcPr>
            <w:tcW w:w="94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gridSpan w:val="3"/>
            <w:vMerge w:val="continue"/>
          </w:tcPr>
          <w:p>
            <w:pPr>
              <w:spacing w:after="0"/>
              <w:rPr>
                <w:sz w:val="18"/>
                <w:szCs w:val="18"/>
                <w:color w:val="auto"/>
              </w:rPr>
            </w:pPr>
          </w:p>
        </w:tc>
        <w:tc>
          <w:tcPr>
            <w:tcW w:w="8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Loans</w:t>
            </w:r>
          </w:p>
        </w:tc>
        <w:tc>
          <w:tcPr>
            <w:tcW w:w="0" w:type="dxa"/>
            <w:vAlign w:val="bottom"/>
          </w:tcPr>
          <w:p>
            <w:pPr>
              <w:spacing w:after="0"/>
              <w:rPr>
                <w:sz w:val="1"/>
                <w:szCs w:val="1"/>
                <w:color w:val="auto"/>
              </w:rPr>
            </w:pPr>
          </w:p>
        </w:tc>
      </w:tr>
      <w:tr>
        <w:trPr>
          <w:trHeight w:val="211"/>
        </w:trPr>
        <w:tc>
          <w:tcPr>
            <w:tcW w:w="19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Owner occupied CRE</w:t>
            </w:r>
          </w:p>
        </w:tc>
        <w:tc>
          <w:tcPr>
            <w:tcW w:w="240" w:type="dxa"/>
            <w:vAlign w:val="bottom"/>
            <w:tcBorders>
              <w:top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3,678,286</w:t>
            </w:r>
          </w:p>
        </w:tc>
        <w:tc>
          <w:tcPr>
            <w:tcW w:w="10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19 %</w:t>
            </w:r>
          </w:p>
        </w:tc>
        <w:tc>
          <w:tcPr>
            <w:tcW w:w="1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20,659</w:t>
            </w:r>
          </w:p>
        </w:tc>
        <w:tc>
          <w:tcPr>
            <w:tcW w:w="12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0.56 %</w:t>
            </w: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3,398,217</w:t>
            </w:r>
          </w:p>
        </w:tc>
        <w:tc>
          <w:tcPr>
            <w:tcW w:w="12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19 %</w:t>
            </w: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19,873</w:t>
            </w:r>
          </w:p>
        </w:tc>
        <w:tc>
          <w:tcPr>
            <w:tcW w:w="10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0.58 %</w:t>
            </w:r>
          </w:p>
        </w:tc>
        <w:tc>
          <w:tcPr>
            <w:tcW w:w="0" w:type="dxa"/>
            <w:vAlign w:val="bottom"/>
          </w:tcPr>
          <w:p>
            <w:pPr>
              <w:spacing w:after="0"/>
              <w:rPr>
                <w:sz w:val="1"/>
                <w:szCs w:val="1"/>
                <w:color w:val="auto"/>
              </w:rPr>
            </w:pPr>
          </w:p>
        </w:tc>
      </w:tr>
      <w:tr>
        <w:trPr>
          <w:trHeight w:val="213"/>
        </w:trPr>
        <w:tc>
          <w:tcPr>
            <w:tcW w:w="19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Income producing CRE</w:t>
            </w:r>
          </w:p>
        </w:tc>
        <w:tc>
          <w:tcPr>
            <w:tcW w:w="2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4,534,407</w:t>
            </w:r>
          </w:p>
        </w:tc>
        <w:tc>
          <w:tcPr>
            <w:tcW w:w="1080" w:type="dxa"/>
            <w:vAlign w:val="bottom"/>
            <w:gridSpan w:val="2"/>
          </w:tcPr>
          <w:p>
            <w:pPr>
              <w:jc w:val="right"/>
              <w:ind w:right="119"/>
              <w:spacing w:after="0"/>
              <w:rPr>
                <w:sz w:val="20"/>
                <w:szCs w:val="20"/>
                <w:color w:val="auto"/>
              </w:rPr>
            </w:pPr>
            <w:r>
              <w:rPr>
                <w:rFonts w:ascii="Times New Roman" w:cs="Times New Roman" w:eastAsia="Times New Roman" w:hAnsi="Times New Roman"/>
                <w:sz w:val="16"/>
                <w:szCs w:val="16"/>
                <w:color w:val="auto"/>
              </w:rPr>
              <w:t>24</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46,211</w:t>
            </w:r>
          </w:p>
        </w:tc>
        <w:tc>
          <w:tcPr>
            <w:tcW w:w="980" w:type="dxa"/>
            <w:vAlign w:val="bottom"/>
            <w:gridSpan w:val="2"/>
          </w:tcPr>
          <w:p>
            <w:pPr>
              <w:jc w:val="right"/>
              <w:ind w:right="119"/>
              <w:spacing w:after="0"/>
              <w:rPr>
                <w:sz w:val="20"/>
                <w:szCs w:val="20"/>
                <w:color w:val="auto"/>
              </w:rPr>
            </w:pPr>
            <w:r>
              <w:rPr>
                <w:rFonts w:ascii="Times New Roman" w:cs="Times New Roman" w:eastAsia="Times New Roman" w:hAnsi="Times New Roman"/>
                <w:sz w:val="16"/>
                <w:szCs w:val="16"/>
                <w:color w:val="auto"/>
              </w:rPr>
              <w:t>1.02</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4,360,920</w:t>
            </w:r>
          </w:p>
        </w:tc>
        <w:tc>
          <w:tcPr>
            <w:tcW w:w="1140" w:type="dxa"/>
            <w:vAlign w:val="bottom"/>
            <w:gridSpan w:val="2"/>
          </w:tcPr>
          <w:p>
            <w:pPr>
              <w:jc w:val="right"/>
              <w:ind w:right="119"/>
              <w:spacing w:after="0"/>
              <w:rPr>
                <w:sz w:val="20"/>
                <w:szCs w:val="20"/>
                <w:color w:val="auto"/>
              </w:rPr>
            </w:pPr>
            <w:r>
              <w:rPr>
                <w:rFonts w:ascii="Times New Roman" w:cs="Times New Roman" w:eastAsia="Times New Roman" w:hAnsi="Times New Roman"/>
                <w:sz w:val="16"/>
                <w:szCs w:val="16"/>
                <w:color w:val="auto"/>
              </w:rPr>
              <w:t>24</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41,427</w:t>
            </w:r>
          </w:p>
        </w:tc>
        <w:tc>
          <w:tcPr>
            <w:tcW w:w="1020" w:type="dxa"/>
            <w:vAlign w:val="bottom"/>
            <w:gridSpan w:val="2"/>
          </w:tcPr>
          <w:p>
            <w:pPr>
              <w:jc w:val="right"/>
              <w:ind w:right="139"/>
              <w:spacing w:after="0"/>
              <w:rPr>
                <w:sz w:val="20"/>
                <w:szCs w:val="20"/>
                <w:color w:val="auto"/>
              </w:rPr>
            </w:pPr>
            <w:r>
              <w:rPr>
                <w:rFonts w:ascii="Times New Roman" w:cs="Times New Roman" w:eastAsia="Times New Roman" w:hAnsi="Times New Roman"/>
                <w:sz w:val="16"/>
                <w:szCs w:val="16"/>
                <w:color w:val="auto"/>
              </w:rPr>
              <w:t>0.95</w:t>
            </w:r>
          </w:p>
        </w:tc>
        <w:tc>
          <w:tcPr>
            <w:tcW w:w="0" w:type="dxa"/>
            <w:vAlign w:val="bottom"/>
          </w:tcPr>
          <w:p>
            <w:pPr>
              <w:spacing w:after="0"/>
              <w:rPr>
                <w:sz w:val="1"/>
                <w:szCs w:val="1"/>
                <w:color w:val="auto"/>
              </w:rPr>
            </w:pPr>
          </w:p>
        </w:tc>
      </w:tr>
      <w:tr>
        <w:trPr>
          <w:trHeight w:val="219"/>
        </w:trPr>
        <w:tc>
          <w:tcPr>
            <w:tcW w:w="1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Commercial &amp; industrial</w:t>
            </w: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2,592,971</w:t>
            </w:r>
          </w:p>
        </w:tc>
        <w:tc>
          <w:tcPr>
            <w:tcW w:w="1080" w:type="dxa"/>
            <w:vAlign w:val="bottom"/>
            <w:gridSpan w:val="2"/>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14</w:t>
            </w:r>
          </w:p>
        </w:tc>
        <w:tc>
          <w:tcPr>
            <w:tcW w:w="1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44,481</w:t>
            </w:r>
          </w:p>
        </w:tc>
        <w:tc>
          <w:tcPr>
            <w:tcW w:w="980" w:type="dxa"/>
            <w:vAlign w:val="bottom"/>
            <w:gridSpan w:val="2"/>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1.72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2,428,376</w:t>
            </w:r>
          </w:p>
        </w:tc>
        <w:tc>
          <w:tcPr>
            <w:tcW w:w="1140" w:type="dxa"/>
            <w:vAlign w:val="bottom"/>
            <w:gridSpan w:val="2"/>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35,441</w:t>
            </w:r>
          </w:p>
        </w:tc>
        <w:tc>
          <w:tcPr>
            <w:tcW w:w="1020" w:type="dxa"/>
            <w:vAlign w:val="bottom"/>
            <w:gridSpan w:val="2"/>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1.46</w:t>
            </w:r>
          </w:p>
        </w:tc>
        <w:tc>
          <w:tcPr>
            <w:tcW w:w="0" w:type="dxa"/>
            <w:vAlign w:val="bottom"/>
          </w:tcPr>
          <w:p>
            <w:pPr>
              <w:spacing w:after="0"/>
              <w:rPr>
                <w:sz w:val="1"/>
                <w:szCs w:val="1"/>
                <w:color w:val="auto"/>
              </w:rPr>
            </w:pPr>
          </w:p>
        </w:tc>
      </w:tr>
      <w:tr>
        <w:trPr>
          <w:trHeight w:val="213"/>
        </w:trPr>
        <w:tc>
          <w:tcPr>
            <w:tcW w:w="19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Commercial construction</w:t>
            </w:r>
          </w:p>
        </w:tc>
        <w:tc>
          <w:tcPr>
            <w:tcW w:w="2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1,733,473</w:t>
            </w:r>
          </w:p>
        </w:tc>
        <w:tc>
          <w:tcPr>
            <w:tcW w:w="1080" w:type="dxa"/>
            <w:vAlign w:val="bottom"/>
            <w:gridSpan w:val="2"/>
          </w:tcPr>
          <w:p>
            <w:pPr>
              <w:jc w:val="right"/>
              <w:ind w:right="119"/>
              <w:spacing w:after="0"/>
              <w:rPr>
                <w:sz w:val="20"/>
                <w:szCs w:val="20"/>
                <w:color w:val="auto"/>
              </w:rPr>
            </w:pPr>
            <w:r>
              <w:rPr>
                <w:rFonts w:ascii="Times New Roman" w:cs="Times New Roman" w:eastAsia="Times New Roman" w:hAnsi="Times New Roman"/>
                <w:sz w:val="16"/>
                <w:szCs w:val="16"/>
                <w:color w:val="auto"/>
              </w:rPr>
              <w:t>9</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13,841</w:t>
            </w:r>
          </w:p>
        </w:tc>
        <w:tc>
          <w:tcPr>
            <w:tcW w:w="980" w:type="dxa"/>
            <w:vAlign w:val="bottom"/>
            <w:gridSpan w:val="2"/>
          </w:tcPr>
          <w:p>
            <w:pPr>
              <w:jc w:val="right"/>
              <w:ind w:right="119"/>
              <w:spacing w:after="0"/>
              <w:rPr>
                <w:sz w:val="20"/>
                <w:szCs w:val="20"/>
                <w:color w:val="auto"/>
              </w:rPr>
            </w:pPr>
            <w:r>
              <w:rPr>
                <w:rFonts w:ascii="Times New Roman" w:cs="Times New Roman" w:eastAsia="Times New Roman" w:hAnsi="Times New Roman"/>
                <w:sz w:val="16"/>
                <w:szCs w:val="16"/>
                <w:color w:val="auto"/>
              </w:rPr>
              <w:t>0.80</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1,655,710</w:t>
            </w:r>
          </w:p>
        </w:tc>
        <w:tc>
          <w:tcPr>
            <w:tcW w:w="1140" w:type="dxa"/>
            <w:vAlign w:val="bottom"/>
            <w:gridSpan w:val="2"/>
          </w:tcPr>
          <w:p>
            <w:pPr>
              <w:jc w:val="right"/>
              <w:ind w:right="119"/>
              <w:spacing w:after="0"/>
              <w:rPr>
                <w:sz w:val="20"/>
                <w:szCs w:val="20"/>
                <w:color w:val="auto"/>
              </w:rPr>
            </w:pPr>
            <w:r>
              <w:rPr>
                <w:rFonts w:ascii="Times New Roman" w:cs="Times New Roman" w:eastAsia="Times New Roman" w:hAnsi="Times New Roman"/>
                <w:sz w:val="16"/>
                <w:szCs w:val="16"/>
                <w:color w:val="auto"/>
              </w:rPr>
              <w:t>9</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16,370</w:t>
            </w:r>
          </w:p>
        </w:tc>
        <w:tc>
          <w:tcPr>
            <w:tcW w:w="1020" w:type="dxa"/>
            <w:vAlign w:val="bottom"/>
            <w:gridSpan w:val="2"/>
          </w:tcPr>
          <w:p>
            <w:pPr>
              <w:jc w:val="right"/>
              <w:ind w:right="139"/>
              <w:spacing w:after="0"/>
              <w:rPr>
                <w:sz w:val="20"/>
                <w:szCs w:val="20"/>
                <w:color w:val="auto"/>
              </w:rPr>
            </w:pPr>
            <w:r>
              <w:rPr>
                <w:rFonts w:ascii="Times New Roman" w:cs="Times New Roman" w:eastAsia="Times New Roman" w:hAnsi="Times New Roman"/>
                <w:sz w:val="16"/>
                <w:szCs w:val="16"/>
                <w:color w:val="auto"/>
              </w:rPr>
              <w:t>0.99</w:t>
            </w:r>
          </w:p>
        </w:tc>
        <w:tc>
          <w:tcPr>
            <w:tcW w:w="0" w:type="dxa"/>
            <w:vAlign w:val="bottom"/>
          </w:tcPr>
          <w:p>
            <w:pPr>
              <w:spacing w:after="0"/>
              <w:rPr>
                <w:sz w:val="1"/>
                <w:szCs w:val="1"/>
                <w:color w:val="auto"/>
              </w:rPr>
            </w:pPr>
          </w:p>
        </w:tc>
      </w:tr>
      <w:tr>
        <w:trPr>
          <w:trHeight w:val="219"/>
        </w:trPr>
        <w:tc>
          <w:tcPr>
            <w:tcW w:w="1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Equipment financing</w:t>
            </w:r>
          </w:p>
        </w:tc>
        <w:tc>
          <w:tcPr>
            <w:tcW w:w="24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1,807,907</w:t>
            </w:r>
          </w:p>
        </w:tc>
        <w:tc>
          <w:tcPr>
            <w:tcW w:w="1080" w:type="dxa"/>
            <w:vAlign w:val="bottom"/>
            <w:gridSpan w:val="2"/>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9</w:t>
            </w:r>
          </w:p>
        </w:tc>
        <w:tc>
          <w:tcPr>
            <w:tcW w:w="14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45,104</w:t>
            </w:r>
          </w:p>
        </w:tc>
        <w:tc>
          <w:tcPr>
            <w:tcW w:w="980" w:type="dxa"/>
            <w:vAlign w:val="bottom"/>
            <w:gridSpan w:val="2"/>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2.49</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1,662,501</w:t>
            </w:r>
          </w:p>
        </w:tc>
        <w:tc>
          <w:tcPr>
            <w:tcW w:w="1140" w:type="dxa"/>
            <w:vAlign w:val="bottom"/>
            <w:gridSpan w:val="2"/>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9</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47,415</w:t>
            </w:r>
          </w:p>
        </w:tc>
        <w:tc>
          <w:tcPr>
            <w:tcW w:w="1020" w:type="dxa"/>
            <w:vAlign w:val="bottom"/>
            <w:gridSpan w:val="2"/>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2.85</w:t>
            </w:r>
          </w:p>
        </w:tc>
        <w:tc>
          <w:tcPr>
            <w:tcW w:w="0" w:type="dxa"/>
            <w:vAlign w:val="bottom"/>
          </w:tcPr>
          <w:p>
            <w:pPr>
              <w:spacing w:after="0"/>
              <w:rPr>
                <w:sz w:val="1"/>
                <w:szCs w:val="1"/>
                <w:color w:val="auto"/>
              </w:rPr>
            </w:pPr>
          </w:p>
        </w:tc>
      </w:tr>
      <w:tr>
        <w:trPr>
          <w:trHeight w:val="207"/>
        </w:trPr>
        <w:tc>
          <w:tcPr>
            <w:tcW w:w="19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Total commercial</w:t>
            </w:r>
          </w:p>
        </w:tc>
        <w:tc>
          <w:tcPr>
            <w:tcW w:w="24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14,347,044</w:t>
            </w:r>
          </w:p>
        </w:tc>
        <w:tc>
          <w:tcPr>
            <w:tcW w:w="1080" w:type="dxa"/>
            <w:vAlign w:val="bottom"/>
            <w:gridSpan w:val="2"/>
          </w:tcPr>
          <w:p>
            <w:pPr>
              <w:jc w:val="right"/>
              <w:ind w:right="119"/>
              <w:spacing w:after="0"/>
              <w:rPr>
                <w:sz w:val="20"/>
                <w:szCs w:val="20"/>
                <w:color w:val="auto"/>
              </w:rPr>
            </w:pPr>
            <w:r>
              <w:rPr>
                <w:rFonts w:ascii="Times New Roman" w:cs="Times New Roman" w:eastAsia="Times New Roman" w:hAnsi="Times New Roman"/>
                <w:sz w:val="16"/>
                <w:szCs w:val="16"/>
                <w:color w:val="auto"/>
              </w:rPr>
              <w:t>75</w:t>
            </w: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170,296</w:t>
            </w:r>
          </w:p>
        </w:tc>
        <w:tc>
          <w:tcPr>
            <w:tcW w:w="980" w:type="dxa"/>
            <w:vAlign w:val="bottom"/>
            <w:gridSpan w:val="2"/>
          </w:tcPr>
          <w:p>
            <w:pPr>
              <w:jc w:val="right"/>
              <w:ind w:right="119"/>
              <w:spacing w:after="0"/>
              <w:rPr>
                <w:sz w:val="20"/>
                <w:szCs w:val="20"/>
                <w:color w:val="auto"/>
              </w:rPr>
            </w:pPr>
            <w:r>
              <w:rPr>
                <w:rFonts w:ascii="Times New Roman" w:cs="Times New Roman" w:eastAsia="Times New Roman" w:hAnsi="Times New Roman"/>
                <w:sz w:val="16"/>
                <w:szCs w:val="16"/>
                <w:color w:val="auto"/>
              </w:rPr>
              <w:t>1.19</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13,505,724</w:t>
            </w:r>
          </w:p>
        </w:tc>
        <w:tc>
          <w:tcPr>
            <w:tcW w:w="1140" w:type="dxa"/>
            <w:vAlign w:val="bottom"/>
            <w:gridSpan w:val="2"/>
          </w:tcPr>
          <w:p>
            <w:pPr>
              <w:jc w:val="right"/>
              <w:ind w:right="119"/>
              <w:spacing w:after="0"/>
              <w:rPr>
                <w:sz w:val="20"/>
                <w:szCs w:val="20"/>
                <w:color w:val="auto"/>
              </w:rPr>
            </w:pPr>
            <w:r>
              <w:rPr>
                <w:rFonts w:ascii="Times New Roman" w:cs="Times New Roman" w:eastAsia="Times New Roman" w:hAnsi="Times New Roman"/>
                <w:sz w:val="16"/>
                <w:szCs w:val="16"/>
                <w:color w:val="auto"/>
              </w:rPr>
              <w:t>74</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160,526</w:t>
            </w:r>
          </w:p>
        </w:tc>
        <w:tc>
          <w:tcPr>
            <w:tcW w:w="1020" w:type="dxa"/>
            <w:vAlign w:val="bottom"/>
            <w:gridSpan w:val="2"/>
          </w:tcPr>
          <w:p>
            <w:pPr>
              <w:jc w:val="right"/>
              <w:ind w:right="139"/>
              <w:spacing w:after="0"/>
              <w:rPr>
                <w:sz w:val="20"/>
                <w:szCs w:val="20"/>
                <w:color w:val="auto"/>
              </w:rPr>
            </w:pPr>
            <w:r>
              <w:rPr>
                <w:rFonts w:ascii="Times New Roman" w:cs="Times New Roman" w:eastAsia="Times New Roman" w:hAnsi="Times New Roman"/>
                <w:sz w:val="16"/>
                <w:szCs w:val="16"/>
                <w:color w:val="auto"/>
              </w:rPr>
              <w:t>1.19</w:t>
            </w:r>
          </w:p>
        </w:tc>
        <w:tc>
          <w:tcPr>
            <w:tcW w:w="0" w:type="dxa"/>
            <w:vAlign w:val="bottom"/>
          </w:tcPr>
          <w:p>
            <w:pPr>
              <w:spacing w:after="0"/>
              <w:rPr>
                <w:sz w:val="1"/>
                <w:szCs w:val="1"/>
                <w:color w:val="auto"/>
              </w:rPr>
            </w:pPr>
          </w:p>
        </w:tc>
      </w:tr>
      <w:tr>
        <w:trPr>
          <w:trHeight w:val="219"/>
        </w:trPr>
        <w:tc>
          <w:tcPr>
            <w:tcW w:w="1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Residential mortgage</w:t>
            </w: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3,197,857</w:t>
            </w:r>
          </w:p>
        </w:tc>
        <w:tc>
          <w:tcPr>
            <w:tcW w:w="1080" w:type="dxa"/>
            <w:vAlign w:val="bottom"/>
            <w:gridSpan w:val="2"/>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17</w:t>
            </w:r>
          </w:p>
        </w:tc>
        <w:tc>
          <w:tcPr>
            <w:tcW w:w="1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31,273</w:t>
            </w:r>
          </w:p>
        </w:tc>
        <w:tc>
          <w:tcPr>
            <w:tcW w:w="980" w:type="dxa"/>
            <w:vAlign w:val="bottom"/>
            <w:gridSpan w:val="2"/>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0.98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3,231,479</w:t>
            </w:r>
          </w:p>
        </w:tc>
        <w:tc>
          <w:tcPr>
            <w:tcW w:w="1140" w:type="dxa"/>
            <w:vAlign w:val="bottom"/>
            <w:gridSpan w:val="2"/>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32,259</w:t>
            </w:r>
          </w:p>
        </w:tc>
        <w:tc>
          <w:tcPr>
            <w:tcW w:w="1020" w:type="dxa"/>
            <w:vAlign w:val="bottom"/>
            <w:gridSpan w:val="2"/>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1.00</w:t>
            </w:r>
          </w:p>
        </w:tc>
        <w:tc>
          <w:tcPr>
            <w:tcW w:w="0" w:type="dxa"/>
            <w:vAlign w:val="bottom"/>
          </w:tcPr>
          <w:p>
            <w:pPr>
              <w:spacing w:after="0"/>
              <w:rPr>
                <w:sz w:val="1"/>
                <w:szCs w:val="1"/>
                <w:color w:val="auto"/>
              </w:rPr>
            </w:pPr>
          </w:p>
        </w:tc>
      </w:tr>
      <w:tr>
        <w:trPr>
          <w:trHeight w:val="213"/>
        </w:trPr>
        <w:tc>
          <w:tcPr>
            <w:tcW w:w="19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Home equity</w:t>
            </w:r>
          </w:p>
        </w:tc>
        <w:tc>
          <w:tcPr>
            <w:tcW w:w="2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1,252,087</w:t>
            </w:r>
          </w:p>
        </w:tc>
        <w:tc>
          <w:tcPr>
            <w:tcW w:w="1080" w:type="dxa"/>
            <w:vAlign w:val="bottom"/>
            <w:gridSpan w:val="2"/>
          </w:tcPr>
          <w:p>
            <w:pPr>
              <w:jc w:val="right"/>
              <w:ind w:right="119"/>
              <w:spacing w:after="0"/>
              <w:rPr>
                <w:sz w:val="20"/>
                <w:szCs w:val="20"/>
                <w:color w:val="auto"/>
              </w:rPr>
            </w:pPr>
            <w:r>
              <w:rPr>
                <w:rFonts w:ascii="Times New Roman" w:cs="Times New Roman" w:eastAsia="Times New Roman" w:hAnsi="Times New Roman"/>
                <w:sz w:val="16"/>
                <w:szCs w:val="16"/>
                <w:color w:val="auto"/>
              </w:rPr>
              <w:t>6</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11,356</w:t>
            </w:r>
          </w:p>
        </w:tc>
        <w:tc>
          <w:tcPr>
            <w:tcW w:w="980" w:type="dxa"/>
            <w:vAlign w:val="bottom"/>
            <w:gridSpan w:val="2"/>
          </w:tcPr>
          <w:p>
            <w:pPr>
              <w:jc w:val="right"/>
              <w:ind w:right="119"/>
              <w:spacing w:after="0"/>
              <w:rPr>
                <w:sz w:val="20"/>
                <w:szCs w:val="20"/>
                <w:color w:val="auto"/>
              </w:rPr>
            </w:pPr>
            <w:r>
              <w:rPr>
                <w:rFonts w:ascii="Times New Roman" w:cs="Times New Roman" w:eastAsia="Times New Roman" w:hAnsi="Times New Roman"/>
                <w:sz w:val="16"/>
                <w:szCs w:val="16"/>
                <w:color w:val="auto"/>
              </w:rPr>
              <w:t>0.91</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1,064,874</w:t>
            </w:r>
          </w:p>
        </w:tc>
        <w:tc>
          <w:tcPr>
            <w:tcW w:w="1140" w:type="dxa"/>
            <w:vAlign w:val="bottom"/>
            <w:gridSpan w:val="2"/>
          </w:tcPr>
          <w:p>
            <w:pPr>
              <w:jc w:val="right"/>
              <w:ind w:right="119"/>
              <w:spacing w:after="0"/>
              <w:rPr>
                <w:sz w:val="20"/>
                <w:szCs w:val="20"/>
                <w:color w:val="auto"/>
              </w:rPr>
            </w:pPr>
            <w:r>
              <w:rPr>
                <w:rFonts w:ascii="Times New Roman" w:cs="Times New Roman" w:eastAsia="Times New Roman" w:hAnsi="Times New Roman"/>
                <w:sz w:val="16"/>
                <w:szCs w:val="16"/>
                <w:color w:val="auto"/>
              </w:rPr>
              <w:t>6</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11,247</w:t>
            </w:r>
          </w:p>
        </w:tc>
        <w:tc>
          <w:tcPr>
            <w:tcW w:w="1020" w:type="dxa"/>
            <w:vAlign w:val="bottom"/>
            <w:gridSpan w:val="2"/>
          </w:tcPr>
          <w:p>
            <w:pPr>
              <w:jc w:val="right"/>
              <w:ind w:right="139"/>
              <w:spacing w:after="0"/>
              <w:rPr>
                <w:sz w:val="20"/>
                <w:szCs w:val="20"/>
                <w:color w:val="auto"/>
              </w:rPr>
            </w:pPr>
            <w:r>
              <w:rPr>
                <w:rFonts w:ascii="Times New Roman" w:cs="Times New Roman" w:eastAsia="Times New Roman" w:hAnsi="Times New Roman"/>
                <w:sz w:val="16"/>
                <w:szCs w:val="16"/>
                <w:color w:val="auto"/>
              </w:rPr>
              <w:t>1.06</w:t>
            </w:r>
          </w:p>
        </w:tc>
        <w:tc>
          <w:tcPr>
            <w:tcW w:w="0" w:type="dxa"/>
            <w:vAlign w:val="bottom"/>
          </w:tcPr>
          <w:p>
            <w:pPr>
              <w:spacing w:after="0"/>
              <w:rPr>
                <w:sz w:val="1"/>
                <w:szCs w:val="1"/>
                <w:color w:val="auto"/>
              </w:rPr>
            </w:pPr>
          </w:p>
        </w:tc>
      </w:tr>
      <w:tr>
        <w:trPr>
          <w:trHeight w:val="219"/>
        </w:trPr>
        <w:tc>
          <w:tcPr>
            <w:tcW w:w="1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Residential construction</w:t>
            </w: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178,468</w:t>
            </w:r>
          </w:p>
        </w:tc>
        <w:tc>
          <w:tcPr>
            <w:tcW w:w="1080" w:type="dxa"/>
            <w:vAlign w:val="bottom"/>
            <w:gridSpan w:val="2"/>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w:t>
            </w:r>
          </w:p>
        </w:tc>
        <w:tc>
          <w:tcPr>
            <w:tcW w:w="1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1,767</w:t>
            </w:r>
          </w:p>
        </w:tc>
        <w:tc>
          <w:tcPr>
            <w:tcW w:w="980" w:type="dxa"/>
            <w:vAlign w:val="bottom"/>
            <w:gridSpan w:val="2"/>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0.99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178,405</w:t>
            </w:r>
          </w:p>
        </w:tc>
        <w:tc>
          <w:tcPr>
            <w:tcW w:w="1140" w:type="dxa"/>
            <w:vAlign w:val="bottom"/>
            <w:gridSpan w:val="2"/>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1,672</w:t>
            </w:r>
          </w:p>
        </w:tc>
        <w:tc>
          <w:tcPr>
            <w:tcW w:w="1020" w:type="dxa"/>
            <w:vAlign w:val="bottom"/>
            <w:gridSpan w:val="2"/>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0.94</w:t>
            </w:r>
          </w:p>
        </w:tc>
        <w:tc>
          <w:tcPr>
            <w:tcW w:w="0" w:type="dxa"/>
            <w:vAlign w:val="bottom"/>
          </w:tcPr>
          <w:p>
            <w:pPr>
              <w:spacing w:after="0"/>
              <w:rPr>
                <w:sz w:val="1"/>
                <w:szCs w:val="1"/>
                <w:color w:val="auto"/>
              </w:rPr>
            </w:pPr>
          </w:p>
        </w:tc>
      </w:tr>
      <w:tr>
        <w:trPr>
          <w:trHeight w:val="216"/>
        </w:trPr>
        <w:tc>
          <w:tcPr>
            <w:tcW w:w="1940" w:type="dxa"/>
            <w:vAlign w:val="bottom"/>
          </w:tcPr>
          <w:p>
            <w:pPr>
              <w:ind w:left="20"/>
              <w:spacing w:after="0" w:line="216" w:lineRule="exact"/>
              <w:rPr>
                <w:sz w:val="20"/>
                <w:szCs w:val="20"/>
                <w:color w:val="auto"/>
              </w:rPr>
            </w:pPr>
            <w:r>
              <w:rPr>
                <w:rFonts w:ascii="Times New Roman" w:cs="Times New Roman" w:eastAsia="Times New Roman" w:hAnsi="Times New Roman"/>
                <w:sz w:val="16"/>
                <w:szCs w:val="16"/>
                <w:color w:val="auto"/>
              </w:rPr>
              <w:t xml:space="preserve">Manufactured housing </w:t>
            </w:r>
            <w:r>
              <w:rPr>
                <w:rFonts w:ascii="Times New Roman" w:cs="Times New Roman" w:eastAsia="Times New Roman" w:hAnsi="Times New Roman"/>
                <w:sz w:val="21"/>
                <w:szCs w:val="21"/>
                <w:color w:val="auto"/>
                <w:vertAlign w:val="superscript"/>
              </w:rPr>
              <w:t>(2)</w:t>
            </w:r>
          </w:p>
        </w:tc>
        <w:tc>
          <w:tcPr>
            <w:tcW w:w="2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340" w:type="dxa"/>
            <w:vAlign w:val="bottom"/>
            <w:gridSpan w:val="3"/>
          </w:tcPr>
          <w:p>
            <w:pPr>
              <w:jc w:val="right"/>
              <w:ind w:right="479"/>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96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1,723</w:t>
            </w:r>
          </w:p>
        </w:tc>
        <w:tc>
          <w:tcPr>
            <w:tcW w:w="120" w:type="dxa"/>
            <w:vAlign w:val="bottom"/>
          </w:tcPr>
          <w:p>
            <w:pPr>
              <w:spacing w:after="0"/>
              <w:rPr>
                <w:sz w:val="18"/>
                <w:szCs w:val="18"/>
                <w:color w:val="auto"/>
              </w:rPr>
            </w:pPr>
          </w:p>
        </w:tc>
        <w:tc>
          <w:tcPr>
            <w:tcW w:w="1360" w:type="dxa"/>
            <w:vAlign w:val="bottom"/>
            <w:gridSpan w:val="3"/>
          </w:tcPr>
          <w:p>
            <w:pPr>
              <w:jc w:val="right"/>
              <w:ind w:right="459"/>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450</w:t>
            </w:r>
          </w:p>
        </w:tc>
        <w:tc>
          <w:tcPr>
            <w:tcW w:w="1020" w:type="dxa"/>
            <w:vAlign w:val="bottom"/>
            <w:gridSpan w:val="2"/>
          </w:tcPr>
          <w:p>
            <w:pPr>
              <w:jc w:val="right"/>
              <w:ind w:right="139"/>
              <w:spacing w:after="0"/>
              <w:rPr>
                <w:sz w:val="20"/>
                <w:szCs w:val="20"/>
                <w:color w:val="auto"/>
              </w:rPr>
            </w:pPr>
            <w:r>
              <w:rPr>
                <w:rFonts w:ascii="Times New Roman" w:cs="Times New Roman" w:eastAsia="Times New Roman" w:hAnsi="Times New Roman"/>
                <w:sz w:val="16"/>
                <w:szCs w:val="16"/>
                <w:color w:val="auto"/>
              </w:rPr>
              <w:t>26.12</w:t>
            </w:r>
          </w:p>
        </w:tc>
        <w:tc>
          <w:tcPr>
            <w:tcW w:w="0" w:type="dxa"/>
            <w:vAlign w:val="bottom"/>
          </w:tcPr>
          <w:p>
            <w:pPr>
              <w:spacing w:after="0"/>
              <w:rPr>
                <w:sz w:val="1"/>
                <w:szCs w:val="1"/>
                <w:color w:val="auto"/>
              </w:rPr>
            </w:pPr>
          </w:p>
        </w:tc>
      </w:tr>
      <w:tr>
        <w:trPr>
          <w:trHeight w:val="216"/>
        </w:trPr>
        <w:tc>
          <w:tcPr>
            <w:tcW w:w="1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Consumer</w:t>
            </w:r>
          </w:p>
        </w:tc>
        <w:tc>
          <w:tcPr>
            <w:tcW w:w="24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191,509</w:t>
            </w:r>
          </w:p>
        </w:tc>
        <w:tc>
          <w:tcPr>
            <w:tcW w:w="1080" w:type="dxa"/>
            <w:vAlign w:val="bottom"/>
            <w:gridSpan w:val="2"/>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w:t>
            </w:r>
          </w:p>
        </w:tc>
        <w:tc>
          <w:tcPr>
            <w:tcW w:w="14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1,099</w:t>
            </w:r>
          </w:p>
        </w:tc>
        <w:tc>
          <w:tcPr>
            <w:tcW w:w="980" w:type="dxa"/>
            <w:vAlign w:val="bottom"/>
            <w:gridSpan w:val="2"/>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0.57</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186,448</w:t>
            </w:r>
          </w:p>
        </w:tc>
        <w:tc>
          <w:tcPr>
            <w:tcW w:w="1140" w:type="dxa"/>
            <w:vAlign w:val="bottom"/>
            <w:gridSpan w:val="2"/>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844</w:t>
            </w:r>
          </w:p>
        </w:tc>
        <w:tc>
          <w:tcPr>
            <w:tcW w:w="1020" w:type="dxa"/>
            <w:vAlign w:val="bottom"/>
            <w:gridSpan w:val="2"/>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0.45</w:t>
            </w:r>
          </w:p>
        </w:tc>
        <w:tc>
          <w:tcPr>
            <w:tcW w:w="0" w:type="dxa"/>
            <w:vAlign w:val="bottom"/>
          </w:tcPr>
          <w:p>
            <w:pPr>
              <w:spacing w:after="0"/>
              <w:rPr>
                <w:sz w:val="1"/>
                <w:szCs w:val="1"/>
                <w:color w:val="auto"/>
              </w:rPr>
            </w:pPr>
          </w:p>
        </w:tc>
      </w:tr>
      <w:tr>
        <w:trPr>
          <w:trHeight w:val="209"/>
        </w:trPr>
        <w:tc>
          <w:tcPr>
            <w:tcW w:w="1940" w:type="dxa"/>
            <w:vAlign w:val="bottom"/>
          </w:tcPr>
          <w:p>
            <w:pPr>
              <w:ind w:left="220"/>
              <w:spacing w:after="0" w:line="210" w:lineRule="exact"/>
              <w:rPr>
                <w:sz w:val="20"/>
                <w:szCs w:val="20"/>
                <w:color w:val="auto"/>
              </w:rPr>
            </w:pPr>
            <w:r>
              <w:rPr>
                <w:rFonts w:ascii="Times New Roman" w:cs="Times New Roman" w:eastAsia="Times New Roman" w:hAnsi="Times New Roman"/>
                <w:sz w:val="16"/>
                <w:szCs w:val="16"/>
                <w:color w:val="auto"/>
              </w:rPr>
              <w:t xml:space="preserve">Total </w:t>
            </w:r>
            <w:r>
              <w:rPr>
                <w:rFonts w:ascii="Times New Roman" w:cs="Times New Roman" w:eastAsia="Times New Roman" w:hAnsi="Times New Roman"/>
                <w:sz w:val="21"/>
                <w:szCs w:val="21"/>
                <w:color w:val="auto"/>
                <w:vertAlign w:val="superscript"/>
              </w:rPr>
              <w:t>(1)</w:t>
            </w:r>
          </w:p>
        </w:tc>
        <w:tc>
          <w:tcPr>
            <w:tcW w:w="2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19,166,965</w:t>
            </w: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215,791</w:t>
            </w:r>
          </w:p>
        </w:tc>
        <w:tc>
          <w:tcPr>
            <w:tcW w:w="980" w:type="dxa"/>
            <w:vAlign w:val="bottom"/>
            <w:gridSpan w:val="2"/>
          </w:tcPr>
          <w:p>
            <w:pPr>
              <w:jc w:val="right"/>
              <w:ind w:right="119"/>
              <w:spacing w:after="0"/>
              <w:rPr>
                <w:sz w:val="20"/>
                <w:szCs w:val="20"/>
                <w:color w:val="auto"/>
              </w:rPr>
            </w:pPr>
            <w:r>
              <w:rPr>
                <w:rFonts w:ascii="Times New Roman" w:cs="Times New Roman" w:eastAsia="Times New Roman" w:hAnsi="Times New Roman"/>
                <w:sz w:val="16"/>
                <w:szCs w:val="16"/>
                <w:color w:val="auto"/>
              </w:rPr>
              <w:t>1.13</w:t>
            </w:r>
          </w:p>
        </w:tc>
        <w:tc>
          <w:tcPr>
            <w:tcW w:w="100" w:type="dxa"/>
            <w:vAlign w:val="bottom"/>
          </w:tcPr>
          <w:p>
            <w:pPr>
              <w:spacing w:after="0"/>
              <w:rPr>
                <w:sz w:val="18"/>
                <w:szCs w:val="18"/>
                <w:color w:val="auto"/>
              </w:rPr>
            </w:pPr>
          </w:p>
        </w:tc>
        <w:tc>
          <w:tcPr>
            <w:tcW w:w="2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18,168,653</w:t>
            </w: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206,998</w:t>
            </w:r>
          </w:p>
        </w:tc>
        <w:tc>
          <w:tcPr>
            <w:tcW w:w="1020" w:type="dxa"/>
            <w:vAlign w:val="bottom"/>
            <w:gridSpan w:val="2"/>
          </w:tcPr>
          <w:p>
            <w:pPr>
              <w:jc w:val="right"/>
              <w:ind w:right="139"/>
              <w:spacing w:after="0"/>
              <w:rPr>
                <w:sz w:val="20"/>
                <w:szCs w:val="20"/>
                <w:color w:val="auto"/>
              </w:rPr>
            </w:pPr>
            <w:r>
              <w:rPr>
                <w:rFonts w:ascii="Times New Roman" w:cs="Times New Roman" w:eastAsia="Times New Roman" w:hAnsi="Times New Roman"/>
                <w:sz w:val="16"/>
                <w:szCs w:val="16"/>
                <w:color w:val="auto"/>
              </w:rPr>
              <w:t>1.14</w:t>
            </w:r>
          </w:p>
        </w:tc>
        <w:tc>
          <w:tcPr>
            <w:tcW w:w="0" w:type="dxa"/>
            <w:vAlign w:val="bottom"/>
          </w:tcPr>
          <w:p>
            <w:pPr>
              <w:spacing w:after="0"/>
              <w:rPr>
                <w:sz w:val="1"/>
                <w:szCs w:val="1"/>
                <w:color w:val="auto"/>
              </w:rPr>
            </w:pPr>
          </w:p>
        </w:tc>
      </w:tr>
      <w:tr>
        <w:trPr>
          <w:trHeight w:val="21"/>
        </w:trPr>
        <w:tc>
          <w:tcPr>
            <w:tcW w:w="19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23" w:lineRule="exact"/>
        <w:rPr>
          <w:sz w:val="20"/>
          <w:szCs w:val="20"/>
          <w:color w:val="auto"/>
        </w:rPr>
      </w:pPr>
    </w:p>
    <w:p>
      <w:pPr>
        <w:ind w:left="160" w:hanging="152"/>
        <w:spacing w:after="0"/>
        <w:tabs>
          <w:tab w:leader="none" w:pos="160" w:val="left"/>
        </w:tabs>
        <w:numPr>
          <w:ilvl w:val="0"/>
          <w:numId w:val="15"/>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5"/>
          <w:szCs w:val="15"/>
          <w:color w:val="auto"/>
        </w:rPr>
        <w:t>Loans presented exclude fair value hedge basis adjustments.</w:t>
      </w:r>
    </w:p>
    <w:p>
      <w:pPr>
        <w:ind w:left="180" w:hanging="172"/>
        <w:spacing w:after="0" w:line="191" w:lineRule="auto"/>
        <w:tabs>
          <w:tab w:leader="none" w:pos="180" w:val="left"/>
        </w:tabs>
        <w:numPr>
          <w:ilvl w:val="0"/>
          <w:numId w:val="15"/>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In 2025, manufactured housing loans were included in consumer loans.</w:t>
      </w:r>
    </w:p>
    <w:p>
      <w:pPr>
        <w:spacing w:after="0" w:line="231"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following table provides industry concentrations of our non-owner occupied CRE loans, which include the income producing CRE portfolio and non-owner occupied commercial construction loans as of the dates indicated.</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Table 9 - Industry Concentrations of Non-Owner Occupied CRE Loans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(dollars in thousands)</w:t>
      </w:r>
    </w:p>
    <w:p>
      <w:pPr>
        <w:spacing w:after="0" w:line="16" w:lineRule="exact"/>
        <w:rPr>
          <w:sz w:val="20"/>
          <w:szCs w:val="20"/>
          <w:color w:val="auto"/>
        </w:rPr>
      </w:pPr>
    </w:p>
    <w:tbl>
      <w:tblPr>
        <w:tblLayout w:type="fixed"/>
        <w:tblInd w:w="100" w:type="dxa"/>
        <w:tblCellMar>
          <w:top w:w="0" w:type="dxa"/>
          <w:left w:w="0" w:type="dxa"/>
          <w:bottom w:w="0" w:type="dxa"/>
          <w:right w:w="0" w:type="dxa"/>
        </w:tblCellMar>
      </w:tblPr>
      <w:tr>
        <w:trPr>
          <w:trHeight w:val="228"/>
        </w:trPr>
        <w:tc>
          <w:tcPr>
            <w:tcW w:w="4140" w:type="dxa"/>
            <w:vAlign w:val="bottom"/>
            <w:tcBorders>
              <w:top w:val="single" w:sz="8" w:color="auto"/>
            </w:tcBorders>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2580" w:type="dxa"/>
            <w:vAlign w:val="bottom"/>
            <w:tcBorders>
              <w:top w:val="single" w:sz="8" w:color="auto"/>
            </w:tcBorders>
            <w:gridSpan w:val="4"/>
          </w:tcPr>
          <w:p>
            <w:pPr>
              <w:ind w:left="440"/>
              <w:spacing w:after="0"/>
              <w:rPr>
                <w:sz w:val="20"/>
                <w:szCs w:val="20"/>
                <w:color w:val="auto"/>
              </w:rPr>
            </w:pPr>
            <w:r>
              <w:rPr>
                <w:rFonts w:ascii="Times New Roman" w:cs="Times New Roman" w:eastAsia="Times New Roman" w:hAnsi="Times New Roman"/>
                <w:sz w:val="16"/>
                <w:szCs w:val="16"/>
                <w:b w:val="1"/>
                <w:bCs w:val="1"/>
                <w:color w:val="auto"/>
              </w:rPr>
              <w:t>September 30, 2025</w:t>
            </w:r>
          </w:p>
        </w:tc>
        <w:tc>
          <w:tcPr>
            <w:tcW w:w="240" w:type="dxa"/>
            <w:vAlign w:val="bottom"/>
            <w:tcBorders>
              <w:top w:val="single" w:sz="8" w:color="auto"/>
            </w:tcBorders>
          </w:tcPr>
          <w:p>
            <w:pPr>
              <w:spacing w:after="0"/>
              <w:rPr>
                <w:sz w:val="19"/>
                <w:szCs w:val="19"/>
                <w:color w:val="auto"/>
              </w:rPr>
            </w:pPr>
          </w:p>
        </w:tc>
        <w:tc>
          <w:tcPr>
            <w:tcW w:w="3860" w:type="dxa"/>
            <w:vAlign w:val="bottom"/>
            <w:tcBorders>
              <w:top w:val="single" w:sz="8" w:color="auto"/>
            </w:tcBorders>
            <w:gridSpan w:val="4"/>
          </w:tcPr>
          <w:p>
            <w:pPr>
              <w:ind w:left="460"/>
              <w:spacing w:after="0"/>
              <w:rPr>
                <w:sz w:val="20"/>
                <w:szCs w:val="20"/>
                <w:color w:val="auto"/>
              </w:rPr>
            </w:pPr>
            <w:r>
              <w:rPr>
                <w:rFonts w:ascii="Times New Roman" w:cs="Times New Roman" w:eastAsia="Times New Roman" w:hAnsi="Times New Roman"/>
                <w:sz w:val="16"/>
                <w:szCs w:val="16"/>
                <w:b w:val="1"/>
                <w:bCs w:val="1"/>
                <w:color w:val="auto"/>
              </w:rPr>
              <w:t>December 31, 2024</w:t>
            </w:r>
          </w:p>
        </w:tc>
        <w:tc>
          <w:tcPr>
            <w:tcW w:w="0" w:type="dxa"/>
            <w:vAlign w:val="bottom"/>
          </w:tcPr>
          <w:p>
            <w:pPr>
              <w:spacing w:after="0"/>
              <w:rPr>
                <w:sz w:val="1"/>
                <w:szCs w:val="1"/>
                <w:color w:val="auto"/>
              </w:rPr>
            </w:pPr>
          </w:p>
        </w:tc>
      </w:tr>
      <w:tr>
        <w:trPr>
          <w:trHeight w:val="157"/>
        </w:trPr>
        <w:tc>
          <w:tcPr>
            <w:tcW w:w="4140" w:type="dxa"/>
            <w:vAlign w:val="bottom"/>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1000" w:type="dxa"/>
            <w:vAlign w:val="bottom"/>
            <w:tcBorders>
              <w:top w:val="single" w:sz="8" w:color="auto"/>
            </w:tcBorders>
            <w:gridSpan w:val="2"/>
            <w:vMerge w:val="restart"/>
          </w:tcPr>
          <w:p>
            <w:pPr>
              <w:ind w:left="16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1460" w:type="dxa"/>
            <w:vAlign w:val="bottom"/>
            <w:tcBorders>
              <w:top w:val="single" w:sz="8" w:color="auto"/>
            </w:tcBorders>
          </w:tcPr>
          <w:p>
            <w:pPr>
              <w:jc w:val="center"/>
              <w:spacing w:after="0" w:line="158" w:lineRule="exact"/>
              <w:rPr>
                <w:sz w:val="20"/>
                <w:szCs w:val="20"/>
                <w:color w:val="auto"/>
              </w:rPr>
            </w:pPr>
            <w:r>
              <w:rPr>
                <w:rFonts w:ascii="Times New Roman" w:cs="Times New Roman" w:eastAsia="Times New Roman" w:hAnsi="Times New Roman"/>
                <w:sz w:val="16"/>
                <w:szCs w:val="16"/>
                <w:b w:val="1"/>
                <w:bCs w:val="1"/>
                <w:color w:val="auto"/>
                <w:w w:val="99"/>
              </w:rPr>
              <w:t>% of loans in</w:t>
            </w:r>
          </w:p>
        </w:tc>
        <w:tc>
          <w:tcPr>
            <w:tcW w:w="120" w:type="dxa"/>
            <w:vAlign w:val="bottom"/>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1020" w:type="dxa"/>
            <w:vAlign w:val="bottom"/>
            <w:tcBorders>
              <w:top w:val="single" w:sz="8" w:color="auto"/>
            </w:tcBorders>
            <w:gridSpan w:val="2"/>
            <w:vMerge w:val="restart"/>
          </w:tcPr>
          <w:p>
            <w:pPr>
              <w:ind w:left="16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1460" w:type="dxa"/>
            <w:vAlign w:val="bottom"/>
            <w:tcBorders>
              <w:top w:val="single" w:sz="8" w:color="auto"/>
            </w:tcBorders>
          </w:tcPr>
          <w:p>
            <w:pPr>
              <w:jc w:val="center"/>
              <w:spacing w:after="0" w:line="158" w:lineRule="exact"/>
              <w:rPr>
                <w:sz w:val="20"/>
                <w:szCs w:val="20"/>
                <w:color w:val="auto"/>
              </w:rPr>
            </w:pPr>
            <w:r>
              <w:rPr>
                <w:rFonts w:ascii="Times New Roman" w:cs="Times New Roman" w:eastAsia="Times New Roman" w:hAnsi="Times New Roman"/>
                <w:sz w:val="16"/>
                <w:szCs w:val="16"/>
                <w:b w:val="1"/>
                <w:bCs w:val="1"/>
                <w:color w:val="auto"/>
              </w:rPr>
              <w:t>% of loans in</w:t>
            </w:r>
          </w:p>
        </w:tc>
        <w:tc>
          <w:tcPr>
            <w:tcW w:w="13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4"/>
        </w:trPr>
        <w:tc>
          <w:tcPr>
            <w:tcW w:w="4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vMerge w:val="continue"/>
          </w:tcPr>
          <w:p>
            <w:pPr>
              <w:spacing w:after="0"/>
              <w:rPr>
                <w:sz w:val="18"/>
                <w:szCs w:val="18"/>
                <w:color w:val="auto"/>
              </w:rPr>
            </w:pPr>
          </w:p>
        </w:tc>
        <w:tc>
          <w:tcPr>
            <w:tcW w:w="158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8"/>
              </w:rPr>
              <w:t>category</w:t>
            </w:r>
          </w:p>
        </w:tc>
        <w:tc>
          <w:tcPr>
            <w:tcW w:w="240" w:type="dxa"/>
            <w:vAlign w:val="bottom"/>
          </w:tcPr>
          <w:p>
            <w:pPr>
              <w:spacing w:after="0"/>
              <w:rPr>
                <w:sz w:val="18"/>
                <w:szCs w:val="18"/>
                <w:color w:val="auto"/>
              </w:rPr>
            </w:pPr>
          </w:p>
        </w:tc>
        <w:tc>
          <w:tcPr>
            <w:tcW w:w="1020" w:type="dxa"/>
            <w:vAlign w:val="bottom"/>
            <w:gridSpan w:val="2"/>
            <w:vMerge w:val="continue"/>
          </w:tcPr>
          <w:p>
            <w:pPr>
              <w:spacing w:after="0"/>
              <w:rPr>
                <w:sz w:val="18"/>
                <w:szCs w:val="18"/>
                <w:color w:val="auto"/>
              </w:rPr>
            </w:pPr>
          </w:p>
        </w:tc>
        <w:tc>
          <w:tcPr>
            <w:tcW w:w="2840" w:type="dxa"/>
            <w:vAlign w:val="bottom"/>
            <w:gridSpan w:val="2"/>
          </w:tcPr>
          <w:p>
            <w:pPr>
              <w:jc w:val="center"/>
              <w:ind w:right="1400"/>
              <w:spacing w:after="0"/>
              <w:rPr>
                <w:sz w:val="20"/>
                <w:szCs w:val="20"/>
                <w:color w:val="auto"/>
              </w:rPr>
            </w:pPr>
            <w:r>
              <w:rPr>
                <w:rFonts w:ascii="Times New Roman" w:cs="Times New Roman" w:eastAsia="Times New Roman" w:hAnsi="Times New Roman"/>
                <w:sz w:val="16"/>
                <w:szCs w:val="16"/>
                <w:b w:val="1"/>
                <w:bCs w:val="1"/>
                <w:color w:val="auto"/>
              </w:rPr>
              <w:t>category</w:t>
            </w:r>
          </w:p>
        </w:tc>
        <w:tc>
          <w:tcPr>
            <w:tcW w:w="0" w:type="dxa"/>
            <w:vAlign w:val="bottom"/>
          </w:tcPr>
          <w:p>
            <w:pPr>
              <w:spacing w:after="0"/>
              <w:rPr>
                <w:sz w:val="1"/>
                <w:szCs w:val="1"/>
                <w:color w:val="auto"/>
              </w:rPr>
            </w:pPr>
          </w:p>
        </w:tc>
      </w:tr>
      <w:tr>
        <w:trPr>
          <w:trHeight w:val="211"/>
        </w:trPr>
        <w:tc>
          <w:tcPr>
            <w:tcW w:w="4140" w:type="dxa"/>
            <w:vAlign w:val="bottom"/>
            <w:tcBorders>
              <w:top w:val="single" w:sz="8" w:color="CCEEFF"/>
            </w:tcBorders>
            <w:shd w:val="clear" w:color="auto" w:fill="CCEEFF"/>
          </w:tcPr>
          <w:p>
            <w:pPr>
              <w:ind w:left="1360"/>
              <w:spacing w:after="0"/>
              <w:rPr>
                <w:sz w:val="20"/>
                <w:szCs w:val="20"/>
                <w:color w:val="auto"/>
              </w:rPr>
            </w:pPr>
            <w:r>
              <w:rPr>
                <w:rFonts w:ascii="Times New Roman" w:cs="Times New Roman" w:eastAsia="Times New Roman" w:hAnsi="Times New Roman"/>
                <w:sz w:val="16"/>
                <w:szCs w:val="16"/>
                <w:color w:val="auto"/>
              </w:rPr>
              <w:t>Retail</w:t>
            </w:r>
          </w:p>
        </w:tc>
        <w:tc>
          <w:tcPr>
            <w:tcW w:w="240" w:type="dxa"/>
            <w:vAlign w:val="bottom"/>
            <w:tcBorders>
              <w:top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1,380,779</w:t>
            </w:r>
          </w:p>
        </w:tc>
        <w:tc>
          <w:tcPr>
            <w:tcW w:w="100" w:type="dxa"/>
            <w:vAlign w:val="bottom"/>
            <w:tcBorders>
              <w:top w:val="single" w:sz="8" w:color="CCEEFF"/>
            </w:tcBorders>
            <w:shd w:val="clear" w:color="auto" w:fill="CCEEFF"/>
          </w:tcPr>
          <w:p>
            <w:pPr>
              <w:spacing w:after="0"/>
              <w:rPr>
                <w:sz w:val="18"/>
                <w:szCs w:val="18"/>
                <w:color w:val="auto"/>
              </w:rPr>
            </w:pP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23 %</w:t>
            </w:r>
          </w:p>
        </w:tc>
        <w:tc>
          <w:tcPr>
            <w:tcW w:w="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1,221,168</w:t>
            </w:r>
          </w:p>
        </w:tc>
        <w:tc>
          <w:tcPr>
            <w:tcW w:w="100" w:type="dxa"/>
            <w:vAlign w:val="bottom"/>
            <w:tcBorders>
              <w:top w:val="single" w:sz="8" w:color="CCEEFF"/>
            </w:tcBorders>
            <w:shd w:val="clear" w:color="auto" w:fill="CCEEFF"/>
          </w:tcPr>
          <w:p>
            <w:pPr>
              <w:spacing w:after="0"/>
              <w:rPr>
                <w:sz w:val="18"/>
                <w:szCs w:val="18"/>
                <w:color w:val="auto"/>
              </w:rPr>
            </w:pP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21 %</w:t>
            </w:r>
          </w:p>
        </w:tc>
        <w:tc>
          <w:tcPr>
            <w:tcW w:w="13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140" w:type="dxa"/>
            <w:vAlign w:val="bottom"/>
          </w:tcPr>
          <w:p>
            <w:pPr>
              <w:ind w:left="1360"/>
              <w:spacing w:after="0"/>
              <w:rPr>
                <w:sz w:val="20"/>
                <w:szCs w:val="20"/>
                <w:color w:val="auto"/>
              </w:rPr>
            </w:pPr>
            <w:r>
              <w:rPr>
                <w:rFonts w:ascii="Times New Roman" w:cs="Times New Roman" w:eastAsia="Times New Roman" w:hAnsi="Times New Roman"/>
                <w:sz w:val="16"/>
                <w:szCs w:val="16"/>
                <w:color w:val="auto"/>
              </w:rPr>
              <w:t>Office</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897,582</w:t>
            </w:r>
          </w:p>
        </w:tc>
        <w:tc>
          <w:tcPr>
            <w:tcW w:w="100" w:type="dxa"/>
            <w:vAlign w:val="bottom"/>
          </w:tcPr>
          <w:p>
            <w:pPr>
              <w:spacing w:after="0"/>
              <w:rPr>
                <w:sz w:val="18"/>
                <w:szCs w:val="18"/>
                <w:color w:val="auto"/>
              </w:rPr>
            </w:pPr>
          </w:p>
        </w:tc>
        <w:tc>
          <w:tcPr>
            <w:tcW w:w="14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15</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836,419</w:t>
            </w:r>
          </w:p>
        </w:tc>
        <w:tc>
          <w:tcPr>
            <w:tcW w:w="100" w:type="dxa"/>
            <w:vAlign w:val="bottom"/>
          </w:tcPr>
          <w:p>
            <w:pPr>
              <w:spacing w:after="0"/>
              <w:rPr>
                <w:sz w:val="18"/>
                <w:szCs w:val="18"/>
                <w:color w:val="auto"/>
              </w:rPr>
            </w:pPr>
          </w:p>
        </w:tc>
        <w:tc>
          <w:tcPr>
            <w:tcW w:w="14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15</w:t>
            </w:r>
          </w:p>
        </w:tc>
        <w:tc>
          <w:tcPr>
            <w:tcW w:w="1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140" w:type="dxa"/>
            <w:vAlign w:val="bottom"/>
            <w:shd w:val="clear" w:color="auto" w:fill="CCEEFF"/>
          </w:tcPr>
          <w:p>
            <w:pPr>
              <w:ind w:left="1360"/>
              <w:spacing w:after="0"/>
              <w:rPr>
                <w:sz w:val="20"/>
                <w:szCs w:val="20"/>
                <w:color w:val="auto"/>
              </w:rPr>
            </w:pPr>
            <w:r>
              <w:rPr>
                <w:rFonts w:ascii="Times New Roman" w:cs="Times New Roman" w:eastAsia="Times New Roman" w:hAnsi="Times New Roman"/>
                <w:sz w:val="16"/>
                <w:szCs w:val="16"/>
                <w:color w:val="auto"/>
              </w:rPr>
              <w:t>Multifamily</w:t>
            </w: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895,952</w:t>
            </w: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15</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973,065</w:t>
            </w: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17</w:t>
            </w:r>
          </w:p>
        </w:tc>
        <w:tc>
          <w:tcPr>
            <w:tcW w:w="13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140" w:type="dxa"/>
            <w:vAlign w:val="bottom"/>
          </w:tcPr>
          <w:p>
            <w:pPr>
              <w:ind w:left="1360"/>
              <w:spacing w:after="0"/>
              <w:rPr>
                <w:sz w:val="20"/>
                <w:szCs w:val="20"/>
                <w:color w:val="auto"/>
              </w:rPr>
            </w:pPr>
            <w:r>
              <w:rPr>
                <w:rFonts w:ascii="Times New Roman" w:cs="Times New Roman" w:eastAsia="Times New Roman" w:hAnsi="Times New Roman"/>
                <w:sz w:val="16"/>
                <w:szCs w:val="16"/>
                <w:color w:val="auto"/>
              </w:rPr>
              <w:t>Warehouse and industrial</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636,075</w:t>
            </w:r>
          </w:p>
        </w:tc>
        <w:tc>
          <w:tcPr>
            <w:tcW w:w="100" w:type="dxa"/>
            <w:vAlign w:val="bottom"/>
          </w:tcPr>
          <w:p>
            <w:pPr>
              <w:spacing w:after="0"/>
              <w:rPr>
                <w:sz w:val="18"/>
                <w:szCs w:val="18"/>
                <w:color w:val="auto"/>
              </w:rPr>
            </w:pPr>
          </w:p>
        </w:tc>
        <w:tc>
          <w:tcPr>
            <w:tcW w:w="14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11</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584,659</w:t>
            </w:r>
          </w:p>
        </w:tc>
        <w:tc>
          <w:tcPr>
            <w:tcW w:w="100" w:type="dxa"/>
            <w:vAlign w:val="bottom"/>
          </w:tcPr>
          <w:p>
            <w:pPr>
              <w:spacing w:after="0"/>
              <w:rPr>
                <w:sz w:val="18"/>
                <w:szCs w:val="18"/>
                <w:color w:val="auto"/>
              </w:rPr>
            </w:pPr>
          </w:p>
        </w:tc>
        <w:tc>
          <w:tcPr>
            <w:tcW w:w="14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10</w:t>
            </w:r>
          </w:p>
        </w:tc>
        <w:tc>
          <w:tcPr>
            <w:tcW w:w="1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140" w:type="dxa"/>
            <w:vAlign w:val="bottom"/>
            <w:shd w:val="clear" w:color="auto" w:fill="CCEEFF"/>
          </w:tcPr>
          <w:p>
            <w:pPr>
              <w:ind w:left="1360"/>
              <w:spacing w:after="0"/>
              <w:rPr>
                <w:sz w:val="20"/>
                <w:szCs w:val="20"/>
                <w:color w:val="auto"/>
              </w:rPr>
            </w:pPr>
            <w:r>
              <w:rPr>
                <w:rFonts w:ascii="Times New Roman" w:cs="Times New Roman" w:eastAsia="Times New Roman" w:hAnsi="Times New Roman"/>
                <w:sz w:val="16"/>
                <w:szCs w:val="16"/>
                <w:color w:val="auto"/>
              </w:rPr>
              <w:t>Hotel</w:t>
            </w: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516,336</w:t>
            </w: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9</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485,093</w:t>
            </w: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9</w:t>
            </w:r>
          </w:p>
        </w:tc>
        <w:tc>
          <w:tcPr>
            <w:tcW w:w="13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140" w:type="dxa"/>
            <w:vAlign w:val="bottom"/>
          </w:tcPr>
          <w:p>
            <w:pPr>
              <w:ind w:left="1360"/>
              <w:spacing w:after="0"/>
              <w:rPr>
                <w:sz w:val="20"/>
                <w:szCs w:val="20"/>
                <w:color w:val="auto"/>
              </w:rPr>
            </w:pPr>
            <w:r>
              <w:rPr>
                <w:rFonts w:ascii="Times New Roman" w:cs="Times New Roman" w:eastAsia="Times New Roman" w:hAnsi="Times New Roman"/>
                <w:sz w:val="16"/>
                <w:szCs w:val="16"/>
                <w:color w:val="auto"/>
              </w:rPr>
              <w:t>Builder finance</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374,514</w:t>
            </w:r>
          </w:p>
        </w:tc>
        <w:tc>
          <w:tcPr>
            <w:tcW w:w="100" w:type="dxa"/>
            <w:vAlign w:val="bottom"/>
          </w:tcPr>
          <w:p>
            <w:pPr>
              <w:spacing w:after="0"/>
              <w:rPr>
                <w:sz w:val="18"/>
                <w:szCs w:val="18"/>
                <w:color w:val="auto"/>
              </w:rPr>
            </w:pPr>
          </w:p>
        </w:tc>
        <w:tc>
          <w:tcPr>
            <w:tcW w:w="14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6</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329,349</w:t>
            </w:r>
          </w:p>
        </w:tc>
        <w:tc>
          <w:tcPr>
            <w:tcW w:w="100" w:type="dxa"/>
            <w:vAlign w:val="bottom"/>
          </w:tcPr>
          <w:p>
            <w:pPr>
              <w:spacing w:after="0"/>
              <w:rPr>
                <w:sz w:val="18"/>
                <w:szCs w:val="18"/>
                <w:color w:val="auto"/>
              </w:rPr>
            </w:pPr>
          </w:p>
        </w:tc>
        <w:tc>
          <w:tcPr>
            <w:tcW w:w="14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6</w:t>
            </w:r>
          </w:p>
        </w:tc>
        <w:tc>
          <w:tcPr>
            <w:tcW w:w="1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140" w:type="dxa"/>
            <w:vAlign w:val="bottom"/>
            <w:shd w:val="clear" w:color="auto" w:fill="CCEEFF"/>
          </w:tcPr>
          <w:p>
            <w:pPr>
              <w:ind w:left="1360"/>
              <w:spacing w:after="0"/>
              <w:rPr>
                <w:sz w:val="20"/>
                <w:szCs w:val="20"/>
                <w:color w:val="auto"/>
              </w:rPr>
            </w:pPr>
            <w:r>
              <w:rPr>
                <w:rFonts w:ascii="Times New Roman" w:cs="Times New Roman" w:eastAsia="Times New Roman" w:hAnsi="Times New Roman"/>
                <w:sz w:val="16"/>
                <w:szCs w:val="16"/>
                <w:color w:val="auto"/>
              </w:rPr>
              <w:t>Rental 1-4 family</w:t>
            </w: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326,078</w:t>
            </w: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5</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325,189</w:t>
            </w: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6</w:t>
            </w:r>
          </w:p>
        </w:tc>
        <w:tc>
          <w:tcPr>
            <w:tcW w:w="13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140" w:type="dxa"/>
            <w:vAlign w:val="bottom"/>
          </w:tcPr>
          <w:p>
            <w:pPr>
              <w:ind w:left="1360"/>
              <w:spacing w:after="0"/>
              <w:rPr>
                <w:sz w:val="20"/>
                <w:szCs w:val="20"/>
                <w:color w:val="auto"/>
              </w:rPr>
            </w:pPr>
            <w:r>
              <w:rPr>
                <w:rFonts w:ascii="Times New Roman" w:cs="Times New Roman" w:eastAsia="Times New Roman" w:hAnsi="Times New Roman"/>
                <w:sz w:val="16"/>
                <w:szCs w:val="16"/>
                <w:color w:val="auto"/>
              </w:rPr>
              <w:t>Self storage</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287,780</w:t>
            </w:r>
          </w:p>
        </w:tc>
        <w:tc>
          <w:tcPr>
            <w:tcW w:w="100" w:type="dxa"/>
            <w:vAlign w:val="bottom"/>
          </w:tcPr>
          <w:p>
            <w:pPr>
              <w:spacing w:after="0"/>
              <w:rPr>
                <w:sz w:val="18"/>
                <w:szCs w:val="18"/>
                <w:color w:val="auto"/>
              </w:rPr>
            </w:pPr>
          </w:p>
        </w:tc>
        <w:tc>
          <w:tcPr>
            <w:tcW w:w="14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5</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257,770</w:t>
            </w:r>
          </w:p>
        </w:tc>
        <w:tc>
          <w:tcPr>
            <w:tcW w:w="100" w:type="dxa"/>
            <w:vAlign w:val="bottom"/>
          </w:tcPr>
          <w:p>
            <w:pPr>
              <w:spacing w:after="0"/>
              <w:rPr>
                <w:sz w:val="18"/>
                <w:szCs w:val="18"/>
                <w:color w:val="auto"/>
              </w:rPr>
            </w:pPr>
          </w:p>
        </w:tc>
        <w:tc>
          <w:tcPr>
            <w:tcW w:w="14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5</w:t>
            </w:r>
          </w:p>
        </w:tc>
        <w:tc>
          <w:tcPr>
            <w:tcW w:w="1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140" w:type="dxa"/>
            <w:vAlign w:val="bottom"/>
            <w:shd w:val="clear" w:color="auto" w:fill="CCEEFF"/>
          </w:tcPr>
          <w:p>
            <w:pPr>
              <w:ind w:left="1360"/>
              <w:spacing w:after="0"/>
              <w:rPr>
                <w:sz w:val="20"/>
                <w:szCs w:val="20"/>
                <w:color w:val="auto"/>
              </w:rPr>
            </w:pPr>
            <w:r>
              <w:rPr>
                <w:rFonts w:ascii="Times New Roman" w:cs="Times New Roman" w:eastAsia="Times New Roman" w:hAnsi="Times New Roman"/>
                <w:sz w:val="16"/>
                <w:szCs w:val="16"/>
                <w:color w:val="auto"/>
              </w:rPr>
              <w:t>Other</w:t>
            </w: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241,409</w:t>
            </w: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4</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250,261</w:t>
            </w: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4</w:t>
            </w:r>
          </w:p>
        </w:tc>
        <w:tc>
          <w:tcPr>
            <w:tcW w:w="13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140" w:type="dxa"/>
            <w:vAlign w:val="bottom"/>
          </w:tcPr>
          <w:p>
            <w:pPr>
              <w:ind w:left="1360"/>
              <w:spacing w:after="0"/>
              <w:rPr>
                <w:sz w:val="20"/>
                <w:szCs w:val="20"/>
                <w:color w:val="auto"/>
              </w:rPr>
            </w:pPr>
            <w:r>
              <w:rPr>
                <w:rFonts w:ascii="Times New Roman" w:cs="Times New Roman" w:eastAsia="Times New Roman" w:hAnsi="Times New Roman"/>
                <w:sz w:val="16"/>
                <w:szCs w:val="16"/>
                <w:color w:val="auto"/>
              </w:rPr>
              <w:t>Senior care</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239,578</w:t>
            </w:r>
          </w:p>
        </w:tc>
        <w:tc>
          <w:tcPr>
            <w:tcW w:w="100" w:type="dxa"/>
            <w:vAlign w:val="bottom"/>
          </w:tcPr>
          <w:p>
            <w:pPr>
              <w:spacing w:after="0"/>
              <w:rPr>
                <w:sz w:val="18"/>
                <w:szCs w:val="18"/>
                <w:color w:val="auto"/>
              </w:rPr>
            </w:pPr>
          </w:p>
        </w:tc>
        <w:tc>
          <w:tcPr>
            <w:tcW w:w="14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4</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311,112</w:t>
            </w:r>
          </w:p>
        </w:tc>
        <w:tc>
          <w:tcPr>
            <w:tcW w:w="100" w:type="dxa"/>
            <w:vAlign w:val="bottom"/>
          </w:tcPr>
          <w:p>
            <w:pPr>
              <w:spacing w:after="0"/>
              <w:rPr>
                <w:sz w:val="18"/>
                <w:szCs w:val="18"/>
                <w:color w:val="auto"/>
              </w:rPr>
            </w:pPr>
          </w:p>
        </w:tc>
        <w:tc>
          <w:tcPr>
            <w:tcW w:w="14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5</w:t>
            </w:r>
          </w:p>
        </w:tc>
        <w:tc>
          <w:tcPr>
            <w:tcW w:w="1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40" w:type="dxa"/>
            <w:vAlign w:val="bottom"/>
            <w:shd w:val="clear" w:color="auto" w:fill="CCEEFF"/>
          </w:tcPr>
          <w:p>
            <w:pPr>
              <w:ind w:left="1360"/>
              <w:spacing w:after="0"/>
              <w:rPr>
                <w:sz w:val="20"/>
                <w:szCs w:val="20"/>
                <w:color w:val="auto"/>
              </w:rPr>
            </w:pPr>
            <w:r>
              <w:rPr>
                <w:rFonts w:ascii="Times New Roman" w:cs="Times New Roman" w:eastAsia="Times New Roman" w:hAnsi="Times New Roman"/>
                <w:sz w:val="16"/>
                <w:szCs w:val="16"/>
                <w:color w:val="auto"/>
              </w:rPr>
              <w:t>Land</w:t>
            </w:r>
          </w:p>
        </w:tc>
        <w:tc>
          <w:tcPr>
            <w:tcW w:w="2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168,932</w:t>
            </w:r>
          </w:p>
        </w:tc>
        <w:tc>
          <w:tcPr>
            <w:tcW w:w="100" w:type="dxa"/>
            <w:vAlign w:val="bottom"/>
            <w:shd w:val="clear" w:color="auto" w:fill="CCEEFF"/>
          </w:tcPr>
          <w:p>
            <w:pPr>
              <w:spacing w:after="0"/>
              <w:rPr>
                <w:sz w:val="18"/>
                <w:szCs w:val="18"/>
                <w:color w:val="auto"/>
              </w:rPr>
            </w:pPr>
          </w:p>
        </w:tc>
        <w:tc>
          <w:tcPr>
            <w:tcW w:w="146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3</w:t>
            </w:r>
          </w:p>
        </w:tc>
        <w:tc>
          <w:tcPr>
            <w:tcW w:w="1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140,527</w:t>
            </w:r>
          </w:p>
        </w:tc>
        <w:tc>
          <w:tcPr>
            <w:tcW w:w="100" w:type="dxa"/>
            <w:vAlign w:val="bottom"/>
            <w:shd w:val="clear" w:color="auto" w:fill="CCEEFF"/>
          </w:tcPr>
          <w:p>
            <w:pPr>
              <w:spacing w:after="0"/>
              <w:rPr>
                <w:sz w:val="18"/>
                <w:szCs w:val="18"/>
                <w:color w:val="auto"/>
              </w:rPr>
            </w:pPr>
          </w:p>
        </w:tc>
        <w:tc>
          <w:tcPr>
            <w:tcW w:w="146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2</w:t>
            </w:r>
          </w:p>
        </w:tc>
        <w:tc>
          <w:tcPr>
            <w:tcW w:w="13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4140" w:type="dxa"/>
            <w:vAlign w:val="bottom"/>
          </w:tcPr>
          <w:p>
            <w:pPr>
              <w:ind w:left="146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2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5,965,015</w:t>
            </w:r>
          </w:p>
        </w:tc>
        <w:tc>
          <w:tcPr>
            <w:tcW w:w="100" w:type="dxa"/>
            <w:vAlign w:val="bottom"/>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100 %</w:t>
            </w:r>
          </w:p>
        </w:tc>
        <w:tc>
          <w:tcPr>
            <w:tcW w:w="120" w:type="dxa"/>
            <w:vAlign w:val="bottom"/>
          </w:tcPr>
          <w:p>
            <w:pPr>
              <w:spacing w:after="0"/>
              <w:rPr>
                <w:sz w:val="18"/>
                <w:szCs w:val="18"/>
                <w:color w:val="auto"/>
              </w:rPr>
            </w:pPr>
          </w:p>
        </w:tc>
        <w:tc>
          <w:tcPr>
            <w:tcW w:w="24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5,714,612</w:t>
            </w:r>
          </w:p>
        </w:tc>
        <w:tc>
          <w:tcPr>
            <w:tcW w:w="100" w:type="dxa"/>
            <w:vAlign w:val="bottom"/>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100 %</w:t>
            </w:r>
          </w:p>
        </w:tc>
        <w:tc>
          <w:tcPr>
            <w:tcW w:w="1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Asset Quality and Risk Elements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manage asset quality and control credit risk through review and oversight of the loan portfolio as well as adherence to policies designed to promote sound underwriting and loan monitoring practices. Our credit risk management function is responsible for monitoring asset quality and Board approved portfolio concentration limits, establishing credit policies and procedures and enforcing the consistent application of these policies and procedures.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The ACL reflects our assessment of the life of loan expected credit losses in the loan portfolio and unfunded loan commitments. This assessment involves uncertainty and judgment and is subject to change in future periods. See the </w:t>
      </w:r>
      <w:r>
        <w:rPr>
          <w:rFonts w:ascii="Times New Roman" w:cs="Times New Roman" w:eastAsia="Times New Roman" w:hAnsi="Times New Roman"/>
          <w:sz w:val="18"/>
          <w:szCs w:val="18"/>
          <w:i w:val="1"/>
          <w:iCs w:val="1"/>
          <w:color w:val="auto"/>
        </w:rPr>
        <w:t>Critical Accounting Estimates</w:t>
      </w:r>
      <w:r>
        <w:rPr>
          <w:rFonts w:ascii="Times New Roman" w:cs="Times New Roman" w:eastAsia="Times New Roman" w:hAnsi="Times New Roman"/>
          <w:sz w:val="18"/>
          <w:szCs w:val="18"/>
          <w:color w:val="auto"/>
        </w:rPr>
        <w:t xml:space="preserve"> section of MD&amp;A in our 2024 10-K for additional information on the ACL.</w:t>
      </w:r>
    </w:p>
    <w:p>
      <w:pPr>
        <w:sectPr>
          <w:pgSz w:w="11900" w:h="16838" w:orient="portrait"/>
          <w:cols w:equalWidth="0" w:num="1">
            <w:col w:w="11240"/>
          </w:cols>
          <w:pgMar w:left="320" w:top="92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type w:val="continuous"/>
        </w:sectPr>
      </w:pPr>
    </w:p>
    <w:bookmarkStart w:id="45" w:name="page46"/>
    <w:bookmarkEnd w:id="45"/>
    <w:p>
      <w:pPr>
        <w:jc w:val="both"/>
        <w:spacing w:after="0" w:line="255" w:lineRule="auto"/>
        <w:rPr>
          <w:sz w:val="20"/>
          <w:szCs w:val="20"/>
          <w:color w:val="auto"/>
        </w:rPr>
      </w:pPr>
      <w:r>
        <w:rPr>
          <w:rFonts w:ascii="Times New Roman" w:cs="Times New Roman" w:eastAsia="Times New Roman" w:hAnsi="Times New Roman"/>
          <w:sz w:val="18"/>
          <w:szCs w:val="18"/>
          <w:color w:val="auto"/>
        </w:rPr>
        <w:t>The ACL for loans at September 30, 2025 totaled $216 million compared to $207 million at December 31, 2024 and the ACL for loans as a percentage of total loans decreased slightly to 1.13% from 1.14%. The increase in the ACL was primarily attributable to loan growth and the initial allowance established for ANB, partially offset by a reduction in the Hurricane Helene related allowance based on our latest assessment of potential storm related-loan losses. The initial ACL for ANB loans totaled $3.65 million, $1.25 million of which was reclassified from the fair value of PCD loans with no impact to earnings. The Hurricane Helene related reserve totaled $1.88 million and $9.80 million at September 30, 2025 and December 31, 2024, respectively. Our ACL for unfunded commitments, which totaled $12.5 million, increased $2.09 million compared to December 31, 2024 mostly due to an increase in our construction commitments.</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a summary of net charge-offs to average loans for the periods indicated.</w:t>
      </w:r>
    </w:p>
    <w:p>
      <w:pPr>
        <w:spacing w:after="0" w:line="1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Table 10 - Net Charge-offs to Average Loans</w:t>
      </w:r>
    </w:p>
    <w:p>
      <w:pPr>
        <w:spacing w:after="0" w:line="3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i w:val="1"/>
          <w:iCs w:val="1"/>
          <w:color w:val="auto"/>
        </w:rPr>
        <w:t>(dollars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8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180" w:type="dxa"/>
            <w:vAlign w:val="bottom"/>
            <w:gridSpan w:val="5"/>
          </w:tcPr>
          <w:p>
            <w:pPr>
              <w:ind w:left="60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420" w:type="dxa"/>
            <w:vAlign w:val="bottom"/>
          </w:tcPr>
          <w:p>
            <w:pPr>
              <w:spacing w:after="0"/>
              <w:rPr>
                <w:sz w:val="16"/>
                <w:szCs w:val="16"/>
                <w:color w:val="auto"/>
              </w:rPr>
            </w:pPr>
          </w:p>
        </w:tc>
        <w:tc>
          <w:tcPr>
            <w:tcW w:w="2240" w:type="dxa"/>
            <w:vAlign w:val="bottom"/>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Nine Months Ended</w:t>
            </w:r>
          </w:p>
        </w:tc>
        <w:tc>
          <w:tcPr>
            <w:tcW w:w="1140" w:type="dxa"/>
            <w:vAlign w:val="bottom"/>
          </w:tcPr>
          <w:p>
            <w:pPr>
              <w:spacing w:after="0"/>
              <w:rPr>
                <w:sz w:val="16"/>
                <w:szCs w:val="16"/>
                <w:color w:val="auto"/>
              </w:rPr>
            </w:pPr>
          </w:p>
        </w:tc>
      </w:tr>
      <w:tr>
        <w:trPr>
          <w:trHeight w:val="214"/>
        </w:trPr>
        <w:tc>
          <w:tcPr>
            <w:tcW w:w="388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960" w:type="dxa"/>
            <w:vAlign w:val="bottom"/>
            <w:tcBorders>
              <w:bottom w:val="single" w:sz="8" w:color="auto"/>
            </w:tcBorders>
            <w:gridSpan w:val="3"/>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110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2240" w:type="dxa"/>
            <w:vAlign w:val="bottom"/>
            <w:tcBorders>
              <w:bottom w:val="single" w:sz="8" w:color="auto"/>
            </w:tcBorders>
            <w:gridSpan w:val="3"/>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1140" w:type="dxa"/>
            <w:vAlign w:val="bottom"/>
            <w:tcBorders>
              <w:bottom w:val="single" w:sz="8" w:color="auto"/>
            </w:tcBorders>
          </w:tcPr>
          <w:p>
            <w:pPr>
              <w:spacing w:after="0"/>
              <w:rPr>
                <w:sz w:val="18"/>
                <w:szCs w:val="18"/>
                <w:color w:val="auto"/>
              </w:rPr>
            </w:pPr>
          </w:p>
        </w:tc>
      </w:tr>
      <w:tr>
        <w:trPr>
          <w:trHeight w:val="210"/>
        </w:trPr>
        <w:tc>
          <w:tcPr>
            <w:tcW w:w="388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57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20" w:type="dxa"/>
            <w:vAlign w:val="bottom"/>
            <w:tcBorders>
              <w:bottom w:val="single" w:sz="8" w:color="CCEEFF"/>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57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2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67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20" w:type="dxa"/>
            <w:vAlign w:val="bottom"/>
            <w:tcBorders>
              <w:bottom w:val="single" w:sz="8" w:color="CCEEFF"/>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679"/>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198"/>
        </w:trPr>
        <w:tc>
          <w:tcPr>
            <w:tcW w:w="3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Net charge-offs (recoveries)</w:t>
            </w:r>
          </w:p>
        </w:tc>
        <w:tc>
          <w:tcPr>
            <w:tcW w:w="38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r>
      <w:tr>
        <w:trPr>
          <w:trHeight w:val="213"/>
        </w:trPr>
        <w:tc>
          <w:tcPr>
            <w:tcW w:w="38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Owner occupied CRE</w:t>
            </w:r>
          </w:p>
        </w:tc>
        <w:tc>
          <w:tcPr>
            <w:tcW w:w="38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2,497</w:t>
            </w:r>
          </w:p>
        </w:tc>
        <w:tc>
          <w:tcPr>
            <w:tcW w:w="120" w:type="dxa"/>
            <w:vAlign w:val="bottom"/>
          </w:tcPr>
          <w:p>
            <w:pPr>
              <w:spacing w:after="0"/>
              <w:rPr>
                <w:sz w:val="18"/>
                <w:szCs w:val="18"/>
                <w:color w:val="auto"/>
              </w:rPr>
            </w:pPr>
          </w:p>
        </w:tc>
        <w:tc>
          <w:tcPr>
            <w:tcW w:w="560" w:type="dxa"/>
            <w:vAlign w:val="bottom"/>
          </w:tcPr>
          <w:p>
            <w:pPr>
              <w:jc w:val="right"/>
              <w:ind w:right="37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(184)</w:t>
            </w:r>
          </w:p>
        </w:tc>
        <w:tc>
          <w:tcPr>
            <w:tcW w:w="120" w:type="dxa"/>
            <w:vAlign w:val="bottom"/>
          </w:tcPr>
          <w:p>
            <w:pPr>
              <w:spacing w:after="0"/>
              <w:rPr>
                <w:sz w:val="18"/>
                <w:szCs w:val="18"/>
                <w:color w:val="auto"/>
              </w:rPr>
            </w:pPr>
          </w:p>
        </w:tc>
        <w:tc>
          <w:tcPr>
            <w:tcW w:w="420" w:type="dxa"/>
            <w:vAlign w:val="bottom"/>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3,093</w:t>
            </w:r>
          </w:p>
        </w:tc>
        <w:tc>
          <w:tcPr>
            <w:tcW w:w="120" w:type="dxa"/>
            <w:vAlign w:val="bottom"/>
          </w:tcPr>
          <w:p>
            <w:pPr>
              <w:spacing w:after="0"/>
              <w:rPr>
                <w:sz w:val="18"/>
                <w:szCs w:val="18"/>
                <w:color w:val="auto"/>
              </w:rPr>
            </w:pPr>
          </w:p>
        </w:tc>
        <w:tc>
          <w:tcPr>
            <w:tcW w:w="700" w:type="dxa"/>
            <w:vAlign w:val="bottom"/>
          </w:tcPr>
          <w:p>
            <w:pPr>
              <w:jc w:val="right"/>
              <w:ind w:right="539"/>
              <w:spacing w:after="0"/>
              <w:rPr>
                <w:sz w:val="20"/>
                <w:szCs w:val="20"/>
                <w:color w:val="auto"/>
              </w:rPr>
            </w:pPr>
            <w:r>
              <w:rPr>
                <w:rFonts w:ascii="Times New Roman" w:cs="Times New Roman" w:eastAsia="Times New Roman" w:hAnsi="Times New Roman"/>
                <w:sz w:val="16"/>
                <w:szCs w:val="16"/>
                <w:color w:val="auto"/>
                <w:w w:val="74"/>
              </w:rPr>
              <w:t>$</w:t>
            </w:r>
          </w:p>
        </w:tc>
        <w:tc>
          <w:tcPr>
            <w:tcW w:w="11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181</w:t>
            </w:r>
          </w:p>
        </w:tc>
      </w:tr>
      <w:tr>
        <w:trPr>
          <w:trHeight w:val="219"/>
        </w:trPr>
        <w:tc>
          <w:tcPr>
            <w:tcW w:w="38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Income producing CRE</w:t>
            </w: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(106)</w:t>
            </w:r>
          </w:p>
        </w:tc>
        <w:tc>
          <w:tcPr>
            <w:tcW w:w="1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1,409</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1,545</w:t>
            </w:r>
          </w:p>
        </w:tc>
        <w:tc>
          <w:tcPr>
            <w:tcW w:w="1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4,582</w:t>
            </w:r>
          </w:p>
        </w:tc>
      </w:tr>
      <w:tr>
        <w:trPr>
          <w:trHeight w:val="213"/>
        </w:trPr>
        <w:tc>
          <w:tcPr>
            <w:tcW w:w="38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Commercial &amp; industrial</w:t>
            </w:r>
          </w:p>
        </w:tc>
        <w:tc>
          <w:tcPr>
            <w:tcW w:w="380" w:type="dxa"/>
            <w:vAlign w:val="bottom"/>
          </w:tcPr>
          <w:p>
            <w:pPr>
              <w:spacing w:after="0"/>
              <w:rPr>
                <w:sz w:val="18"/>
                <w:szCs w:val="18"/>
                <w:color w:val="auto"/>
              </w:rPr>
            </w:pPr>
          </w:p>
        </w:tc>
        <w:tc>
          <w:tcPr>
            <w:tcW w:w="12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(1,132)</w:t>
            </w: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1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4,577</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2,342</w:t>
            </w: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1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9,764</w:t>
            </w:r>
          </w:p>
        </w:tc>
      </w:tr>
      <w:tr>
        <w:trPr>
          <w:trHeight w:val="219"/>
        </w:trPr>
        <w:tc>
          <w:tcPr>
            <w:tcW w:w="38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Commercial construction</w:t>
            </w: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491</w:t>
            </w:r>
          </w:p>
        </w:tc>
        <w:tc>
          <w:tcPr>
            <w:tcW w:w="1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36</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442</w:t>
            </w:r>
          </w:p>
        </w:tc>
        <w:tc>
          <w:tcPr>
            <w:tcW w:w="1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8</w:t>
            </w:r>
          </w:p>
        </w:tc>
      </w:tr>
      <w:tr>
        <w:trPr>
          <w:trHeight w:val="213"/>
        </w:trPr>
        <w:tc>
          <w:tcPr>
            <w:tcW w:w="38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Equipment financing</w:t>
            </w:r>
          </w:p>
        </w:tc>
        <w:tc>
          <w:tcPr>
            <w:tcW w:w="380" w:type="dxa"/>
            <w:vAlign w:val="bottom"/>
          </w:tcPr>
          <w:p>
            <w:pPr>
              <w:spacing w:after="0"/>
              <w:rPr>
                <w:sz w:val="18"/>
                <w:szCs w:val="18"/>
                <w:color w:val="auto"/>
              </w:rPr>
            </w:pPr>
          </w:p>
        </w:tc>
        <w:tc>
          <w:tcPr>
            <w:tcW w:w="12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5,487</w:t>
            </w: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1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5,268</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15,492</w:t>
            </w: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1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17,132</w:t>
            </w:r>
          </w:p>
        </w:tc>
      </w:tr>
      <w:tr>
        <w:trPr>
          <w:trHeight w:val="219"/>
        </w:trPr>
        <w:tc>
          <w:tcPr>
            <w:tcW w:w="38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Residential mortgage</w:t>
            </w: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(259)</w:t>
            </w:r>
          </w:p>
        </w:tc>
        <w:tc>
          <w:tcPr>
            <w:tcW w:w="1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32</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53</w:t>
            </w:r>
          </w:p>
        </w:tc>
        <w:tc>
          <w:tcPr>
            <w:tcW w:w="1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(91)</w:t>
            </w:r>
          </w:p>
        </w:tc>
      </w:tr>
      <w:tr>
        <w:trPr>
          <w:trHeight w:val="213"/>
        </w:trPr>
        <w:tc>
          <w:tcPr>
            <w:tcW w:w="38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Home equity</w:t>
            </w:r>
          </w:p>
        </w:tc>
        <w:tc>
          <w:tcPr>
            <w:tcW w:w="380" w:type="dxa"/>
            <w:vAlign w:val="bottom"/>
          </w:tcPr>
          <w:p>
            <w:pPr>
              <w:spacing w:after="0"/>
              <w:rPr>
                <w:sz w:val="18"/>
                <w:szCs w:val="18"/>
                <w:color w:val="auto"/>
              </w:rPr>
            </w:pPr>
          </w:p>
        </w:tc>
        <w:tc>
          <w:tcPr>
            <w:tcW w:w="12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19</w:t>
            </w: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1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36</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(115)</w:t>
            </w: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1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(45)</w:t>
            </w:r>
          </w:p>
        </w:tc>
      </w:tr>
      <w:tr>
        <w:trPr>
          <w:trHeight w:val="219"/>
        </w:trPr>
        <w:tc>
          <w:tcPr>
            <w:tcW w:w="38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Residential construction</w:t>
            </w: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12</w:t>
            </w:r>
          </w:p>
        </w:tc>
        <w:tc>
          <w:tcPr>
            <w:tcW w:w="1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111</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222</w:t>
            </w:r>
          </w:p>
        </w:tc>
        <w:tc>
          <w:tcPr>
            <w:tcW w:w="1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256</w:t>
            </w:r>
          </w:p>
        </w:tc>
      </w:tr>
      <w:tr>
        <w:trPr>
          <w:trHeight w:val="213"/>
        </w:trPr>
        <w:tc>
          <w:tcPr>
            <w:tcW w:w="38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Manufactured housing</w:t>
            </w:r>
          </w:p>
        </w:tc>
        <w:tc>
          <w:tcPr>
            <w:tcW w:w="380" w:type="dxa"/>
            <w:vAlign w:val="bottom"/>
          </w:tcPr>
          <w:p>
            <w:pPr>
              <w:spacing w:after="0"/>
              <w:rPr>
                <w:sz w:val="18"/>
                <w:szCs w:val="18"/>
                <w:color w:val="auto"/>
              </w:rPr>
            </w:pPr>
          </w:p>
        </w:tc>
        <w:tc>
          <w:tcPr>
            <w:tcW w:w="140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560" w:type="dxa"/>
            <w:vAlign w:val="bottom"/>
          </w:tcPr>
          <w:p>
            <w:pPr>
              <w:spacing w:after="0"/>
              <w:rPr>
                <w:sz w:val="18"/>
                <w:szCs w:val="18"/>
                <w:color w:val="auto"/>
              </w:rPr>
            </w:pPr>
          </w:p>
        </w:tc>
        <w:tc>
          <w:tcPr>
            <w:tcW w:w="11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11,556</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54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Pr>
          <w:p>
            <w:pPr>
              <w:spacing w:after="0"/>
              <w:rPr>
                <w:sz w:val="18"/>
                <w:szCs w:val="18"/>
                <w:color w:val="auto"/>
              </w:rPr>
            </w:pPr>
          </w:p>
        </w:tc>
        <w:tc>
          <w:tcPr>
            <w:tcW w:w="11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14,275</w:t>
            </w:r>
          </w:p>
        </w:tc>
      </w:tr>
      <w:tr>
        <w:trPr>
          <w:trHeight w:val="219"/>
        </w:trPr>
        <w:tc>
          <w:tcPr>
            <w:tcW w:w="38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Consumer</w:t>
            </w:r>
          </w:p>
        </w:tc>
        <w:tc>
          <w:tcPr>
            <w:tcW w:w="3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667</w:t>
            </w:r>
          </w:p>
        </w:tc>
        <w:tc>
          <w:tcPr>
            <w:tcW w:w="120" w:type="dxa"/>
            <w:vAlign w:val="bottom"/>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810</w:t>
            </w:r>
          </w:p>
        </w:tc>
        <w:tc>
          <w:tcPr>
            <w:tcW w:w="12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2,434</w:t>
            </w:r>
          </w:p>
        </w:tc>
        <w:tc>
          <w:tcPr>
            <w:tcW w:w="120" w:type="dxa"/>
            <w:vAlign w:val="bottom"/>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2,111</w:t>
            </w:r>
          </w:p>
        </w:tc>
      </w:tr>
      <w:tr>
        <w:trPr>
          <w:trHeight w:val="207"/>
        </w:trPr>
        <w:tc>
          <w:tcPr>
            <w:tcW w:w="388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6"/>
                <w:szCs w:val="16"/>
                <w:b w:val="1"/>
                <w:bCs w:val="1"/>
                <w:color w:val="auto"/>
              </w:rPr>
              <w:t>Total net charge-offs</w:t>
            </w:r>
          </w:p>
        </w:tc>
        <w:tc>
          <w:tcPr>
            <w:tcW w:w="38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7,676</w:t>
            </w:r>
          </w:p>
        </w:tc>
        <w:tc>
          <w:tcPr>
            <w:tcW w:w="120" w:type="dxa"/>
            <w:vAlign w:val="bottom"/>
            <w:tcBorders>
              <w:bottom w:val="single" w:sz="8" w:color="CCEEFF"/>
            </w:tcBorders>
          </w:tcPr>
          <w:p>
            <w:pPr>
              <w:spacing w:after="0"/>
              <w:rPr>
                <w:sz w:val="17"/>
                <w:szCs w:val="17"/>
                <w:color w:val="auto"/>
              </w:rPr>
            </w:pPr>
          </w:p>
        </w:tc>
        <w:tc>
          <w:tcPr>
            <w:tcW w:w="560" w:type="dxa"/>
            <w:vAlign w:val="bottom"/>
            <w:tcBorders>
              <w:bottom w:val="single" w:sz="8" w:color="auto"/>
            </w:tcBorders>
          </w:tcPr>
          <w:p>
            <w:pPr>
              <w:jc w:val="right"/>
              <w:ind w:right="37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23,651</w:t>
            </w:r>
          </w:p>
        </w:tc>
        <w:tc>
          <w:tcPr>
            <w:tcW w:w="120" w:type="dxa"/>
            <w:vAlign w:val="bottom"/>
            <w:tcBorders>
              <w:bottom w:val="single" w:sz="8" w:color="CCEEFF"/>
            </w:tcBorders>
          </w:tcPr>
          <w:p>
            <w:pPr>
              <w:spacing w:after="0"/>
              <w:rPr>
                <w:sz w:val="17"/>
                <w:szCs w:val="17"/>
                <w:color w:val="auto"/>
              </w:rPr>
            </w:pPr>
          </w:p>
        </w:tc>
        <w:tc>
          <w:tcPr>
            <w:tcW w:w="420" w:type="dxa"/>
            <w:vAlign w:val="bottom"/>
            <w:tcBorders>
              <w:bottom w:val="single" w:sz="8" w:color="auto"/>
            </w:tcBorders>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25,508</w:t>
            </w:r>
          </w:p>
        </w:tc>
        <w:tc>
          <w:tcPr>
            <w:tcW w:w="120" w:type="dxa"/>
            <w:vAlign w:val="bottom"/>
            <w:tcBorders>
              <w:bottom w:val="single" w:sz="8" w:color="CCEEFF"/>
            </w:tcBorders>
          </w:tcPr>
          <w:p>
            <w:pPr>
              <w:spacing w:after="0"/>
              <w:rPr>
                <w:sz w:val="17"/>
                <w:szCs w:val="17"/>
                <w:color w:val="auto"/>
              </w:rPr>
            </w:pPr>
          </w:p>
        </w:tc>
        <w:tc>
          <w:tcPr>
            <w:tcW w:w="700" w:type="dxa"/>
            <w:vAlign w:val="bottom"/>
            <w:tcBorders>
              <w:bottom w:val="single" w:sz="8" w:color="auto"/>
            </w:tcBorders>
          </w:tcPr>
          <w:p>
            <w:pPr>
              <w:jc w:val="right"/>
              <w:ind w:right="539"/>
              <w:spacing w:after="0"/>
              <w:rPr>
                <w:sz w:val="20"/>
                <w:szCs w:val="20"/>
                <w:color w:val="auto"/>
              </w:rPr>
            </w:pPr>
            <w:r>
              <w:rPr>
                <w:rFonts w:ascii="Times New Roman" w:cs="Times New Roman" w:eastAsia="Times New Roman" w:hAnsi="Times New Roman"/>
                <w:sz w:val="16"/>
                <w:szCs w:val="16"/>
                <w:color w:val="auto"/>
                <w:w w:val="74"/>
              </w:rPr>
              <w:t>$</w:t>
            </w:r>
          </w:p>
        </w:tc>
        <w:tc>
          <w:tcPr>
            <w:tcW w:w="114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48,173</w:t>
            </w:r>
          </w:p>
        </w:tc>
      </w:tr>
      <w:tr>
        <w:trPr>
          <w:trHeight w:val="199"/>
        </w:trPr>
        <w:tc>
          <w:tcPr>
            <w:tcW w:w="38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r>
      <w:tr>
        <w:trPr>
          <w:trHeight w:val="214"/>
        </w:trPr>
        <w:tc>
          <w:tcPr>
            <w:tcW w:w="38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Average loans</w:t>
            </w:r>
          </w:p>
        </w:tc>
        <w:tc>
          <w:tcPr>
            <w:tcW w:w="3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8"/>
        </w:trPr>
        <w:tc>
          <w:tcPr>
            <w:tcW w:w="38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Owner occupied CRE</w:t>
            </w:r>
          </w:p>
        </w:tc>
        <w:tc>
          <w:tcPr>
            <w:tcW w:w="38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3,596,119</w:t>
            </w: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ind w:right="37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3,305,391</w:t>
            </w: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3,465,214</w:t>
            </w: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539"/>
              <w:spacing w:after="0"/>
              <w:rPr>
                <w:sz w:val="20"/>
                <w:szCs w:val="20"/>
                <w:color w:val="auto"/>
              </w:rPr>
            </w:pPr>
            <w:r>
              <w:rPr>
                <w:rFonts w:ascii="Times New Roman" w:cs="Times New Roman" w:eastAsia="Times New Roman" w:hAnsi="Times New Roman"/>
                <w:sz w:val="16"/>
                <w:szCs w:val="16"/>
                <w:color w:val="auto"/>
                <w:w w:val="74"/>
              </w:rPr>
              <w:t>$</w:t>
            </w:r>
          </w:p>
        </w:tc>
        <w:tc>
          <w:tcPr>
            <w:tcW w:w="114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3,290,993</w:t>
            </w:r>
          </w:p>
        </w:tc>
      </w:tr>
      <w:tr>
        <w:trPr>
          <w:trHeight w:val="213"/>
        </w:trPr>
        <w:tc>
          <w:tcPr>
            <w:tcW w:w="38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Income producing CRE</w:t>
            </w:r>
          </w:p>
        </w:tc>
        <w:tc>
          <w:tcPr>
            <w:tcW w:w="380" w:type="dxa"/>
            <w:vAlign w:val="bottom"/>
          </w:tcPr>
          <w:p>
            <w:pPr>
              <w:spacing w:after="0"/>
              <w:rPr>
                <w:sz w:val="18"/>
                <w:szCs w:val="18"/>
                <w:color w:val="auto"/>
              </w:rPr>
            </w:pPr>
          </w:p>
        </w:tc>
        <w:tc>
          <w:tcPr>
            <w:tcW w:w="12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4,558,960</w:t>
            </w: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1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4,152,421</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4,518,396</w:t>
            </w: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1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4,163,423</w:t>
            </w:r>
          </w:p>
        </w:tc>
      </w:tr>
      <w:tr>
        <w:trPr>
          <w:trHeight w:val="219"/>
        </w:trPr>
        <w:tc>
          <w:tcPr>
            <w:tcW w:w="38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Commercial &amp; industrial</w:t>
            </w: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2,547,228</w:t>
            </w:r>
          </w:p>
        </w:tc>
        <w:tc>
          <w:tcPr>
            <w:tcW w:w="1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2,302,556</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2,502,676</w:t>
            </w:r>
          </w:p>
        </w:tc>
        <w:tc>
          <w:tcPr>
            <w:tcW w:w="1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2,348,293</w:t>
            </w:r>
          </w:p>
        </w:tc>
      </w:tr>
      <w:tr>
        <w:trPr>
          <w:trHeight w:val="213"/>
        </w:trPr>
        <w:tc>
          <w:tcPr>
            <w:tcW w:w="38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Commercial construction</w:t>
            </w:r>
          </w:p>
        </w:tc>
        <w:tc>
          <w:tcPr>
            <w:tcW w:w="380" w:type="dxa"/>
            <w:vAlign w:val="bottom"/>
          </w:tcPr>
          <w:p>
            <w:pPr>
              <w:spacing w:after="0"/>
              <w:rPr>
                <w:sz w:val="18"/>
                <w:szCs w:val="18"/>
                <w:color w:val="auto"/>
              </w:rPr>
            </w:pPr>
          </w:p>
        </w:tc>
        <w:tc>
          <w:tcPr>
            <w:tcW w:w="12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1,759,235</w:t>
            </w: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1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1,896,616</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1,712,303</w:t>
            </w: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1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1,918,449</w:t>
            </w:r>
          </w:p>
        </w:tc>
      </w:tr>
      <w:tr>
        <w:trPr>
          <w:trHeight w:val="219"/>
        </w:trPr>
        <w:tc>
          <w:tcPr>
            <w:tcW w:w="38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Equipment financing</w:t>
            </w: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1,771,095</w:t>
            </w:r>
          </w:p>
        </w:tc>
        <w:tc>
          <w:tcPr>
            <w:tcW w:w="1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1,590,140</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1,716,466</w:t>
            </w:r>
          </w:p>
        </w:tc>
        <w:tc>
          <w:tcPr>
            <w:tcW w:w="1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1,561,859</w:t>
            </w:r>
          </w:p>
        </w:tc>
      </w:tr>
      <w:tr>
        <w:trPr>
          <w:trHeight w:val="213"/>
        </w:trPr>
        <w:tc>
          <w:tcPr>
            <w:tcW w:w="38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Residential mortgage</w:t>
            </w:r>
          </w:p>
        </w:tc>
        <w:tc>
          <w:tcPr>
            <w:tcW w:w="380" w:type="dxa"/>
            <w:vAlign w:val="bottom"/>
          </w:tcPr>
          <w:p>
            <w:pPr>
              <w:spacing w:after="0"/>
              <w:rPr>
                <w:sz w:val="18"/>
                <w:szCs w:val="18"/>
                <w:color w:val="auto"/>
              </w:rPr>
            </w:pPr>
          </w:p>
        </w:tc>
        <w:tc>
          <w:tcPr>
            <w:tcW w:w="12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3,203,555</w:t>
            </w: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1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3,260,024</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3,218,995</w:t>
            </w: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1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3,236,507</w:t>
            </w:r>
          </w:p>
        </w:tc>
      </w:tr>
      <w:tr>
        <w:trPr>
          <w:trHeight w:val="219"/>
        </w:trPr>
        <w:tc>
          <w:tcPr>
            <w:tcW w:w="38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Home equity</w:t>
            </w: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1,206,131</w:t>
            </w:r>
          </w:p>
        </w:tc>
        <w:tc>
          <w:tcPr>
            <w:tcW w:w="1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998,335</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1,135,693</w:t>
            </w:r>
          </w:p>
        </w:tc>
        <w:tc>
          <w:tcPr>
            <w:tcW w:w="1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977,571</w:t>
            </w:r>
          </w:p>
        </w:tc>
      </w:tr>
      <w:tr>
        <w:trPr>
          <w:trHeight w:val="213"/>
        </w:trPr>
        <w:tc>
          <w:tcPr>
            <w:tcW w:w="38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Residential construction</w:t>
            </w:r>
          </w:p>
        </w:tc>
        <w:tc>
          <w:tcPr>
            <w:tcW w:w="380" w:type="dxa"/>
            <w:vAlign w:val="bottom"/>
          </w:tcPr>
          <w:p>
            <w:pPr>
              <w:spacing w:after="0"/>
              <w:rPr>
                <w:sz w:val="18"/>
                <w:szCs w:val="18"/>
                <w:color w:val="auto"/>
              </w:rPr>
            </w:pPr>
          </w:p>
        </w:tc>
        <w:tc>
          <w:tcPr>
            <w:tcW w:w="12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178,286</w:t>
            </w: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1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199,850</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176,550</w:t>
            </w: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1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237,167</w:t>
            </w:r>
          </w:p>
        </w:tc>
      </w:tr>
      <w:tr>
        <w:trPr>
          <w:trHeight w:val="219"/>
        </w:trPr>
        <w:tc>
          <w:tcPr>
            <w:tcW w:w="38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Manufactured housing</w:t>
            </w:r>
          </w:p>
        </w:tc>
        <w:tc>
          <w:tcPr>
            <w:tcW w:w="38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56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161,246</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5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271,492</w:t>
            </w:r>
          </w:p>
        </w:tc>
      </w:tr>
      <w:tr>
        <w:trPr>
          <w:trHeight w:val="213"/>
        </w:trPr>
        <w:tc>
          <w:tcPr>
            <w:tcW w:w="38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Consumer</w:t>
            </w:r>
          </w:p>
        </w:tc>
        <w:tc>
          <w:tcPr>
            <w:tcW w:w="3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190,054</w:t>
            </w:r>
          </w:p>
        </w:tc>
        <w:tc>
          <w:tcPr>
            <w:tcW w:w="120" w:type="dxa"/>
            <w:vAlign w:val="bottom"/>
            <w:tcBorders>
              <w:bottom w:val="single" w:sz="8" w:color="CCEEFF"/>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185,162</w:t>
            </w:r>
          </w:p>
        </w:tc>
        <w:tc>
          <w:tcPr>
            <w:tcW w:w="12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186,091</w:t>
            </w:r>
          </w:p>
        </w:tc>
        <w:tc>
          <w:tcPr>
            <w:tcW w:w="120" w:type="dxa"/>
            <w:vAlign w:val="bottom"/>
            <w:tcBorders>
              <w:bottom w:val="single" w:sz="8" w:color="CCEEFF"/>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182,036</w:t>
            </w:r>
          </w:p>
        </w:tc>
      </w:tr>
      <w:tr>
        <w:trPr>
          <w:trHeight w:val="237"/>
        </w:trPr>
        <w:tc>
          <w:tcPr>
            <w:tcW w:w="388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6"/>
                <w:szCs w:val="16"/>
                <w:b w:val="1"/>
                <w:bCs w:val="1"/>
                <w:color w:val="auto"/>
              </w:rPr>
              <w:t>Total average loans</w:t>
            </w: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19,010,663</w:t>
            </w:r>
          </w:p>
        </w:tc>
        <w:tc>
          <w:tcPr>
            <w:tcW w:w="12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auto"/>
            </w:tcBorders>
            <w:shd w:val="clear" w:color="auto" w:fill="CCEEFF"/>
          </w:tcPr>
          <w:p>
            <w:pPr>
              <w:jc w:val="right"/>
              <w:ind w:right="37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18,051,741</w:t>
            </w:r>
          </w:p>
        </w:tc>
        <w:tc>
          <w:tcPr>
            <w:tcW w:w="12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auto"/>
            </w:tcBorders>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18,632,384</w:t>
            </w:r>
          </w:p>
        </w:tc>
        <w:tc>
          <w:tcPr>
            <w:tcW w:w="12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auto"/>
            </w:tcBorders>
            <w:shd w:val="clear" w:color="auto" w:fill="CCEEFF"/>
          </w:tcPr>
          <w:p>
            <w:pPr>
              <w:jc w:val="right"/>
              <w:ind w:right="539"/>
              <w:spacing w:after="0"/>
              <w:rPr>
                <w:sz w:val="20"/>
                <w:szCs w:val="20"/>
                <w:color w:val="auto"/>
              </w:rPr>
            </w:pPr>
            <w:r>
              <w:rPr>
                <w:rFonts w:ascii="Times New Roman" w:cs="Times New Roman" w:eastAsia="Times New Roman" w:hAnsi="Times New Roman"/>
                <w:sz w:val="16"/>
                <w:szCs w:val="16"/>
                <w:color w:val="auto"/>
                <w:w w:val="74"/>
              </w:rPr>
              <w:t>$</w:t>
            </w:r>
          </w:p>
        </w:tc>
        <w:tc>
          <w:tcPr>
            <w:tcW w:w="114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18,187,790</w:t>
            </w:r>
          </w:p>
        </w:tc>
      </w:tr>
      <w:tr>
        <w:trPr>
          <w:trHeight w:val="20"/>
        </w:trPr>
        <w:tc>
          <w:tcPr>
            <w:tcW w:w="38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r>
        <w:trPr>
          <w:trHeight w:val="163"/>
        </w:trPr>
        <w:tc>
          <w:tcPr>
            <w:tcW w:w="38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216"/>
        </w:trPr>
        <w:tc>
          <w:tcPr>
            <w:tcW w:w="3880" w:type="dxa"/>
            <w:vAlign w:val="bottom"/>
            <w:shd w:val="clear" w:color="auto" w:fill="CCEEFF"/>
          </w:tcPr>
          <w:p>
            <w:pPr>
              <w:ind w:left="20"/>
              <w:spacing w:after="0" w:line="216" w:lineRule="exact"/>
              <w:rPr>
                <w:sz w:val="20"/>
                <w:szCs w:val="20"/>
                <w:color w:val="auto"/>
              </w:rPr>
            </w:pPr>
            <w:r>
              <w:rPr>
                <w:rFonts w:ascii="Times New Roman" w:cs="Times New Roman" w:eastAsia="Times New Roman" w:hAnsi="Times New Roman"/>
                <w:sz w:val="16"/>
                <w:szCs w:val="16"/>
                <w:b w:val="1"/>
                <w:bCs w:val="1"/>
                <w:color w:val="auto"/>
              </w:rPr>
              <w:t xml:space="preserve">Net charge-offs to average loans </w:t>
            </w:r>
            <w:r>
              <w:rPr>
                <w:rFonts w:ascii="Times New Roman" w:cs="Times New Roman" w:eastAsia="Times New Roman" w:hAnsi="Times New Roman"/>
                <w:sz w:val="21"/>
                <w:szCs w:val="21"/>
                <w:b w:val="1"/>
                <w:bCs w:val="1"/>
                <w:color w:val="auto"/>
                <w:vertAlign w:val="superscript"/>
              </w:rPr>
              <w:t>(1)</w:t>
            </w:r>
          </w:p>
        </w:tc>
        <w:tc>
          <w:tcPr>
            <w:tcW w:w="3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r>
      <w:tr>
        <w:trPr>
          <w:trHeight w:val="213"/>
        </w:trPr>
        <w:tc>
          <w:tcPr>
            <w:tcW w:w="38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Owner occupied CRE</w:t>
            </w:r>
          </w:p>
        </w:tc>
        <w:tc>
          <w:tcPr>
            <w:tcW w:w="3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0.28 %</w:t>
            </w: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(0.02)%</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0.12 %</w:t>
            </w: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0.01 %</w:t>
            </w:r>
          </w:p>
        </w:tc>
      </w:tr>
      <w:tr>
        <w:trPr>
          <w:trHeight w:val="219"/>
        </w:trPr>
        <w:tc>
          <w:tcPr>
            <w:tcW w:w="38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Income producing CRE</w:t>
            </w: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(0.01)</w:t>
            </w:r>
          </w:p>
        </w:tc>
        <w:tc>
          <w:tcPr>
            <w:tcW w:w="1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0.13</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0.05</w:t>
            </w:r>
          </w:p>
        </w:tc>
        <w:tc>
          <w:tcPr>
            <w:tcW w:w="1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0.15</w:t>
            </w:r>
          </w:p>
        </w:tc>
      </w:tr>
      <w:tr>
        <w:trPr>
          <w:trHeight w:val="213"/>
        </w:trPr>
        <w:tc>
          <w:tcPr>
            <w:tcW w:w="38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Commercial &amp; industrial</w:t>
            </w:r>
          </w:p>
        </w:tc>
        <w:tc>
          <w:tcPr>
            <w:tcW w:w="380" w:type="dxa"/>
            <w:vAlign w:val="bottom"/>
          </w:tcPr>
          <w:p>
            <w:pPr>
              <w:spacing w:after="0"/>
              <w:rPr>
                <w:sz w:val="18"/>
                <w:szCs w:val="18"/>
                <w:color w:val="auto"/>
              </w:rPr>
            </w:pPr>
          </w:p>
        </w:tc>
        <w:tc>
          <w:tcPr>
            <w:tcW w:w="128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(0.18)</w:t>
            </w: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1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0.79</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2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0.13</w:t>
            </w: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1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0.56</w:t>
            </w:r>
          </w:p>
        </w:tc>
      </w:tr>
      <w:tr>
        <w:trPr>
          <w:trHeight w:val="219"/>
        </w:trPr>
        <w:tc>
          <w:tcPr>
            <w:tcW w:w="38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Commercial construction</w:t>
            </w: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0.11</w:t>
            </w:r>
          </w:p>
        </w:tc>
        <w:tc>
          <w:tcPr>
            <w:tcW w:w="1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0.01</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0.03</w:t>
            </w:r>
          </w:p>
        </w:tc>
        <w:tc>
          <w:tcPr>
            <w:tcW w:w="1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38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Equipment financing</w:t>
            </w:r>
          </w:p>
        </w:tc>
        <w:tc>
          <w:tcPr>
            <w:tcW w:w="380" w:type="dxa"/>
            <w:vAlign w:val="bottom"/>
          </w:tcPr>
          <w:p>
            <w:pPr>
              <w:spacing w:after="0"/>
              <w:rPr>
                <w:sz w:val="18"/>
                <w:szCs w:val="18"/>
                <w:color w:val="auto"/>
              </w:rPr>
            </w:pPr>
          </w:p>
        </w:tc>
        <w:tc>
          <w:tcPr>
            <w:tcW w:w="12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1.23</w:t>
            </w: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1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1.32</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2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1.21</w:t>
            </w: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1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1.47</w:t>
            </w:r>
          </w:p>
        </w:tc>
      </w:tr>
      <w:tr>
        <w:trPr>
          <w:trHeight w:val="219"/>
        </w:trPr>
        <w:tc>
          <w:tcPr>
            <w:tcW w:w="38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Residential mortgage</w:t>
            </w: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(0.03)</w:t>
            </w:r>
          </w:p>
        </w:tc>
        <w:tc>
          <w:tcPr>
            <w:tcW w:w="1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shd w:val="clear" w:color="auto" w:fill="CCEEFF"/>
          </w:tcPr>
          <w:p>
            <w:pPr>
              <w:spacing w:after="0"/>
              <w:rPr>
                <w:sz w:val="19"/>
                <w:szCs w:val="19"/>
                <w:color w:val="auto"/>
              </w:rPr>
            </w:pPr>
          </w:p>
        </w:tc>
        <w:tc>
          <w:tcPr>
            <w:tcW w:w="15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38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Home equity</w:t>
            </w:r>
          </w:p>
        </w:tc>
        <w:tc>
          <w:tcPr>
            <w:tcW w:w="380" w:type="dxa"/>
            <w:vAlign w:val="bottom"/>
          </w:tcPr>
          <w:p>
            <w:pPr>
              <w:spacing w:after="0"/>
              <w:rPr>
                <w:sz w:val="18"/>
                <w:szCs w:val="18"/>
                <w:color w:val="auto"/>
              </w:rPr>
            </w:pPr>
          </w:p>
        </w:tc>
        <w:tc>
          <w:tcPr>
            <w:tcW w:w="12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0.01</w:t>
            </w: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1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0.01</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2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(0.01)</w:t>
            </w: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14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(0.01)</w:t>
            </w:r>
          </w:p>
        </w:tc>
      </w:tr>
      <w:tr>
        <w:trPr>
          <w:trHeight w:val="219"/>
        </w:trPr>
        <w:tc>
          <w:tcPr>
            <w:tcW w:w="38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Residential construction</w:t>
            </w: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0.03</w:t>
            </w:r>
          </w:p>
        </w:tc>
        <w:tc>
          <w:tcPr>
            <w:tcW w:w="1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0.22</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0.17</w:t>
            </w:r>
          </w:p>
        </w:tc>
        <w:tc>
          <w:tcPr>
            <w:tcW w:w="1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0.14</w:t>
            </w:r>
          </w:p>
        </w:tc>
      </w:tr>
      <w:tr>
        <w:trPr>
          <w:trHeight w:val="213"/>
        </w:trPr>
        <w:tc>
          <w:tcPr>
            <w:tcW w:w="38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Manufactured housing</w:t>
            </w:r>
          </w:p>
        </w:tc>
        <w:tc>
          <w:tcPr>
            <w:tcW w:w="380" w:type="dxa"/>
            <w:vAlign w:val="bottom"/>
          </w:tcPr>
          <w:p>
            <w:pPr>
              <w:spacing w:after="0"/>
              <w:rPr>
                <w:sz w:val="18"/>
                <w:szCs w:val="18"/>
                <w:color w:val="auto"/>
              </w:rPr>
            </w:pPr>
          </w:p>
        </w:tc>
        <w:tc>
          <w:tcPr>
            <w:tcW w:w="140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560" w:type="dxa"/>
            <w:vAlign w:val="bottom"/>
          </w:tcPr>
          <w:p>
            <w:pPr>
              <w:spacing w:after="0"/>
              <w:rPr>
                <w:sz w:val="18"/>
                <w:szCs w:val="18"/>
                <w:color w:val="auto"/>
              </w:rPr>
            </w:pPr>
          </w:p>
        </w:tc>
        <w:tc>
          <w:tcPr>
            <w:tcW w:w="11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28.51</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54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Pr>
          <w:p>
            <w:pPr>
              <w:spacing w:after="0"/>
              <w:rPr>
                <w:sz w:val="18"/>
                <w:szCs w:val="18"/>
                <w:color w:val="auto"/>
              </w:rPr>
            </w:pPr>
          </w:p>
        </w:tc>
        <w:tc>
          <w:tcPr>
            <w:tcW w:w="11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7.02</w:t>
            </w:r>
          </w:p>
        </w:tc>
      </w:tr>
      <w:tr>
        <w:trPr>
          <w:trHeight w:val="219"/>
        </w:trPr>
        <w:tc>
          <w:tcPr>
            <w:tcW w:w="38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Consumer</w:t>
            </w: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1.39</w:t>
            </w:r>
          </w:p>
        </w:tc>
        <w:tc>
          <w:tcPr>
            <w:tcW w:w="1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1.74</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1.75</w:t>
            </w:r>
          </w:p>
        </w:tc>
        <w:tc>
          <w:tcPr>
            <w:tcW w:w="1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1.55</w:t>
            </w:r>
          </w:p>
        </w:tc>
      </w:tr>
      <w:tr>
        <w:trPr>
          <w:trHeight w:val="212"/>
        </w:trPr>
        <w:tc>
          <w:tcPr>
            <w:tcW w:w="3880" w:type="dxa"/>
            <w:vAlign w:val="bottom"/>
          </w:tcPr>
          <w:p>
            <w:pPr>
              <w:ind w:left="36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380" w:type="dxa"/>
            <w:vAlign w:val="bottom"/>
          </w:tcPr>
          <w:p>
            <w:pPr>
              <w:spacing w:after="0"/>
              <w:rPr>
                <w:sz w:val="18"/>
                <w:szCs w:val="18"/>
                <w:color w:val="auto"/>
              </w:rPr>
            </w:pPr>
          </w:p>
        </w:tc>
        <w:tc>
          <w:tcPr>
            <w:tcW w:w="12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0.16</w:t>
            </w: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1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0.52</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2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0.18</w:t>
            </w: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1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0.35</w:t>
            </w:r>
          </w:p>
        </w:tc>
      </w:tr>
    </w:tbl>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vertAlign w:val="superscript"/>
        </w:rPr>
        <w:t>(1)</w:t>
      </w:r>
      <w:r>
        <w:rPr>
          <w:rFonts w:ascii="Times New Roman" w:cs="Times New Roman" w:eastAsia="Times New Roman" w:hAnsi="Times New Roman"/>
          <w:sz w:val="16"/>
          <w:szCs w:val="16"/>
          <w:color w:val="auto"/>
        </w:rPr>
        <w:t xml:space="preserve"> Annualized.</w:t>
      </w:r>
    </w:p>
    <w:p>
      <w:pPr>
        <w:spacing w:after="0" w:line="19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completed the sale of substantially all of our manufactured housing loan portfolio in the third quarter of 2024. In connection with the sale, we recorded an $11.0 million charge-off in the third quarter and first nine months of 2024. For the third quarter and first nine</w:t>
      </w:r>
    </w:p>
    <w:p>
      <w:pPr>
        <w:sectPr>
          <w:pgSz w:w="11900" w:h="16838" w:orient="portrait"/>
          <w:cols w:equalWidth="0" w:num="1">
            <w:col w:w="11240"/>
          </w:cols>
          <w:pgMar w:left="320" w:top="931" w:right="339" w:bottom="1440" w:gutter="0" w:footer="0" w:header="0"/>
        </w:sectPr>
      </w:pP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type w:val="continuous"/>
        </w:sectPr>
      </w:pPr>
    </w:p>
    <w:bookmarkStart w:id="46" w:name="page47"/>
    <w:bookmarkEnd w:id="46"/>
    <w:p>
      <w:pPr>
        <w:spacing w:after="0"/>
        <w:rPr>
          <w:sz w:val="20"/>
          <w:szCs w:val="20"/>
          <w:color w:val="auto"/>
        </w:rPr>
      </w:pPr>
      <w:r>
        <w:rPr>
          <w:rFonts w:ascii="Times New Roman" w:cs="Times New Roman" w:eastAsia="Times New Roman" w:hAnsi="Times New Roman"/>
          <w:sz w:val="18"/>
          <w:szCs w:val="18"/>
          <w:color w:val="auto"/>
        </w:rPr>
        <w:t>months of 2025, the average balance and net charge-offs related to the remaining manufactured housing loans are reflected in consumer loans.</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Nonperforming Assets</w:t>
      </w:r>
    </w:p>
    <w:p>
      <w:pPr>
        <w:spacing w:after="0" w:line="25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table below summarizes NPAs for the periods indicated. NPAs include nonaccrual loans, OREO and repossessed assets. Notably, we had two payoffs of senior care loans (included in income producing CRE) totaling $14.6 million.</w:t>
      </w:r>
    </w:p>
    <w:p>
      <w:pPr>
        <w:spacing w:after="0" w:line="32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Table 11 - NPAs</w:t>
      </w:r>
    </w:p>
    <w:p>
      <w:pPr>
        <w:spacing w:after="0" w:line="3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i w:val="1"/>
          <w:iCs w:val="1"/>
          <w:color w:val="auto"/>
        </w:rPr>
        <w:t>(dollars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3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60" w:type="dxa"/>
            <w:vAlign w:val="bottom"/>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200" w:type="dxa"/>
            <w:vAlign w:val="bottom"/>
          </w:tcPr>
          <w:p>
            <w:pPr>
              <w:spacing w:after="0"/>
              <w:rPr>
                <w:sz w:val="16"/>
                <w:szCs w:val="16"/>
                <w:color w:val="auto"/>
              </w:rPr>
            </w:pPr>
          </w:p>
        </w:tc>
        <w:tc>
          <w:tcPr>
            <w:tcW w:w="142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220" w:type="dxa"/>
            <w:vAlign w:val="bottom"/>
          </w:tcPr>
          <w:p>
            <w:pPr>
              <w:spacing w:after="0"/>
              <w:rPr>
                <w:sz w:val="16"/>
                <w:szCs w:val="16"/>
                <w:color w:val="auto"/>
              </w:rPr>
            </w:pPr>
          </w:p>
        </w:tc>
        <w:tc>
          <w:tcPr>
            <w:tcW w:w="24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6"/>
                <w:szCs w:val="16"/>
                <w:b w:val="1"/>
                <w:bCs w:val="1"/>
                <w:color w:val="auto"/>
              </w:rPr>
              <w:t>$ Change</w:t>
            </w:r>
          </w:p>
        </w:tc>
        <w:tc>
          <w:tcPr>
            <w:tcW w:w="0" w:type="dxa"/>
            <w:vAlign w:val="bottom"/>
          </w:tcPr>
          <w:p>
            <w:pPr>
              <w:spacing w:after="0"/>
              <w:rPr>
                <w:sz w:val="1"/>
                <w:szCs w:val="1"/>
                <w:color w:val="auto"/>
              </w:rPr>
            </w:pPr>
          </w:p>
        </w:tc>
      </w:tr>
      <w:tr>
        <w:trPr>
          <w:trHeight w:val="214"/>
        </w:trPr>
        <w:tc>
          <w:tcPr>
            <w:tcW w:w="5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tcPr>
          <w:p>
            <w:pPr>
              <w:jc w:val="right"/>
              <w:ind w:right="51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tcPr>
          <w:p>
            <w:pPr>
              <w:jc w:val="right"/>
              <w:ind w:right="519"/>
              <w:spacing w:after="0"/>
              <w:rPr>
                <w:sz w:val="20"/>
                <w:szCs w:val="20"/>
                <w:color w:val="auto"/>
              </w:rPr>
            </w:pPr>
            <w:r>
              <w:rPr>
                <w:rFonts w:ascii="Times New Roman" w:cs="Times New Roman" w:eastAsia="Times New Roman" w:hAnsi="Times New Roman"/>
                <w:sz w:val="16"/>
                <w:szCs w:val="16"/>
                <w:b w:val="1"/>
                <w:bCs w:val="1"/>
                <w:color w:val="auto"/>
              </w:rPr>
              <w:t>2024</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2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534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3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134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c>
          <w:tcPr>
            <w:tcW w:w="13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5340" w:type="dxa"/>
            <w:vAlign w:val="bottom"/>
          </w:tcPr>
          <w:p>
            <w:pPr>
              <w:ind w:left="1300"/>
              <w:spacing w:after="0"/>
              <w:rPr>
                <w:sz w:val="20"/>
                <w:szCs w:val="20"/>
                <w:color w:val="auto"/>
              </w:rPr>
            </w:pPr>
            <w:r>
              <w:rPr>
                <w:rFonts w:ascii="Times New Roman" w:cs="Times New Roman" w:eastAsia="Times New Roman" w:hAnsi="Times New Roman"/>
                <w:sz w:val="16"/>
                <w:szCs w:val="16"/>
                <w:color w:val="auto"/>
              </w:rPr>
              <w:t>Nonaccrual loans:</w:t>
            </w:r>
          </w:p>
        </w:tc>
        <w:tc>
          <w:tcPr>
            <w:tcW w:w="1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5340" w:type="dxa"/>
            <w:vAlign w:val="bottom"/>
            <w:shd w:val="clear" w:color="auto" w:fill="CCEEFF"/>
          </w:tcPr>
          <w:p>
            <w:pPr>
              <w:ind w:left="1520"/>
              <w:spacing w:after="0"/>
              <w:rPr>
                <w:sz w:val="20"/>
                <w:szCs w:val="20"/>
                <w:color w:val="auto"/>
              </w:rPr>
            </w:pPr>
            <w:r>
              <w:rPr>
                <w:rFonts w:ascii="Times New Roman" w:cs="Times New Roman" w:eastAsia="Times New Roman" w:hAnsi="Times New Roman"/>
                <w:sz w:val="16"/>
                <w:szCs w:val="16"/>
                <w:color w:val="auto"/>
              </w:rPr>
              <w:t>Owner occupied CRE</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10,275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11,674</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(1,399)</w:t>
            </w:r>
          </w:p>
        </w:tc>
        <w:tc>
          <w:tcPr>
            <w:tcW w:w="13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5340" w:type="dxa"/>
            <w:vAlign w:val="bottom"/>
          </w:tcPr>
          <w:p>
            <w:pPr>
              <w:ind w:left="1520"/>
              <w:spacing w:after="0"/>
              <w:rPr>
                <w:sz w:val="20"/>
                <w:szCs w:val="20"/>
                <w:color w:val="auto"/>
              </w:rPr>
            </w:pPr>
            <w:r>
              <w:rPr>
                <w:rFonts w:ascii="Times New Roman" w:cs="Times New Roman" w:eastAsia="Times New Roman" w:hAnsi="Times New Roman"/>
                <w:sz w:val="16"/>
                <w:szCs w:val="16"/>
                <w:color w:val="auto"/>
              </w:rPr>
              <w:t>Income producing CRE</w:t>
            </w:r>
          </w:p>
        </w:tc>
        <w:tc>
          <w:tcPr>
            <w:tcW w:w="180" w:type="dxa"/>
            <w:vAlign w:val="bottom"/>
          </w:tcPr>
          <w:p>
            <w:pPr>
              <w:spacing w:after="0"/>
              <w:rPr>
                <w:sz w:val="18"/>
                <w:szCs w:val="18"/>
                <w:color w:val="auto"/>
              </w:rPr>
            </w:pPr>
          </w:p>
        </w:tc>
        <w:tc>
          <w:tcPr>
            <w:tcW w:w="13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10,884</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25,357</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(14,473)</w:t>
            </w: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5340" w:type="dxa"/>
            <w:vAlign w:val="bottom"/>
            <w:shd w:val="clear" w:color="auto" w:fill="CCEEFF"/>
          </w:tcPr>
          <w:p>
            <w:pPr>
              <w:ind w:left="1520"/>
              <w:spacing w:after="0"/>
              <w:rPr>
                <w:sz w:val="20"/>
                <w:szCs w:val="20"/>
                <w:color w:val="auto"/>
              </w:rPr>
            </w:pPr>
            <w:r>
              <w:rPr>
                <w:rFonts w:ascii="Times New Roman" w:cs="Times New Roman" w:eastAsia="Times New Roman" w:hAnsi="Times New Roman"/>
                <w:sz w:val="16"/>
                <w:szCs w:val="16"/>
                <w:color w:val="auto"/>
              </w:rPr>
              <w:t>Commercial &amp; industrial</w:t>
            </w:r>
          </w:p>
        </w:tc>
        <w:tc>
          <w:tcPr>
            <w:tcW w:w="18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25,754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29,339</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(3,585)</w:t>
            </w:r>
          </w:p>
        </w:tc>
        <w:tc>
          <w:tcPr>
            <w:tcW w:w="13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5340" w:type="dxa"/>
            <w:vAlign w:val="bottom"/>
          </w:tcPr>
          <w:p>
            <w:pPr>
              <w:ind w:left="1520"/>
              <w:spacing w:after="0"/>
              <w:rPr>
                <w:sz w:val="20"/>
                <w:szCs w:val="20"/>
                <w:color w:val="auto"/>
              </w:rPr>
            </w:pPr>
            <w:r>
              <w:rPr>
                <w:rFonts w:ascii="Times New Roman" w:cs="Times New Roman" w:eastAsia="Times New Roman" w:hAnsi="Times New Roman"/>
                <w:sz w:val="16"/>
                <w:szCs w:val="16"/>
                <w:color w:val="auto"/>
              </w:rPr>
              <w:t>Commercial construction</w:t>
            </w:r>
          </w:p>
        </w:tc>
        <w:tc>
          <w:tcPr>
            <w:tcW w:w="180" w:type="dxa"/>
            <w:vAlign w:val="bottom"/>
          </w:tcPr>
          <w:p>
            <w:pPr>
              <w:spacing w:after="0"/>
              <w:rPr>
                <w:sz w:val="18"/>
                <w:szCs w:val="18"/>
                <w:color w:val="auto"/>
              </w:rPr>
            </w:pPr>
          </w:p>
        </w:tc>
        <w:tc>
          <w:tcPr>
            <w:tcW w:w="13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3,198</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7,400</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(4,202)</w:t>
            </w: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5340" w:type="dxa"/>
            <w:vAlign w:val="bottom"/>
            <w:shd w:val="clear" w:color="auto" w:fill="CCEEFF"/>
          </w:tcPr>
          <w:p>
            <w:pPr>
              <w:ind w:left="1520"/>
              <w:spacing w:after="0"/>
              <w:rPr>
                <w:sz w:val="20"/>
                <w:szCs w:val="20"/>
                <w:color w:val="auto"/>
              </w:rPr>
            </w:pPr>
            <w:r>
              <w:rPr>
                <w:rFonts w:ascii="Times New Roman" w:cs="Times New Roman" w:eastAsia="Times New Roman" w:hAnsi="Times New Roman"/>
                <w:sz w:val="16"/>
                <w:szCs w:val="16"/>
                <w:color w:val="auto"/>
              </w:rPr>
              <w:t>Equipment financing</w:t>
            </w:r>
          </w:p>
        </w:tc>
        <w:tc>
          <w:tcPr>
            <w:tcW w:w="18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9,716</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8,925</w:t>
            </w:r>
          </w:p>
        </w:tc>
        <w:tc>
          <w:tcPr>
            <w:tcW w:w="8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791</w:t>
            </w:r>
          </w:p>
        </w:tc>
        <w:tc>
          <w:tcPr>
            <w:tcW w:w="13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5340" w:type="dxa"/>
            <w:vAlign w:val="bottom"/>
          </w:tcPr>
          <w:p>
            <w:pPr>
              <w:ind w:left="1620"/>
              <w:spacing w:after="0"/>
              <w:rPr>
                <w:sz w:val="20"/>
                <w:szCs w:val="20"/>
                <w:color w:val="auto"/>
              </w:rPr>
            </w:pPr>
            <w:r>
              <w:rPr>
                <w:rFonts w:ascii="Times New Roman" w:cs="Times New Roman" w:eastAsia="Times New Roman" w:hAnsi="Times New Roman"/>
                <w:sz w:val="16"/>
                <w:szCs w:val="16"/>
                <w:color w:val="auto"/>
              </w:rPr>
              <w:t>Total commercial</w:t>
            </w:r>
          </w:p>
        </w:tc>
        <w:tc>
          <w:tcPr>
            <w:tcW w:w="180" w:type="dxa"/>
            <w:vAlign w:val="bottom"/>
          </w:tcPr>
          <w:p>
            <w:pPr>
              <w:spacing w:after="0"/>
              <w:rPr>
                <w:sz w:val="17"/>
                <w:szCs w:val="17"/>
                <w:color w:val="auto"/>
              </w:rPr>
            </w:pPr>
          </w:p>
        </w:tc>
        <w:tc>
          <w:tcPr>
            <w:tcW w:w="13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59,827</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82,695</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(22,868)</w:t>
            </w: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5340" w:type="dxa"/>
            <w:vAlign w:val="bottom"/>
            <w:shd w:val="clear" w:color="auto" w:fill="CCEEFF"/>
          </w:tcPr>
          <w:p>
            <w:pPr>
              <w:ind w:left="1520"/>
              <w:spacing w:after="0"/>
              <w:rPr>
                <w:sz w:val="20"/>
                <w:szCs w:val="20"/>
                <w:color w:val="auto"/>
              </w:rPr>
            </w:pPr>
            <w:r>
              <w:rPr>
                <w:rFonts w:ascii="Times New Roman" w:cs="Times New Roman" w:eastAsia="Times New Roman" w:hAnsi="Times New Roman"/>
                <w:sz w:val="16"/>
                <w:szCs w:val="16"/>
                <w:color w:val="auto"/>
              </w:rPr>
              <w:t>Residential mortgage</w:t>
            </w:r>
          </w:p>
        </w:tc>
        <w:tc>
          <w:tcPr>
            <w:tcW w:w="18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28,978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24,615</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4,363</w:t>
            </w:r>
          </w:p>
        </w:tc>
        <w:tc>
          <w:tcPr>
            <w:tcW w:w="13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5340" w:type="dxa"/>
            <w:vAlign w:val="bottom"/>
          </w:tcPr>
          <w:p>
            <w:pPr>
              <w:ind w:left="1520"/>
              <w:spacing w:after="0"/>
              <w:rPr>
                <w:sz w:val="20"/>
                <w:szCs w:val="20"/>
                <w:color w:val="auto"/>
              </w:rPr>
            </w:pPr>
            <w:r>
              <w:rPr>
                <w:rFonts w:ascii="Times New Roman" w:cs="Times New Roman" w:eastAsia="Times New Roman" w:hAnsi="Times New Roman"/>
                <w:sz w:val="16"/>
                <w:szCs w:val="16"/>
                <w:color w:val="auto"/>
              </w:rPr>
              <w:t>Home equity</w:t>
            </w:r>
          </w:p>
        </w:tc>
        <w:tc>
          <w:tcPr>
            <w:tcW w:w="180" w:type="dxa"/>
            <w:vAlign w:val="bottom"/>
          </w:tcPr>
          <w:p>
            <w:pPr>
              <w:spacing w:after="0"/>
              <w:rPr>
                <w:sz w:val="18"/>
                <w:szCs w:val="18"/>
                <w:color w:val="auto"/>
              </w:rPr>
            </w:pPr>
          </w:p>
        </w:tc>
        <w:tc>
          <w:tcPr>
            <w:tcW w:w="13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5,234</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4,630</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604</w:t>
            </w: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5340" w:type="dxa"/>
            <w:vAlign w:val="bottom"/>
            <w:shd w:val="clear" w:color="auto" w:fill="CCEEFF"/>
          </w:tcPr>
          <w:p>
            <w:pPr>
              <w:ind w:left="1520"/>
              <w:spacing w:after="0"/>
              <w:rPr>
                <w:sz w:val="20"/>
                <w:szCs w:val="20"/>
                <w:color w:val="auto"/>
              </w:rPr>
            </w:pPr>
            <w:r>
              <w:rPr>
                <w:rFonts w:ascii="Times New Roman" w:cs="Times New Roman" w:eastAsia="Times New Roman" w:hAnsi="Times New Roman"/>
                <w:sz w:val="16"/>
                <w:szCs w:val="16"/>
                <w:color w:val="auto"/>
              </w:rPr>
              <w:t>Residential construction</w:t>
            </w:r>
          </w:p>
        </w:tc>
        <w:tc>
          <w:tcPr>
            <w:tcW w:w="18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1,241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57</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1,184</w:t>
            </w:r>
          </w:p>
        </w:tc>
        <w:tc>
          <w:tcPr>
            <w:tcW w:w="13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340" w:type="dxa"/>
            <w:vAlign w:val="bottom"/>
          </w:tcPr>
          <w:p>
            <w:pPr>
              <w:ind w:left="1520"/>
              <w:spacing w:after="0" w:line="216" w:lineRule="exact"/>
              <w:rPr>
                <w:sz w:val="20"/>
                <w:szCs w:val="20"/>
                <w:color w:val="auto"/>
              </w:rPr>
            </w:pPr>
            <w:r>
              <w:rPr>
                <w:rFonts w:ascii="Times New Roman" w:cs="Times New Roman" w:eastAsia="Times New Roman" w:hAnsi="Times New Roman"/>
                <w:sz w:val="16"/>
                <w:szCs w:val="16"/>
                <w:color w:val="auto"/>
              </w:rPr>
              <w:t xml:space="preserve">Manufactured housing </w:t>
            </w:r>
            <w:r>
              <w:rPr>
                <w:rFonts w:ascii="Times New Roman" w:cs="Times New Roman" w:eastAsia="Times New Roman" w:hAnsi="Times New Roman"/>
                <w:sz w:val="21"/>
                <w:szCs w:val="21"/>
                <w:color w:val="auto"/>
                <w:vertAlign w:val="superscript"/>
              </w:rPr>
              <w:t>(1)</w:t>
            </w:r>
          </w:p>
        </w:tc>
        <w:tc>
          <w:tcPr>
            <w:tcW w:w="180" w:type="dxa"/>
            <w:vAlign w:val="bottom"/>
          </w:tcPr>
          <w:p>
            <w:pPr>
              <w:spacing w:after="0"/>
              <w:rPr>
                <w:sz w:val="18"/>
                <w:szCs w:val="18"/>
                <w:color w:val="auto"/>
              </w:rPr>
            </w:pPr>
          </w:p>
        </w:tc>
        <w:tc>
          <w:tcPr>
            <w:tcW w:w="146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13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1,444</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(1,444)</w:t>
            </w: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40" w:type="dxa"/>
            <w:vAlign w:val="bottom"/>
            <w:shd w:val="clear" w:color="auto" w:fill="CCEEFF"/>
          </w:tcPr>
          <w:p>
            <w:pPr>
              <w:ind w:left="1520"/>
              <w:spacing w:after="0"/>
              <w:rPr>
                <w:sz w:val="20"/>
                <w:szCs w:val="20"/>
                <w:color w:val="auto"/>
              </w:rPr>
            </w:pPr>
            <w:r>
              <w:rPr>
                <w:rFonts w:ascii="Times New Roman" w:cs="Times New Roman" w:eastAsia="Times New Roman" w:hAnsi="Times New Roman"/>
                <w:sz w:val="16"/>
                <w:szCs w:val="16"/>
                <w:color w:val="auto"/>
              </w:rPr>
              <w:t>Consumer</w:t>
            </w:r>
          </w:p>
        </w:tc>
        <w:tc>
          <w:tcPr>
            <w:tcW w:w="18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1,163</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138</w:t>
            </w:r>
          </w:p>
        </w:tc>
        <w:tc>
          <w:tcPr>
            <w:tcW w:w="8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1,025</w:t>
            </w:r>
          </w:p>
        </w:tc>
        <w:tc>
          <w:tcPr>
            <w:tcW w:w="1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5340" w:type="dxa"/>
            <w:vAlign w:val="bottom"/>
            <w:tcBorders>
              <w:bottom w:val="single" w:sz="8" w:color="CCEEFF"/>
            </w:tcBorders>
          </w:tcPr>
          <w:p>
            <w:pPr>
              <w:ind w:left="1620"/>
              <w:spacing w:after="0"/>
              <w:rPr>
                <w:sz w:val="20"/>
                <w:szCs w:val="20"/>
                <w:color w:val="auto"/>
              </w:rPr>
            </w:pPr>
            <w:r>
              <w:rPr>
                <w:rFonts w:ascii="Times New Roman" w:cs="Times New Roman" w:eastAsia="Times New Roman" w:hAnsi="Times New Roman"/>
                <w:sz w:val="16"/>
                <w:szCs w:val="16"/>
                <w:color w:val="auto"/>
              </w:rPr>
              <w:t>Total</w:t>
            </w:r>
          </w:p>
        </w:tc>
        <w:tc>
          <w:tcPr>
            <w:tcW w:w="18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96,443</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113,579</w:t>
            </w:r>
          </w:p>
        </w:tc>
        <w:tc>
          <w:tcPr>
            <w:tcW w:w="8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(17,136)</w:t>
            </w:r>
          </w:p>
        </w:tc>
        <w:tc>
          <w:tcPr>
            <w:tcW w:w="130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5340" w:type="dxa"/>
            <w:vAlign w:val="bottom"/>
            <w:shd w:val="clear" w:color="auto" w:fill="CCEEFF"/>
          </w:tcPr>
          <w:p>
            <w:pPr>
              <w:ind w:left="1300"/>
              <w:spacing w:after="0"/>
              <w:rPr>
                <w:sz w:val="20"/>
                <w:szCs w:val="20"/>
                <w:color w:val="auto"/>
              </w:rPr>
            </w:pPr>
            <w:r>
              <w:rPr>
                <w:rFonts w:ascii="Times New Roman" w:cs="Times New Roman" w:eastAsia="Times New Roman" w:hAnsi="Times New Roman"/>
                <w:sz w:val="16"/>
                <w:szCs w:val="16"/>
                <w:color w:val="auto"/>
              </w:rPr>
              <w:t>OREO and repossessed assets</w:t>
            </w:r>
          </w:p>
        </w:tc>
        <w:tc>
          <w:tcPr>
            <w:tcW w:w="18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1,473</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2,056</w:t>
            </w:r>
          </w:p>
        </w:tc>
        <w:tc>
          <w:tcPr>
            <w:tcW w:w="8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(583)</w:t>
            </w:r>
          </w:p>
        </w:tc>
        <w:tc>
          <w:tcPr>
            <w:tcW w:w="1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5340" w:type="dxa"/>
            <w:vAlign w:val="bottom"/>
          </w:tcPr>
          <w:p>
            <w:pPr>
              <w:ind w:left="1500"/>
              <w:spacing w:after="0"/>
              <w:rPr>
                <w:sz w:val="20"/>
                <w:szCs w:val="20"/>
                <w:color w:val="auto"/>
              </w:rPr>
            </w:pPr>
            <w:r>
              <w:rPr>
                <w:rFonts w:ascii="Times New Roman" w:cs="Times New Roman" w:eastAsia="Times New Roman" w:hAnsi="Times New Roman"/>
                <w:sz w:val="16"/>
                <w:szCs w:val="16"/>
                <w:color w:val="auto"/>
              </w:rPr>
              <w:t>Total NPAs</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97,916</w:t>
            </w:r>
          </w:p>
        </w:tc>
        <w:tc>
          <w:tcPr>
            <w:tcW w:w="100" w:type="dxa"/>
            <w:vAlign w:val="bottom"/>
          </w:tcPr>
          <w:p>
            <w:pPr>
              <w:spacing w:after="0"/>
              <w:rPr>
                <w:sz w:val="18"/>
                <w:szCs w:val="18"/>
                <w:color w:val="auto"/>
              </w:rPr>
            </w:pPr>
          </w:p>
        </w:tc>
        <w:tc>
          <w:tcPr>
            <w:tcW w:w="2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115,635</w:t>
            </w:r>
          </w:p>
        </w:tc>
        <w:tc>
          <w:tcPr>
            <w:tcW w:w="80" w:type="dxa"/>
            <w:vAlign w:val="bottom"/>
          </w:tcPr>
          <w:p>
            <w:pPr>
              <w:spacing w:after="0"/>
              <w:rPr>
                <w:sz w:val="18"/>
                <w:szCs w:val="18"/>
                <w:color w:val="auto"/>
              </w:rPr>
            </w:pPr>
          </w:p>
        </w:tc>
        <w:tc>
          <w:tcPr>
            <w:tcW w:w="2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(17,719)</w:t>
            </w: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34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53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3"/>
        </w:trPr>
        <w:tc>
          <w:tcPr>
            <w:tcW w:w="5340" w:type="dxa"/>
            <w:vAlign w:val="bottom"/>
          </w:tcPr>
          <w:p>
            <w:pPr>
              <w:ind w:left="1300"/>
              <w:spacing w:after="0"/>
              <w:rPr>
                <w:sz w:val="20"/>
                <w:szCs w:val="20"/>
                <w:color w:val="auto"/>
              </w:rPr>
            </w:pPr>
            <w:r>
              <w:rPr>
                <w:rFonts w:ascii="Times New Roman" w:cs="Times New Roman" w:eastAsia="Times New Roman" w:hAnsi="Times New Roman"/>
                <w:sz w:val="16"/>
                <w:szCs w:val="16"/>
                <w:color w:val="auto"/>
              </w:rPr>
              <w:t>Nonaccrual loans as a percentage of total loans</w:t>
            </w:r>
          </w:p>
        </w:tc>
        <w:tc>
          <w:tcPr>
            <w:tcW w:w="18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0.50 %</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0.62 %</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5340" w:type="dxa"/>
            <w:vAlign w:val="bottom"/>
            <w:shd w:val="clear" w:color="auto" w:fill="CCEEFF"/>
          </w:tcPr>
          <w:p>
            <w:pPr>
              <w:ind w:left="1300"/>
              <w:spacing w:after="0"/>
              <w:rPr>
                <w:sz w:val="20"/>
                <w:szCs w:val="20"/>
                <w:color w:val="auto"/>
              </w:rPr>
            </w:pPr>
            <w:r>
              <w:rPr>
                <w:rFonts w:ascii="Times New Roman" w:cs="Times New Roman" w:eastAsia="Times New Roman" w:hAnsi="Times New Roman"/>
                <w:sz w:val="16"/>
                <w:szCs w:val="16"/>
                <w:color w:val="auto"/>
              </w:rPr>
              <w:t>NPAs as a percentage of total assets</w:t>
            </w:r>
          </w:p>
        </w:tc>
        <w:tc>
          <w:tcPr>
            <w:tcW w:w="18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0.35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0.42</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40" w:type="dxa"/>
            <w:vAlign w:val="bottom"/>
            <w:shd w:val="clear" w:color="auto" w:fill="CCEEFF"/>
          </w:tcPr>
          <w:p>
            <w:pPr>
              <w:ind w:left="1300"/>
              <w:spacing w:after="0"/>
              <w:rPr>
                <w:sz w:val="20"/>
                <w:szCs w:val="20"/>
                <w:color w:val="auto"/>
              </w:rPr>
            </w:pPr>
            <w:r>
              <w:rPr>
                <w:rFonts w:ascii="Times New Roman" w:cs="Times New Roman" w:eastAsia="Times New Roman" w:hAnsi="Times New Roman"/>
                <w:sz w:val="16"/>
                <w:szCs w:val="16"/>
                <w:color w:val="auto"/>
              </w:rPr>
              <w:t>ACL - loans to nonaccrual loans coverage ratio</w:t>
            </w:r>
          </w:p>
        </w:tc>
        <w:tc>
          <w:tcPr>
            <w:tcW w:w="18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2.24</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4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1.82</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50" w:lineRule="exact"/>
        <w:rPr>
          <w:sz w:val="20"/>
          <w:szCs w:val="20"/>
          <w:color w:val="auto"/>
        </w:rPr>
      </w:pPr>
    </w:p>
    <w:p>
      <w:pPr>
        <w:ind w:left="180" w:hanging="172"/>
        <w:spacing w:after="0"/>
        <w:tabs>
          <w:tab w:leader="none" w:pos="180" w:val="left"/>
        </w:tabs>
        <w:numPr>
          <w:ilvl w:val="0"/>
          <w:numId w:val="16"/>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In 2025, manufactured housing loans were included in consumer loans.</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Investment Securities</w:t>
      </w:r>
    </w:p>
    <w:p>
      <w:pPr>
        <w:spacing w:after="0" w:line="25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composition of the investment securities portfolio reflects our investment strategy of maintaining an appropriate level of liquidity while providing a relatively stable source of revenue. The investment securities portfolio also provides a balance to interest rate risk and credit risk in other categories of the balance sheet while providing a vehicle for the investment of available funds, furnishing liquidity, and supplying securities to pledge as required collateral for certain deposits and borrowings. The table below summarizes the carrying value of our securities portfolio and other relevant portfolio metrics including weighted-average life and effective duration as of the dates presented. Effective duration represents the expected change in the price of a security when rates change by 100 basis points.</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b w:val="1"/>
          <w:bCs w:val="1"/>
          <w:color w:val="auto"/>
        </w:rPr>
        <w:t>Table 12 - Investment Securities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(dollars in thousands)</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394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2360" w:type="dxa"/>
            <w:vAlign w:val="bottom"/>
            <w:tcBorders>
              <w:top w:val="single" w:sz="8" w:color="auto"/>
            </w:tcBorders>
            <w:gridSpan w:val="4"/>
          </w:tcPr>
          <w:p>
            <w:pPr>
              <w:ind w:left="400"/>
              <w:spacing w:after="0"/>
              <w:rPr>
                <w:sz w:val="20"/>
                <w:szCs w:val="20"/>
                <w:color w:val="auto"/>
              </w:rPr>
            </w:pPr>
            <w:r>
              <w:rPr>
                <w:rFonts w:ascii="Times New Roman" w:cs="Times New Roman" w:eastAsia="Times New Roman" w:hAnsi="Times New Roman"/>
                <w:sz w:val="16"/>
                <w:szCs w:val="16"/>
                <w:b w:val="1"/>
                <w:bCs w:val="1"/>
                <w:color w:val="auto"/>
              </w:rPr>
              <w:t>September 30, 2025</w:t>
            </w:r>
          </w:p>
        </w:tc>
        <w:tc>
          <w:tcPr>
            <w:tcW w:w="120" w:type="dxa"/>
            <w:vAlign w:val="bottom"/>
            <w:tcBorders>
              <w:top w:val="single" w:sz="8" w:color="auto"/>
            </w:tcBorders>
          </w:tcPr>
          <w:p>
            <w:pPr>
              <w:spacing w:after="0"/>
              <w:rPr>
                <w:sz w:val="19"/>
                <w:szCs w:val="19"/>
                <w:color w:val="auto"/>
              </w:rPr>
            </w:pPr>
          </w:p>
        </w:tc>
        <w:tc>
          <w:tcPr>
            <w:tcW w:w="2360" w:type="dxa"/>
            <w:vAlign w:val="bottom"/>
            <w:tcBorders>
              <w:top w:val="single" w:sz="8" w:color="auto"/>
            </w:tcBorders>
            <w:gridSpan w:val="4"/>
          </w:tcPr>
          <w:p>
            <w:pPr>
              <w:ind w:left="420"/>
              <w:spacing w:after="0"/>
              <w:rPr>
                <w:sz w:val="20"/>
                <w:szCs w:val="20"/>
                <w:color w:val="auto"/>
              </w:rPr>
            </w:pPr>
            <w:r>
              <w:rPr>
                <w:rFonts w:ascii="Times New Roman" w:cs="Times New Roman" w:eastAsia="Times New Roman" w:hAnsi="Times New Roman"/>
                <w:sz w:val="16"/>
                <w:szCs w:val="16"/>
                <w:b w:val="1"/>
                <w:bCs w:val="1"/>
                <w:color w:val="auto"/>
              </w:rPr>
              <w:t>December 31, 2024</w:t>
            </w:r>
          </w:p>
        </w:tc>
        <w:tc>
          <w:tcPr>
            <w:tcW w:w="38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57"/>
        </w:trPr>
        <w:tc>
          <w:tcPr>
            <w:tcW w:w="394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240" w:type="dxa"/>
            <w:vAlign w:val="bottom"/>
            <w:tcBorders>
              <w:top w:val="single" w:sz="8" w:color="auto"/>
            </w:tcBorders>
            <w:vMerge w:val="restart"/>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Carrying Value</w:t>
            </w:r>
          </w:p>
        </w:tc>
        <w:tc>
          <w:tcPr>
            <w:tcW w:w="80" w:type="dxa"/>
            <w:vAlign w:val="bottom"/>
            <w:tcBorders>
              <w:top w:val="single" w:sz="8" w:color="auto"/>
            </w:tcBorders>
          </w:tcPr>
          <w:p>
            <w:pPr>
              <w:spacing w:after="0"/>
              <w:rPr>
                <w:sz w:val="13"/>
                <w:szCs w:val="13"/>
                <w:color w:val="auto"/>
              </w:rPr>
            </w:pPr>
          </w:p>
        </w:tc>
        <w:tc>
          <w:tcPr>
            <w:tcW w:w="960" w:type="dxa"/>
            <w:vAlign w:val="bottom"/>
            <w:tcBorders>
              <w:top w:val="single" w:sz="8" w:color="auto"/>
            </w:tcBorders>
          </w:tcPr>
          <w:p>
            <w:pPr>
              <w:jc w:val="center"/>
              <w:spacing w:after="0" w:line="158" w:lineRule="exact"/>
              <w:rPr>
                <w:sz w:val="20"/>
                <w:szCs w:val="20"/>
                <w:color w:val="auto"/>
              </w:rPr>
            </w:pPr>
            <w:r>
              <w:rPr>
                <w:rFonts w:ascii="Times New Roman" w:cs="Times New Roman" w:eastAsia="Times New Roman" w:hAnsi="Times New Roman"/>
                <w:sz w:val="16"/>
                <w:szCs w:val="16"/>
                <w:b w:val="1"/>
                <w:bCs w:val="1"/>
                <w:color w:val="auto"/>
                <w:w w:val="95"/>
              </w:rPr>
              <w:t>% of</w:t>
            </w:r>
          </w:p>
        </w:tc>
        <w:tc>
          <w:tcPr>
            <w:tcW w:w="8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240" w:type="dxa"/>
            <w:vAlign w:val="bottom"/>
            <w:tcBorders>
              <w:top w:val="single" w:sz="8" w:color="auto"/>
            </w:tcBorders>
            <w:vMerge w:val="restart"/>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Carrying Value</w:t>
            </w:r>
          </w:p>
        </w:tc>
        <w:tc>
          <w:tcPr>
            <w:tcW w:w="80" w:type="dxa"/>
            <w:vAlign w:val="bottom"/>
            <w:tcBorders>
              <w:top w:val="single" w:sz="8" w:color="auto"/>
            </w:tcBorders>
          </w:tcPr>
          <w:p>
            <w:pPr>
              <w:spacing w:after="0"/>
              <w:rPr>
                <w:sz w:val="13"/>
                <w:szCs w:val="13"/>
                <w:color w:val="auto"/>
              </w:rPr>
            </w:pPr>
          </w:p>
        </w:tc>
        <w:tc>
          <w:tcPr>
            <w:tcW w:w="940" w:type="dxa"/>
            <w:vAlign w:val="bottom"/>
            <w:tcBorders>
              <w:top w:val="single" w:sz="8" w:color="auto"/>
            </w:tcBorders>
          </w:tcPr>
          <w:p>
            <w:pPr>
              <w:jc w:val="center"/>
              <w:spacing w:after="0" w:line="158" w:lineRule="exact"/>
              <w:rPr>
                <w:sz w:val="20"/>
                <w:szCs w:val="20"/>
                <w:color w:val="auto"/>
              </w:rPr>
            </w:pPr>
            <w:r>
              <w:rPr>
                <w:rFonts w:ascii="Times New Roman" w:cs="Times New Roman" w:eastAsia="Times New Roman" w:hAnsi="Times New Roman"/>
                <w:sz w:val="16"/>
                <w:szCs w:val="16"/>
                <w:b w:val="1"/>
                <w:bCs w:val="1"/>
                <w:color w:val="auto"/>
              </w:rPr>
              <w:t>% of</w:t>
            </w:r>
          </w:p>
        </w:tc>
        <w:tc>
          <w:tcPr>
            <w:tcW w:w="100" w:type="dxa"/>
            <w:vAlign w:val="bottom"/>
          </w:tcPr>
          <w:p>
            <w:pPr>
              <w:spacing w:after="0"/>
              <w:rPr>
                <w:sz w:val="13"/>
                <w:szCs w:val="13"/>
                <w:color w:val="auto"/>
              </w:rPr>
            </w:pPr>
          </w:p>
        </w:tc>
        <w:tc>
          <w:tcPr>
            <w:tcW w:w="3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190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0" w:type="dxa"/>
            <w:vAlign w:val="bottom"/>
          </w:tcPr>
          <w:p>
            <w:pPr>
              <w:spacing w:after="0"/>
              <w:rPr>
                <w:sz w:val="1"/>
                <w:szCs w:val="1"/>
                <w:color w:val="auto"/>
              </w:rPr>
            </w:pPr>
          </w:p>
        </w:tc>
      </w:tr>
      <w:tr>
        <w:trPr>
          <w:trHeight w:val="214"/>
        </w:trPr>
        <w:tc>
          <w:tcPr>
            <w:tcW w:w="3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portfolio</w:t>
            </w:r>
          </w:p>
        </w:tc>
        <w:tc>
          <w:tcPr>
            <w:tcW w:w="120" w:type="dxa"/>
            <w:vAlign w:val="bottom"/>
          </w:tcPr>
          <w:p>
            <w:pPr>
              <w:spacing w:after="0"/>
              <w:rPr>
                <w:sz w:val="18"/>
                <w:szCs w:val="18"/>
                <w:color w:val="auto"/>
              </w:rPr>
            </w:pPr>
          </w:p>
        </w:tc>
        <w:tc>
          <w:tcPr>
            <w:tcW w:w="124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portfolio</w:t>
            </w:r>
          </w:p>
        </w:tc>
        <w:tc>
          <w:tcPr>
            <w:tcW w:w="380" w:type="dxa"/>
            <w:vAlign w:val="bottom"/>
            <w:vMerge w:val="continue"/>
          </w:tcPr>
          <w:p>
            <w:pPr>
              <w:spacing w:after="0"/>
              <w:rPr>
                <w:sz w:val="18"/>
                <w:szCs w:val="18"/>
                <w:color w:val="auto"/>
              </w:rPr>
            </w:pPr>
          </w:p>
        </w:tc>
        <w:tc>
          <w:tcPr>
            <w:tcW w:w="190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3940" w:type="dxa"/>
            <w:vAlign w:val="bottom"/>
            <w:tcBorders>
              <w:top w:val="single" w:sz="8" w:color="CCEEFF"/>
            </w:tcBorders>
            <w:shd w:val="clear" w:color="auto" w:fill="CCEEFF"/>
          </w:tcPr>
          <w:p>
            <w:pPr>
              <w:ind w:left="1060"/>
              <w:spacing w:after="0"/>
              <w:rPr>
                <w:sz w:val="20"/>
                <w:szCs w:val="20"/>
                <w:color w:val="auto"/>
              </w:rPr>
            </w:pPr>
            <w:r>
              <w:rPr>
                <w:rFonts w:ascii="Times New Roman" w:cs="Times New Roman" w:eastAsia="Times New Roman" w:hAnsi="Times New Roman"/>
                <w:sz w:val="16"/>
                <w:szCs w:val="16"/>
                <w:color w:val="auto"/>
              </w:rPr>
              <w:t>AFS</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top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3,889,263</w:t>
            </w:r>
          </w:p>
        </w:tc>
        <w:tc>
          <w:tcPr>
            <w:tcW w:w="8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ind w:left="600"/>
              <w:spacing w:after="0"/>
              <w:rPr>
                <w:sz w:val="20"/>
                <w:szCs w:val="20"/>
                <w:color w:val="auto"/>
              </w:rPr>
            </w:pPr>
            <w:r>
              <w:rPr>
                <w:rFonts w:ascii="Times New Roman" w:cs="Times New Roman" w:eastAsia="Times New Roman" w:hAnsi="Times New Roman"/>
                <w:sz w:val="16"/>
                <w:szCs w:val="16"/>
                <w:color w:val="auto"/>
              </w:rPr>
              <w:t>63 %</w:t>
            </w: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top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4,436,291</w:t>
            </w:r>
          </w:p>
        </w:tc>
        <w:tc>
          <w:tcPr>
            <w:tcW w:w="8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ind w:left="580"/>
              <w:spacing w:after="0"/>
              <w:rPr>
                <w:sz w:val="20"/>
                <w:szCs w:val="20"/>
                <w:color w:val="auto"/>
              </w:rPr>
            </w:pPr>
            <w:r>
              <w:rPr>
                <w:rFonts w:ascii="Times New Roman" w:cs="Times New Roman" w:eastAsia="Times New Roman" w:hAnsi="Times New Roman"/>
                <w:sz w:val="16"/>
                <w:szCs w:val="16"/>
                <w:color w:val="auto"/>
              </w:rPr>
              <w:t>65 %</w:t>
            </w:r>
          </w:p>
        </w:tc>
        <w:tc>
          <w:tcPr>
            <w:tcW w:w="10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(547,028)</w:t>
            </w:r>
          </w:p>
        </w:tc>
        <w:tc>
          <w:tcPr>
            <w:tcW w:w="10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940" w:type="dxa"/>
            <w:vAlign w:val="bottom"/>
            <w:tcBorders>
              <w:bottom w:val="single" w:sz="8" w:color="CCEEFF"/>
            </w:tcBorders>
          </w:tcPr>
          <w:p>
            <w:pPr>
              <w:ind w:left="1060"/>
              <w:spacing w:after="0"/>
              <w:rPr>
                <w:sz w:val="20"/>
                <w:szCs w:val="20"/>
                <w:color w:val="auto"/>
              </w:rPr>
            </w:pPr>
            <w:r>
              <w:rPr>
                <w:rFonts w:ascii="Times New Roman" w:cs="Times New Roman" w:eastAsia="Times New Roman" w:hAnsi="Times New Roman"/>
                <w:sz w:val="16"/>
                <w:szCs w:val="16"/>
                <w:color w:val="auto"/>
              </w:rPr>
              <w:t>HTM</w:t>
            </w:r>
          </w:p>
        </w:tc>
        <w:tc>
          <w:tcPr>
            <w:tcW w:w="1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2,274,099</w:t>
            </w:r>
          </w:p>
        </w:tc>
        <w:tc>
          <w:tcPr>
            <w:tcW w:w="1040" w:type="dxa"/>
            <w:vAlign w:val="bottom"/>
            <w:tcBorders>
              <w:bottom w:val="single" w:sz="8" w:color="CCEEFF"/>
            </w:tcBorders>
            <w:gridSpan w:val="2"/>
          </w:tcPr>
          <w:p>
            <w:pPr>
              <w:ind w:left="680"/>
              <w:spacing w:after="0"/>
              <w:rPr>
                <w:sz w:val="20"/>
                <w:szCs w:val="20"/>
                <w:color w:val="auto"/>
              </w:rPr>
            </w:pPr>
            <w:r>
              <w:rPr>
                <w:rFonts w:ascii="Times New Roman" w:cs="Times New Roman" w:eastAsia="Times New Roman" w:hAnsi="Times New Roman"/>
                <w:sz w:val="16"/>
                <w:szCs w:val="16"/>
                <w:color w:val="auto"/>
              </w:rPr>
              <w:t>37</w:t>
            </w: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rPr>
              <w:t>2,368,107</w:t>
            </w:r>
          </w:p>
        </w:tc>
        <w:tc>
          <w:tcPr>
            <w:tcW w:w="1020" w:type="dxa"/>
            <w:vAlign w:val="bottom"/>
            <w:tcBorders>
              <w:bottom w:val="single" w:sz="8" w:color="CCEEFF"/>
            </w:tcBorders>
            <w:gridSpan w:val="2"/>
          </w:tcPr>
          <w:p>
            <w:pPr>
              <w:ind w:left="660"/>
              <w:spacing w:after="0"/>
              <w:rPr>
                <w:sz w:val="20"/>
                <w:szCs w:val="20"/>
                <w:color w:val="auto"/>
              </w:rPr>
            </w:pPr>
            <w:r>
              <w:rPr>
                <w:rFonts w:ascii="Times New Roman" w:cs="Times New Roman" w:eastAsia="Times New Roman" w:hAnsi="Times New Roman"/>
                <w:sz w:val="16"/>
                <w:szCs w:val="16"/>
                <w:color w:val="auto"/>
              </w:rPr>
              <w:t>35</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(94,008)</w:t>
            </w:r>
          </w:p>
        </w:tc>
        <w:tc>
          <w:tcPr>
            <w:tcW w:w="10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3940" w:type="dxa"/>
            <w:vAlign w:val="bottom"/>
            <w:tcBorders>
              <w:bottom w:val="single" w:sz="8" w:color="CCEEFF"/>
            </w:tcBorders>
            <w:shd w:val="clear" w:color="auto" w:fill="CCEEFF"/>
          </w:tcPr>
          <w:p>
            <w:pPr>
              <w:ind w:left="1180"/>
              <w:spacing w:after="0"/>
              <w:rPr>
                <w:sz w:val="20"/>
                <w:szCs w:val="20"/>
                <w:color w:val="auto"/>
              </w:rPr>
            </w:pPr>
            <w:r>
              <w:rPr>
                <w:rFonts w:ascii="Times New Roman" w:cs="Times New Roman" w:eastAsia="Times New Roman" w:hAnsi="Times New Roman"/>
                <w:sz w:val="16"/>
                <w:szCs w:val="16"/>
                <w:color w:val="auto"/>
              </w:rPr>
              <w:t>Total investment securities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6,163,362</w:t>
            </w:r>
          </w:p>
        </w:tc>
        <w:tc>
          <w:tcPr>
            <w:tcW w:w="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bottom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6,804,398</w:t>
            </w:r>
          </w:p>
        </w:tc>
        <w:tc>
          <w:tcPr>
            <w:tcW w:w="8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(641,036)</w:t>
            </w:r>
          </w:p>
        </w:tc>
        <w:tc>
          <w:tcPr>
            <w:tcW w:w="10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9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3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3940" w:type="dxa"/>
            <w:vAlign w:val="bottom"/>
            <w:shd w:val="clear" w:color="auto" w:fill="CCEEFF"/>
          </w:tcPr>
          <w:p>
            <w:pPr>
              <w:ind w:left="1060"/>
              <w:spacing w:after="0"/>
              <w:rPr>
                <w:sz w:val="20"/>
                <w:szCs w:val="20"/>
                <w:color w:val="auto"/>
              </w:rPr>
            </w:pPr>
            <w:r>
              <w:rPr>
                <w:rFonts w:ascii="Times New Roman" w:cs="Times New Roman" w:eastAsia="Times New Roman" w:hAnsi="Times New Roman"/>
                <w:sz w:val="16"/>
                <w:szCs w:val="16"/>
                <w:color w:val="auto"/>
              </w:rPr>
              <w:t>Investment securities as a % of total assets</w:t>
            </w: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22 %</w:t>
            </w: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25 %</w:t>
            </w: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940" w:type="dxa"/>
            <w:vAlign w:val="bottom"/>
          </w:tcPr>
          <w:p>
            <w:pPr>
              <w:ind w:left="1060"/>
              <w:spacing w:after="0"/>
              <w:rPr>
                <w:sz w:val="20"/>
                <w:szCs w:val="20"/>
                <w:color w:val="auto"/>
              </w:rPr>
            </w:pPr>
            <w:r>
              <w:rPr>
                <w:rFonts w:ascii="Times New Roman" w:cs="Times New Roman" w:eastAsia="Times New Roman" w:hAnsi="Times New Roman"/>
                <w:sz w:val="16"/>
                <w:szCs w:val="16"/>
                <w:color w:val="auto"/>
              </w:rPr>
              <w:t>Weighted average life</w:t>
            </w:r>
          </w:p>
        </w:tc>
        <w:tc>
          <w:tcPr>
            <w:tcW w:w="1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 years</w:t>
            </w:r>
          </w:p>
        </w:tc>
        <w:tc>
          <w:tcPr>
            <w:tcW w:w="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 years</w:t>
            </w: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940" w:type="dxa"/>
            <w:vAlign w:val="bottom"/>
            <w:shd w:val="clear" w:color="auto" w:fill="CCEEFF"/>
          </w:tcPr>
          <w:p>
            <w:pPr>
              <w:ind w:left="1060"/>
              <w:spacing w:after="0"/>
              <w:rPr>
                <w:sz w:val="20"/>
                <w:szCs w:val="20"/>
                <w:color w:val="auto"/>
              </w:rPr>
            </w:pPr>
            <w:r>
              <w:rPr>
                <w:rFonts w:ascii="Times New Roman" w:cs="Times New Roman" w:eastAsia="Times New Roman" w:hAnsi="Times New Roman"/>
                <w:sz w:val="16"/>
                <w:szCs w:val="16"/>
                <w:color w:val="auto"/>
              </w:rPr>
              <w:t>Swap adjusted effective duration</w:t>
            </w: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3.6 %</w:t>
            </w:r>
          </w:p>
        </w:tc>
        <w:tc>
          <w:tcPr>
            <w:tcW w:w="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3.5 %</w:t>
            </w:r>
          </w:p>
        </w:tc>
        <w:tc>
          <w:tcPr>
            <w:tcW w:w="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3940" w:type="dxa"/>
            <w:vAlign w:val="bottom"/>
          </w:tcPr>
          <w:p>
            <w:pPr>
              <w:ind w:left="1060"/>
              <w:spacing w:after="0"/>
              <w:rPr>
                <w:sz w:val="20"/>
                <w:szCs w:val="20"/>
                <w:color w:val="auto"/>
              </w:rPr>
            </w:pPr>
            <w:r>
              <w:rPr>
                <w:rFonts w:ascii="Times New Roman" w:cs="Times New Roman" w:eastAsia="Times New Roman" w:hAnsi="Times New Roman"/>
                <w:sz w:val="16"/>
                <w:szCs w:val="16"/>
                <w:color w:val="auto"/>
              </w:rPr>
              <w:t>Effective duration</w:t>
            </w:r>
          </w:p>
        </w:tc>
        <w:tc>
          <w:tcPr>
            <w:tcW w:w="120" w:type="dxa"/>
            <w:vAlign w:val="bottom"/>
          </w:tcPr>
          <w:p>
            <w:pPr>
              <w:spacing w:after="0"/>
              <w:rPr>
                <w:sz w:val="18"/>
                <w:szCs w:val="18"/>
                <w:color w:val="auto"/>
              </w:rPr>
            </w:pPr>
          </w:p>
        </w:tc>
        <w:tc>
          <w:tcPr>
            <w:tcW w:w="12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4.0</w:t>
            </w:r>
          </w:p>
        </w:tc>
        <w:tc>
          <w:tcPr>
            <w:tcW w:w="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3.9</w:t>
            </w: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utilize fair value hedges on a portion of our AFS securities portfolio in order to mitigate the impact of potential future unrealized losses on our tangible common equity. Gains and losses related to the hedge and hedged item are reflected in investment securities interest income. The changes in the fair value of the hedge and the hedged item substantially offset each other. See Note 6 to the financial statements for further detail.</w:t>
      </w:r>
    </w:p>
    <w:p>
      <w:pPr>
        <w:spacing w:after="0" w:line="81"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At September 30, 2025, HTM debt securities had a fair value of $1.94 billion, indicating net unrealized losses of $337 million (pre-tax). Additional unrealized losses on HTM debt securities of $53.5 million (pre-tax) were included in AOCI as a result of the transfer of AFS debt securities to HTM in 2022. Unrealized losses were primarily attributable to changes in interest rates.</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 4 to the consolidated financial statements for additional detail.</w:t>
      </w: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Goodwill and Other Intangible Assets</w:t>
      </w:r>
    </w:p>
    <w:p>
      <w:pPr>
        <w:spacing w:after="0" w:line="27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September 30, 2025 and December 31, 2024, goodwill and other intangibles totaled $971 million and $957 million, respectively. In connection with the acquisition of ANB in the second quarter of 2025, we recorded goodwill and a core deposit intangible of $18.0 million and $6.29 million, respectively. See Notes 3 and 7 to the financial statements for further information.</w:t>
      </w:r>
    </w:p>
    <w:p>
      <w:pPr>
        <w:spacing w:after="0" w:line="3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Deposits</w:t>
      </w:r>
    </w:p>
    <w:p>
      <w:pPr>
        <w:spacing w:after="0" w:line="25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Customer deposits are the primary source of funds for the continued growth of our earning assets. We believe our high level of service, as evidenced by our strong customer satisfaction scores, is instrumental in attracting and retaining customer deposit accounts, which has continued to contribute to our organic deposit growth. Since December 31, 2024, customer deposits increased $572 million, which includes deposits of $374 million acquired in the ANB transaction as of the acquisition date. As of September 30, 2025, we had approximately $9.85 billion of uninsured deposits, of which $2.73 billion was collateralized by investment securities.</w:t>
      </w:r>
    </w:p>
    <w:p>
      <w:pPr>
        <w:spacing w:after="0" w:line="24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Table 13 - Deposits</w:t>
      </w:r>
    </w:p>
    <w:p>
      <w:pPr>
        <w:spacing w:after="0" w:line="3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i w:val="1"/>
          <w:iCs w:val="1"/>
          <w:color w:val="auto"/>
        </w:rPr>
        <w:t>(dollars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5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080" w:type="dxa"/>
            <w:vAlign w:val="bottom"/>
            <w:gridSpan w:val="4"/>
          </w:tcPr>
          <w:p>
            <w:pPr>
              <w:ind w:left="560"/>
              <w:spacing w:after="0"/>
              <w:rPr>
                <w:sz w:val="20"/>
                <w:szCs w:val="20"/>
                <w:color w:val="auto"/>
              </w:rPr>
            </w:pPr>
            <w:r>
              <w:rPr>
                <w:rFonts w:ascii="Times New Roman" w:cs="Times New Roman" w:eastAsia="Times New Roman" w:hAnsi="Times New Roman"/>
                <w:sz w:val="16"/>
                <w:szCs w:val="16"/>
                <w:b w:val="1"/>
                <w:bCs w:val="1"/>
                <w:color w:val="auto"/>
              </w:rPr>
              <w:t>September 30, 2025</w:t>
            </w:r>
          </w:p>
        </w:tc>
        <w:tc>
          <w:tcPr>
            <w:tcW w:w="380" w:type="dxa"/>
            <w:vAlign w:val="bottom"/>
          </w:tcPr>
          <w:p>
            <w:pPr>
              <w:spacing w:after="0"/>
              <w:rPr>
                <w:sz w:val="18"/>
                <w:szCs w:val="18"/>
                <w:color w:val="auto"/>
              </w:rPr>
            </w:pPr>
          </w:p>
        </w:tc>
        <w:tc>
          <w:tcPr>
            <w:tcW w:w="2840" w:type="dxa"/>
            <w:vAlign w:val="bottom"/>
            <w:gridSpan w:val="3"/>
          </w:tcPr>
          <w:p>
            <w:pPr>
              <w:jc w:val="right"/>
              <w:ind w:right="879"/>
              <w:spacing w:after="0"/>
              <w:rPr>
                <w:sz w:val="20"/>
                <w:szCs w:val="20"/>
                <w:color w:val="auto"/>
              </w:rPr>
            </w:pPr>
            <w:r>
              <w:rPr>
                <w:rFonts w:ascii="Times New Roman" w:cs="Times New Roman" w:eastAsia="Times New Roman" w:hAnsi="Times New Roman"/>
                <w:sz w:val="16"/>
                <w:szCs w:val="16"/>
                <w:b w:val="1"/>
                <w:bCs w:val="1"/>
                <w:color w:val="auto"/>
              </w:rPr>
              <w:t>December 31, 2024</w:t>
            </w:r>
          </w:p>
        </w:tc>
      </w:tr>
      <w:tr>
        <w:trPr>
          <w:trHeight w:val="213"/>
        </w:trPr>
        <w:tc>
          <w:tcPr>
            <w:tcW w:w="456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bottom w:val="single" w:sz="8" w:color="auto"/>
            </w:tcBorders>
            <w:shd w:val="clear" w:color="auto" w:fill="CCEEFF"/>
          </w:tcPr>
          <w:p>
            <w:pPr>
              <w:spacing w:after="0"/>
              <w:rPr>
                <w:sz w:val="18"/>
                <w:szCs w:val="18"/>
                <w:color w:val="auto"/>
              </w:rPr>
            </w:pPr>
          </w:p>
        </w:tc>
        <w:tc>
          <w:tcPr>
            <w:tcW w:w="1500" w:type="dxa"/>
            <w:vAlign w:val="bottom"/>
            <w:tcBorders>
              <w:top w:val="single" w:sz="8" w:color="auto"/>
              <w:bottom w:val="single" w:sz="8" w:color="auto"/>
            </w:tcBorders>
            <w:shd w:val="clear" w:color="auto" w:fill="CCEEFF"/>
          </w:tcPr>
          <w:p>
            <w:pPr>
              <w:jc w:val="right"/>
              <w:ind w:right="579"/>
              <w:spacing w:after="0"/>
              <w:rPr>
                <w:sz w:val="20"/>
                <w:szCs w:val="20"/>
                <w:color w:val="auto"/>
              </w:rPr>
            </w:pPr>
            <w:r>
              <w:rPr>
                <w:rFonts w:ascii="Times New Roman" w:cs="Times New Roman" w:eastAsia="Times New Roman" w:hAnsi="Times New Roman"/>
                <w:sz w:val="16"/>
                <w:szCs w:val="16"/>
                <w:b w:val="1"/>
                <w:bCs w:val="1"/>
                <w:color w:val="auto"/>
              </w:rPr>
              <w:t>Balance</w:t>
            </w:r>
          </w:p>
        </w:tc>
        <w:tc>
          <w:tcPr>
            <w:tcW w:w="12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 of Total</w:t>
            </w:r>
          </w:p>
        </w:tc>
        <w:tc>
          <w:tcPr>
            <w:tcW w:w="24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bottom w:val="single" w:sz="8" w:color="auto"/>
            </w:tcBorders>
            <w:shd w:val="clear" w:color="auto" w:fill="CCEEFF"/>
          </w:tcPr>
          <w:p>
            <w:pPr>
              <w:spacing w:after="0"/>
              <w:rPr>
                <w:sz w:val="18"/>
                <w:szCs w:val="18"/>
                <w:color w:val="auto"/>
              </w:rPr>
            </w:pPr>
          </w:p>
        </w:tc>
        <w:tc>
          <w:tcPr>
            <w:tcW w:w="1500" w:type="dxa"/>
            <w:vAlign w:val="bottom"/>
            <w:tcBorders>
              <w:top w:val="single" w:sz="8" w:color="auto"/>
              <w:bottom w:val="single" w:sz="8" w:color="auto"/>
            </w:tcBorders>
            <w:shd w:val="clear" w:color="auto" w:fill="CCEEFF"/>
          </w:tcPr>
          <w:p>
            <w:pPr>
              <w:jc w:val="right"/>
              <w:ind w:right="579"/>
              <w:spacing w:after="0"/>
              <w:rPr>
                <w:sz w:val="20"/>
                <w:szCs w:val="20"/>
                <w:color w:val="auto"/>
              </w:rPr>
            </w:pPr>
            <w:r>
              <w:rPr>
                <w:rFonts w:ascii="Times New Roman" w:cs="Times New Roman" w:eastAsia="Times New Roman" w:hAnsi="Times New Roman"/>
                <w:sz w:val="16"/>
                <w:szCs w:val="16"/>
                <w:b w:val="1"/>
                <w:bCs w:val="1"/>
                <w:color w:val="auto"/>
              </w:rPr>
              <w:t>Balance</w:t>
            </w:r>
          </w:p>
        </w:tc>
        <w:tc>
          <w:tcPr>
            <w:tcW w:w="12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 of Total</w:t>
            </w:r>
          </w:p>
        </w:tc>
      </w:tr>
      <w:tr>
        <w:trPr>
          <w:trHeight w:val="207"/>
        </w:trPr>
        <w:tc>
          <w:tcPr>
            <w:tcW w:w="45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Noninterest-bearing demand</w:t>
            </w:r>
          </w:p>
        </w:tc>
        <w:tc>
          <w:tcPr>
            <w:tcW w:w="38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6,444,067</w:t>
            </w:r>
          </w:p>
        </w:tc>
        <w:tc>
          <w:tcPr>
            <w:tcW w:w="12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27 %</w:t>
            </w:r>
          </w:p>
        </w:tc>
        <w:tc>
          <w:tcPr>
            <w:tcW w:w="240" w:type="dxa"/>
            <w:vAlign w:val="bottom"/>
          </w:tcPr>
          <w:p>
            <w:pPr>
              <w:spacing w:after="0"/>
              <w:rPr>
                <w:sz w:val="17"/>
                <w:szCs w:val="17"/>
                <w:color w:val="auto"/>
              </w:rPr>
            </w:pPr>
          </w:p>
        </w:tc>
        <w:tc>
          <w:tcPr>
            <w:tcW w:w="38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6,211,182</w:t>
            </w:r>
          </w:p>
        </w:tc>
        <w:tc>
          <w:tcPr>
            <w:tcW w:w="12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26 %</w:t>
            </w:r>
          </w:p>
        </w:tc>
      </w:tr>
      <w:tr>
        <w:trPr>
          <w:trHeight w:val="219"/>
        </w:trPr>
        <w:tc>
          <w:tcPr>
            <w:tcW w:w="45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NOW and interest-bearing demand</w:t>
            </w:r>
          </w:p>
        </w:tc>
        <w:tc>
          <w:tcPr>
            <w:tcW w:w="38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5,860,653</w:t>
            </w:r>
          </w:p>
        </w:tc>
        <w:tc>
          <w:tcPr>
            <w:tcW w:w="1340" w:type="dxa"/>
            <w:vAlign w:val="bottom"/>
            <w:gridSpan w:val="2"/>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24</w:t>
            </w:r>
          </w:p>
        </w:tc>
        <w:tc>
          <w:tcPr>
            <w:tcW w:w="2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6,141,342</w:t>
            </w:r>
          </w:p>
        </w:tc>
        <w:tc>
          <w:tcPr>
            <w:tcW w:w="1340" w:type="dxa"/>
            <w:vAlign w:val="bottom"/>
            <w:gridSpan w:val="2"/>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26</w:t>
            </w:r>
          </w:p>
        </w:tc>
      </w:tr>
      <w:tr>
        <w:trPr>
          <w:trHeight w:val="213"/>
        </w:trPr>
        <w:tc>
          <w:tcPr>
            <w:tcW w:w="45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Money market and savings</w:t>
            </w:r>
          </w:p>
        </w:tc>
        <w:tc>
          <w:tcPr>
            <w:tcW w:w="38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7,886,624</w:t>
            </w:r>
          </w:p>
        </w:tc>
        <w:tc>
          <w:tcPr>
            <w:tcW w:w="1340" w:type="dxa"/>
            <w:vAlign w:val="bottom"/>
            <w:gridSpan w:val="2"/>
          </w:tcPr>
          <w:p>
            <w:pPr>
              <w:jc w:val="right"/>
              <w:ind w:right="119"/>
              <w:spacing w:after="0"/>
              <w:rPr>
                <w:sz w:val="20"/>
                <w:szCs w:val="20"/>
                <w:color w:val="auto"/>
              </w:rPr>
            </w:pPr>
            <w:r>
              <w:rPr>
                <w:rFonts w:ascii="Times New Roman" w:cs="Times New Roman" w:eastAsia="Times New Roman" w:hAnsi="Times New Roman"/>
                <w:sz w:val="16"/>
                <w:szCs w:val="16"/>
                <w:color w:val="auto"/>
              </w:rPr>
              <w:t>33</w:t>
            </w: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7,498,735</w:t>
            </w:r>
          </w:p>
        </w:tc>
        <w:tc>
          <w:tcPr>
            <w:tcW w:w="1340" w:type="dxa"/>
            <w:vAlign w:val="bottom"/>
            <w:gridSpan w:val="2"/>
          </w:tcPr>
          <w:p>
            <w:pPr>
              <w:jc w:val="right"/>
              <w:ind w:right="119"/>
              <w:spacing w:after="0"/>
              <w:rPr>
                <w:sz w:val="20"/>
                <w:szCs w:val="20"/>
                <w:color w:val="auto"/>
              </w:rPr>
            </w:pPr>
            <w:r>
              <w:rPr>
                <w:rFonts w:ascii="Times New Roman" w:cs="Times New Roman" w:eastAsia="Times New Roman" w:hAnsi="Times New Roman"/>
                <w:sz w:val="16"/>
                <w:szCs w:val="16"/>
                <w:color w:val="auto"/>
              </w:rPr>
              <w:t>32</w:t>
            </w:r>
          </w:p>
        </w:tc>
      </w:tr>
      <w:tr>
        <w:trPr>
          <w:trHeight w:val="219"/>
        </w:trPr>
        <w:tc>
          <w:tcPr>
            <w:tcW w:w="45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Time</w:t>
            </w:r>
          </w:p>
        </w:tc>
        <w:tc>
          <w:tcPr>
            <w:tcW w:w="38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3,673,718</w:t>
            </w:r>
          </w:p>
        </w:tc>
        <w:tc>
          <w:tcPr>
            <w:tcW w:w="1340" w:type="dxa"/>
            <w:vAlign w:val="bottom"/>
            <w:gridSpan w:val="2"/>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15</w:t>
            </w:r>
          </w:p>
        </w:tc>
        <w:tc>
          <w:tcPr>
            <w:tcW w:w="24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3,441,424</w:t>
            </w:r>
          </w:p>
        </w:tc>
        <w:tc>
          <w:tcPr>
            <w:tcW w:w="1340" w:type="dxa"/>
            <w:vAlign w:val="bottom"/>
            <w:gridSpan w:val="2"/>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15</w:t>
            </w:r>
          </w:p>
        </w:tc>
      </w:tr>
      <w:tr>
        <w:trPr>
          <w:trHeight w:val="207"/>
        </w:trPr>
        <w:tc>
          <w:tcPr>
            <w:tcW w:w="45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Total customer deposits</w:t>
            </w:r>
          </w:p>
        </w:tc>
        <w:tc>
          <w:tcPr>
            <w:tcW w:w="380" w:type="dxa"/>
            <w:vAlign w:val="bottom"/>
          </w:tcPr>
          <w:p>
            <w:pPr>
              <w:spacing w:after="0"/>
              <w:rPr>
                <w:sz w:val="17"/>
                <w:szCs w:val="17"/>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23,865,062</w:t>
            </w:r>
          </w:p>
        </w:tc>
        <w:tc>
          <w:tcPr>
            <w:tcW w:w="1340" w:type="dxa"/>
            <w:vAlign w:val="bottom"/>
            <w:gridSpan w:val="2"/>
          </w:tcPr>
          <w:p>
            <w:pPr>
              <w:jc w:val="right"/>
              <w:ind w:right="119"/>
              <w:spacing w:after="0"/>
              <w:rPr>
                <w:sz w:val="20"/>
                <w:szCs w:val="20"/>
                <w:color w:val="auto"/>
              </w:rPr>
            </w:pPr>
            <w:r>
              <w:rPr>
                <w:rFonts w:ascii="Times New Roman" w:cs="Times New Roman" w:eastAsia="Times New Roman" w:hAnsi="Times New Roman"/>
                <w:sz w:val="16"/>
                <w:szCs w:val="16"/>
                <w:color w:val="auto"/>
              </w:rPr>
              <w:t>99</w:t>
            </w:r>
          </w:p>
        </w:tc>
        <w:tc>
          <w:tcPr>
            <w:tcW w:w="2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23,292,683</w:t>
            </w:r>
          </w:p>
        </w:tc>
        <w:tc>
          <w:tcPr>
            <w:tcW w:w="1340" w:type="dxa"/>
            <w:vAlign w:val="bottom"/>
            <w:gridSpan w:val="2"/>
          </w:tcPr>
          <w:p>
            <w:pPr>
              <w:jc w:val="right"/>
              <w:ind w:right="119"/>
              <w:spacing w:after="0"/>
              <w:rPr>
                <w:sz w:val="20"/>
                <w:szCs w:val="20"/>
                <w:color w:val="auto"/>
              </w:rPr>
            </w:pPr>
            <w:r>
              <w:rPr>
                <w:rFonts w:ascii="Times New Roman" w:cs="Times New Roman" w:eastAsia="Times New Roman" w:hAnsi="Times New Roman"/>
                <w:sz w:val="16"/>
                <w:szCs w:val="16"/>
                <w:color w:val="auto"/>
              </w:rPr>
              <w:t>99</w:t>
            </w:r>
          </w:p>
        </w:tc>
      </w:tr>
      <w:tr>
        <w:trPr>
          <w:trHeight w:val="216"/>
        </w:trPr>
        <w:tc>
          <w:tcPr>
            <w:tcW w:w="45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Brokered deposits</w:t>
            </w:r>
          </w:p>
        </w:tc>
        <w:tc>
          <w:tcPr>
            <w:tcW w:w="380" w:type="dxa"/>
            <w:vAlign w:val="bottom"/>
            <w:tcBorders>
              <w:bottom w:val="single" w:sz="8" w:color="auto"/>
            </w:tcBorders>
            <w:shd w:val="clear" w:color="auto" w:fill="CCEEFF"/>
          </w:tcPr>
          <w:p>
            <w:pPr>
              <w:spacing w:after="0"/>
              <w:rPr>
                <w:sz w:val="18"/>
                <w:szCs w:val="18"/>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155,556</w:t>
            </w:r>
          </w:p>
        </w:tc>
        <w:tc>
          <w:tcPr>
            <w:tcW w:w="1340" w:type="dxa"/>
            <w:vAlign w:val="bottom"/>
            <w:gridSpan w:val="2"/>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w:t>
            </w:r>
          </w:p>
        </w:tc>
        <w:tc>
          <w:tcPr>
            <w:tcW w:w="24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168,292</w:t>
            </w:r>
          </w:p>
        </w:tc>
        <w:tc>
          <w:tcPr>
            <w:tcW w:w="1340" w:type="dxa"/>
            <w:vAlign w:val="bottom"/>
            <w:gridSpan w:val="2"/>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w:t>
            </w:r>
          </w:p>
        </w:tc>
      </w:tr>
      <w:tr>
        <w:trPr>
          <w:trHeight w:val="212"/>
        </w:trPr>
        <w:tc>
          <w:tcPr>
            <w:tcW w:w="45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Total deposits</w:t>
            </w:r>
          </w:p>
        </w:tc>
        <w:tc>
          <w:tcPr>
            <w:tcW w:w="38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24,020,618</w:t>
            </w: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8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23,460,975</w:t>
            </w: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1"/>
        </w:trPr>
        <w:tc>
          <w:tcPr>
            <w:tcW w:w="45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0" w:right="3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b w:val="1"/>
          <w:bCs w:val="1"/>
          <w:i w:val="1"/>
          <w:iCs w:val="1"/>
          <w:color w:val="auto"/>
        </w:rPr>
        <w:t>Borrowing Activities</w:t>
      </w:r>
    </w:p>
    <w:p>
      <w:pPr>
        <w:spacing w:after="0" w:line="25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At September 30, 2025 and December 31, 2024, we had long-term debt outstanding of $155 million and $254 million, respectively, which includes senior debentures, subordinated debentures, and trust preferred securities. During the second quarter of 2025, we redeemed our $100 million 2030 senior debentures. On September 30, 2025, holders of our $35.0 million senior debt were notified that the debt would be redeemed on November 14, 2025. At September 30, 2025 there were no short-term borrowings outstanding. At December 31, 2024, there were $195 million in short-term borrowings outstanding. The need to utilize wholesale funding sources has decreased because our liquidity needs have been met by our deposit and cash balances.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Contractual Obligations and Off-Balance Sheet Arrangements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have not been any material changes to our contractual obligations and off-balance sheet arrangements since December 31, 2024.</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 Rate Sensitivity Management</w:t>
      </w:r>
    </w:p>
    <w:p>
      <w:pPr>
        <w:spacing w:after="0" w:line="25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Interest rate sensitivity is a function of the repricing characteristics of the portfolio of assets and liabilities. Repricing characteristics are the time frames within which the interest rates on interest-earning assets and interest-bearing liabilities are subject to change either at replacement, repricing or maturity.</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Management uses an asset/liability simulation model to measure the potential change in net interest revenue over time using multiple interest rate scenarios. Our modeling is based on the 12-month impact on net interest revenue simulations with various interest rate shocks and ramps, which are compared to a base scenario that assumes rates remain unchanged. In the shock scenarios, rates immediately change the full amount at the scenario onset. In the ramp scenarios, rates change by 25 basis points per month until they reach the predetermined levels.</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following table presents our interest sensitivity position at the dates indicated. The scenario results presented assume parallel movements in the yield curve, which may differ from actual future curve behavior. Other than an assumption for the runoff of estimated surge deposits, which is assumed to be replaced with higher cost wholesale funding, this presentation generally assumes no change in deposit portfolio size or composition.</w:t>
      </w:r>
    </w:p>
    <w:p>
      <w:pPr>
        <w:spacing w:after="0" w:line="23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Table 14 - Interest Sensitivity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10" w:lineRule="exact"/>
        <w:rPr>
          <w:sz w:val="20"/>
          <w:szCs w:val="20"/>
          <w:color w:val="auto"/>
        </w:rPr>
      </w:pPr>
    </w:p>
    <w:p>
      <w:pPr>
        <w:jc w:val="center"/>
        <w:ind w:left="3480"/>
        <w:spacing w:after="0"/>
        <w:rPr>
          <w:sz w:val="20"/>
          <w:szCs w:val="20"/>
          <w:color w:val="auto"/>
        </w:rPr>
      </w:pPr>
      <w:r>
        <w:rPr>
          <w:rFonts w:ascii="Times New Roman" w:cs="Times New Roman" w:eastAsia="Times New Roman" w:hAnsi="Times New Roman"/>
          <w:sz w:val="16"/>
          <w:szCs w:val="16"/>
          <w:b w:val="1"/>
          <w:bCs w:val="1"/>
          <w:color w:val="auto"/>
        </w:rPr>
        <w:t>Increase (Decrease) in Net Interest Revenue from Base Scenario</w:t>
      </w:r>
    </w:p>
    <w:p>
      <w:pPr>
        <w:jc w:val="center"/>
        <w:ind w:left="3480"/>
        <w:spacing w:after="0"/>
        <w:rPr>
          <w:sz w:val="20"/>
          <w:szCs w:val="20"/>
          <w:color w:val="auto"/>
        </w:rPr>
      </w:pPr>
      <w:r>
        <w:rPr>
          <w:rFonts w:ascii="Times New Roman" w:cs="Times New Roman" w:eastAsia="Times New Roman" w:hAnsi="Times New Roman"/>
          <w:sz w:val="16"/>
          <w:szCs w:val="16"/>
          <w:b w:val="1"/>
          <w:bCs w:val="1"/>
          <w:color w:val="auto"/>
        </w:rPr>
        <w:t>at</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1520" w:type="dxa"/>
            <w:vAlign w:val="bottom"/>
          </w:tcPr>
          <w:p>
            <w:pPr>
              <w:spacing w:after="0"/>
              <w:rPr>
                <w:sz w:val="18"/>
                <w:szCs w:val="18"/>
                <w:color w:val="auto"/>
              </w:rPr>
            </w:pPr>
          </w:p>
        </w:tc>
        <w:tc>
          <w:tcPr>
            <w:tcW w:w="3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320" w:type="dxa"/>
            <w:vAlign w:val="bottom"/>
            <w:tcBorders>
              <w:top w:val="single" w:sz="8" w:color="auto"/>
            </w:tcBorders>
            <w:gridSpan w:val="4"/>
          </w:tcPr>
          <w:p>
            <w:pPr>
              <w:ind w:left="440"/>
              <w:spacing w:after="0"/>
              <w:rPr>
                <w:sz w:val="20"/>
                <w:szCs w:val="20"/>
                <w:color w:val="auto"/>
              </w:rPr>
            </w:pPr>
            <w:r>
              <w:rPr>
                <w:rFonts w:ascii="Times New Roman" w:cs="Times New Roman" w:eastAsia="Times New Roman" w:hAnsi="Times New Roman"/>
                <w:sz w:val="16"/>
                <w:szCs w:val="16"/>
                <w:b w:val="1"/>
                <w:bCs w:val="1"/>
                <w:color w:val="auto"/>
              </w:rPr>
              <w:t>September 30, 2025</w:t>
            </w:r>
          </w:p>
        </w:tc>
        <w:tc>
          <w:tcPr>
            <w:tcW w:w="2240" w:type="dxa"/>
            <w:vAlign w:val="bottom"/>
            <w:tcBorders>
              <w:top w:val="single" w:sz="8" w:color="auto"/>
            </w:tcBorders>
            <w:gridSpan w:val="3"/>
          </w:tcPr>
          <w:p>
            <w:pPr>
              <w:ind w:left="480"/>
              <w:spacing w:after="0"/>
              <w:rPr>
                <w:sz w:val="20"/>
                <w:szCs w:val="20"/>
                <w:color w:val="auto"/>
              </w:rPr>
            </w:pPr>
            <w:r>
              <w:rPr>
                <w:rFonts w:ascii="Times New Roman" w:cs="Times New Roman" w:eastAsia="Times New Roman" w:hAnsi="Times New Roman"/>
                <w:sz w:val="16"/>
                <w:szCs w:val="16"/>
                <w:b w:val="1"/>
                <w:bCs w:val="1"/>
                <w:color w:val="auto"/>
              </w:rPr>
              <w:t>December 31, 2024</w:t>
            </w:r>
          </w:p>
        </w:tc>
        <w:tc>
          <w:tcPr>
            <w:tcW w:w="1560" w:type="dxa"/>
            <w:vAlign w:val="bottom"/>
          </w:tcPr>
          <w:p>
            <w:pPr>
              <w:spacing w:after="0"/>
              <w:rPr>
                <w:sz w:val="18"/>
                <w:szCs w:val="18"/>
                <w:color w:val="auto"/>
              </w:rPr>
            </w:pPr>
          </w:p>
        </w:tc>
      </w:tr>
      <w:tr>
        <w:trPr>
          <w:trHeight w:val="211"/>
        </w:trPr>
        <w:tc>
          <w:tcPr>
            <w:tcW w:w="1520" w:type="dxa"/>
            <w:vAlign w:val="bottom"/>
          </w:tcPr>
          <w:p>
            <w:pPr>
              <w:spacing w:after="0"/>
              <w:rPr>
                <w:sz w:val="18"/>
                <w:szCs w:val="18"/>
                <w:color w:val="auto"/>
              </w:rPr>
            </w:pPr>
          </w:p>
        </w:tc>
        <w:tc>
          <w:tcPr>
            <w:tcW w:w="3560" w:type="dxa"/>
            <w:vAlign w:val="bottom"/>
            <w:gridSpan w:val="2"/>
          </w:tcPr>
          <w:p>
            <w:pPr>
              <w:ind w:left="1160"/>
              <w:spacing w:after="0"/>
              <w:rPr>
                <w:sz w:val="20"/>
                <w:szCs w:val="20"/>
                <w:color w:val="auto"/>
              </w:rPr>
            </w:pPr>
            <w:r>
              <w:rPr>
                <w:rFonts w:ascii="Times New Roman" w:cs="Times New Roman" w:eastAsia="Times New Roman" w:hAnsi="Times New Roman"/>
                <w:sz w:val="16"/>
                <w:szCs w:val="16"/>
                <w:b w:val="1"/>
                <w:bCs w:val="1"/>
                <w:color w:val="auto"/>
              </w:rPr>
              <w:t>Change in Rates</w:t>
            </w:r>
          </w:p>
        </w:tc>
        <w:tc>
          <w:tcPr>
            <w:tcW w:w="1160" w:type="dxa"/>
            <w:vAlign w:val="bottom"/>
            <w:tcBorders>
              <w:top w:val="single" w:sz="8" w:color="auto"/>
            </w:tcBorders>
            <w:gridSpan w:val="2"/>
          </w:tcPr>
          <w:p>
            <w:pPr>
              <w:ind w:left="320"/>
              <w:spacing w:after="0"/>
              <w:rPr>
                <w:sz w:val="20"/>
                <w:szCs w:val="20"/>
                <w:color w:val="auto"/>
              </w:rPr>
            </w:pPr>
            <w:r>
              <w:rPr>
                <w:rFonts w:ascii="Times New Roman" w:cs="Times New Roman" w:eastAsia="Times New Roman" w:hAnsi="Times New Roman"/>
                <w:sz w:val="16"/>
                <w:szCs w:val="16"/>
                <w:b w:val="1"/>
                <w:bCs w:val="1"/>
                <w:color w:val="auto"/>
              </w:rPr>
              <w:t>Shock</w:t>
            </w:r>
          </w:p>
        </w:tc>
        <w:tc>
          <w:tcPr>
            <w:tcW w:w="1060" w:type="dxa"/>
            <w:vAlign w:val="bottom"/>
            <w:tcBorders>
              <w:top w:val="single" w:sz="8" w:color="auto"/>
            </w:tcBorders>
          </w:tcPr>
          <w:p>
            <w:pPr>
              <w:ind w:left="320"/>
              <w:spacing w:after="0"/>
              <w:rPr>
                <w:sz w:val="20"/>
                <w:szCs w:val="20"/>
                <w:color w:val="auto"/>
              </w:rPr>
            </w:pPr>
            <w:r>
              <w:rPr>
                <w:rFonts w:ascii="Times New Roman" w:cs="Times New Roman" w:eastAsia="Times New Roman" w:hAnsi="Times New Roman"/>
                <w:sz w:val="16"/>
                <w:szCs w:val="16"/>
                <w:b w:val="1"/>
                <w:bCs w:val="1"/>
                <w:color w:val="auto"/>
              </w:rPr>
              <w:t>Ramp</w:t>
            </w:r>
          </w:p>
        </w:tc>
        <w:tc>
          <w:tcPr>
            <w:tcW w:w="100" w:type="dxa"/>
            <w:vAlign w:val="bottom"/>
          </w:tcPr>
          <w:p>
            <w:pPr>
              <w:spacing w:after="0"/>
              <w:rPr>
                <w:sz w:val="18"/>
                <w:szCs w:val="18"/>
                <w:color w:val="auto"/>
              </w:rPr>
            </w:pPr>
          </w:p>
        </w:tc>
        <w:tc>
          <w:tcPr>
            <w:tcW w:w="1180" w:type="dxa"/>
            <w:vAlign w:val="bottom"/>
            <w:tcBorders>
              <w:top w:val="single" w:sz="8" w:color="auto"/>
            </w:tcBorders>
            <w:gridSpan w:val="2"/>
          </w:tcPr>
          <w:p>
            <w:pPr>
              <w:ind w:left="320"/>
              <w:spacing w:after="0"/>
              <w:rPr>
                <w:sz w:val="20"/>
                <w:szCs w:val="20"/>
                <w:color w:val="auto"/>
              </w:rPr>
            </w:pPr>
            <w:r>
              <w:rPr>
                <w:rFonts w:ascii="Times New Roman" w:cs="Times New Roman" w:eastAsia="Times New Roman" w:hAnsi="Times New Roman"/>
                <w:sz w:val="16"/>
                <w:szCs w:val="16"/>
                <w:b w:val="1"/>
                <w:bCs w:val="1"/>
                <w:color w:val="auto"/>
              </w:rPr>
              <w:t>Shock</w:t>
            </w:r>
          </w:p>
        </w:tc>
        <w:tc>
          <w:tcPr>
            <w:tcW w:w="1060" w:type="dxa"/>
            <w:vAlign w:val="bottom"/>
            <w:tcBorders>
              <w:top w:val="single" w:sz="8" w:color="auto"/>
            </w:tcBorders>
          </w:tcPr>
          <w:p>
            <w:pPr>
              <w:ind w:left="320"/>
              <w:spacing w:after="0"/>
              <w:rPr>
                <w:sz w:val="20"/>
                <w:szCs w:val="20"/>
                <w:color w:val="auto"/>
              </w:rPr>
            </w:pPr>
            <w:r>
              <w:rPr>
                <w:rFonts w:ascii="Times New Roman" w:cs="Times New Roman" w:eastAsia="Times New Roman" w:hAnsi="Times New Roman"/>
                <w:sz w:val="16"/>
                <w:szCs w:val="16"/>
                <w:b w:val="1"/>
                <w:bCs w:val="1"/>
                <w:color w:val="auto"/>
              </w:rPr>
              <w:t>Ramp</w:t>
            </w:r>
          </w:p>
        </w:tc>
        <w:tc>
          <w:tcPr>
            <w:tcW w:w="1560" w:type="dxa"/>
            <w:vAlign w:val="bottom"/>
          </w:tcPr>
          <w:p>
            <w:pPr>
              <w:spacing w:after="0"/>
              <w:rPr>
                <w:sz w:val="18"/>
                <w:szCs w:val="18"/>
                <w:color w:val="auto"/>
              </w:rPr>
            </w:pPr>
          </w:p>
        </w:tc>
      </w:tr>
      <w:tr>
        <w:trPr>
          <w:trHeight w:val="211"/>
        </w:trPr>
        <w:tc>
          <w:tcPr>
            <w:tcW w:w="1520" w:type="dxa"/>
            <w:vAlign w:val="bottom"/>
            <w:tcBorders>
              <w:top w:val="single" w:sz="8" w:color="CCEEFF"/>
            </w:tcBorders>
            <w:shd w:val="clear" w:color="auto" w:fill="CCEEFF"/>
          </w:tcPr>
          <w:p>
            <w:pPr>
              <w:spacing w:after="0"/>
              <w:rPr>
                <w:sz w:val="18"/>
                <w:szCs w:val="18"/>
                <w:color w:val="auto"/>
              </w:rPr>
            </w:pPr>
          </w:p>
        </w:tc>
        <w:tc>
          <w:tcPr>
            <w:tcW w:w="34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200 basis point increase</w:t>
            </w:r>
          </w:p>
        </w:tc>
        <w:tc>
          <w:tcPr>
            <w:tcW w:w="100" w:type="dxa"/>
            <w:vAlign w:val="bottom"/>
            <w:tcBorders>
              <w:top w:val="single" w:sz="8" w:color="CCEEFF"/>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ind w:left="580"/>
              <w:spacing w:after="0"/>
              <w:rPr>
                <w:sz w:val="20"/>
                <w:szCs w:val="20"/>
                <w:color w:val="auto"/>
              </w:rPr>
            </w:pPr>
            <w:r>
              <w:rPr>
                <w:rFonts w:ascii="Times New Roman" w:cs="Times New Roman" w:eastAsia="Times New Roman" w:hAnsi="Times New Roman"/>
                <w:sz w:val="16"/>
                <w:szCs w:val="16"/>
                <w:color w:val="auto"/>
              </w:rPr>
              <w:t>3.32 %</w:t>
            </w:r>
          </w:p>
        </w:tc>
        <w:tc>
          <w:tcPr>
            <w:tcW w:w="100" w:type="dxa"/>
            <w:vAlign w:val="bottom"/>
            <w:tcBorders>
              <w:top w:val="single" w:sz="8" w:color="CCEEFF"/>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ind w:left="580"/>
              <w:spacing w:after="0"/>
              <w:rPr>
                <w:sz w:val="20"/>
                <w:szCs w:val="20"/>
                <w:color w:val="auto"/>
              </w:rPr>
            </w:pPr>
            <w:r>
              <w:rPr>
                <w:rFonts w:ascii="Times New Roman" w:cs="Times New Roman" w:eastAsia="Times New Roman" w:hAnsi="Times New Roman"/>
                <w:sz w:val="16"/>
                <w:szCs w:val="16"/>
                <w:color w:val="auto"/>
              </w:rPr>
              <w:t>1.61 %</w:t>
            </w:r>
          </w:p>
        </w:tc>
        <w:tc>
          <w:tcPr>
            <w:tcW w:w="100" w:type="dxa"/>
            <w:vAlign w:val="bottom"/>
            <w:tcBorders>
              <w:top w:val="single" w:sz="8" w:color="CCEEFF"/>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ind w:left="580"/>
              <w:spacing w:after="0"/>
              <w:rPr>
                <w:sz w:val="20"/>
                <w:szCs w:val="20"/>
                <w:color w:val="auto"/>
              </w:rPr>
            </w:pPr>
            <w:r>
              <w:rPr>
                <w:rFonts w:ascii="Times New Roman" w:cs="Times New Roman" w:eastAsia="Times New Roman" w:hAnsi="Times New Roman"/>
                <w:sz w:val="16"/>
                <w:szCs w:val="16"/>
                <w:color w:val="auto"/>
              </w:rPr>
              <w:t>2.01 %</w:t>
            </w:r>
          </w:p>
        </w:tc>
        <w:tc>
          <w:tcPr>
            <w:tcW w:w="100" w:type="dxa"/>
            <w:vAlign w:val="bottom"/>
            <w:tcBorders>
              <w:top w:val="single" w:sz="8" w:color="CCEEFF"/>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ind w:left="580"/>
              <w:spacing w:after="0"/>
              <w:rPr>
                <w:sz w:val="20"/>
                <w:szCs w:val="20"/>
                <w:color w:val="auto"/>
              </w:rPr>
            </w:pPr>
            <w:r>
              <w:rPr>
                <w:rFonts w:ascii="Times New Roman" w:cs="Times New Roman" w:eastAsia="Times New Roman" w:hAnsi="Times New Roman"/>
                <w:sz w:val="16"/>
                <w:szCs w:val="16"/>
                <w:color w:val="auto"/>
              </w:rPr>
              <w:t>0.92 %</w:t>
            </w:r>
          </w:p>
        </w:tc>
        <w:tc>
          <w:tcPr>
            <w:tcW w:w="1560" w:type="dxa"/>
            <w:vAlign w:val="bottom"/>
            <w:tcBorders>
              <w:top w:val="single" w:sz="8" w:color="CCEEFF"/>
            </w:tcBorders>
            <w:shd w:val="clear" w:color="auto" w:fill="CCEEFF"/>
          </w:tcPr>
          <w:p>
            <w:pPr>
              <w:spacing w:after="0"/>
              <w:rPr>
                <w:sz w:val="18"/>
                <w:szCs w:val="18"/>
                <w:color w:val="auto"/>
              </w:rPr>
            </w:pPr>
          </w:p>
        </w:tc>
      </w:tr>
      <w:tr>
        <w:trPr>
          <w:trHeight w:val="213"/>
        </w:trPr>
        <w:tc>
          <w:tcPr>
            <w:tcW w:w="1520" w:type="dxa"/>
            <w:vAlign w:val="bottom"/>
          </w:tcPr>
          <w:p>
            <w:pPr>
              <w:spacing w:after="0"/>
              <w:rPr>
                <w:sz w:val="18"/>
                <w:szCs w:val="18"/>
                <w:color w:val="auto"/>
              </w:rPr>
            </w:pPr>
          </w:p>
        </w:tc>
        <w:tc>
          <w:tcPr>
            <w:tcW w:w="35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100 basis point increase</w:t>
            </w:r>
          </w:p>
        </w:tc>
        <w:tc>
          <w:tcPr>
            <w:tcW w:w="1060" w:type="dxa"/>
            <w:vAlign w:val="bottom"/>
          </w:tcPr>
          <w:p>
            <w:pPr>
              <w:ind w:left="580"/>
              <w:spacing w:after="0"/>
              <w:rPr>
                <w:sz w:val="20"/>
                <w:szCs w:val="20"/>
                <w:color w:val="auto"/>
              </w:rPr>
            </w:pPr>
            <w:r>
              <w:rPr>
                <w:rFonts w:ascii="Times New Roman" w:cs="Times New Roman" w:eastAsia="Times New Roman" w:hAnsi="Times New Roman"/>
                <w:sz w:val="16"/>
                <w:szCs w:val="16"/>
                <w:color w:val="auto"/>
              </w:rPr>
              <w:t>1.83</w:t>
            </w:r>
          </w:p>
        </w:tc>
        <w:tc>
          <w:tcPr>
            <w:tcW w:w="100" w:type="dxa"/>
            <w:vAlign w:val="bottom"/>
          </w:tcPr>
          <w:p>
            <w:pPr>
              <w:spacing w:after="0"/>
              <w:rPr>
                <w:sz w:val="18"/>
                <w:szCs w:val="18"/>
                <w:color w:val="auto"/>
              </w:rPr>
            </w:pPr>
          </w:p>
        </w:tc>
        <w:tc>
          <w:tcPr>
            <w:tcW w:w="1060" w:type="dxa"/>
            <w:vAlign w:val="bottom"/>
          </w:tcPr>
          <w:p>
            <w:pPr>
              <w:ind w:left="580"/>
              <w:spacing w:after="0"/>
              <w:rPr>
                <w:sz w:val="20"/>
                <w:szCs w:val="20"/>
                <w:color w:val="auto"/>
              </w:rPr>
            </w:pPr>
            <w:r>
              <w:rPr>
                <w:rFonts w:ascii="Times New Roman" w:cs="Times New Roman" w:eastAsia="Times New Roman" w:hAnsi="Times New Roman"/>
                <w:sz w:val="16"/>
                <w:szCs w:val="16"/>
                <w:color w:val="auto"/>
              </w:rPr>
              <w:t>1.15</w:t>
            </w:r>
          </w:p>
        </w:tc>
        <w:tc>
          <w:tcPr>
            <w:tcW w:w="100" w:type="dxa"/>
            <w:vAlign w:val="bottom"/>
          </w:tcPr>
          <w:p>
            <w:pPr>
              <w:spacing w:after="0"/>
              <w:rPr>
                <w:sz w:val="18"/>
                <w:szCs w:val="18"/>
                <w:color w:val="auto"/>
              </w:rPr>
            </w:pPr>
          </w:p>
        </w:tc>
        <w:tc>
          <w:tcPr>
            <w:tcW w:w="1080" w:type="dxa"/>
            <w:vAlign w:val="bottom"/>
          </w:tcPr>
          <w:p>
            <w:pPr>
              <w:ind w:left="580"/>
              <w:spacing w:after="0"/>
              <w:rPr>
                <w:sz w:val="20"/>
                <w:szCs w:val="20"/>
                <w:color w:val="auto"/>
              </w:rPr>
            </w:pPr>
            <w:r>
              <w:rPr>
                <w:rFonts w:ascii="Times New Roman" w:cs="Times New Roman" w:eastAsia="Times New Roman" w:hAnsi="Times New Roman"/>
                <w:sz w:val="16"/>
                <w:szCs w:val="16"/>
                <w:color w:val="auto"/>
              </w:rPr>
              <w:t>1.19</w:t>
            </w:r>
          </w:p>
        </w:tc>
        <w:tc>
          <w:tcPr>
            <w:tcW w:w="100" w:type="dxa"/>
            <w:vAlign w:val="bottom"/>
          </w:tcPr>
          <w:p>
            <w:pPr>
              <w:spacing w:after="0"/>
              <w:rPr>
                <w:sz w:val="18"/>
                <w:szCs w:val="18"/>
                <w:color w:val="auto"/>
              </w:rPr>
            </w:pPr>
          </w:p>
        </w:tc>
        <w:tc>
          <w:tcPr>
            <w:tcW w:w="1060" w:type="dxa"/>
            <w:vAlign w:val="bottom"/>
          </w:tcPr>
          <w:p>
            <w:pPr>
              <w:ind w:left="580"/>
              <w:spacing w:after="0"/>
              <w:rPr>
                <w:sz w:val="20"/>
                <w:szCs w:val="20"/>
                <w:color w:val="auto"/>
              </w:rPr>
            </w:pPr>
            <w:r>
              <w:rPr>
                <w:rFonts w:ascii="Times New Roman" w:cs="Times New Roman" w:eastAsia="Times New Roman" w:hAnsi="Times New Roman"/>
                <w:sz w:val="16"/>
                <w:szCs w:val="16"/>
                <w:color w:val="auto"/>
              </w:rPr>
              <w:t>0.66</w:t>
            </w:r>
          </w:p>
        </w:tc>
        <w:tc>
          <w:tcPr>
            <w:tcW w:w="1560" w:type="dxa"/>
            <w:vAlign w:val="bottom"/>
          </w:tcPr>
          <w:p>
            <w:pPr>
              <w:spacing w:after="0"/>
              <w:rPr>
                <w:sz w:val="18"/>
                <w:szCs w:val="18"/>
                <w:color w:val="auto"/>
              </w:rPr>
            </w:pPr>
          </w:p>
        </w:tc>
      </w:tr>
      <w:tr>
        <w:trPr>
          <w:trHeight w:val="219"/>
        </w:trPr>
        <w:tc>
          <w:tcPr>
            <w:tcW w:w="1520" w:type="dxa"/>
            <w:vAlign w:val="bottom"/>
            <w:shd w:val="clear" w:color="auto" w:fill="CCEEFF"/>
          </w:tcPr>
          <w:p>
            <w:pPr>
              <w:spacing w:after="0"/>
              <w:rPr>
                <w:sz w:val="19"/>
                <w:szCs w:val="19"/>
                <w:color w:val="auto"/>
              </w:rPr>
            </w:pPr>
          </w:p>
        </w:tc>
        <w:tc>
          <w:tcPr>
            <w:tcW w:w="35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100 basis point decrease</w:t>
            </w:r>
          </w:p>
        </w:tc>
        <w:tc>
          <w:tcPr>
            <w:tcW w:w="10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(3.02)</w:t>
            </w: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(2.00)</w:t>
            </w: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(2.27)</w:t>
            </w: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(1.46)</w:t>
            </w:r>
          </w:p>
        </w:tc>
        <w:tc>
          <w:tcPr>
            <w:tcW w:w="1560" w:type="dxa"/>
            <w:vAlign w:val="bottom"/>
            <w:shd w:val="clear" w:color="auto" w:fill="CCEEFF"/>
          </w:tcPr>
          <w:p>
            <w:pPr>
              <w:spacing w:after="0"/>
              <w:rPr>
                <w:sz w:val="19"/>
                <w:szCs w:val="19"/>
                <w:color w:val="auto"/>
              </w:rPr>
            </w:pPr>
          </w:p>
        </w:tc>
      </w:tr>
      <w:tr>
        <w:trPr>
          <w:trHeight w:val="210"/>
        </w:trPr>
        <w:tc>
          <w:tcPr>
            <w:tcW w:w="1520" w:type="dxa"/>
            <w:vAlign w:val="bottom"/>
          </w:tcPr>
          <w:p>
            <w:pPr>
              <w:spacing w:after="0"/>
              <w:rPr>
                <w:sz w:val="18"/>
                <w:szCs w:val="18"/>
                <w:color w:val="auto"/>
              </w:rPr>
            </w:pPr>
          </w:p>
        </w:tc>
        <w:tc>
          <w:tcPr>
            <w:tcW w:w="35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200 basis point decrease</w:t>
            </w:r>
          </w:p>
        </w:tc>
        <w:tc>
          <w:tcPr>
            <w:tcW w:w="10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(7.24)</w:t>
            </w:r>
          </w:p>
        </w:tc>
        <w:tc>
          <w:tcPr>
            <w:tcW w:w="100" w:type="dxa"/>
            <w:vAlign w:val="bottom"/>
          </w:tcPr>
          <w:p>
            <w:pPr>
              <w:spacing w:after="0"/>
              <w:rPr>
                <w:sz w:val="18"/>
                <w:szCs w:val="18"/>
                <w:color w:val="auto"/>
              </w:rPr>
            </w:pPr>
          </w:p>
        </w:tc>
        <w:tc>
          <w:tcPr>
            <w:tcW w:w="10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(3.17)</w:t>
            </w:r>
          </w:p>
        </w:tc>
        <w:tc>
          <w:tcPr>
            <w:tcW w:w="100" w:type="dxa"/>
            <w:vAlign w:val="bottom"/>
          </w:tcPr>
          <w:p>
            <w:pPr>
              <w:spacing w:after="0"/>
              <w:rPr>
                <w:sz w:val="18"/>
                <w:szCs w:val="18"/>
                <w:color w:val="auto"/>
              </w:rPr>
            </w:pPr>
          </w:p>
        </w:tc>
        <w:tc>
          <w:tcPr>
            <w:tcW w:w="108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(6.00)</w:t>
            </w:r>
          </w:p>
        </w:tc>
        <w:tc>
          <w:tcPr>
            <w:tcW w:w="100" w:type="dxa"/>
            <w:vAlign w:val="bottom"/>
          </w:tcPr>
          <w:p>
            <w:pPr>
              <w:spacing w:after="0"/>
              <w:rPr>
                <w:sz w:val="18"/>
                <w:szCs w:val="18"/>
                <w:color w:val="auto"/>
              </w:rPr>
            </w:pPr>
          </w:p>
        </w:tc>
        <w:tc>
          <w:tcPr>
            <w:tcW w:w="10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(2.38)</w:t>
            </w:r>
          </w:p>
        </w:tc>
        <w:tc>
          <w:tcPr>
            <w:tcW w:w="1560" w:type="dxa"/>
            <w:vAlign w:val="bottom"/>
          </w:tcPr>
          <w:p>
            <w:pPr>
              <w:spacing w:after="0"/>
              <w:rPr>
                <w:sz w:val="18"/>
                <w:szCs w:val="18"/>
                <w:color w:val="auto"/>
              </w:rPr>
            </w:pPr>
          </w:p>
        </w:tc>
      </w:tr>
    </w:tbl>
    <w:p>
      <w:pPr>
        <w:spacing w:after="0" w:line="3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change in results from December 31, 2024 to September 30, 2025 reflects more floating interest rate loans and a slight shortening of asset duration to address rising interest rate risk concerns. In addition, the balance sheet became slightly more asset sensitive at September 30, 2025 due to higher cash balances on hand at quarter-end.</w:t>
      </w: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Management</w:t>
      </w:r>
    </w:p>
    <w:p>
      <w:pPr>
        <w:spacing w:after="0" w:line="14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Bank’s main source of liquidity is customer interest-bearing and noninterest-bearing deposit accounts. Liquidity is also available from wholesale funding sources consisting primarily of repurchase agreements, Federal funds purchased, FHLB advances, and brokered deposits. These sources of liquidity are generally short-term in nature and are used as necessary to fund asset growth and meet other short-term liquidity needs. As part of our liquidity management, we focus on maximizing the amount of securities and loans available as collateral for contingent liquidity sources and calibrating our assumptions in our liquidity stress test on an ongoing basis, particularly as it relates to deposit duration. At September 30, 2025 and December 31, 2024, we had sufficient liquid funds and qualifying collateral to support additional borrowings, which are detailed in the table below.</w:t>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49" w:name="page50"/>
    <w:bookmarkEnd w:id="49"/>
    <w:p>
      <w:pPr>
        <w:ind w:left="20"/>
        <w:spacing w:after="0"/>
        <w:rPr>
          <w:sz w:val="20"/>
          <w:szCs w:val="20"/>
          <w:color w:val="auto"/>
        </w:rPr>
      </w:pPr>
      <w:r>
        <w:rPr>
          <w:rFonts w:ascii="Times New Roman" w:cs="Times New Roman" w:eastAsia="Times New Roman" w:hAnsi="Times New Roman"/>
          <w:sz w:val="18"/>
          <w:szCs w:val="18"/>
          <w:b w:val="1"/>
          <w:bCs w:val="1"/>
          <w:color w:val="auto"/>
        </w:rPr>
        <w:t>Table 15 - Liquid Funds and Unused Borrowing Capacity</w:t>
      </w:r>
    </w:p>
    <w:p>
      <w:pPr>
        <w:spacing w:after="0" w:line="3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280" w:type="dxa"/>
            <w:vAlign w:val="bottom"/>
            <w:tcBorders>
              <w:top w:val="single" w:sz="8" w:color="auto"/>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2060" w:type="dxa"/>
            <w:vAlign w:val="bottom"/>
            <w:tcBorders>
              <w:top w:val="single" w:sz="8" w:color="auto"/>
            </w:tcBorders>
            <w:gridSpan w:val="2"/>
          </w:tcPr>
          <w:p>
            <w:pPr>
              <w:ind w:left="180"/>
              <w:spacing w:after="0"/>
              <w:rPr>
                <w:sz w:val="20"/>
                <w:szCs w:val="20"/>
                <w:color w:val="auto"/>
              </w:rPr>
            </w:pPr>
            <w:r>
              <w:rPr>
                <w:rFonts w:ascii="Times New Roman" w:cs="Times New Roman" w:eastAsia="Times New Roman" w:hAnsi="Times New Roman"/>
                <w:sz w:val="16"/>
                <w:szCs w:val="16"/>
                <w:b w:val="1"/>
                <w:bCs w:val="1"/>
                <w:color w:val="auto"/>
              </w:rPr>
              <w:t>September 30, 2025</w:t>
            </w:r>
          </w:p>
        </w:tc>
        <w:tc>
          <w:tcPr>
            <w:tcW w:w="320" w:type="dxa"/>
            <w:vAlign w:val="bottom"/>
            <w:tcBorders>
              <w:top w:val="single" w:sz="8" w:color="auto"/>
            </w:tcBorders>
          </w:tcPr>
          <w:p>
            <w:pPr>
              <w:spacing w:after="0"/>
              <w:rPr>
                <w:sz w:val="18"/>
                <w:szCs w:val="18"/>
                <w:color w:val="auto"/>
              </w:rPr>
            </w:pPr>
          </w:p>
        </w:tc>
        <w:tc>
          <w:tcPr>
            <w:tcW w:w="3280" w:type="dxa"/>
            <w:vAlign w:val="bottom"/>
            <w:tcBorders>
              <w:top w:val="single" w:sz="8" w:color="auto"/>
            </w:tcBorders>
            <w:gridSpan w:val="2"/>
          </w:tcPr>
          <w:p>
            <w:pPr>
              <w:ind w:left="240"/>
              <w:spacing w:after="0"/>
              <w:rPr>
                <w:sz w:val="20"/>
                <w:szCs w:val="20"/>
                <w:color w:val="auto"/>
              </w:rPr>
            </w:pPr>
            <w:r>
              <w:rPr>
                <w:rFonts w:ascii="Times New Roman" w:cs="Times New Roman" w:eastAsia="Times New Roman" w:hAnsi="Times New Roman"/>
                <w:sz w:val="16"/>
                <w:szCs w:val="16"/>
                <w:b w:val="1"/>
                <w:bCs w:val="1"/>
                <w:color w:val="auto"/>
              </w:rPr>
              <w:t>December 31, 2024</w:t>
            </w:r>
          </w:p>
        </w:tc>
        <w:tc>
          <w:tcPr>
            <w:tcW w:w="0" w:type="dxa"/>
            <w:vAlign w:val="bottom"/>
          </w:tcPr>
          <w:p>
            <w:pPr>
              <w:spacing w:after="0"/>
              <w:rPr>
                <w:sz w:val="1"/>
                <w:szCs w:val="1"/>
                <w:color w:val="auto"/>
              </w:rPr>
            </w:pPr>
          </w:p>
        </w:tc>
      </w:tr>
      <w:tr>
        <w:trPr>
          <w:trHeight w:val="196"/>
        </w:trPr>
        <w:tc>
          <w:tcPr>
            <w:tcW w:w="5280" w:type="dxa"/>
            <w:vAlign w:val="bottom"/>
            <w:tcBorders>
              <w:top w:val="single" w:sz="8" w:color="CCEEFF"/>
            </w:tcBorders>
            <w:shd w:val="clear" w:color="auto" w:fill="CCEEFF"/>
          </w:tcPr>
          <w:p>
            <w:pPr>
              <w:ind w:left="1180"/>
              <w:spacing w:after="0"/>
              <w:rPr>
                <w:sz w:val="20"/>
                <w:szCs w:val="20"/>
                <w:color w:val="auto"/>
              </w:rPr>
            </w:pPr>
            <w:r>
              <w:rPr>
                <w:rFonts w:ascii="Times New Roman" w:cs="Times New Roman" w:eastAsia="Times New Roman" w:hAnsi="Times New Roman"/>
                <w:sz w:val="16"/>
                <w:szCs w:val="16"/>
                <w:b w:val="1"/>
                <w:bCs w:val="1"/>
                <w:color w:val="auto"/>
              </w:rPr>
              <w:t>Available liquid funds:</w:t>
            </w:r>
          </w:p>
        </w:tc>
        <w:tc>
          <w:tcPr>
            <w:tcW w:w="280" w:type="dxa"/>
            <w:vAlign w:val="bottom"/>
            <w:tcBorders>
              <w:top w:val="single" w:sz="8" w:color="auto"/>
            </w:tcBorders>
            <w:shd w:val="clear" w:color="auto" w:fill="CCEEFF"/>
          </w:tcPr>
          <w:p>
            <w:pPr>
              <w:spacing w:after="0"/>
              <w:rPr>
                <w:sz w:val="17"/>
                <w:szCs w:val="17"/>
                <w:color w:val="auto"/>
              </w:rPr>
            </w:pPr>
          </w:p>
        </w:tc>
        <w:tc>
          <w:tcPr>
            <w:tcW w:w="198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2100" w:type="dxa"/>
            <w:vAlign w:val="bottom"/>
            <w:tcBorders>
              <w:top w:val="single" w:sz="8" w:color="auto"/>
            </w:tcBorders>
            <w:shd w:val="clear" w:color="auto" w:fill="CCEEFF"/>
          </w:tcPr>
          <w:p>
            <w:pPr>
              <w:spacing w:after="0"/>
              <w:rPr>
                <w:sz w:val="17"/>
                <w:szCs w:val="17"/>
                <w:color w:val="auto"/>
              </w:rPr>
            </w:pPr>
          </w:p>
        </w:tc>
        <w:tc>
          <w:tcPr>
            <w:tcW w:w="11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5280" w:type="dxa"/>
            <w:vAlign w:val="bottom"/>
          </w:tcPr>
          <w:p>
            <w:pPr>
              <w:ind w:left="140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613,431</w:t>
            </w:r>
          </w:p>
        </w:tc>
        <w:tc>
          <w:tcPr>
            <w:tcW w:w="80" w:type="dxa"/>
            <w:vAlign w:val="bottom"/>
          </w:tcPr>
          <w:p>
            <w:pPr>
              <w:spacing w:after="0"/>
              <w:rPr>
                <w:sz w:val="18"/>
                <w:szCs w:val="18"/>
                <w:color w:val="auto"/>
              </w:rPr>
            </w:pPr>
          </w:p>
        </w:tc>
        <w:tc>
          <w:tcPr>
            <w:tcW w:w="3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2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519,873</w:t>
            </w: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52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9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21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280" w:type="dxa"/>
            <w:vAlign w:val="bottom"/>
          </w:tcPr>
          <w:p>
            <w:pPr>
              <w:ind w:left="1180"/>
              <w:spacing w:after="0" w:line="216" w:lineRule="exact"/>
              <w:rPr>
                <w:sz w:val="20"/>
                <w:szCs w:val="20"/>
                <w:color w:val="auto"/>
              </w:rPr>
            </w:pPr>
            <w:r>
              <w:rPr>
                <w:rFonts w:ascii="Times New Roman" w:cs="Times New Roman" w:eastAsia="Times New Roman" w:hAnsi="Times New Roman"/>
                <w:sz w:val="16"/>
                <w:szCs w:val="16"/>
                <w:b w:val="1"/>
                <w:bCs w:val="1"/>
                <w:color w:val="auto"/>
              </w:rPr>
              <w:t xml:space="preserve">Availability of borrowings </w:t>
            </w:r>
            <w:r>
              <w:rPr>
                <w:rFonts w:ascii="Times New Roman" w:cs="Times New Roman" w:eastAsia="Times New Roman" w:hAnsi="Times New Roman"/>
                <w:sz w:val="21"/>
                <w:szCs w:val="21"/>
                <w:b w:val="1"/>
                <w:bCs w:val="1"/>
                <w:color w:val="auto"/>
                <w:vertAlign w:val="superscript"/>
              </w:rPr>
              <w:t>(1)</w:t>
            </w:r>
            <w:r>
              <w:rPr>
                <w:rFonts w:ascii="Times New Roman" w:cs="Times New Roman" w:eastAsia="Times New Roman" w:hAnsi="Times New Roman"/>
                <w:sz w:val="16"/>
                <w:szCs w:val="16"/>
                <w:b w:val="1"/>
                <w:bCs w:val="1"/>
                <w:color w:val="auto"/>
              </w:rPr>
              <w:t>:</w:t>
            </w:r>
          </w:p>
        </w:tc>
        <w:tc>
          <w:tcPr>
            <w:tcW w:w="28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80" w:type="dxa"/>
            <w:vAlign w:val="bottom"/>
            <w:shd w:val="clear" w:color="auto" w:fill="CCEEFF"/>
          </w:tcPr>
          <w:p>
            <w:pPr>
              <w:ind w:left="1400"/>
              <w:spacing w:after="0"/>
              <w:rPr>
                <w:sz w:val="20"/>
                <w:szCs w:val="20"/>
                <w:color w:val="auto"/>
              </w:rPr>
            </w:pPr>
            <w:r>
              <w:rPr>
                <w:rFonts w:ascii="Times New Roman" w:cs="Times New Roman" w:eastAsia="Times New Roman" w:hAnsi="Times New Roman"/>
                <w:sz w:val="16"/>
                <w:szCs w:val="16"/>
                <w:color w:val="auto"/>
              </w:rPr>
              <w:t>FHLB</w:t>
            </w:r>
          </w:p>
        </w:tc>
        <w:tc>
          <w:tcPr>
            <w:tcW w:w="280" w:type="dxa"/>
            <w:vAlign w:val="bottom"/>
            <w:shd w:val="clear" w:color="auto" w:fill="CCEEFF"/>
          </w:tcPr>
          <w:p>
            <w:pPr>
              <w:spacing w:after="0"/>
              <w:rPr>
                <w:sz w:val="18"/>
                <w:szCs w:val="18"/>
                <w:color w:val="auto"/>
              </w:rPr>
            </w:pPr>
          </w:p>
        </w:tc>
        <w:tc>
          <w:tcPr>
            <w:tcW w:w="1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1,951,358</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1,917,905</w:t>
            </w:r>
          </w:p>
        </w:tc>
        <w:tc>
          <w:tcPr>
            <w:tcW w:w="1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280" w:type="dxa"/>
            <w:vAlign w:val="bottom"/>
          </w:tcPr>
          <w:p>
            <w:pPr>
              <w:ind w:left="1400"/>
              <w:spacing w:after="0"/>
              <w:rPr>
                <w:sz w:val="20"/>
                <w:szCs w:val="20"/>
                <w:color w:val="auto"/>
              </w:rPr>
            </w:pPr>
            <w:r>
              <w:rPr>
                <w:rFonts w:ascii="Times New Roman" w:cs="Times New Roman" w:eastAsia="Times New Roman" w:hAnsi="Times New Roman"/>
                <w:sz w:val="16"/>
                <w:szCs w:val="16"/>
                <w:color w:val="auto"/>
              </w:rPr>
              <w:t>Federal Reserve - Discount Window</w:t>
            </w:r>
          </w:p>
        </w:tc>
        <w:tc>
          <w:tcPr>
            <w:tcW w:w="280" w:type="dxa"/>
            <w:vAlign w:val="bottom"/>
          </w:tcPr>
          <w:p>
            <w:pPr>
              <w:spacing w:after="0"/>
              <w:rPr>
                <w:sz w:val="18"/>
                <w:szCs w:val="18"/>
                <w:color w:val="auto"/>
              </w:rPr>
            </w:pPr>
          </w:p>
        </w:tc>
        <w:tc>
          <w:tcPr>
            <w:tcW w:w="1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2,425,183</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2,267,139</w:t>
            </w: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52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9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21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62"/>
        </w:trPr>
        <w:tc>
          <w:tcPr>
            <w:tcW w:w="5280" w:type="dxa"/>
            <w:vAlign w:val="bottom"/>
          </w:tcPr>
          <w:p>
            <w:pPr>
              <w:ind w:left="1180"/>
              <w:spacing w:after="0" w:line="162" w:lineRule="exact"/>
              <w:rPr>
                <w:sz w:val="20"/>
                <w:szCs w:val="20"/>
                <w:color w:val="auto"/>
              </w:rPr>
            </w:pPr>
            <w:r>
              <w:rPr>
                <w:rFonts w:ascii="Times New Roman" w:cs="Times New Roman" w:eastAsia="Times New Roman" w:hAnsi="Times New Roman"/>
                <w:sz w:val="16"/>
                <w:szCs w:val="16"/>
                <w:b w:val="1"/>
                <w:bCs w:val="1"/>
                <w:color w:val="auto"/>
              </w:rPr>
              <w:t>Unpledged securities available as collateral for additional</w:t>
            </w:r>
          </w:p>
        </w:tc>
        <w:tc>
          <w:tcPr>
            <w:tcW w:w="280" w:type="dxa"/>
            <w:vAlign w:val="bottom"/>
          </w:tcPr>
          <w:p>
            <w:pPr>
              <w:spacing w:after="0"/>
              <w:rPr>
                <w:sz w:val="14"/>
                <w:szCs w:val="14"/>
                <w:color w:val="auto"/>
              </w:rPr>
            </w:pPr>
          </w:p>
        </w:tc>
        <w:tc>
          <w:tcPr>
            <w:tcW w:w="19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3,661,185</w:t>
            </w: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1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3,603,885</w:t>
            </w:r>
          </w:p>
        </w:tc>
        <w:tc>
          <w:tcPr>
            <w:tcW w:w="1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2"/>
        </w:trPr>
        <w:tc>
          <w:tcPr>
            <w:tcW w:w="5280" w:type="dxa"/>
            <w:vAlign w:val="bottom"/>
          </w:tcPr>
          <w:p>
            <w:pPr>
              <w:ind w:left="1180"/>
              <w:spacing w:after="0"/>
              <w:rPr>
                <w:sz w:val="20"/>
                <w:szCs w:val="20"/>
                <w:color w:val="auto"/>
              </w:rPr>
            </w:pPr>
            <w:r>
              <w:rPr>
                <w:rFonts w:ascii="Times New Roman" w:cs="Times New Roman" w:eastAsia="Times New Roman" w:hAnsi="Times New Roman"/>
                <w:sz w:val="16"/>
                <w:szCs w:val="16"/>
                <w:b w:val="1"/>
                <w:bCs w:val="1"/>
                <w:color w:val="auto"/>
              </w:rPr>
              <w:t>borrowings</w:t>
            </w:r>
          </w:p>
        </w:tc>
        <w:tc>
          <w:tcPr>
            <w:tcW w:w="280" w:type="dxa"/>
            <w:vAlign w:val="bottom"/>
          </w:tcPr>
          <w:p>
            <w:pPr>
              <w:spacing w:after="0"/>
              <w:rPr>
                <w:sz w:val="18"/>
                <w:szCs w:val="18"/>
                <w:color w:val="auto"/>
              </w:rPr>
            </w:pPr>
          </w:p>
        </w:tc>
        <w:tc>
          <w:tcPr>
            <w:tcW w:w="198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100" w:type="dxa"/>
            <w:vAlign w:val="bottom"/>
            <w:vMerge w:val="continue"/>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vertAlign w:val="superscript"/>
        </w:rPr>
        <w:t>(1)</w:t>
      </w:r>
      <w:r>
        <w:rPr>
          <w:rFonts w:ascii="Times New Roman" w:cs="Times New Roman" w:eastAsia="Times New Roman" w:hAnsi="Times New Roman"/>
          <w:sz w:val="16"/>
          <w:szCs w:val="16"/>
          <w:color w:val="auto"/>
        </w:rPr>
        <w:t xml:space="preserve"> Based on collateral pledged.</w:t>
      </w:r>
    </w:p>
    <w:p>
      <w:pPr>
        <w:spacing w:after="0" w:line="20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addition, because the Holding Company is a separate entity and apart from the Bank, it must provide for its own liquidity. The Holding Company is responsible for the payment of dividends declared for its common and preferred shareholders, and interest and principal on any outstanding debt or trust preferred securities. The Holding Company currently has sufficient liquid assets to meet these obligations. Holding Company liquidity is maintained at a level of at least 125% of the next 12 months of forecasted cash obligations.</w:t>
      </w:r>
    </w:p>
    <w:p>
      <w:pPr>
        <w:spacing w:after="0" w:line="8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the opinion of management, our liquidity position at September 30, 2025 was sufficient to meet our expected cash flow requirements for the foreseeable future. See the consolidated statement of cash flows for further detail.</w:t>
      </w:r>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Capital Resources and Dividends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Shareholders’ equity at September 30, 2025 was $3.60 billion, an increase of $165 million from December 31, 2024 primarily due to year-to-date earnings, other comprehensive income and the issuance of stock for the ANB acquisition, partially offset by the redemption of our preferred stock and dividends declared on common and preferred stock.</w:t>
      </w:r>
    </w:p>
    <w:p>
      <w:pPr>
        <w:spacing w:after="0" w:line="20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following table shows capital ratios, as calculated under applicable regulatory guidelines, at September 30, 2025 and December 31, 2024. As of September 30, 2025, capital levels remained characterized as “well-capitalized” under regulatory requirements in effect at the time. Additional information related to capital ratios is provided in Note 11 to the consolidated financial statements.</w:t>
      </w:r>
    </w:p>
    <w:p>
      <w:pPr>
        <w:spacing w:after="0" w:line="23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Table 16 - Capital Ratios</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1500" w:type="dxa"/>
            <w:vAlign w:val="bottom"/>
            <w:tcBorders>
              <w:top w:val="single" w:sz="8" w:color="auto"/>
            </w:tcBorders>
          </w:tcPr>
          <w:p>
            <w:pPr>
              <w:spacing w:after="0"/>
              <w:rPr>
                <w:sz w:val="15"/>
                <w:szCs w:val="15"/>
                <w:color w:val="auto"/>
              </w:rPr>
            </w:pPr>
          </w:p>
        </w:tc>
        <w:tc>
          <w:tcPr>
            <w:tcW w:w="112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16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62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2800" w:type="dxa"/>
            <w:vAlign w:val="bottom"/>
            <w:tcBorders>
              <w:top w:val="single" w:sz="8" w:color="auto"/>
            </w:tcBorders>
            <w:gridSpan w:val="4"/>
          </w:tcPr>
          <w:p>
            <w:pPr>
              <w:ind w:left="260"/>
              <w:spacing w:after="0" w:line="175" w:lineRule="exact"/>
              <w:rPr>
                <w:sz w:val="20"/>
                <w:szCs w:val="20"/>
                <w:color w:val="auto"/>
              </w:rPr>
            </w:pPr>
            <w:r>
              <w:rPr>
                <w:rFonts w:ascii="Times New Roman" w:cs="Times New Roman" w:eastAsia="Times New Roman" w:hAnsi="Times New Roman"/>
                <w:sz w:val="16"/>
                <w:szCs w:val="16"/>
                <w:b w:val="1"/>
                <w:bCs w:val="1"/>
                <w:color w:val="auto"/>
              </w:rPr>
              <w:t>United Community Banks, Inc.</w:t>
            </w:r>
          </w:p>
        </w:tc>
        <w:tc>
          <w:tcPr>
            <w:tcW w:w="2700" w:type="dxa"/>
            <w:vAlign w:val="bottom"/>
            <w:tcBorders>
              <w:top w:val="single" w:sz="8" w:color="auto"/>
            </w:tcBorders>
            <w:gridSpan w:val="3"/>
            <w:vMerge w:val="restart"/>
          </w:tcPr>
          <w:p>
            <w:pPr>
              <w:jc w:val="right"/>
              <w:ind w:right="399"/>
              <w:spacing w:after="0"/>
              <w:rPr>
                <w:sz w:val="20"/>
                <w:szCs w:val="20"/>
                <w:color w:val="auto"/>
              </w:rPr>
            </w:pPr>
            <w:r>
              <w:rPr>
                <w:rFonts w:ascii="Times New Roman" w:cs="Times New Roman" w:eastAsia="Times New Roman" w:hAnsi="Times New Roman"/>
                <w:sz w:val="16"/>
                <w:szCs w:val="16"/>
                <w:b w:val="1"/>
                <w:bCs w:val="1"/>
                <w:color w:val="auto"/>
              </w:rPr>
              <w:t>United Community Bank</w:t>
            </w:r>
          </w:p>
        </w:tc>
        <w:tc>
          <w:tcPr>
            <w:tcW w:w="0" w:type="dxa"/>
            <w:vAlign w:val="bottom"/>
          </w:tcPr>
          <w:p>
            <w:pPr>
              <w:spacing w:after="0"/>
              <w:rPr>
                <w:sz w:val="1"/>
                <w:szCs w:val="1"/>
                <w:color w:val="auto"/>
              </w:rPr>
            </w:pPr>
          </w:p>
        </w:tc>
      </w:tr>
      <w:tr>
        <w:trPr>
          <w:trHeight w:val="214"/>
        </w:trPr>
        <w:tc>
          <w:tcPr>
            <w:tcW w:w="1500" w:type="dxa"/>
            <w:vAlign w:val="bottom"/>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62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700" w:type="dxa"/>
            <w:vAlign w:val="bottom"/>
            <w:tcBorders>
              <w:bottom w:val="single" w:sz="8" w:color="auto"/>
            </w:tcBorders>
            <w:gridSpan w:val="3"/>
          </w:tcPr>
          <w:p>
            <w:pPr>
              <w:jc w:val="right"/>
              <w:ind w:right="759"/>
              <w:spacing w:after="0"/>
              <w:rPr>
                <w:sz w:val="20"/>
                <w:szCs w:val="20"/>
                <w:color w:val="auto"/>
              </w:rPr>
            </w:pPr>
            <w:r>
              <w:rPr>
                <w:rFonts w:ascii="Times New Roman" w:cs="Times New Roman" w:eastAsia="Times New Roman" w:hAnsi="Times New Roman"/>
                <w:sz w:val="16"/>
                <w:szCs w:val="16"/>
                <w:b w:val="1"/>
                <w:bCs w:val="1"/>
                <w:color w:val="auto"/>
              </w:rPr>
              <w:t>(Consolidated)</w:t>
            </w:r>
          </w:p>
        </w:tc>
        <w:tc>
          <w:tcPr>
            <w:tcW w:w="100" w:type="dxa"/>
            <w:vAlign w:val="bottom"/>
          </w:tcPr>
          <w:p>
            <w:pPr>
              <w:spacing w:after="0"/>
              <w:rPr>
                <w:sz w:val="18"/>
                <w:szCs w:val="18"/>
                <w:color w:val="auto"/>
              </w:rPr>
            </w:pPr>
          </w:p>
        </w:tc>
        <w:tc>
          <w:tcPr>
            <w:tcW w:w="2700" w:type="dxa"/>
            <w:vAlign w:val="bottom"/>
            <w:tcBorders>
              <w:bottom w:val="single" w:sz="8" w:color="auto"/>
            </w:tcBorders>
            <w:gridSpan w:val="3"/>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57"/>
        </w:trPr>
        <w:tc>
          <w:tcPr>
            <w:tcW w:w="15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8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6"/>
              </w:rPr>
              <w:t>Well-</w:t>
            </w:r>
          </w:p>
        </w:tc>
        <w:tc>
          <w:tcPr>
            <w:tcW w:w="1620" w:type="dxa"/>
            <w:vAlign w:val="bottom"/>
          </w:tcPr>
          <w:p>
            <w:pPr>
              <w:jc w:val="center"/>
              <w:spacing w:after="0" w:line="158" w:lineRule="exact"/>
              <w:rPr>
                <w:sz w:val="20"/>
                <w:szCs w:val="20"/>
                <w:color w:val="auto"/>
              </w:rPr>
            </w:pPr>
            <w:r>
              <w:rPr>
                <w:rFonts w:ascii="Times New Roman" w:cs="Times New Roman" w:eastAsia="Times New Roman" w:hAnsi="Times New Roman"/>
                <w:sz w:val="16"/>
                <w:szCs w:val="16"/>
                <w:b w:val="1"/>
                <w:bCs w:val="1"/>
                <w:color w:val="auto"/>
              </w:rPr>
              <w:t>Minimum Capital Plus</w:t>
            </w:r>
          </w:p>
        </w:tc>
        <w:tc>
          <w:tcPr>
            <w:tcW w:w="120" w:type="dxa"/>
            <w:vAlign w:val="bottom"/>
          </w:tcPr>
          <w:p>
            <w:pPr>
              <w:spacing w:after="0"/>
              <w:rPr>
                <w:sz w:val="13"/>
                <w:szCs w:val="13"/>
                <w:color w:val="auto"/>
              </w:rPr>
            </w:pPr>
          </w:p>
        </w:tc>
        <w:tc>
          <w:tcPr>
            <w:tcW w:w="1400" w:type="dxa"/>
            <w:vAlign w:val="bottom"/>
            <w:gridSpan w:val="2"/>
            <w:vMerge w:val="restart"/>
          </w:tcPr>
          <w:p>
            <w:pPr>
              <w:ind w:left="16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1400" w:type="dxa"/>
            <w:vAlign w:val="bottom"/>
            <w:gridSpan w:val="2"/>
            <w:vMerge w:val="restart"/>
          </w:tcPr>
          <w:p>
            <w:pPr>
              <w:ind w:left="16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1420" w:type="dxa"/>
            <w:vAlign w:val="bottom"/>
            <w:gridSpan w:val="2"/>
            <w:vMerge w:val="restart"/>
          </w:tcPr>
          <w:p>
            <w:pPr>
              <w:ind w:left="16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1280" w:type="dxa"/>
            <w:vAlign w:val="bottom"/>
            <w:vMerge w:val="restart"/>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0" w:type="dxa"/>
            <w:vAlign w:val="bottom"/>
          </w:tcPr>
          <w:p>
            <w:pPr>
              <w:spacing w:after="0"/>
              <w:rPr>
                <w:sz w:val="1"/>
                <w:szCs w:val="1"/>
                <w:color w:val="auto"/>
              </w:rPr>
            </w:pPr>
          </w:p>
        </w:tc>
      </w:tr>
      <w:tr>
        <w:trPr>
          <w:trHeight w:val="162"/>
        </w:trPr>
        <w:tc>
          <w:tcPr>
            <w:tcW w:w="1500" w:type="dxa"/>
            <w:vAlign w:val="bottom"/>
          </w:tcPr>
          <w:p>
            <w:pPr>
              <w:spacing w:after="0"/>
              <w:rPr>
                <w:sz w:val="14"/>
                <w:szCs w:val="14"/>
                <w:color w:val="auto"/>
              </w:rPr>
            </w:pPr>
          </w:p>
        </w:tc>
        <w:tc>
          <w:tcPr>
            <w:tcW w:w="1220" w:type="dxa"/>
            <w:vAlign w:val="bottom"/>
            <w:gridSpan w:val="2"/>
            <w:vMerge w:val="restart"/>
          </w:tcPr>
          <w:p>
            <w:pPr>
              <w:ind w:left="200"/>
              <w:spacing w:after="0"/>
              <w:rPr>
                <w:sz w:val="20"/>
                <w:szCs w:val="20"/>
                <w:color w:val="auto"/>
              </w:rPr>
            </w:pPr>
            <w:r>
              <w:rPr>
                <w:rFonts w:ascii="Times New Roman" w:cs="Times New Roman" w:eastAsia="Times New Roman" w:hAnsi="Times New Roman"/>
                <w:sz w:val="16"/>
                <w:szCs w:val="16"/>
                <w:b w:val="1"/>
                <w:bCs w:val="1"/>
                <w:color w:val="auto"/>
              </w:rPr>
              <w:t>Minimum</w:t>
            </w:r>
          </w:p>
        </w:tc>
        <w:tc>
          <w:tcPr>
            <w:tcW w:w="1280" w:type="dxa"/>
            <w:vAlign w:val="bottom"/>
            <w:gridSpan w:val="2"/>
            <w:vMerge w:val="continue"/>
          </w:tcPr>
          <w:p>
            <w:pPr>
              <w:spacing w:after="0"/>
              <w:rPr>
                <w:sz w:val="14"/>
                <w:szCs w:val="14"/>
                <w:color w:val="auto"/>
              </w:rPr>
            </w:pPr>
          </w:p>
        </w:tc>
        <w:tc>
          <w:tcPr>
            <w:tcW w:w="1740" w:type="dxa"/>
            <w:vAlign w:val="bottom"/>
            <w:gridSpan w:val="2"/>
          </w:tcPr>
          <w:p>
            <w:pPr>
              <w:jc w:val="center"/>
              <w:ind w:right="140"/>
              <w:spacing w:after="0" w:line="162" w:lineRule="exact"/>
              <w:rPr>
                <w:sz w:val="20"/>
                <w:szCs w:val="20"/>
                <w:color w:val="auto"/>
              </w:rPr>
            </w:pPr>
            <w:r>
              <w:rPr>
                <w:rFonts w:ascii="Times New Roman" w:cs="Times New Roman" w:eastAsia="Times New Roman" w:hAnsi="Times New Roman"/>
                <w:sz w:val="16"/>
                <w:szCs w:val="16"/>
                <w:b w:val="1"/>
                <w:bCs w:val="1"/>
                <w:color w:val="auto"/>
              </w:rPr>
              <w:t>Capital Conservation</w:t>
            </w:r>
          </w:p>
        </w:tc>
        <w:tc>
          <w:tcPr>
            <w:tcW w:w="1400" w:type="dxa"/>
            <w:vAlign w:val="bottom"/>
            <w:gridSpan w:val="2"/>
            <w:vMerge w:val="continue"/>
          </w:tcPr>
          <w:p>
            <w:pPr>
              <w:spacing w:after="0"/>
              <w:rPr>
                <w:sz w:val="14"/>
                <w:szCs w:val="14"/>
                <w:color w:val="auto"/>
              </w:rPr>
            </w:pPr>
          </w:p>
        </w:tc>
        <w:tc>
          <w:tcPr>
            <w:tcW w:w="1400" w:type="dxa"/>
            <w:vAlign w:val="bottom"/>
            <w:gridSpan w:val="2"/>
            <w:vMerge w:val="continue"/>
          </w:tcPr>
          <w:p>
            <w:pPr>
              <w:spacing w:after="0"/>
              <w:rPr>
                <w:sz w:val="14"/>
                <w:szCs w:val="14"/>
                <w:color w:val="auto"/>
              </w:rPr>
            </w:pPr>
          </w:p>
        </w:tc>
        <w:tc>
          <w:tcPr>
            <w:tcW w:w="1420" w:type="dxa"/>
            <w:vAlign w:val="bottom"/>
            <w:gridSpan w:val="2"/>
            <w:vMerge w:val="continue"/>
          </w:tcPr>
          <w:p>
            <w:pPr>
              <w:spacing w:after="0"/>
              <w:rPr>
                <w:sz w:val="14"/>
                <w:szCs w:val="14"/>
                <w:color w:val="auto"/>
              </w:rPr>
            </w:pPr>
          </w:p>
        </w:tc>
        <w:tc>
          <w:tcPr>
            <w:tcW w:w="12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4"/>
        </w:trPr>
        <w:tc>
          <w:tcPr>
            <w:tcW w:w="1500" w:type="dxa"/>
            <w:vAlign w:val="bottom"/>
          </w:tcPr>
          <w:p>
            <w:pPr>
              <w:spacing w:after="0"/>
              <w:rPr>
                <w:sz w:val="18"/>
                <w:szCs w:val="18"/>
                <w:color w:val="auto"/>
              </w:rPr>
            </w:pPr>
          </w:p>
        </w:tc>
        <w:tc>
          <w:tcPr>
            <w:tcW w:w="1220" w:type="dxa"/>
            <w:vAlign w:val="bottom"/>
            <w:gridSpan w:val="2"/>
            <w:vMerge w:val="continue"/>
          </w:tcPr>
          <w:p>
            <w:pPr>
              <w:spacing w:after="0"/>
              <w:rPr>
                <w:sz w:val="18"/>
                <w:szCs w:val="18"/>
                <w:color w:val="auto"/>
              </w:rPr>
            </w:pPr>
          </w:p>
        </w:tc>
        <w:tc>
          <w:tcPr>
            <w:tcW w:w="128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Capitalized</w:t>
            </w:r>
          </w:p>
        </w:tc>
        <w:tc>
          <w:tcPr>
            <w:tcW w:w="174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Buffer</w:t>
            </w:r>
          </w:p>
        </w:tc>
        <w:tc>
          <w:tcPr>
            <w:tcW w:w="1300" w:type="dxa"/>
            <w:vAlign w:val="bottom"/>
          </w:tcPr>
          <w:p>
            <w:pPr>
              <w:ind w:left="480"/>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Pr>
          <w:p>
            <w:pPr>
              <w:spacing w:after="0"/>
              <w:rPr>
                <w:sz w:val="18"/>
                <w:szCs w:val="18"/>
                <w:color w:val="auto"/>
              </w:rPr>
            </w:pPr>
          </w:p>
        </w:tc>
        <w:tc>
          <w:tcPr>
            <w:tcW w:w="1300" w:type="dxa"/>
            <w:vAlign w:val="bottom"/>
          </w:tcPr>
          <w:p>
            <w:pPr>
              <w:jc w:val="right"/>
              <w:ind w:right="39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Pr>
          <w:p>
            <w:pPr>
              <w:spacing w:after="0"/>
              <w:rPr>
                <w:sz w:val="18"/>
                <w:szCs w:val="18"/>
                <w:color w:val="auto"/>
              </w:rPr>
            </w:pPr>
          </w:p>
        </w:tc>
        <w:tc>
          <w:tcPr>
            <w:tcW w:w="1300" w:type="dxa"/>
            <w:vAlign w:val="bottom"/>
          </w:tcPr>
          <w:p>
            <w:pPr>
              <w:jc w:val="right"/>
              <w:ind w:right="39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20" w:type="dxa"/>
            <w:vAlign w:val="bottom"/>
          </w:tcPr>
          <w:p>
            <w:pPr>
              <w:spacing w:after="0"/>
              <w:rPr>
                <w:sz w:val="18"/>
                <w:szCs w:val="18"/>
                <w:color w:val="auto"/>
              </w:rPr>
            </w:pPr>
          </w:p>
        </w:tc>
        <w:tc>
          <w:tcPr>
            <w:tcW w:w="1280" w:type="dxa"/>
            <w:vAlign w:val="bottom"/>
          </w:tcPr>
          <w:p>
            <w:pPr>
              <w:jc w:val="right"/>
              <w:ind w:right="399"/>
              <w:spacing w:after="0"/>
              <w:rPr>
                <w:sz w:val="20"/>
                <w:szCs w:val="20"/>
                <w:color w:val="auto"/>
              </w:rPr>
            </w:pPr>
            <w:r>
              <w:rPr>
                <w:rFonts w:ascii="Times New Roman" w:cs="Times New Roman" w:eastAsia="Times New Roman" w:hAnsi="Times New Roman"/>
                <w:sz w:val="16"/>
                <w:szCs w:val="16"/>
                <w:b w:val="1"/>
                <w:bCs w:val="1"/>
                <w:color w:val="auto"/>
              </w:rPr>
              <w:t>2024</w:t>
            </w:r>
          </w:p>
        </w:tc>
        <w:tc>
          <w:tcPr>
            <w:tcW w:w="0" w:type="dxa"/>
            <w:vAlign w:val="bottom"/>
          </w:tcPr>
          <w:p>
            <w:pPr>
              <w:spacing w:after="0"/>
              <w:rPr>
                <w:sz w:val="1"/>
                <w:szCs w:val="1"/>
                <w:color w:val="auto"/>
              </w:rPr>
            </w:pPr>
          </w:p>
        </w:tc>
      </w:tr>
      <w:tr>
        <w:trPr>
          <w:trHeight w:val="198"/>
        </w:trPr>
        <w:tc>
          <w:tcPr>
            <w:tcW w:w="15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Risk-based ratios:</w:t>
            </w:r>
          </w:p>
        </w:tc>
        <w:tc>
          <w:tcPr>
            <w:tcW w:w="11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6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3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3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30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28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15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CET1 capital</w:t>
            </w:r>
          </w:p>
        </w:tc>
        <w:tc>
          <w:tcPr>
            <w:tcW w:w="1120" w:type="dxa"/>
            <w:vAlign w:val="bottom"/>
          </w:tcPr>
          <w:p>
            <w:pPr>
              <w:ind w:left="700"/>
              <w:spacing w:after="0"/>
              <w:rPr>
                <w:sz w:val="20"/>
                <w:szCs w:val="20"/>
                <w:color w:val="auto"/>
              </w:rPr>
            </w:pPr>
            <w:r>
              <w:rPr>
                <w:rFonts w:ascii="Times New Roman" w:cs="Times New Roman" w:eastAsia="Times New Roman" w:hAnsi="Times New Roman"/>
                <w:sz w:val="16"/>
                <w:szCs w:val="16"/>
                <w:color w:val="auto"/>
              </w:rPr>
              <w:t>4.5 %</w:t>
            </w:r>
          </w:p>
        </w:tc>
        <w:tc>
          <w:tcPr>
            <w:tcW w:w="1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6.5 %</w:t>
            </w:r>
          </w:p>
        </w:tc>
        <w:tc>
          <w:tcPr>
            <w:tcW w:w="12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7.0 %</w:t>
            </w:r>
          </w:p>
        </w:tc>
        <w:tc>
          <w:tcPr>
            <w:tcW w:w="120" w:type="dxa"/>
            <w:vAlign w:val="bottom"/>
          </w:tcPr>
          <w:p>
            <w:pPr>
              <w:spacing w:after="0"/>
              <w:rPr>
                <w:sz w:val="18"/>
                <w:szCs w:val="18"/>
                <w:color w:val="auto"/>
              </w:rPr>
            </w:pPr>
          </w:p>
        </w:tc>
        <w:tc>
          <w:tcPr>
            <w:tcW w:w="1300" w:type="dxa"/>
            <w:vAlign w:val="bottom"/>
          </w:tcPr>
          <w:p>
            <w:pPr>
              <w:ind w:left="740"/>
              <w:spacing w:after="0"/>
              <w:rPr>
                <w:sz w:val="20"/>
                <w:szCs w:val="20"/>
                <w:color w:val="auto"/>
              </w:rPr>
            </w:pPr>
            <w:r>
              <w:rPr>
                <w:rFonts w:ascii="Times New Roman" w:cs="Times New Roman" w:eastAsia="Times New Roman" w:hAnsi="Times New Roman"/>
                <w:sz w:val="16"/>
                <w:szCs w:val="16"/>
                <w:color w:val="auto"/>
              </w:rPr>
              <w:t>13.44 %</w:t>
            </w:r>
          </w:p>
        </w:tc>
        <w:tc>
          <w:tcPr>
            <w:tcW w:w="1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13.27 %</w:t>
            </w:r>
          </w:p>
        </w:tc>
        <w:tc>
          <w:tcPr>
            <w:tcW w:w="1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12.48 %</w:t>
            </w:r>
          </w:p>
        </w:tc>
        <w:tc>
          <w:tcPr>
            <w:tcW w:w="1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13.05 %</w:t>
            </w:r>
          </w:p>
        </w:tc>
        <w:tc>
          <w:tcPr>
            <w:tcW w:w="0" w:type="dxa"/>
            <w:vAlign w:val="bottom"/>
          </w:tcPr>
          <w:p>
            <w:pPr>
              <w:spacing w:after="0"/>
              <w:rPr>
                <w:sz w:val="1"/>
                <w:szCs w:val="1"/>
                <w:color w:val="auto"/>
              </w:rPr>
            </w:pPr>
          </w:p>
        </w:tc>
      </w:tr>
      <w:tr>
        <w:trPr>
          <w:trHeight w:val="219"/>
        </w:trPr>
        <w:tc>
          <w:tcPr>
            <w:tcW w:w="15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Tier 1 capital</w:t>
            </w:r>
          </w:p>
        </w:tc>
        <w:tc>
          <w:tcPr>
            <w:tcW w:w="112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6"/>
                <w:szCs w:val="16"/>
                <w:color w:val="auto"/>
              </w:rPr>
              <w:t>6.0</w:t>
            </w: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8.0</w:t>
            </w:r>
          </w:p>
        </w:tc>
        <w:tc>
          <w:tcPr>
            <w:tcW w:w="120" w:type="dxa"/>
            <w:vAlign w:val="bottom"/>
            <w:shd w:val="clear" w:color="auto" w:fill="CCEEFF"/>
          </w:tcPr>
          <w:p>
            <w:pPr>
              <w:spacing w:after="0"/>
              <w:rPr>
                <w:sz w:val="19"/>
                <w:szCs w:val="19"/>
                <w:color w:val="auto"/>
              </w:rPr>
            </w:pPr>
          </w:p>
        </w:tc>
        <w:tc>
          <w:tcPr>
            <w:tcW w:w="162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8.5</w:t>
            </w: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ind w:left="740"/>
              <w:spacing w:after="0"/>
              <w:rPr>
                <w:sz w:val="20"/>
                <w:szCs w:val="20"/>
                <w:color w:val="auto"/>
              </w:rPr>
            </w:pPr>
            <w:r>
              <w:rPr>
                <w:rFonts w:ascii="Times New Roman" w:cs="Times New Roman" w:eastAsia="Times New Roman" w:hAnsi="Times New Roman"/>
                <w:sz w:val="16"/>
                <w:szCs w:val="16"/>
                <w:color w:val="auto"/>
              </w:rPr>
              <w:t>13.44</w:t>
            </w: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13.72</w:t>
            </w: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12.48</w:t>
            </w:r>
          </w:p>
        </w:tc>
        <w:tc>
          <w:tcPr>
            <w:tcW w:w="12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13.05</w:t>
            </w:r>
          </w:p>
        </w:tc>
        <w:tc>
          <w:tcPr>
            <w:tcW w:w="0" w:type="dxa"/>
            <w:vAlign w:val="bottom"/>
          </w:tcPr>
          <w:p>
            <w:pPr>
              <w:spacing w:after="0"/>
              <w:rPr>
                <w:sz w:val="1"/>
                <w:szCs w:val="1"/>
                <w:color w:val="auto"/>
              </w:rPr>
            </w:pPr>
          </w:p>
        </w:tc>
      </w:tr>
      <w:tr>
        <w:trPr>
          <w:trHeight w:val="213"/>
        </w:trPr>
        <w:tc>
          <w:tcPr>
            <w:tcW w:w="15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Total capital</w:t>
            </w:r>
          </w:p>
        </w:tc>
        <w:tc>
          <w:tcPr>
            <w:tcW w:w="1120" w:type="dxa"/>
            <w:vAlign w:val="bottom"/>
          </w:tcPr>
          <w:p>
            <w:pPr>
              <w:ind w:left="700"/>
              <w:spacing w:after="0"/>
              <w:rPr>
                <w:sz w:val="20"/>
                <w:szCs w:val="20"/>
                <w:color w:val="auto"/>
              </w:rPr>
            </w:pPr>
            <w:r>
              <w:rPr>
                <w:rFonts w:ascii="Times New Roman" w:cs="Times New Roman" w:eastAsia="Times New Roman" w:hAnsi="Times New Roman"/>
                <w:sz w:val="16"/>
                <w:szCs w:val="16"/>
                <w:color w:val="auto"/>
              </w:rPr>
              <w:t>8.0</w:t>
            </w:r>
          </w:p>
        </w:tc>
        <w:tc>
          <w:tcPr>
            <w:tcW w:w="100" w:type="dxa"/>
            <w:vAlign w:val="bottom"/>
          </w:tcPr>
          <w:p>
            <w:pPr>
              <w:spacing w:after="0"/>
              <w:rPr>
                <w:sz w:val="18"/>
                <w:szCs w:val="18"/>
                <w:color w:val="auto"/>
              </w:rPr>
            </w:pPr>
          </w:p>
        </w:tc>
        <w:tc>
          <w:tcPr>
            <w:tcW w:w="11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10.0</w:t>
            </w:r>
          </w:p>
        </w:tc>
        <w:tc>
          <w:tcPr>
            <w:tcW w:w="120" w:type="dxa"/>
            <w:vAlign w:val="bottom"/>
          </w:tcPr>
          <w:p>
            <w:pPr>
              <w:spacing w:after="0"/>
              <w:rPr>
                <w:sz w:val="18"/>
                <w:szCs w:val="18"/>
                <w:color w:val="auto"/>
              </w:rPr>
            </w:pPr>
          </w:p>
        </w:tc>
        <w:tc>
          <w:tcPr>
            <w:tcW w:w="162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10.5</w:t>
            </w:r>
          </w:p>
        </w:tc>
        <w:tc>
          <w:tcPr>
            <w:tcW w:w="120" w:type="dxa"/>
            <w:vAlign w:val="bottom"/>
          </w:tcPr>
          <w:p>
            <w:pPr>
              <w:spacing w:after="0"/>
              <w:rPr>
                <w:sz w:val="18"/>
                <w:szCs w:val="18"/>
                <w:color w:val="auto"/>
              </w:rPr>
            </w:pPr>
          </w:p>
        </w:tc>
        <w:tc>
          <w:tcPr>
            <w:tcW w:w="1300" w:type="dxa"/>
            <w:vAlign w:val="bottom"/>
          </w:tcPr>
          <w:p>
            <w:pPr>
              <w:ind w:left="740"/>
              <w:spacing w:after="0"/>
              <w:rPr>
                <w:sz w:val="20"/>
                <w:szCs w:val="20"/>
                <w:color w:val="auto"/>
              </w:rPr>
            </w:pPr>
            <w:r>
              <w:rPr>
                <w:rFonts w:ascii="Times New Roman" w:cs="Times New Roman" w:eastAsia="Times New Roman" w:hAnsi="Times New Roman"/>
                <w:sz w:val="16"/>
                <w:szCs w:val="16"/>
                <w:color w:val="auto"/>
              </w:rPr>
              <w:t>14.79</w:t>
            </w:r>
          </w:p>
        </w:tc>
        <w:tc>
          <w:tcPr>
            <w:tcW w:w="100" w:type="dxa"/>
            <w:vAlign w:val="bottom"/>
          </w:tcPr>
          <w:p>
            <w:pPr>
              <w:spacing w:after="0"/>
              <w:rPr>
                <w:sz w:val="18"/>
                <w:szCs w:val="18"/>
                <w:color w:val="auto"/>
              </w:rPr>
            </w:pPr>
          </w:p>
        </w:tc>
        <w:tc>
          <w:tcPr>
            <w:tcW w:w="130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15.17</w:t>
            </w:r>
          </w:p>
        </w:tc>
        <w:tc>
          <w:tcPr>
            <w:tcW w:w="100" w:type="dxa"/>
            <w:vAlign w:val="bottom"/>
          </w:tcPr>
          <w:p>
            <w:pPr>
              <w:spacing w:after="0"/>
              <w:rPr>
                <w:sz w:val="18"/>
                <w:szCs w:val="18"/>
                <w:color w:val="auto"/>
              </w:rPr>
            </w:pPr>
          </w:p>
        </w:tc>
        <w:tc>
          <w:tcPr>
            <w:tcW w:w="1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13.53</w:t>
            </w:r>
          </w:p>
        </w:tc>
        <w:tc>
          <w:tcPr>
            <w:tcW w:w="120" w:type="dxa"/>
            <w:vAlign w:val="bottom"/>
          </w:tcPr>
          <w:p>
            <w:pPr>
              <w:spacing w:after="0"/>
              <w:rPr>
                <w:sz w:val="18"/>
                <w:szCs w:val="18"/>
                <w:color w:val="auto"/>
              </w:rPr>
            </w:pPr>
          </w:p>
        </w:tc>
        <w:tc>
          <w:tcPr>
            <w:tcW w:w="12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14.08</w:t>
            </w:r>
          </w:p>
        </w:tc>
        <w:tc>
          <w:tcPr>
            <w:tcW w:w="0" w:type="dxa"/>
            <w:vAlign w:val="bottom"/>
          </w:tcPr>
          <w:p>
            <w:pPr>
              <w:spacing w:after="0"/>
              <w:rPr>
                <w:sz w:val="1"/>
                <w:szCs w:val="1"/>
                <w:color w:val="auto"/>
              </w:rPr>
            </w:pPr>
          </w:p>
        </w:tc>
      </w:tr>
      <w:tr>
        <w:trPr>
          <w:trHeight w:val="219"/>
        </w:trPr>
        <w:tc>
          <w:tcPr>
            <w:tcW w:w="1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Leverage ratio</w:t>
            </w:r>
          </w:p>
        </w:tc>
        <w:tc>
          <w:tcPr>
            <w:tcW w:w="112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6"/>
                <w:szCs w:val="16"/>
                <w:color w:val="auto"/>
              </w:rPr>
              <w:t>4.0</w:t>
            </w: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5.0</w:t>
            </w:r>
          </w:p>
        </w:tc>
        <w:tc>
          <w:tcPr>
            <w:tcW w:w="120" w:type="dxa"/>
            <w:vAlign w:val="bottom"/>
            <w:shd w:val="clear" w:color="auto" w:fill="CCEEFF"/>
          </w:tcPr>
          <w:p>
            <w:pPr>
              <w:spacing w:after="0"/>
              <w:rPr>
                <w:sz w:val="19"/>
                <w:szCs w:val="19"/>
                <w:color w:val="auto"/>
              </w:rPr>
            </w:pPr>
          </w:p>
        </w:tc>
        <w:tc>
          <w:tcPr>
            <w:tcW w:w="1740" w:type="dxa"/>
            <w:vAlign w:val="bottom"/>
            <w:gridSpan w:val="2"/>
            <w:shd w:val="clear" w:color="auto" w:fill="CCEEFF"/>
          </w:tcPr>
          <w:p>
            <w:pPr>
              <w:ind w:left="1220"/>
              <w:spacing w:after="0"/>
              <w:rPr>
                <w:sz w:val="20"/>
                <w:szCs w:val="20"/>
                <w:color w:val="auto"/>
              </w:rPr>
            </w:pPr>
            <w:r>
              <w:rPr>
                <w:rFonts w:ascii="Times New Roman" w:cs="Times New Roman" w:eastAsia="Times New Roman" w:hAnsi="Times New Roman"/>
                <w:sz w:val="16"/>
                <w:szCs w:val="16"/>
                <w:color w:val="auto"/>
              </w:rPr>
              <w:t>N/A</w:t>
            </w:r>
          </w:p>
        </w:tc>
        <w:tc>
          <w:tcPr>
            <w:tcW w:w="1300" w:type="dxa"/>
            <w:vAlign w:val="bottom"/>
            <w:shd w:val="clear" w:color="auto" w:fill="CCEEFF"/>
          </w:tcPr>
          <w:p>
            <w:pPr>
              <w:ind w:left="740"/>
              <w:spacing w:after="0"/>
              <w:rPr>
                <w:sz w:val="20"/>
                <w:szCs w:val="20"/>
                <w:color w:val="auto"/>
              </w:rPr>
            </w:pPr>
            <w:r>
              <w:rPr>
                <w:rFonts w:ascii="Times New Roman" w:cs="Times New Roman" w:eastAsia="Times New Roman" w:hAnsi="Times New Roman"/>
                <w:sz w:val="16"/>
                <w:szCs w:val="16"/>
                <w:color w:val="auto"/>
              </w:rPr>
              <w:t>10.26</w:t>
            </w: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9.96</w:t>
            </w: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9.52</w:t>
            </w:r>
          </w:p>
        </w:tc>
        <w:tc>
          <w:tcPr>
            <w:tcW w:w="12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9.46</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color w:val="auto"/>
        </w:rPr>
        <w:t>The following table shows capital composition as of September 30, 2025 and December 31, 2024.</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Table 17 - Capital Composition under Basel III</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 thousands)</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5380" w:type="dxa"/>
            <w:vAlign w:val="bottom"/>
            <w:tcBorders>
              <w:top w:val="single" w:sz="8" w:color="auto"/>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2800" w:type="dxa"/>
            <w:vAlign w:val="bottom"/>
            <w:tcBorders>
              <w:top w:val="single" w:sz="8" w:color="auto"/>
            </w:tcBorders>
            <w:gridSpan w:val="5"/>
          </w:tcPr>
          <w:p>
            <w:pPr>
              <w:jc w:val="center"/>
              <w:ind w:right="240"/>
              <w:spacing w:after="0" w:line="175" w:lineRule="exact"/>
              <w:rPr>
                <w:sz w:val="20"/>
                <w:szCs w:val="20"/>
                <w:color w:val="auto"/>
              </w:rPr>
            </w:pPr>
            <w:r>
              <w:rPr>
                <w:rFonts w:ascii="Times New Roman" w:cs="Times New Roman" w:eastAsia="Times New Roman" w:hAnsi="Times New Roman"/>
                <w:sz w:val="16"/>
                <w:szCs w:val="16"/>
                <w:b w:val="1"/>
                <w:bCs w:val="1"/>
                <w:color w:val="auto"/>
              </w:rPr>
              <w:t>United Community Banks, Inc.</w:t>
            </w:r>
          </w:p>
        </w:tc>
        <w:tc>
          <w:tcPr>
            <w:tcW w:w="160" w:type="dxa"/>
            <w:vAlign w:val="bottom"/>
            <w:tcBorders>
              <w:top w:val="single" w:sz="8" w:color="auto"/>
            </w:tcBorders>
          </w:tcPr>
          <w:p>
            <w:pPr>
              <w:spacing w:after="0"/>
              <w:rPr>
                <w:sz w:val="15"/>
                <w:szCs w:val="15"/>
                <w:color w:val="auto"/>
              </w:rPr>
            </w:pPr>
          </w:p>
        </w:tc>
        <w:tc>
          <w:tcPr>
            <w:tcW w:w="2700" w:type="dxa"/>
            <w:vAlign w:val="bottom"/>
            <w:tcBorders>
              <w:top w:val="single" w:sz="8" w:color="auto"/>
            </w:tcBorders>
            <w:gridSpan w:val="4"/>
            <w:vMerge w:val="restart"/>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United Community Bank</w:t>
            </w:r>
          </w:p>
        </w:tc>
        <w:tc>
          <w:tcPr>
            <w:tcW w:w="0" w:type="dxa"/>
            <w:vAlign w:val="bottom"/>
          </w:tcPr>
          <w:p>
            <w:pPr>
              <w:spacing w:after="0"/>
              <w:rPr>
                <w:sz w:val="1"/>
                <w:szCs w:val="1"/>
                <w:color w:val="auto"/>
              </w:rPr>
            </w:pPr>
          </w:p>
        </w:tc>
      </w:tr>
      <w:tr>
        <w:trPr>
          <w:trHeight w:val="214"/>
        </w:trPr>
        <w:tc>
          <w:tcPr>
            <w:tcW w:w="53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880" w:type="dxa"/>
            <w:vAlign w:val="bottom"/>
            <w:tcBorders>
              <w:bottom w:val="single" w:sz="8" w:color="auto"/>
            </w:tcBorders>
            <w:gridSpan w:val="3"/>
          </w:tcPr>
          <w:p>
            <w:pPr>
              <w:jc w:val="center"/>
              <w:ind w:left="599"/>
              <w:spacing w:after="0"/>
              <w:rPr>
                <w:sz w:val="20"/>
                <w:szCs w:val="20"/>
                <w:color w:val="auto"/>
              </w:rPr>
            </w:pPr>
            <w:r>
              <w:rPr>
                <w:rFonts w:ascii="Times New Roman" w:cs="Times New Roman" w:eastAsia="Times New Roman" w:hAnsi="Times New Roman"/>
                <w:sz w:val="16"/>
                <w:szCs w:val="16"/>
                <w:b w:val="1"/>
                <w:bCs w:val="1"/>
                <w:color w:val="auto"/>
                <w:w w:val="99"/>
              </w:rPr>
              <w:t>(Consolidated)</w:t>
            </w:r>
          </w:p>
        </w:tc>
        <w:tc>
          <w:tcPr>
            <w:tcW w:w="8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700" w:type="dxa"/>
            <w:vAlign w:val="bottom"/>
            <w:tcBorders>
              <w:bottom w:val="single" w:sz="8" w:color="auto"/>
            </w:tcBorders>
            <w:gridSpan w:val="4"/>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57"/>
        </w:trPr>
        <w:tc>
          <w:tcPr>
            <w:tcW w:w="53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40" w:type="dxa"/>
            <w:vAlign w:val="bottom"/>
            <w:gridSpan w:val="2"/>
          </w:tcPr>
          <w:p>
            <w:pPr>
              <w:ind w:left="40"/>
              <w:spacing w:after="0" w:line="158" w:lineRule="exact"/>
              <w:rPr>
                <w:sz w:val="20"/>
                <w:szCs w:val="20"/>
                <w:color w:val="auto"/>
              </w:rPr>
            </w:pPr>
            <w:r>
              <w:rPr>
                <w:rFonts w:ascii="Times New Roman" w:cs="Times New Roman" w:eastAsia="Times New Roman" w:hAnsi="Times New Roman"/>
                <w:sz w:val="16"/>
                <w:szCs w:val="16"/>
                <w:b w:val="1"/>
                <w:bCs w:val="1"/>
                <w:color w:val="auto"/>
              </w:rPr>
              <w:t>September 30,</w:t>
            </w:r>
          </w:p>
        </w:tc>
        <w:tc>
          <w:tcPr>
            <w:tcW w:w="1460" w:type="dxa"/>
            <w:vAlign w:val="bottom"/>
            <w:gridSpan w:val="3"/>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December 31, 2024</w:t>
            </w:r>
          </w:p>
        </w:tc>
        <w:tc>
          <w:tcPr>
            <w:tcW w:w="160" w:type="dxa"/>
            <w:vAlign w:val="bottom"/>
          </w:tcPr>
          <w:p>
            <w:pPr>
              <w:spacing w:after="0"/>
              <w:rPr>
                <w:sz w:val="13"/>
                <w:szCs w:val="13"/>
                <w:color w:val="auto"/>
              </w:rPr>
            </w:pPr>
          </w:p>
        </w:tc>
        <w:tc>
          <w:tcPr>
            <w:tcW w:w="1320" w:type="dxa"/>
            <w:vAlign w:val="bottom"/>
            <w:gridSpan w:val="2"/>
          </w:tcPr>
          <w:p>
            <w:pPr>
              <w:ind w:left="40"/>
              <w:spacing w:after="0" w:line="158" w:lineRule="exact"/>
              <w:rPr>
                <w:sz w:val="20"/>
                <w:szCs w:val="20"/>
                <w:color w:val="auto"/>
              </w:rPr>
            </w:pPr>
            <w:r>
              <w:rPr>
                <w:rFonts w:ascii="Times New Roman" w:cs="Times New Roman" w:eastAsia="Times New Roman" w:hAnsi="Times New Roman"/>
                <w:sz w:val="16"/>
                <w:szCs w:val="16"/>
                <w:b w:val="1"/>
                <w:bCs w:val="1"/>
                <w:color w:val="auto"/>
              </w:rPr>
              <w:t>September 30,</w:t>
            </w:r>
          </w:p>
        </w:tc>
        <w:tc>
          <w:tcPr>
            <w:tcW w:w="1380" w:type="dxa"/>
            <w:vAlign w:val="bottom"/>
            <w:gridSpan w:val="2"/>
            <w:vMerge w:val="restart"/>
          </w:tcPr>
          <w:p>
            <w:pPr>
              <w:ind w:left="40"/>
              <w:spacing w:after="0"/>
              <w:rPr>
                <w:sz w:val="20"/>
                <w:szCs w:val="20"/>
                <w:color w:val="auto"/>
              </w:rPr>
            </w:pPr>
            <w:r>
              <w:rPr>
                <w:rFonts w:ascii="Times New Roman" w:cs="Times New Roman" w:eastAsia="Times New Roman" w:hAnsi="Times New Roman"/>
                <w:sz w:val="16"/>
                <w:szCs w:val="16"/>
                <w:b w:val="1"/>
                <w:bCs w:val="1"/>
                <w:color w:val="auto"/>
              </w:rPr>
              <w:t>December 31, 2024</w:t>
            </w:r>
          </w:p>
        </w:tc>
        <w:tc>
          <w:tcPr>
            <w:tcW w:w="0" w:type="dxa"/>
            <w:vAlign w:val="bottom"/>
          </w:tcPr>
          <w:p>
            <w:pPr>
              <w:spacing w:after="0"/>
              <w:rPr>
                <w:sz w:val="1"/>
                <w:szCs w:val="1"/>
                <w:color w:val="auto"/>
              </w:rPr>
            </w:pPr>
          </w:p>
        </w:tc>
      </w:tr>
      <w:tr>
        <w:trPr>
          <w:trHeight w:val="214"/>
        </w:trPr>
        <w:tc>
          <w:tcPr>
            <w:tcW w:w="5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20" w:type="dxa"/>
            <w:vAlign w:val="bottom"/>
          </w:tcPr>
          <w:p>
            <w:pPr>
              <w:spacing w:after="0"/>
              <w:rPr>
                <w:sz w:val="18"/>
                <w:szCs w:val="18"/>
                <w:color w:val="auto"/>
              </w:rPr>
            </w:pPr>
          </w:p>
        </w:tc>
        <w:tc>
          <w:tcPr>
            <w:tcW w:w="1460" w:type="dxa"/>
            <w:vAlign w:val="bottom"/>
            <w:gridSpan w:val="3"/>
            <w:vMerge w:val="continue"/>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Pr>
          <w:p>
            <w:pPr>
              <w:spacing w:after="0"/>
              <w:rPr>
                <w:sz w:val="18"/>
                <w:szCs w:val="18"/>
                <w:color w:val="auto"/>
              </w:rPr>
            </w:pPr>
          </w:p>
        </w:tc>
        <w:tc>
          <w:tcPr>
            <w:tcW w:w="138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53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common shareholders' equity</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3,596,851</w:t>
            </w:r>
          </w:p>
        </w:tc>
        <w:tc>
          <w:tcPr>
            <w:tcW w:w="12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3,343,861</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3,381,511</w:t>
            </w:r>
          </w:p>
        </w:tc>
        <w:tc>
          <w:tcPr>
            <w:tcW w:w="10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3,282,263</w:t>
            </w:r>
          </w:p>
        </w:tc>
        <w:tc>
          <w:tcPr>
            <w:tcW w:w="0" w:type="dxa"/>
            <w:vAlign w:val="bottom"/>
          </w:tcPr>
          <w:p>
            <w:pPr>
              <w:spacing w:after="0"/>
              <w:rPr>
                <w:sz w:val="1"/>
                <w:szCs w:val="1"/>
                <w:color w:val="auto"/>
              </w:rPr>
            </w:pPr>
          </w:p>
        </w:tc>
      </w:tr>
      <w:tr>
        <w:trPr>
          <w:trHeight w:val="213"/>
        </w:trPr>
        <w:tc>
          <w:tcPr>
            <w:tcW w:w="53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CECL transitional amount</w:t>
            </w:r>
          </w:p>
        </w:tc>
        <w:tc>
          <w:tcPr>
            <w:tcW w:w="140" w:type="dxa"/>
            <w:vAlign w:val="bottom"/>
          </w:tcPr>
          <w:p>
            <w:pPr>
              <w:spacing w:after="0"/>
              <w:rPr>
                <w:sz w:val="18"/>
                <w:szCs w:val="18"/>
                <w:color w:val="auto"/>
              </w:rPr>
            </w:pPr>
          </w:p>
        </w:tc>
        <w:tc>
          <w:tcPr>
            <w:tcW w:w="13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3,334</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3,334</w:t>
            </w:r>
          </w:p>
        </w:tc>
        <w:tc>
          <w:tcPr>
            <w:tcW w:w="0" w:type="dxa"/>
            <w:vAlign w:val="bottom"/>
          </w:tcPr>
          <w:p>
            <w:pPr>
              <w:spacing w:after="0"/>
              <w:rPr>
                <w:sz w:val="1"/>
                <w:szCs w:val="1"/>
                <w:color w:val="auto"/>
              </w:rPr>
            </w:pPr>
          </w:p>
        </w:tc>
      </w:tr>
      <w:tr>
        <w:trPr>
          <w:trHeight w:val="219"/>
        </w:trPr>
        <w:tc>
          <w:tcPr>
            <w:tcW w:w="5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Goodwill</w:t>
            </w: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(925,119)</w:t>
            </w: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(907,090)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(925,119)</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(907,090)</w:t>
            </w:r>
          </w:p>
        </w:tc>
        <w:tc>
          <w:tcPr>
            <w:tcW w:w="0" w:type="dxa"/>
            <w:vAlign w:val="bottom"/>
          </w:tcPr>
          <w:p>
            <w:pPr>
              <w:spacing w:after="0"/>
              <w:rPr>
                <w:sz w:val="1"/>
                <w:szCs w:val="1"/>
                <w:color w:val="auto"/>
              </w:rPr>
            </w:pPr>
          </w:p>
        </w:tc>
      </w:tr>
      <w:tr>
        <w:trPr>
          <w:trHeight w:val="162"/>
        </w:trPr>
        <w:tc>
          <w:tcPr>
            <w:tcW w:w="5380" w:type="dxa"/>
            <w:vAlign w:val="bottom"/>
          </w:tcPr>
          <w:p>
            <w:pPr>
              <w:ind w:left="20"/>
              <w:spacing w:after="0" w:line="162" w:lineRule="exact"/>
              <w:rPr>
                <w:sz w:val="20"/>
                <w:szCs w:val="20"/>
                <w:color w:val="auto"/>
              </w:rPr>
            </w:pPr>
            <w:r>
              <w:rPr>
                <w:rFonts w:ascii="Times New Roman" w:cs="Times New Roman" w:eastAsia="Times New Roman" w:hAnsi="Times New Roman"/>
                <w:sz w:val="16"/>
                <w:szCs w:val="16"/>
                <w:color w:val="auto"/>
              </w:rPr>
              <w:t>Intangibles, other than goodwill and mortgage servicing rights, net of associated</w:t>
            </w:r>
          </w:p>
        </w:tc>
        <w:tc>
          <w:tcPr>
            <w:tcW w:w="140" w:type="dxa"/>
            <w:vAlign w:val="bottom"/>
          </w:tcPr>
          <w:p>
            <w:pPr>
              <w:spacing w:after="0"/>
              <w:rPr>
                <w:sz w:val="14"/>
                <w:szCs w:val="14"/>
                <w:color w:val="auto"/>
              </w:rPr>
            </w:pPr>
          </w:p>
        </w:tc>
        <w:tc>
          <w:tcPr>
            <w:tcW w:w="12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(39,474)</w:t>
            </w: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(42,334)</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(39,474)</w:t>
            </w: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(42,334)</w:t>
            </w:r>
          </w:p>
        </w:tc>
        <w:tc>
          <w:tcPr>
            <w:tcW w:w="0" w:type="dxa"/>
            <w:vAlign w:val="bottom"/>
          </w:tcPr>
          <w:p>
            <w:pPr>
              <w:spacing w:after="0"/>
              <w:rPr>
                <w:sz w:val="1"/>
                <w:szCs w:val="1"/>
                <w:color w:val="auto"/>
              </w:rPr>
            </w:pPr>
          </w:p>
        </w:tc>
      </w:tr>
      <w:tr>
        <w:trPr>
          <w:trHeight w:val="213"/>
        </w:trPr>
        <w:tc>
          <w:tcPr>
            <w:tcW w:w="53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DTLs</w:t>
            </w:r>
          </w:p>
        </w:tc>
        <w:tc>
          <w:tcPr>
            <w:tcW w:w="140" w:type="dxa"/>
            <w:vAlign w:val="bottom"/>
          </w:tcPr>
          <w:p>
            <w:pPr>
              <w:spacing w:after="0"/>
              <w:rPr>
                <w:sz w:val="18"/>
                <w:szCs w:val="18"/>
                <w:color w:val="auto"/>
              </w:rPr>
            </w:pPr>
          </w:p>
        </w:tc>
        <w:tc>
          <w:tcPr>
            <w:tcW w:w="122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5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DTAs arising from net operating loss and tax credit carryforwards</w:t>
            </w: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(4,441)</w:t>
            </w: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(2,554)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(3,248)</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(1,988)</w:t>
            </w:r>
          </w:p>
        </w:tc>
        <w:tc>
          <w:tcPr>
            <w:tcW w:w="0" w:type="dxa"/>
            <w:vAlign w:val="bottom"/>
          </w:tcPr>
          <w:p>
            <w:pPr>
              <w:spacing w:after="0"/>
              <w:rPr>
                <w:sz w:val="1"/>
                <w:szCs w:val="1"/>
                <w:color w:val="auto"/>
              </w:rPr>
            </w:pPr>
          </w:p>
        </w:tc>
      </w:tr>
      <w:tr>
        <w:trPr>
          <w:trHeight w:val="213"/>
        </w:trPr>
        <w:tc>
          <w:tcPr>
            <w:tcW w:w="53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unrealized losses on AFS securities</w:t>
            </w:r>
          </w:p>
        </w:tc>
        <w:tc>
          <w:tcPr>
            <w:tcW w:w="1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129,697</w:t>
            </w: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177,645</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128,961</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176,777</w:t>
            </w:r>
          </w:p>
        </w:tc>
        <w:tc>
          <w:tcPr>
            <w:tcW w:w="0" w:type="dxa"/>
            <w:vAlign w:val="bottom"/>
          </w:tcPr>
          <w:p>
            <w:pPr>
              <w:spacing w:after="0"/>
              <w:rPr>
                <w:sz w:val="1"/>
                <w:szCs w:val="1"/>
                <w:color w:val="auto"/>
              </w:rPr>
            </w:pPr>
          </w:p>
        </w:tc>
      </w:tr>
      <w:tr>
        <w:trPr>
          <w:trHeight w:val="219"/>
        </w:trPr>
        <w:tc>
          <w:tcPr>
            <w:tcW w:w="5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Accumulated net gains on cash flow hedges</w:t>
            </w: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(6,276)</w:t>
            </w: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(9,705)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53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unrealized losses on HTM securities that are included in AOCI</w:t>
            </w:r>
          </w:p>
        </w:tc>
        <w:tc>
          <w:tcPr>
            <w:tcW w:w="1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40,612</w:t>
            </w: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45,129</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40,612</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45,129</w:t>
            </w:r>
          </w:p>
        </w:tc>
        <w:tc>
          <w:tcPr>
            <w:tcW w:w="0" w:type="dxa"/>
            <w:vAlign w:val="bottom"/>
          </w:tcPr>
          <w:p>
            <w:pPr>
              <w:spacing w:after="0"/>
              <w:rPr>
                <w:sz w:val="1"/>
                <w:szCs w:val="1"/>
                <w:color w:val="auto"/>
              </w:rPr>
            </w:pPr>
          </w:p>
        </w:tc>
      </w:tr>
      <w:tr>
        <w:trPr>
          <w:trHeight w:val="219"/>
        </w:trPr>
        <w:tc>
          <w:tcPr>
            <w:tcW w:w="5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w:t>
            </w:r>
          </w:p>
        </w:tc>
        <w:tc>
          <w:tcPr>
            <w:tcW w:w="1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(111)</w:t>
            </w:r>
          </w:p>
        </w:tc>
        <w:tc>
          <w:tcPr>
            <w:tcW w:w="120" w:type="dxa"/>
            <w:vAlign w:val="bottom"/>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(150)</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(111)</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(150)</w:t>
            </w:r>
          </w:p>
        </w:tc>
        <w:tc>
          <w:tcPr>
            <w:tcW w:w="0" w:type="dxa"/>
            <w:vAlign w:val="bottom"/>
          </w:tcPr>
          <w:p>
            <w:pPr>
              <w:spacing w:after="0"/>
              <w:rPr>
                <w:sz w:val="1"/>
                <w:szCs w:val="1"/>
                <w:color w:val="auto"/>
              </w:rPr>
            </w:pPr>
          </w:p>
        </w:tc>
      </w:tr>
      <w:tr>
        <w:trPr>
          <w:trHeight w:val="207"/>
        </w:trPr>
        <w:tc>
          <w:tcPr>
            <w:tcW w:w="5380" w:type="dxa"/>
            <w:vAlign w:val="bottom"/>
          </w:tcPr>
          <w:p>
            <w:pPr>
              <w:ind w:left="140"/>
              <w:spacing w:after="0"/>
              <w:rPr>
                <w:sz w:val="20"/>
                <w:szCs w:val="20"/>
                <w:color w:val="auto"/>
              </w:rPr>
            </w:pPr>
            <w:r>
              <w:rPr>
                <w:rFonts w:ascii="Times New Roman" w:cs="Times New Roman" w:eastAsia="Times New Roman" w:hAnsi="Times New Roman"/>
                <w:sz w:val="16"/>
                <w:szCs w:val="16"/>
                <w:b w:val="1"/>
                <w:bCs w:val="1"/>
                <w:color w:val="auto"/>
              </w:rPr>
              <w:t>CET1 capital</w:t>
            </w:r>
          </w:p>
        </w:tc>
        <w:tc>
          <w:tcPr>
            <w:tcW w:w="14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2,791,739</w:t>
            </w: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2,608,136</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2,583,132</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2,555,941</w:t>
            </w:r>
          </w:p>
        </w:tc>
        <w:tc>
          <w:tcPr>
            <w:tcW w:w="0" w:type="dxa"/>
            <w:vAlign w:val="bottom"/>
          </w:tcPr>
          <w:p>
            <w:pPr>
              <w:spacing w:after="0"/>
              <w:rPr>
                <w:sz w:val="1"/>
                <w:szCs w:val="1"/>
                <w:color w:val="auto"/>
              </w:rPr>
            </w:pPr>
          </w:p>
        </w:tc>
      </w:tr>
      <w:tr>
        <w:trPr>
          <w:trHeight w:val="219"/>
        </w:trPr>
        <w:tc>
          <w:tcPr>
            <w:tcW w:w="5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Preferred stock, net of issuance cost</w:t>
            </w:r>
          </w:p>
        </w:tc>
        <w:tc>
          <w:tcPr>
            <w:tcW w:w="14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88,266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7"/>
        </w:trPr>
        <w:tc>
          <w:tcPr>
            <w:tcW w:w="5380" w:type="dxa"/>
            <w:vAlign w:val="bottom"/>
          </w:tcPr>
          <w:p>
            <w:pPr>
              <w:ind w:left="140"/>
              <w:spacing w:after="0"/>
              <w:rPr>
                <w:sz w:val="20"/>
                <w:szCs w:val="20"/>
                <w:color w:val="auto"/>
              </w:rPr>
            </w:pPr>
            <w:r>
              <w:rPr>
                <w:rFonts w:ascii="Times New Roman" w:cs="Times New Roman" w:eastAsia="Times New Roman" w:hAnsi="Times New Roman"/>
                <w:sz w:val="16"/>
                <w:szCs w:val="16"/>
                <w:b w:val="1"/>
                <w:bCs w:val="1"/>
                <w:color w:val="auto"/>
              </w:rPr>
              <w:t>Tier 1 capital</w:t>
            </w:r>
          </w:p>
        </w:tc>
        <w:tc>
          <w:tcPr>
            <w:tcW w:w="14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2,791,739</w:t>
            </w:r>
          </w:p>
        </w:tc>
        <w:tc>
          <w:tcPr>
            <w:tcW w:w="120" w:type="dxa"/>
            <w:vAlign w:val="bottom"/>
          </w:tcPr>
          <w:p>
            <w:pPr>
              <w:spacing w:after="0"/>
              <w:rPr>
                <w:sz w:val="17"/>
                <w:szCs w:val="17"/>
                <w:color w:val="auto"/>
              </w:rPr>
            </w:pPr>
          </w:p>
        </w:tc>
        <w:tc>
          <w:tcPr>
            <w:tcW w:w="54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2,696,402</w:t>
            </w:r>
          </w:p>
        </w:tc>
        <w:tc>
          <w:tcPr>
            <w:tcW w:w="1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2,583,132</w:t>
            </w:r>
          </w:p>
        </w:tc>
        <w:tc>
          <w:tcPr>
            <w:tcW w:w="100" w:type="dxa"/>
            <w:vAlign w:val="bottom"/>
          </w:tcPr>
          <w:p>
            <w:pPr>
              <w:spacing w:after="0"/>
              <w:rPr>
                <w:sz w:val="17"/>
                <w:szCs w:val="17"/>
                <w:color w:val="auto"/>
              </w:rPr>
            </w:pPr>
          </w:p>
        </w:tc>
        <w:tc>
          <w:tcPr>
            <w:tcW w:w="38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2,555,941</w:t>
            </w:r>
          </w:p>
        </w:tc>
        <w:tc>
          <w:tcPr>
            <w:tcW w:w="0" w:type="dxa"/>
            <w:vAlign w:val="bottom"/>
          </w:tcPr>
          <w:p>
            <w:pPr>
              <w:spacing w:after="0"/>
              <w:rPr>
                <w:sz w:val="1"/>
                <w:szCs w:val="1"/>
                <w:color w:val="auto"/>
              </w:rPr>
            </w:pPr>
          </w:p>
        </w:tc>
      </w:tr>
      <w:tr>
        <w:trPr>
          <w:trHeight w:val="219"/>
        </w:trPr>
        <w:tc>
          <w:tcPr>
            <w:tcW w:w="5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Tier 2 capital instruments</w:t>
            </w: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65,000</w:t>
            </w: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85,000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53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Qualifying ACL</w:t>
            </w:r>
          </w:p>
        </w:tc>
        <w:tc>
          <w:tcPr>
            <w:tcW w:w="1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216,436</w:t>
            </w:r>
          </w:p>
        </w:tc>
        <w:tc>
          <w:tcPr>
            <w:tcW w:w="120" w:type="dxa"/>
            <w:vAlign w:val="bottom"/>
            <w:tcBorders>
              <w:bottom w:val="single" w:sz="8" w:color="CCEEFF"/>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200,871</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216,436</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200,870</w:t>
            </w:r>
          </w:p>
        </w:tc>
        <w:tc>
          <w:tcPr>
            <w:tcW w:w="0" w:type="dxa"/>
            <w:vAlign w:val="bottom"/>
          </w:tcPr>
          <w:p>
            <w:pPr>
              <w:spacing w:after="0"/>
              <w:rPr>
                <w:sz w:val="1"/>
                <w:szCs w:val="1"/>
                <w:color w:val="auto"/>
              </w:rPr>
            </w:pPr>
          </w:p>
        </w:tc>
      </w:tr>
      <w:tr>
        <w:trPr>
          <w:trHeight w:val="237"/>
        </w:trPr>
        <w:tc>
          <w:tcPr>
            <w:tcW w:w="53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b w:val="1"/>
                <w:bCs w:val="1"/>
                <w:color w:val="auto"/>
              </w:rPr>
              <w:t>Total capital</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3,073,175</w:t>
            </w:r>
          </w:p>
        </w:tc>
        <w:tc>
          <w:tcPr>
            <w:tcW w:w="12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2,982,273</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2,799,568</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2,756,811</w:t>
            </w:r>
          </w:p>
        </w:tc>
        <w:tc>
          <w:tcPr>
            <w:tcW w:w="0" w:type="dxa"/>
            <w:vAlign w:val="bottom"/>
          </w:tcPr>
          <w:p>
            <w:pPr>
              <w:spacing w:after="0"/>
              <w:rPr>
                <w:sz w:val="1"/>
                <w:szCs w:val="1"/>
                <w:color w:val="auto"/>
              </w:rPr>
            </w:pPr>
          </w:p>
        </w:tc>
      </w:tr>
      <w:tr>
        <w:trPr>
          <w:trHeight w:val="20"/>
        </w:trPr>
        <w:tc>
          <w:tcPr>
            <w:tcW w:w="53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Effect of Inflation and Changing Prices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 bank’s asset and liability structure is substantially different from that of an industrial firm in that primarily all assets and liabilities of a bank are monetary in nature with relatively little investment in fixed assets or inventories. Management believes the effect of inflation on financial results depends on our ability to react to changes in interest rates, and by such reaction, reduce the inflationary effect on performance. We have an asset/liability management program to manage interest rate sensitivity. In addition, periodic reviews of banking services and products are conducted to adjust pricing in view of current and expected costs.</w:t>
      </w:r>
    </w:p>
    <w:p>
      <w:pPr>
        <w:spacing w:after="0" w:line="206"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color w:val="auto"/>
        </w:rPr>
        <w:t>Quantitative and Qualitative Disclosure About Market Risk</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There have been no material changes in our market risk as of September 30, 2025 from that presented in our 2024 10-K. Our interest rate sensitivity position at September 30, 2025 is set forth in Table 14 in MD&amp;A of this Report and incorporated herein by this reference.</w:t>
      </w:r>
    </w:p>
    <w:p>
      <w:pPr>
        <w:spacing w:after="0" w:line="158"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Controls and Procedures</w:t>
      </w:r>
    </w:p>
    <w:p>
      <w:pPr>
        <w:spacing w:after="0" w:line="254" w:lineRule="exact"/>
        <w:rPr>
          <w:sz w:val="20"/>
          <w:szCs w:val="20"/>
          <w:color w:val="auto"/>
        </w:rPr>
      </w:pPr>
    </w:p>
    <w:p>
      <w:pPr>
        <w:jc w:val="both"/>
        <w:ind w:firstLine="210"/>
        <w:spacing w:after="0" w:line="261" w:lineRule="auto"/>
        <w:tabs>
          <w:tab w:leader="none" w:pos="451"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Disclosure Controls and Procedures. </w:t>
      </w:r>
      <w:r>
        <w:rPr>
          <w:rFonts w:ascii="Times New Roman" w:cs="Times New Roman" w:eastAsia="Times New Roman" w:hAnsi="Times New Roman"/>
          <w:sz w:val="18"/>
          <w:szCs w:val="18"/>
          <w:color w:val="auto"/>
        </w:rPr>
        <w:t>Under the supervision and with the participation of our management, including our principal executive officer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principal financial officer, we conducted an evaluation of our disclosure controls and procedures (as such term is defined in Exchange Act Rule 13a-15(e)) as of September 30, 2025. Based on that evaluation, our principal executive officer and chief financial officer concluded that our disclosure controls and procedures were effective as of the end of the period covered by this Report.</w:t>
      </w:r>
    </w:p>
    <w:p>
      <w:pPr>
        <w:spacing w:after="0" w:line="206" w:lineRule="exact"/>
        <w:rPr>
          <w:rFonts w:ascii="Times New Roman" w:cs="Times New Roman" w:eastAsia="Times New Roman" w:hAnsi="Times New Roman"/>
          <w:sz w:val="18"/>
          <w:szCs w:val="18"/>
          <w:color w:val="auto"/>
        </w:rPr>
      </w:pPr>
    </w:p>
    <w:p>
      <w:pPr>
        <w:jc w:val="both"/>
        <w:ind w:firstLine="285"/>
        <w:spacing w:after="0" w:line="267" w:lineRule="auto"/>
        <w:tabs>
          <w:tab w:leader="none" w:pos="556"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Changes in Internal Control Over Financial Reporting. </w:t>
      </w:r>
      <w:r>
        <w:rPr>
          <w:rFonts w:ascii="Times New Roman" w:cs="Times New Roman" w:eastAsia="Times New Roman" w:hAnsi="Times New Roman"/>
          <w:sz w:val="18"/>
          <w:szCs w:val="18"/>
          <w:color w:val="auto"/>
        </w:rPr>
        <w:t>No change in our internal control over financial reporting (as such term is defined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Exchange Act Rule 13a-15(f)) occurred during the fiscal quarter ended September 30, 2025 that materially affected, or is reasonably likely to materially affect, our internal control over financial reporting.</w:t>
      </w:r>
    </w:p>
    <w:p>
      <w:pPr>
        <w:spacing w:after="0" w:line="200" w:lineRule="exact"/>
        <w:rPr>
          <w:sz w:val="20"/>
          <w:szCs w:val="20"/>
          <w:color w:val="auto"/>
        </w:rPr>
      </w:pPr>
    </w:p>
    <w:p>
      <w:pPr>
        <w:spacing w:after="0" w:line="3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4" w:right="339" w:bottom="1440" w:gutter="0" w:footer="0" w:header="0"/>
        </w:sectPr>
      </w:pPr>
    </w:p>
    <w:bookmarkStart w:id="51" w:name="page52"/>
    <w:bookmarkEnd w:id="51"/>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25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During the quarter ended September 30, 2025, no director or officer of the Company adopted, modified or terminated a “Rule 10b5-1 trading arrangement” or “non-Rule 10b5-1 trading arrangement,” as each term is defined in Item 408(a) of Regulation S-K.</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252" w:lineRule="exact"/>
        <w:rPr>
          <w:sz w:val="20"/>
          <w:szCs w:val="20"/>
          <w:color w:val="auto"/>
        </w:rPr>
      </w:pPr>
    </w:p>
    <w:p>
      <w:pPr>
        <w:ind w:left="1100" w:hanging="444"/>
        <w:spacing w:after="0"/>
        <w:tabs>
          <w:tab w:leader="none" w:pos="1100" w:val="left"/>
        </w:tabs>
        <w:numPr>
          <w:ilvl w:val="0"/>
          <w:numId w:val="1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Exhibits. </w:t>
      </w:r>
      <w:r>
        <w:rPr>
          <w:rFonts w:ascii="Times New Roman" w:cs="Times New Roman" w:eastAsia="Times New Roman" w:hAnsi="Times New Roman"/>
          <w:sz w:val="18"/>
          <w:szCs w:val="18"/>
          <w:color w:val="auto"/>
        </w:rPr>
        <w:t>See Exhibit Index below.</w:t>
      </w:r>
    </w:p>
    <w:p>
      <w:pPr>
        <w:spacing w:after="0" w:line="2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EXHIBIT INDEX</w:t>
      </w:r>
    </w:p>
    <w:p>
      <w:pPr>
        <w:spacing w:after="0" w:line="279" w:lineRule="exact"/>
        <w:rPr>
          <w:sz w:val="20"/>
          <w:szCs w:val="20"/>
          <w:color w:val="auto"/>
        </w:rPr>
      </w:pPr>
    </w:p>
    <w:p>
      <w:pPr>
        <w:ind w:left="440"/>
        <w:spacing w:after="0"/>
        <w:tabs>
          <w:tab w:leader="none" w:pos="5940" w:val="left"/>
        </w:tabs>
        <w:rPr>
          <w:sz w:val="20"/>
          <w:szCs w:val="20"/>
          <w:color w:val="auto"/>
        </w:rPr>
      </w:pPr>
      <w:r>
        <w:rPr>
          <w:rFonts w:ascii="Times New Roman" w:cs="Times New Roman" w:eastAsia="Times New Roman" w:hAnsi="Times New Roman"/>
          <w:sz w:val="18"/>
          <w:szCs w:val="18"/>
          <w:b w:val="1"/>
          <w:bCs w:val="1"/>
          <w:color w:val="auto"/>
        </w:rPr>
        <w:t>Exhibit No.</w:t>
      </w:r>
      <w:r>
        <w:rPr>
          <w:sz w:val="20"/>
          <w:szCs w:val="20"/>
          <w:color w:val="auto"/>
        </w:rPr>
        <w:tab/>
      </w:r>
      <w:r>
        <w:rPr>
          <w:rFonts w:ascii="Times New Roman" w:cs="Times New Roman" w:eastAsia="Times New Roman" w:hAnsi="Times New Roman"/>
          <w:sz w:val="18"/>
          <w:szCs w:val="18"/>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23" w:lineRule="exact"/>
        <w:rPr>
          <w:sz w:val="20"/>
          <w:szCs w:val="20"/>
          <w:color w:val="auto"/>
        </w:rPr>
      </w:pPr>
    </w:p>
    <w:p>
      <w:pPr>
        <w:jc w:val="right"/>
        <w:ind w:left="1080" w:right="20"/>
        <w:spacing w:after="0" w:line="222" w:lineRule="auto"/>
        <w:rPr>
          <w:rFonts w:ascii="Times New Roman" w:cs="Times New Roman" w:eastAsia="Times New Roman" w:hAnsi="Times New Roman"/>
          <w:sz w:val="18"/>
          <w:szCs w:val="18"/>
          <w:u w:val="single" w:color="auto"/>
          <w:color w:val="0000FF"/>
        </w:rPr>
      </w:pPr>
      <w:hyperlink r:id="rId93">
        <w:r>
          <w:rPr>
            <w:rFonts w:ascii="Times New Roman" w:cs="Times New Roman" w:eastAsia="Times New Roman" w:hAnsi="Times New Roman"/>
            <w:sz w:val="18"/>
            <w:szCs w:val="18"/>
            <w:u w:val="single" w:color="auto"/>
            <w:color w:val="0000FF"/>
          </w:rPr>
          <w:t>3.1   Restated Articles of Incorporation of United Community Banks, Inc. as amended through August 13, 2021 (incorporated herein by</w:t>
        </w:r>
      </w:hyperlink>
      <w:r>
        <w:rPr>
          <w:rFonts w:ascii="Times New Roman" w:cs="Times New Roman" w:eastAsia="Times New Roman" w:hAnsi="Times New Roman"/>
          <w:sz w:val="18"/>
          <w:szCs w:val="18"/>
          <w:u w:val="single" w:color="auto"/>
          <w:color w:val="0000FF"/>
        </w:rPr>
        <w:t xml:space="preserve"> </w:t>
      </w:r>
      <w:hyperlink r:id="rId93">
        <w:r>
          <w:rPr>
            <w:rFonts w:ascii="Times New Roman" w:cs="Times New Roman" w:eastAsia="Times New Roman" w:hAnsi="Times New Roman"/>
            <w:sz w:val="18"/>
            <w:szCs w:val="18"/>
            <w:u w:val="single" w:color="auto"/>
            <w:color w:val="0000FF"/>
          </w:rPr>
          <w:t>reference to Exhibit 3.1 to United Community Bank Inc.'s Quarterly Report on Form 10-Q for the period ended September 30, 2021,</w:t>
        </w:r>
      </w:hyperlink>
    </w:p>
    <w:p>
      <w:pPr>
        <w:spacing w:after="0" w:line="2" w:lineRule="exact"/>
        <w:rPr>
          <w:sz w:val="20"/>
          <w:szCs w:val="20"/>
          <w:color w:val="auto"/>
        </w:rPr>
      </w:pPr>
    </w:p>
    <w:p>
      <w:pPr>
        <w:ind w:left="1600"/>
        <w:spacing w:after="0"/>
        <w:rPr>
          <w:rFonts w:ascii="Times New Roman" w:cs="Times New Roman" w:eastAsia="Times New Roman" w:hAnsi="Times New Roman"/>
          <w:sz w:val="18"/>
          <w:szCs w:val="18"/>
          <w:u w:val="single" w:color="auto"/>
          <w:color w:val="0000FF"/>
        </w:rPr>
      </w:pPr>
      <w:hyperlink r:id="rId93">
        <w:r>
          <w:rPr>
            <w:rFonts w:ascii="Times New Roman" w:cs="Times New Roman" w:eastAsia="Times New Roman" w:hAnsi="Times New Roman"/>
            <w:sz w:val="18"/>
            <w:szCs w:val="18"/>
            <w:u w:val="single" w:color="auto"/>
            <w:color w:val="0000FF"/>
          </w:rPr>
          <w:t>filed on November 5, 2021).</w:t>
        </w:r>
      </w:hyperlink>
    </w:p>
    <w:p>
      <w:pPr>
        <w:spacing w:after="0" w:line="165" w:lineRule="exact"/>
        <w:rPr>
          <w:sz w:val="20"/>
          <w:szCs w:val="20"/>
          <w:color w:val="auto"/>
        </w:rPr>
      </w:pPr>
    </w:p>
    <w:p>
      <w:pPr>
        <w:jc w:val="right"/>
        <w:ind w:left="1080" w:right="20"/>
        <w:spacing w:after="0" w:line="222" w:lineRule="auto"/>
        <w:rPr>
          <w:rFonts w:ascii="Times New Roman" w:cs="Times New Roman" w:eastAsia="Times New Roman" w:hAnsi="Times New Roman"/>
          <w:sz w:val="18"/>
          <w:szCs w:val="18"/>
          <w:u w:val="single" w:color="auto"/>
          <w:color w:val="0000FF"/>
        </w:rPr>
      </w:pPr>
      <w:hyperlink r:id="rId94">
        <w:r>
          <w:rPr>
            <w:rFonts w:ascii="Times New Roman" w:cs="Times New Roman" w:eastAsia="Times New Roman" w:hAnsi="Times New Roman"/>
            <w:sz w:val="18"/>
            <w:szCs w:val="18"/>
            <w:u w:val="single" w:color="auto"/>
            <w:color w:val="0000FF"/>
          </w:rPr>
          <w:t>3.2   Amended and Restated Bylaws of United Community Banks, Inc., as amended (incorporated herein by reference to Exhibit 3.2 to</w:t>
        </w:r>
      </w:hyperlink>
      <w:r>
        <w:rPr>
          <w:rFonts w:ascii="Times New Roman" w:cs="Times New Roman" w:eastAsia="Times New Roman" w:hAnsi="Times New Roman"/>
          <w:sz w:val="18"/>
          <w:szCs w:val="18"/>
          <w:u w:val="single" w:color="auto"/>
          <w:color w:val="0000FF"/>
        </w:rPr>
        <w:t xml:space="preserve"> </w:t>
      </w:r>
      <w:hyperlink r:id="rId94">
        <w:r>
          <w:rPr>
            <w:rFonts w:ascii="Times New Roman" w:cs="Times New Roman" w:eastAsia="Times New Roman" w:hAnsi="Times New Roman"/>
            <w:sz w:val="18"/>
            <w:szCs w:val="18"/>
            <w:u w:val="single" w:color="auto"/>
            <w:color w:val="0000FF"/>
          </w:rPr>
          <w:t>United Community Banks, Inc.’s Quarterly Report on Form 10-Q for the period ended March 31, 2015, filed with the SEC on May</w:t>
        </w:r>
      </w:hyperlink>
    </w:p>
    <w:p>
      <w:pPr>
        <w:spacing w:after="0" w:line="2" w:lineRule="exact"/>
        <w:rPr>
          <w:sz w:val="20"/>
          <w:szCs w:val="20"/>
          <w:color w:val="auto"/>
        </w:rPr>
      </w:pPr>
    </w:p>
    <w:p>
      <w:pPr>
        <w:ind w:left="1600"/>
        <w:spacing w:after="0"/>
        <w:rPr>
          <w:rFonts w:ascii="Times New Roman" w:cs="Times New Roman" w:eastAsia="Times New Roman" w:hAnsi="Times New Roman"/>
          <w:sz w:val="18"/>
          <w:szCs w:val="18"/>
          <w:u w:val="single" w:color="auto"/>
          <w:color w:val="0000FF"/>
        </w:rPr>
      </w:pPr>
      <w:hyperlink r:id="rId94">
        <w:r>
          <w:rPr>
            <w:rFonts w:ascii="Times New Roman" w:cs="Times New Roman" w:eastAsia="Times New Roman" w:hAnsi="Times New Roman"/>
            <w:sz w:val="18"/>
            <w:szCs w:val="18"/>
            <w:u w:val="single" w:color="auto"/>
            <w:color w:val="0000FF"/>
          </w:rPr>
          <w:t>11, 2015).</w:t>
        </w:r>
      </w:hyperlink>
    </w:p>
    <w:p>
      <w:pPr>
        <w:spacing w:after="0" w:line="165" w:lineRule="exact"/>
        <w:rPr>
          <w:sz w:val="20"/>
          <w:szCs w:val="20"/>
          <w:color w:val="auto"/>
        </w:rPr>
      </w:pPr>
    </w:p>
    <w:p>
      <w:pPr>
        <w:ind w:left="1600" w:right="20" w:hanging="606"/>
        <w:spacing w:after="0" w:line="237" w:lineRule="auto"/>
        <w:tabs>
          <w:tab w:leader="none" w:pos="1580" w:val="left"/>
        </w:tabs>
        <w:rPr>
          <w:sz w:val="20"/>
          <w:szCs w:val="20"/>
          <w:color w:val="auto"/>
        </w:rPr>
      </w:pPr>
      <w:r>
        <w:rPr>
          <w:rFonts w:ascii="Times New Roman" w:cs="Times New Roman" w:eastAsia="Times New Roman" w:hAnsi="Times New Roman"/>
          <w:sz w:val="18"/>
          <w:szCs w:val="18"/>
          <w:u w:val="single" w:color="auto"/>
          <w:color w:val="0000FF"/>
        </w:rPr>
        <w:t>31.1</w:t>
        <w:tab/>
        <w:t>Certification by H. Lynn Harton, President and Chief Executive Officer of United Community Banks, Inc., pursuant to Exchange Act Rule 13a-14(a).</w:t>
      </w:r>
    </w:p>
    <w:p>
      <w:pPr>
        <w:spacing w:after="0" w:line="172" w:lineRule="exact"/>
        <w:rPr>
          <w:sz w:val="20"/>
          <w:szCs w:val="20"/>
          <w:color w:val="auto"/>
        </w:rPr>
      </w:pPr>
    </w:p>
    <w:p>
      <w:pPr>
        <w:ind w:left="1600" w:right="20" w:hanging="606"/>
        <w:spacing w:after="0" w:line="237" w:lineRule="auto"/>
        <w:tabs>
          <w:tab w:leader="none" w:pos="1580" w:val="left"/>
        </w:tabs>
        <w:rPr>
          <w:sz w:val="20"/>
          <w:szCs w:val="20"/>
          <w:color w:val="auto"/>
        </w:rPr>
      </w:pPr>
      <w:r>
        <w:rPr>
          <w:rFonts w:ascii="Times New Roman" w:cs="Times New Roman" w:eastAsia="Times New Roman" w:hAnsi="Times New Roman"/>
          <w:sz w:val="18"/>
          <w:szCs w:val="18"/>
          <w:u w:val="single" w:color="auto"/>
          <w:color w:val="0000FF"/>
        </w:rPr>
        <w:t>31.2</w:t>
        <w:tab/>
        <w:t>Certification by Jefferson L. Harralson, Executive Vice President and Chief Financial Officer of United Community Banks, Inc., pursuant to Exchange Act Rule 13a-14(a).</w:t>
      </w:r>
    </w:p>
    <w:p>
      <w:pPr>
        <w:spacing w:after="0" w:line="172" w:lineRule="exact"/>
        <w:rPr>
          <w:sz w:val="20"/>
          <w:szCs w:val="20"/>
          <w:color w:val="auto"/>
        </w:rPr>
      </w:pPr>
    </w:p>
    <w:p>
      <w:pPr>
        <w:ind w:left="1140"/>
        <w:spacing w:after="0"/>
        <w:tabs>
          <w:tab w:leader="none" w:pos="1580" w:val="left"/>
        </w:tabs>
        <w:rPr>
          <w:sz w:val="20"/>
          <w:szCs w:val="20"/>
          <w:color w:val="auto"/>
        </w:rPr>
      </w:pPr>
      <w:r>
        <w:rPr>
          <w:rFonts w:ascii="Times New Roman" w:cs="Times New Roman" w:eastAsia="Times New Roman" w:hAnsi="Times New Roman"/>
          <w:sz w:val="18"/>
          <w:szCs w:val="18"/>
          <w:u w:val="single" w:color="auto"/>
          <w:color w:val="0000FF"/>
        </w:rPr>
        <w:t>32</w:t>
        <w:tab/>
        <w:t>Certification of CEO and CFO pursuant to 18 U.S.C. Section 1350.</w:t>
      </w:r>
    </w:p>
    <w:p>
      <w:pPr>
        <w:spacing w:after="0" w:line="185" w:lineRule="exact"/>
        <w:rPr>
          <w:sz w:val="20"/>
          <w:szCs w:val="20"/>
          <w:color w:val="auto"/>
        </w:rPr>
      </w:pPr>
    </w:p>
    <w:p>
      <w:pPr>
        <w:jc w:val="both"/>
        <w:ind w:left="1600" w:right="20" w:hanging="557"/>
        <w:spacing w:after="0" w:line="222" w:lineRule="auto"/>
        <w:tabs>
          <w:tab w:leader="none" w:pos="16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Interactive data files for United Community Bank, Inc.’s Quarterly Report on Form 10-Q for the quarter ended September 30, 2025, formatted in Inline XBRL: </w:t>
      </w:r>
      <w:r>
        <w:rPr>
          <w:rFonts w:ascii="Times New Roman" w:cs="Times New Roman" w:eastAsia="Times New Roman" w:hAnsi="Times New Roman"/>
          <w:sz w:val="18"/>
          <w:szCs w:val="18"/>
          <w:color w:val="212529"/>
        </w:rPr>
        <w:t>(i) the Consolidated Balance Sheets (unaudited); (ii) the Consolidated Statements of Income (unaudited);</w:t>
      </w:r>
    </w:p>
    <w:p>
      <w:pPr>
        <w:spacing w:after="0" w:line="1" w:lineRule="exact"/>
        <w:rPr>
          <w:rFonts w:ascii="Times New Roman" w:cs="Times New Roman" w:eastAsia="Times New Roman" w:hAnsi="Times New Roman"/>
          <w:sz w:val="18"/>
          <w:szCs w:val="18"/>
          <w:color w:val="auto"/>
        </w:rPr>
      </w:pPr>
    </w:p>
    <w:p>
      <w:pPr>
        <w:jc w:val="both"/>
        <w:ind w:left="1600" w:right="20" w:firstLine="5"/>
        <w:spacing w:after="0" w:line="218" w:lineRule="auto"/>
        <w:tabs>
          <w:tab w:leader="none" w:pos="1981" w:val="left"/>
        </w:tabs>
        <w:numPr>
          <w:ilvl w:val="1"/>
          <w:numId w:val="19"/>
        </w:numPr>
        <w:rPr>
          <w:rFonts w:ascii="Times New Roman" w:cs="Times New Roman" w:eastAsia="Times New Roman" w:hAnsi="Times New Roman"/>
          <w:sz w:val="18"/>
          <w:szCs w:val="18"/>
          <w:color w:val="212529"/>
        </w:rPr>
      </w:pPr>
      <w:r>
        <w:rPr>
          <w:rFonts w:ascii="Times New Roman" w:cs="Times New Roman" w:eastAsia="Times New Roman" w:hAnsi="Times New Roman"/>
          <w:sz w:val="18"/>
          <w:szCs w:val="18"/>
          <w:color w:val="212529"/>
        </w:rPr>
        <w:t>the Consolidated Statements of Comprehensive Income (unaudited); (iv) the Consolidated Statements of Changes in Shareholders’ Equity (unaudited); (v) the Consolidated Statements of Cash Flows (unaudited); and (vi) the Notes to Consolidated Financial Statements (unaudited)</w:t>
      </w:r>
      <w:r>
        <w:rPr>
          <w:rFonts w:ascii="Times New Roman" w:cs="Times New Roman" w:eastAsia="Times New Roman" w:hAnsi="Times New Roman"/>
          <w:sz w:val="18"/>
          <w:szCs w:val="18"/>
          <w:color w:val="000000"/>
        </w:rPr>
        <w:t>.</w:t>
      </w:r>
    </w:p>
    <w:p>
      <w:pPr>
        <w:spacing w:after="0" w:line="172" w:lineRule="exact"/>
        <w:rPr>
          <w:sz w:val="20"/>
          <w:szCs w:val="20"/>
          <w:color w:val="auto"/>
        </w:rPr>
      </w:pPr>
    </w:p>
    <w:p>
      <w:pPr>
        <w:ind w:left="1600" w:right="20" w:hanging="557"/>
        <w:spacing w:after="0" w:line="237" w:lineRule="auto"/>
        <w:tabs>
          <w:tab w:leader="none" w:pos="16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cover page from United Community Bank’s Quarterly Report on Form 10-Q for the quarter ended September 30, 2025 (formatted in Inline XBRL and included in 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52" w:name="page53"/>
    <w:bookmarkEnd w:id="5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293"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18"/>
          <w:szCs w:val="18"/>
          <w:b w:val="1"/>
          <w:bCs w:val="1"/>
          <w:color w:val="auto"/>
        </w:rPr>
        <w:t>UNITED COMMUNITY BANKS, INC.</w:t>
      </w:r>
    </w:p>
    <w:p>
      <w:pPr>
        <w:spacing w:after="0" w:line="256"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18"/>
          <w:szCs w:val="18"/>
          <w:color w:val="auto"/>
        </w:rPr>
        <w:t>/s/ H. Lynn Harton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3759835</wp:posOffset>
            </wp:positionH>
            <wp:positionV relativeFrom="paragraph">
              <wp:posOffset>17145</wp:posOffset>
            </wp:positionV>
            <wp:extent cx="3377565"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6">
                      <a:extLst>
                        <a:ext uri="{28A0092B-C50C-407E-A947-70E740481C1C}"/>
                      </a:extLst>
                    </a:blip>
                    <a:srcRect/>
                    <a:stretch>
                      <a:fillRect/>
                    </a:stretch>
                  </pic:blipFill>
                  <pic:spPr bwMode="auto">
                    <a:xfrm>
                      <a:off x="0" y="0"/>
                      <a:ext cx="3377565" cy="8890"/>
                    </a:xfrm>
                    <a:prstGeom prst="rect">
                      <a:avLst/>
                    </a:prstGeom>
                    <a:noFill/>
                  </pic:spPr>
                </pic:pic>
              </a:graphicData>
            </a:graphic>
          </wp:anchor>
        </w:drawing>
      </w:r>
    </w:p>
    <w:p>
      <w:pPr>
        <w:spacing w:after="0" w:line="16"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18"/>
          <w:szCs w:val="18"/>
          <w:color w:val="auto"/>
        </w:rPr>
        <w:t>H. Lynn Harton</w:t>
      </w:r>
    </w:p>
    <w:p>
      <w:pPr>
        <w:spacing w:after="0" w:line="27"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23"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47"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18"/>
          <w:szCs w:val="18"/>
          <w:color w:val="auto"/>
        </w:rPr>
        <w:t>/s/ Jefferson L. Harralson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3759835</wp:posOffset>
            </wp:positionH>
            <wp:positionV relativeFrom="paragraph">
              <wp:posOffset>17145</wp:posOffset>
            </wp:positionV>
            <wp:extent cx="3377565"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7">
                      <a:extLst>
                        <a:ext uri="{28A0092B-C50C-407E-A947-70E740481C1C}"/>
                      </a:extLst>
                    </a:blip>
                    <a:srcRect/>
                    <a:stretch>
                      <a:fillRect/>
                    </a:stretch>
                  </pic:blipFill>
                  <pic:spPr bwMode="auto">
                    <a:xfrm>
                      <a:off x="0" y="0"/>
                      <a:ext cx="3377565" cy="8890"/>
                    </a:xfrm>
                    <a:prstGeom prst="rect">
                      <a:avLst/>
                    </a:prstGeom>
                    <a:noFill/>
                  </pic:spPr>
                </pic:pic>
              </a:graphicData>
            </a:graphic>
          </wp:anchor>
        </w:drawing>
      </w:r>
    </w:p>
    <w:p>
      <w:pPr>
        <w:spacing w:after="0" w:line="16"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18"/>
          <w:szCs w:val="18"/>
          <w:color w:val="auto"/>
        </w:rPr>
        <w:t>Jefferson L. Harralson</w:t>
      </w:r>
    </w:p>
    <w:p>
      <w:pPr>
        <w:spacing w:after="0" w:line="27"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18"/>
          <w:szCs w:val="18"/>
          <w:color w:val="auto"/>
        </w:rPr>
        <w:t>Executive Vice President and Chief Financial Officer</w:t>
      </w:r>
    </w:p>
    <w:p>
      <w:pPr>
        <w:spacing w:after="0" w:line="23"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18"/>
          <w:szCs w:val="18"/>
          <w:color w:val="auto"/>
        </w:rPr>
        <w:t>(Principal Financial Officer)</w:t>
      </w:r>
    </w:p>
    <w:p>
      <w:pPr>
        <w:spacing w:after="0" w:line="247"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18"/>
          <w:szCs w:val="18"/>
          <w:color w:val="auto"/>
        </w:rPr>
        <w:t>/s/ Alan H. Kumler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3759835</wp:posOffset>
            </wp:positionH>
            <wp:positionV relativeFrom="paragraph">
              <wp:posOffset>17145</wp:posOffset>
            </wp:positionV>
            <wp:extent cx="3377565"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8">
                      <a:extLst>
                        <a:ext uri="{28A0092B-C50C-407E-A947-70E740481C1C}"/>
                      </a:extLst>
                    </a:blip>
                    <a:srcRect/>
                    <a:stretch>
                      <a:fillRect/>
                    </a:stretch>
                  </pic:blipFill>
                  <pic:spPr bwMode="auto">
                    <a:xfrm>
                      <a:off x="0" y="0"/>
                      <a:ext cx="3377565" cy="8255"/>
                    </a:xfrm>
                    <a:prstGeom prst="rect">
                      <a:avLst/>
                    </a:prstGeom>
                    <a:noFill/>
                  </pic:spPr>
                </pic:pic>
              </a:graphicData>
            </a:graphic>
          </wp:anchor>
        </w:drawing>
      </w:r>
    </w:p>
    <w:p>
      <w:pPr>
        <w:spacing w:after="0" w:line="16"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18"/>
          <w:szCs w:val="18"/>
          <w:color w:val="auto"/>
        </w:rPr>
        <w:t>Alan H. Kumler</w:t>
      </w:r>
    </w:p>
    <w:p>
      <w:pPr>
        <w:spacing w:after="0" w:line="27"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18"/>
          <w:szCs w:val="18"/>
          <w:color w:val="auto"/>
        </w:rPr>
        <w:t>Senior Vice President and Chief Accounting Officer</w:t>
      </w:r>
    </w:p>
    <w:p>
      <w:pPr>
        <w:spacing w:after="0" w:line="23"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18"/>
          <w:szCs w:val="18"/>
          <w:color w:val="auto"/>
        </w:rPr>
        <w:t>(Principal Accounting Officer)</w:t>
      </w:r>
    </w:p>
    <w:p>
      <w:pPr>
        <w:spacing w:after="0" w:line="247"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18"/>
          <w:szCs w:val="18"/>
          <w:color w:val="auto"/>
        </w:rPr>
        <w:t>Date: November 7,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ectPr>
          <w:pgSz w:w="11900" w:h="16838" w:orient="portrait"/>
          <w:cols w:equalWidth="0" w:num="1">
            <w:col w:w="11240"/>
          </w:cols>
          <w:pgMar w:left="320" w:top="927" w:right="339" w:bottom="1440" w:gutter="0" w:footer="0" w:header="0"/>
        </w:sectPr>
      </w:pPr>
    </w:p>
    <w:bookmarkStart w:id="53" w:name="page54"/>
    <w:bookmarkEnd w:id="53"/>
    <w:p>
      <w:pPr>
        <w:ind w:left="10320"/>
        <w:spacing w:after="0"/>
        <w:rPr>
          <w:sz w:val="20"/>
          <w:szCs w:val="20"/>
          <w:color w:val="auto"/>
        </w:rPr>
      </w:pPr>
      <w:r>
        <w:rPr>
          <w:rFonts w:ascii="Times New Roman" w:cs="Times New Roman" w:eastAsia="Times New Roman" w:hAnsi="Times New Roman"/>
          <w:sz w:val="17"/>
          <w:szCs w:val="17"/>
          <w:b w:val="1"/>
          <w:bCs w:val="1"/>
          <w:color w:val="auto"/>
        </w:rPr>
        <w:t>Exhibit 31.1</w:t>
      </w: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H. Lynn Harton, certify that:</w:t>
      </w:r>
    </w:p>
    <w:p>
      <w:pPr>
        <w:spacing w:after="0" w:line="225" w:lineRule="exact"/>
        <w:rPr>
          <w:sz w:val="20"/>
          <w:szCs w:val="20"/>
          <w:color w:val="auto"/>
        </w:rPr>
      </w:pPr>
    </w:p>
    <w:p>
      <w:pPr>
        <w:ind w:left="180" w:hanging="172"/>
        <w:spacing w:after="0"/>
        <w:tabs>
          <w:tab w:leader="none" w:pos="1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United Community Banks, Inc. (the “Registrant”);</w:t>
      </w:r>
    </w:p>
    <w:p>
      <w:pPr>
        <w:spacing w:after="0" w:line="225" w:lineRule="exact"/>
        <w:rPr>
          <w:rFonts w:ascii="Times New Roman" w:cs="Times New Roman" w:eastAsia="Times New Roman" w:hAnsi="Times New Roman"/>
          <w:sz w:val="18"/>
          <w:szCs w:val="18"/>
          <w:color w:val="auto"/>
        </w:rPr>
      </w:pPr>
    </w:p>
    <w:p>
      <w:pPr>
        <w:ind w:firstLine="8"/>
        <w:spacing w:after="0" w:line="282" w:lineRule="auto"/>
        <w:tabs>
          <w:tab w:leader="none" w:pos="201"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1" w:lineRule="exact"/>
        <w:rPr>
          <w:rFonts w:ascii="Times New Roman" w:cs="Times New Roman" w:eastAsia="Times New Roman" w:hAnsi="Times New Roman"/>
          <w:sz w:val="18"/>
          <w:szCs w:val="18"/>
          <w:color w:val="auto"/>
        </w:rPr>
      </w:pPr>
    </w:p>
    <w:p>
      <w:pPr>
        <w:ind w:firstLine="8"/>
        <w:spacing w:after="0" w:line="282" w:lineRule="auto"/>
        <w:tabs>
          <w:tab w:leader="none" w:pos="204"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firstLine="8"/>
        <w:spacing w:after="0" w:line="266" w:lineRule="auto"/>
        <w:tabs>
          <w:tab w:leader="none" w:pos="209"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 - 15(f) and 15d - 15(f)) for the registrant and have:</w:t>
      </w:r>
    </w:p>
    <w:p>
      <w:pPr>
        <w:spacing w:after="0" w:line="175" w:lineRule="exact"/>
        <w:rPr>
          <w:rFonts w:ascii="Times New Roman" w:cs="Times New Roman" w:eastAsia="Times New Roman" w:hAnsi="Times New Roman"/>
          <w:sz w:val="18"/>
          <w:szCs w:val="18"/>
          <w:color w:val="auto"/>
        </w:rPr>
      </w:pPr>
    </w:p>
    <w:p>
      <w:pPr>
        <w:jc w:val="both"/>
        <w:ind w:firstLine="656"/>
        <w:spacing w:after="0" w:line="266" w:lineRule="auto"/>
        <w:tabs>
          <w:tab w:leader="none" w:pos="842"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jc w:val="both"/>
        <w:ind w:firstLine="656"/>
        <w:spacing w:after="0" w:line="266" w:lineRule="auto"/>
        <w:tabs>
          <w:tab w:leader="none" w:pos="871"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right="20" w:firstLine="656"/>
        <w:spacing w:after="0" w:line="282" w:lineRule="auto"/>
        <w:tabs>
          <w:tab w:leader="none" w:pos="869"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firstLine="656"/>
        <w:spacing w:after="0" w:line="266" w:lineRule="auto"/>
        <w:tabs>
          <w:tab w:leader="none" w:pos="851"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firstLine="8"/>
        <w:spacing w:after="0" w:line="282" w:lineRule="auto"/>
        <w:tabs>
          <w:tab w:leader="none" w:pos="192"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right="20" w:firstLine="656"/>
        <w:spacing w:after="0" w:line="282" w:lineRule="auto"/>
        <w:tabs>
          <w:tab w:leader="none" w:pos="837"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firstLine="656"/>
        <w:spacing w:after="0" w:line="282" w:lineRule="auto"/>
        <w:tabs>
          <w:tab w:leader="none" w:pos="845"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35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Date: November 7, 2025</w:t>
      </w:r>
    </w:p>
    <w:p>
      <w:pPr>
        <w:spacing w:after="0" w:line="27"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/s/ H. Lynn Harton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3845560</wp:posOffset>
            </wp:positionH>
            <wp:positionV relativeFrom="paragraph">
              <wp:posOffset>14605</wp:posOffset>
            </wp:positionV>
            <wp:extent cx="3265805"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9">
                      <a:extLst>
                        <a:ext uri="{28A0092B-C50C-407E-A947-70E740481C1C}"/>
                      </a:extLst>
                    </a:blip>
                    <a:srcRect/>
                    <a:stretch>
                      <a:fillRect/>
                    </a:stretch>
                  </pic:blipFill>
                  <pic:spPr bwMode="auto">
                    <a:xfrm>
                      <a:off x="0" y="0"/>
                      <a:ext cx="3265805" cy="8255"/>
                    </a:xfrm>
                    <a:prstGeom prst="rect">
                      <a:avLst/>
                    </a:prstGeom>
                    <a:noFill/>
                  </pic:spPr>
                </pic:pic>
              </a:graphicData>
            </a:graphic>
          </wp:anchor>
        </w:drawing>
      </w:r>
    </w:p>
    <w:p>
      <w:pPr>
        <w:spacing w:after="0" w:line="11"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H. Lynn Harton</w:t>
      </w:r>
    </w:p>
    <w:p>
      <w:pPr>
        <w:spacing w:after="0" w:line="27"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President and Chief Executive Officer of the Registrant</w:t>
      </w:r>
    </w:p>
    <w:p>
      <w:pPr>
        <w:sectPr>
          <w:pgSz w:w="11900" w:h="16838" w:orient="portrait"/>
          <w:cols w:equalWidth="0" w:num="1">
            <w:col w:w="11240"/>
          </w:cols>
          <w:pgMar w:left="320" w:top="887" w:right="339" w:bottom="1440" w:gutter="0" w:footer="0" w:header="0"/>
        </w:sectPr>
      </w:pPr>
    </w:p>
    <w:bookmarkStart w:id="54" w:name="page55"/>
    <w:bookmarkEnd w:id="54"/>
    <w:p>
      <w:pPr>
        <w:ind w:left="10320"/>
        <w:spacing w:after="0"/>
        <w:rPr>
          <w:sz w:val="20"/>
          <w:szCs w:val="20"/>
          <w:color w:val="auto"/>
        </w:rPr>
      </w:pPr>
      <w:r>
        <w:rPr>
          <w:rFonts w:ascii="Times New Roman" w:cs="Times New Roman" w:eastAsia="Times New Roman" w:hAnsi="Times New Roman"/>
          <w:sz w:val="17"/>
          <w:szCs w:val="17"/>
          <w:b w:val="1"/>
          <w:bCs w:val="1"/>
          <w:color w:val="auto"/>
        </w:rPr>
        <w:t>Exhibit 31.2</w:t>
      </w: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Jefferson L. Harralson, certify that:</w:t>
      </w:r>
    </w:p>
    <w:p>
      <w:pPr>
        <w:spacing w:after="0" w:line="225" w:lineRule="exact"/>
        <w:rPr>
          <w:sz w:val="20"/>
          <w:szCs w:val="20"/>
          <w:color w:val="auto"/>
        </w:rPr>
      </w:pPr>
    </w:p>
    <w:p>
      <w:pPr>
        <w:ind w:left="180" w:hanging="172"/>
        <w:spacing w:after="0"/>
        <w:tabs>
          <w:tab w:leader="none" w:pos="1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United Community Banks, Inc. (the “Registrant”);</w:t>
      </w:r>
    </w:p>
    <w:p>
      <w:pPr>
        <w:spacing w:after="0" w:line="225" w:lineRule="exact"/>
        <w:rPr>
          <w:rFonts w:ascii="Times New Roman" w:cs="Times New Roman" w:eastAsia="Times New Roman" w:hAnsi="Times New Roman"/>
          <w:sz w:val="18"/>
          <w:szCs w:val="18"/>
          <w:color w:val="auto"/>
        </w:rPr>
      </w:pPr>
    </w:p>
    <w:p>
      <w:pPr>
        <w:ind w:firstLine="8"/>
        <w:spacing w:after="0" w:line="282" w:lineRule="auto"/>
        <w:tabs>
          <w:tab w:leader="none" w:pos="201"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1" w:lineRule="exact"/>
        <w:rPr>
          <w:rFonts w:ascii="Times New Roman" w:cs="Times New Roman" w:eastAsia="Times New Roman" w:hAnsi="Times New Roman"/>
          <w:sz w:val="18"/>
          <w:szCs w:val="18"/>
          <w:color w:val="auto"/>
        </w:rPr>
      </w:pPr>
    </w:p>
    <w:p>
      <w:pPr>
        <w:ind w:firstLine="8"/>
        <w:spacing w:after="0" w:line="282" w:lineRule="auto"/>
        <w:tabs>
          <w:tab w:leader="none" w:pos="204"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firstLine="8"/>
        <w:spacing w:after="0" w:line="266" w:lineRule="auto"/>
        <w:tabs>
          <w:tab w:leader="none" w:pos="209"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 - 15(f) and 15d - 15(f)) for the registrant and have:</w:t>
      </w:r>
    </w:p>
    <w:p>
      <w:pPr>
        <w:spacing w:after="0" w:line="175" w:lineRule="exact"/>
        <w:rPr>
          <w:rFonts w:ascii="Times New Roman" w:cs="Times New Roman" w:eastAsia="Times New Roman" w:hAnsi="Times New Roman"/>
          <w:sz w:val="18"/>
          <w:szCs w:val="18"/>
          <w:color w:val="auto"/>
        </w:rPr>
      </w:pPr>
    </w:p>
    <w:p>
      <w:pPr>
        <w:jc w:val="both"/>
        <w:ind w:firstLine="656"/>
        <w:spacing w:after="0" w:line="266" w:lineRule="auto"/>
        <w:tabs>
          <w:tab w:leader="none" w:pos="842"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jc w:val="both"/>
        <w:ind w:firstLine="656"/>
        <w:spacing w:after="0" w:line="266" w:lineRule="auto"/>
        <w:tabs>
          <w:tab w:leader="none" w:pos="871"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right="20" w:firstLine="656"/>
        <w:spacing w:after="0" w:line="282" w:lineRule="auto"/>
        <w:tabs>
          <w:tab w:leader="none" w:pos="869"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firstLine="656"/>
        <w:spacing w:after="0" w:line="266" w:lineRule="auto"/>
        <w:tabs>
          <w:tab w:leader="none" w:pos="851"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firstLine="8"/>
        <w:spacing w:after="0" w:line="282" w:lineRule="auto"/>
        <w:tabs>
          <w:tab w:leader="none" w:pos="192"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right="20" w:firstLine="656"/>
        <w:spacing w:after="0" w:line="282" w:lineRule="auto"/>
        <w:tabs>
          <w:tab w:leader="none" w:pos="837"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firstLine="656"/>
        <w:spacing w:after="0" w:line="282" w:lineRule="auto"/>
        <w:tabs>
          <w:tab w:leader="none" w:pos="845"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36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Date: November 7, 2025</w:t>
      </w:r>
    </w:p>
    <w:p>
      <w:pPr>
        <w:spacing w:after="0" w:line="27"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/s/ Jefferson L. Harralson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3845560</wp:posOffset>
            </wp:positionH>
            <wp:positionV relativeFrom="paragraph">
              <wp:posOffset>14605</wp:posOffset>
            </wp:positionV>
            <wp:extent cx="3265805"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00">
                      <a:extLst>
                        <a:ext uri="{28A0092B-C50C-407E-A947-70E740481C1C}"/>
                      </a:extLst>
                    </a:blip>
                    <a:srcRect/>
                    <a:stretch>
                      <a:fillRect/>
                    </a:stretch>
                  </pic:blipFill>
                  <pic:spPr bwMode="auto">
                    <a:xfrm>
                      <a:off x="0" y="0"/>
                      <a:ext cx="3265805" cy="8890"/>
                    </a:xfrm>
                    <a:prstGeom prst="rect">
                      <a:avLst/>
                    </a:prstGeom>
                    <a:noFill/>
                  </pic:spPr>
                </pic:pic>
              </a:graphicData>
            </a:graphic>
          </wp:anchor>
        </w:drawing>
      </w:r>
    </w:p>
    <w:p>
      <w:pPr>
        <w:spacing w:after="0" w:line="11"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Jefferson L. Harralson</w:t>
      </w:r>
    </w:p>
    <w:p>
      <w:pPr>
        <w:spacing w:after="0" w:line="27"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Executive Vice President and Chief Financial Officer of the Registrant</w:t>
      </w:r>
    </w:p>
    <w:p>
      <w:pPr>
        <w:sectPr>
          <w:pgSz w:w="11900" w:h="16838" w:orient="portrait"/>
          <w:cols w:equalWidth="0" w:num="1">
            <w:col w:w="11240"/>
          </w:cols>
          <w:pgMar w:left="320" w:top="887" w:right="339" w:bottom="1440" w:gutter="0" w:footer="0" w:header="0"/>
        </w:sectPr>
      </w:pPr>
    </w:p>
    <w:bookmarkStart w:id="55" w:name="page56"/>
    <w:bookmarkEnd w:id="55"/>
    <w:p>
      <w:pPr>
        <w:jc w:val="right"/>
        <w:spacing w:after="0"/>
        <w:rPr>
          <w:sz w:val="20"/>
          <w:szCs w:val="20"/>
          <w:color w:val="auto"/>
        </w:rPr>
      </w:pPr>
      <w:r>
        <w:rPr>
          <w:rFonts w:ascii="Times New Roman" w:cs="Times New Roman" w:eastAsia="Times New Roman" w:hAnsi="Times New Roman"/>
          <w:sz w:val="18"/>
          <w:szCs w:val="18"/>
          <w:b w:val="1"/>
          <w:bCs w:val="1"/>
          <w:color w:val="auto"/>
        </w:rPr>
        <w:t>Exhibit 32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CERTIFICATIONS PURSUANT TO</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United Community Banks, Inc. (“United”) on Form 10-Q for the period ending September 30, 2025 filed with the Securities and Exchange Commission on the date hereof (the “Report”), each of the undersigned officers of United certifies, pursuant to 18 U.S.C. Section 1350, as adopted pursuant to Section 906 of the Sarbanes-Oxley Act of 2002, that:</w:t>
      </w:r>
    </w:p>
    <w:p>
      <w:pPr>
        <w:spacing w:after="0" w:line="176" w:lineRule="exact"/>
        <w:rPr>
          <w:sz w:val="20"/>
          <w:szCs w:val="20"/>
          <w:color w:val="auto"/>
        </w:rPr>
      </w:pPr>
    </w:p>
    <w:p>
      <w:pPr>
        <w:ind w:left="320" w:hanging="312"/>
        <w:spacing w:after="0"/>
        <w:tabs>
          <w:tab w:leader="none" w:pos="3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7"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United.</w:t>
      </w:r>
    </w:p>
    <w:p>
      <w:pPr>
        <w:spacing w:after="0" w:line="126" w:lineRule="exact"/>
        <w:rPr>
          <w:sz w:val="20"/>
          <w:szCs w:val="20"/>
          <w:color w:val="auto"/>
        </w:rPr>
      </w:pPr>
    </w:p>
    <w:tbl>
      <w:tblPr>
        <w:tblLayout w:type="fixed"/>
        <w:tblInd w:w="5320" w:type="dxa"/>
        <w:tblCellMar>
          <w:top w:w="0" w:type="dxa"/>
          <w:left w:w="0" w:type="dxa"/>
          <w:bottom w:w="0" w:type="dxa"/>
          <w:right w:w="0" w:type="dxa"/>
        </w:tblCellMar>
      </w:tblPr>
      <w:tr>
        <w:trPr>
          <w:trHeight w:val="234"/>
        </w:trPr>
        <w:tc>
          <w:tcPr>
            <w:tcW w:w="780" w:type="dxa"/>
            <w:vAlign w:val="bottom"/>
          </w:tcPr>
          <w:p>
            <w:pPr>
              <w:spacing w:after="0"/>
              <w:rPr>
                <w:sz w:val="20"/>
                <w:szCs w:val="20"/>
                <w:color w:val="auto"/>
              </w:rPr>
            </w:pPr>
          </w:p>
        </w:tc>
        <w:tc>
          <w:tcPr>
            <w:tcW w:w="51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H. Lynn Harton</w:t>
            </w:r>
          </w:p>
        </w:tc>
      </w:tr>
      <w:tr>
        <w:trPr>
          <w:trHeight w:val="218"/>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5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H. Lynn Harton</w:t>
            </w:r>
          </w:p>
        </w:tc>
      </w:tr>
      <w:tr>
        <w:trPr>
          <w:trHeight w:val="229"/>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5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President and Chief Executive Officer</w:t>
            </w:r>
          </w:p>
        </w:tc>
      </w:tr>
      <w:tr>
        <w:trPr>
          <w:trHeight w:val="234"/>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5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November 7, 2025</w:t>
            </w:r>
          </w:p>
        </w:tc>
      </w:tr>
      <w:tr>
        <w:trPr>
          <w:trHeight w:val="459"/>
        </w:trPr>
        <w:tc>
          <w:tcPr>
            <w:tcW w:w="780" w:type="dxa"/>
            <w:vAlign w:val="bottom"/>
          </w:tcPr>
          <w:p>
            <w:pPr>
              <w:spacing w:after="0"/>
              <w:rPr>
                <w:sz w:val="24"/>
                <w:szCs w:val="24"/>
                <w:color w:val="auto"/>
              </w:rPr>
            </w:pPr>
          </w:p>
        </w:tc>
        <w:tc>
          <w:tcPr>
            <w:tcW w:w="51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Jefferson L. Harralson</w:t>
            </w:r>
          </w:p>
        </w:tc>
      </w:tr>
      <w:tr>
        <w:trPr>
          <w:trHeight w:val="218"/>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5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Jefferson L. Harralson</w:t>
            </w:r>
          </w:p>
        </w:tc>
      </w:tr>
      <w:tr>
        <w:trPr>
          <w:trHeight w:val="229"/>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5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Executive Vice President and Chief Financial Officer</w:t>
            </w:r>
          </w:p>
        </w:tc>
      </w:tr>
      <w:tr>
        <w:trPr>
          <w:trHeight w:val="234"/>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5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November 7, 2025</w:t>
            </w:r>
          </w:p>
        </w:tc>
      </w:tr>
    </w:tbl>
    <w:p>
      <w:pPr>
        <w:spacing w:after="0" w:line="1" w:lineRule="exact"/>
        <w:rPr>
          <w:sz w:val="20"/>
          <w:szCs w:val="20"/>
          <w:color w:val="auto"/>
        </w:rPr>
      </w:pPr>
    </w:p>
    <w:sectPr>
      <w:pgSz w:w="11900" w:h="16838" w:orient="portrait"/>
      <w:cols w:equalWidth="0" w:num="1">
        <w:col w:w="11240"/>
      </w:cols>
      <w:pgMar w:left="320" w:top="88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EF438D"/>
    <w:multiLevelType w:val="hybridMultilevel"/>
    <w:lvl w:ilvl="0">
      <w:lvlJc w:val="left"/>
      <w:lvlText w:val="☒"/>
      <w:numFmt w:val="bullet"/>
      <w:start w:val="1"/>
    </w:lvl>
  </w:abstractNum>
  <w:abstractNum w:abstractNumId="1">
    <w:nsid w:val="140E0F76"/>
    <w:multiLevelType w:val="hybridMultilevel"/>
    <w:lvl w:ilvl="0">
      <w:lvlJc w:val="left"/>
      <w:lvlText w:val="☐"/>
      <w:numFmt w:val="bullet"/>
      <w:start w:val="1"/>
    </w:lvl>
  </w:abstractNum>
  <w:abstractNum w:abstractNumId="2">
    <w:nsid w:val="3352255A"/>
    <w:multiLevelType w:val="hybridMultilevel"/>
    <w:lvl w:ilvl="0">
      <w:lvlJc w:val="left"/>
      <w:lvlText w:val="•"/>
      <w:numFmt w:val="bullet"/>
      <w:start w:val="1"/>
    </w:lvl>
  </w:abstractNum>
  <w:abstractNum w:abstractNumId="3">
    <w:nsid w:val="109CF92E"/>
    <w:multiLevelType w:val="hybridMultilevel"/>
    <w:lvl w:ilvl="0">
      <w:lvlJc w:val="left"/>
      <w:lvlText w:val="(%1)"/>
      <w:numFmt w:val="decimal"/>
      <w:start w:val="1"/>
    </w:lvl>
  </w:abstractNum>
  <w:abstractNum w:abstractNumId="4">
    <w:nsid w:val="DED7263"/>
    <w:multiLevelType w:val="hybridMultilevel"/>
    <w:lvl w:ilvl="0">
      <w:lvlJc w:val="left"/>
      <w:lvlText w:val="5"/>
      <w:numFmt w:val="bullet"/>
      <w:start w:val="1"/>
    </w:lvl>
  </w:abstractNum>
  <w:abstractNum w:abstractNumId="5">
    <w:nsid w:val="7FDCC233"/>
    <w:multiLevelType w:val="hybridMultilevel"/>
    <w:lvl w:ilvl="0">
      <w:lvlJc w:val="left"/>
      <w:lvlText w:val="(%1)"/>
      <w:numFmt w:val="decimal"/>
      <w:start w:val="1"/>
    </w:lvl>
  </w:abstractNum>
  <w:abstractNum w:abstractNumId="6">
    <w:nsid w:val="1BEFD79F"/>
    <w:multiLevelType w:val="hybridMultilevel"/>
    <w:lvl w:ilvl="0">
      <w:lvlJc w:val="left"/>
      <w:lvlText w:val="(%1)"/>
      <w:numFmt w:val="decimal"/>
      <w:start w:val="1"/>
    </w:lvl>
  </w:abstractNum>
  <w:abstractNum w:abstractNumId="7">
    <w:nsid w:val="41A7C4C9"/>
    <w:multiLevelType w:val="hybridMultilevel"/>
    <w:lvl w:ilvl="0">
      <w:lvlJc w:val="left"/>
      <w:lvlText w:val="(%1)"/>
      <w:numFmt w:val="decimal"/>
      <w:start w:val="1"/>
    </w:lvl>
  </w:abstractNum>
  <w:abstractNum w:abstractNumId="8">
    <w:nsid w:val="6B68079A"/>
    <w:multiLevelType w:val="hybridMultilevel"/>
    <w:lvl w:ilvl="0">
      <w:lvlJc w:val="left"/>
      <w:lvlText w:val="(%1)"/>
      <w:numFmt w:val="decimal"/>
      <w:start w:val="1"/>
    </w:lvl>
  </w:abstractNum>
  <w:abstractNum w:abstractNumId="9">
    <w:nsid w:val="4E6AFB66"/>
    <w:multiLevelType w:val="hybridMultilevel"/>
    <w:lvl w:ilvl="0">
      <w:lvlJc w:val="left"/>
      <w:lvlText w:val="(%1)"/>
      <w:numFmt w:val="decimal"/>
      <w:start w:val="1"/>
    </w:lvl>
  </w:abstractNum>
  <w:abstractNum w:abstractNumId="10">
    <w:nsid w:val="25E45D32"/>
    <w:multiLevelType w:val="hybridMultilevel"/>
    <w:lvl w:ilvl="0">
      <w:lvlJc w:val="left"/>
      <w:lvlText w:val="(%1)"/>
      <w:numFmt w:val="decimal"/>
      <w:start w:val="1"/>
    </w:lvl>
  </w:abstractNum>
  <w:abstractNum w:abstractNumId="11">
    <w:nsid w:val="519B500D"/>
    <w:multiLevelType w:val="hybridMultilevel"/>
    <w:lvl w:ilvl="0">
      <w:lvlJc w:val="left"/>
      <w:lvlText w:val="(%1)"/>
      <w:numFmt w:val="decimal"/>
      <w:start w:val="1"/>
    </w:lvl>
  </w:abstractNum>
  <w:abstractNum w:abstractNumId="12">
    <w:nsid w:val="431BD7B7"/>
    <w:multiLevelType w:val="hybridMultilevel"/>
    <w:lvl w:ilvl="0">
      <w:lvlJc w:val="left"/>
      <w:lvlText w:val="(%1)"/>
      <w:numFmt w:val="decimal"/>
      <w:start w:val="1"/>
    </w:lvl>
  </w:abstractNum>
  <w:abstractNum w:abstractNumId="13">
    <w:nsid w:val="3F2DBA31"/>
    <w:multiLevelType w:val="hybridMultilevel"/>
    <w:lvl w:ilvl="0">
      <w:lvlJc w:val="left"/>
      <w:lvlText w:val="%1)"/>
      <w:numFmt w:val="decimal"/>
      <w:start w:val="1"/>
    </w:lvl>
  </w:abstractNum>
  <w:abstractNum w:abstractNumId="14">
    <w:nsid w:val="7C83E458"/>
    <w:multiLevelType w:val="hybridMultilevel"/>
    <w:lvl w:ilvl="0">
      <w:lvlJc w:val="left"/>
      <w:lvlText w:val="(%1)"/>
      <w:numFmt w:val="decimal"/>
      <w:start w:val="1"/>
    </w:lvl>
  </w:abstractNum>
  <w:abstractNum w:abstractNumId="15">
    <w:nsid w:val="257130A3"/>
    <w:multiLevelType w:val="hybridMultilevel"/>
    <w:lvl w:ilvl="0">
      <w:lvlJc w:val="left"/>
      <w:lvlText w:val="(%1)"/>
      <w:numFmt w:val="decimal"/>
      <w:start w:val="1"/>
    </w:lvl>
  </w:abstractNum>
  <w:abstractNum w:abstractNumId="16">
    <w:nsid w:val="62BBD95A"/>
    <w:multiLevelType w:val="hybridMultilevel"/>
    <w:lvl w:ilvl="0">
      <w:lvlJc w:val="left"/>
      <w:lvlText w:val="(%1)"/>
      <w:numFmt w:val="lowerLetter"/>
      <w:start w:val="1"/>
    </w:lvl>
    <w:lvl w:ilvl="1">
      <w:lvlJc w:val="left"/>
      <w:lvlText w:val="(%2)"/>
      <w:numFmt w:val="lowerLetter"/>
      <w:start w:val="2"/>
    </w:lvl>
  </w:abstractNum>
  <w:abstractNum w:abstractNumId="17">
    <w:nsid w:val="436C6125"/>
    <w:multiLevelType w:val="hybridMultilevel"/>
    <w:lvl w:ilvl="0">
      <w:lvlJc w:val="left"/>
      <w:lvlText w:val="(%1)"/>
      <w:numFmt w:val="lowerLetter"/>
      <w:start w:val="4"/>
    </w:lvl>
  </w:abstractNum>
  <w:abstractNum w:abstractNumId="18">
    <w:nsid w:val="628C895D"/>
    <w:multiLevelType w:val="hybridMultilevel"/>
    <w:lvl w:ilvl="0">
      <w:lvlJc w:val="left"/>
      <w:lvlText w:val="%1"/>
      <w:numFmt w:val="decimal"/>
      <w:start w:val="101"/>
    </w:lvl>
    <w:lvl w:ilvl="1">
      <w:lvlJc w:val="left"/>
      <w:lvlText w:val="(%2)"/>
      <w:numFmt w:val="lowerRoman"/>
      <w:start w:val="3"/>
    </w:lvl>
  </w:abstractNum>
  <w:abstractNum w:abstractNumId="19">
    <w:nsid w:val="333AB105"/>
    <w:multiLevelType w:val="hybridMultilevel"/>
    <w:lvl w:ilvl="0">
      <w:lvlJc w:val="left"/>
      <w:lvlText w:val="%1"/>
      <w:numFmt w:val="decimal"/>
      <w:start w:val="104"/>
    </w:lvl>
  </w:abstractNum>
  <w:abstractNum w:abstractNumId="20">
    <w:nsid w:val="721DA317"/>
    <w:multiLevelType w:val="hybridMultilevel"/>
    <w:lvl w:ilvl="0">
      <w:lvlJc w:val="left"/>
      <w:lvlText w:val="%1."/>
      <w:numFmt w:val="decimal"/>
      <w:start w:val="1"/>
    </w:lvl>
    <w:lvl w:ilvl="1">
      <w:lvlJc w:val="left"/>
      <w:lvlText w:val="%2)"/>
      <w:numFmt w:val="lowerLetter"/>
      <w:start w:val="1"/>
    </w:lvl>
  </w:abstractNum>
  <w:abstractNum w:abstractNumId="21">
    <w:nsid w:val="2443A858"/>
    <w:multiLevelType w:val="hybridMultilevel"/>
    <w:lvl w:ilvl="0">
      <w:lvlJc w:val="left"/>
      <w:lvlText w:val="%1."/>
      <w:numFmt w:val="decimal"/>
      <w:start w:val="1"/>
    </w:lvl>
    <w:lvl w:ilvl="1">
      <w:lvlJc w:val="left"/>
      <w:lvlText w:val="%2)"/>
      <w:numFmt w:val="lowerLetter"/>
      <w:start w:val="1"/>
    </w:lvl>
  </w:abstractNum>
  <w:abstractNum w:abstractNumId="22">
    <w:nsid w:val="2D1D5AE9"/>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5" Type="http://schemas.openxmlformats.org/officeDocument/2006/relationships/image" Target="media/image86.png"/><Relationship Id="rId96" Type="http://schemas.openxmlformats.org/officeDocument/2006/relationships/image" Target="media/image87.png"/><Relationship Id="rId97" Type="http://schemas.openxmlformats.org/officeDocument/2006/relationships/image" Target="media/image88.png"/><Relationship Id="rId98" Type="http://schemas.openxmlformats.org/officeDocument/2006/relationships/image" Target="media/image89.png"/><Relationship Id="rId99" Type="http://schemas.openxmlformats.org/officeDocument/2006/relationships/image" Target="media/image90.png"/><Relationship Id="rId100" Type="http://schemas.openxmlformats.org/officeDocument/2006/relationships/image" Target="media/image91.png"/><Relationship Id="rId93" Type="http://schemas.openxmlformats.org/officeDocument/2006/relationships/hyperlink" Target="https://www.sec.gov/Archives/edgar/data/857855/000085785521000109/ucbi93021ex31restatedartic.htm" TargetMode="External"/><Relationship Id="rId94" Type="http://schemas.openxmlformats.org/officeDocument/2006/relationships/hyperlink" Target="https://www.sec.gov/Archives/edgar/data/857855/000157104915003882/t82199_ex3-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2025-11-07T12:54:42Z</dcterms:created>
  <dcterms:modified xsi:type="dcterms:W3CDTF">2025-11-07T12:54:42Z</dcterms:modified>
</cp:coreProperties>
</file>