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3120" w:hanging="1248"/>
        <w:spacing w:after="0"/>
        <w:tabs>
          <w:tab w:leader="none" w:pos="31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17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6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OR</w:t>
      </w:r>
    </w:p>
    <w:p>
      <w:pPr>
        <w:spacing w:after="0" w:line="198" w:lineRule="exact"/>
        <w:rPr>
          <w:sz w:val="24"/>
          <w:szCs w:val="24"/>
          <w:color w:val="auto"/>
        </w:rPr>
      </w:pPr>
    </w:p>
    <w:p>
      <w:pPr>
        <w:ind w:left="3120" w:hanging="1248"/>
        <w:spacing w:after="0"/>
        <w:tabs>
          <w:tab w:leader="none" w:pos="31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3"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9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001-35095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1171575</wp:posOffset>
            </wp:positionH>
            <wp:positionV relativeFrom="paragraph">
              <wp:posOffset>44450</wp:posOffset>
            </wp:positionV>
            <wp:extent cx="4922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73"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7060" w:type="dxa"/>
            <w:vAlign w:val="bottom"/>
            <w:gridSpan w:val="3"/>
          </w:tcPr>
          <w:p>
            <w:pPr>
              <w:jc w:val="right"/>
              <w:ind w:right="1650"/>
              <w:spacing w:after="0"/>
              <w:rPr>
                <w:sz w:val="20"/>
                <w:szCs w:val="20"/>
                <w:color w:val="auto"/>
              </w:rPr>
            </w:pPr>
            <w:r>
              <w:rPr>
                <w:rFonts w:ascii="Arial" w:cs="Arial" w:eastAsia="Arial" w:hAnsi="Arial"/>
                <w:sz w:val="18"/>
                <w:szCs w:val="18"/>
                <w:b w:val="1"/>
                <w:bCs w:val="1"/>
                <w:color w:val="auto"/>
              </w:rPr>
              <w:t>58-1807304</w:t>
            </w:r>
          </w:p>
        </w:tc>
      </w:tr>
      <w:tr>
        <w:trPr>
          <w:trHeight w:val="27"/>
        </w:trPr>
        <w:tc>
          <w:tcPr>
            <w:tcW w:w="3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(State of Incorporation)</w:t>
            </w: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05"/>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125 Highway 515 East</w:t>
            </w: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0"/>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7060" w:type="dxa"/>
            <w:vAlign w:val="bottom"/>
            <w:gridSpan w:val="3"/>
          </w:tcPr>
          <w:p>
            <w:pPr>
              <w:jc w:val="right"/>
              <w:ind w:right="1850"/>
              <w:spacing w:after="0"/>
              <w:rPr>
                <w:sz w:val="20"/>
                <w:szCs w:val="20"/>
                <w:color w:val="auto"/>
              </w:rPr>
            </w:pPr>
            <w:r>
              <w:rPr>
                <w:rFonts w:ascii="Arial" w:cs="Arial" w:eastAsia="Arial" w:hAnsi="Arial"/>
                <w:sz w:val="18"/>
                <w:szCs w:val="18"/>
                <w:b w:val="1"/>
                <w:bCs w:val="1"/>
                <w:color w:val="auto"/>
              </w:rPr>
              <w:t>30512</w:t>
            </w:r>
          </w:p>
        </w:tc>
      </w:tr>
      <w:tr>
        <w:trPr>
          <w:trHeight w:val="27"/>
        </w:trPr>
        <w:tc>
          <w:tcPr>
            <w:tcW w:w="3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6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(Zip Code)</w:t>
            </w:r>
          </w:p>
        </w:tc>
      </w:tr>
      <w:tr>
        <w:trPr>
          <w:trHeight w:val="405"/>
        </w:trPr>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jc w:val="right"/>
              <w:ind w:right="710"/>
              <w:spacing w:after="0"/>
              <w:rPr>
                <w:sz w:val="20"/>
                <w:szCs w:val="20"/>
                <w:color w:val="auto"/>
              </w:rPr>
            </w:pPr>
            <w:r>
              <w:rPr>
                <w:rFonts w:ascii="Arial" w:cs="Arial" w:eastAsia="Arial" w:hAnsi="Arial"/>
                <w:sz w:val="18"/>
                <w:szCs w:val="18"/>
                <w:b w:val="1"/>
                <w:bCs w:val="1"/>
                <w:color w:val="auto"/>
              </w:rPr>
              <w:t>(706) 781-2265</w:t>
            </w:r>
          </w:p>
        </w:tc>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2"/>
          </w:tcPr>
          <w:p>
            <w:pPr>
              <w:spacing w:after="0"/>
              <w:rPr>
                <w:sz w:val="2"/>
                <w:szCs w:val="2"/>
                <w:color w:val="auto"/>
              </w:rPr>
            </w:pPr>
          </w:p>
        </w:tc>
        <w:tc>
          <w:tcPr>
            <w:tcW w:w="3760" w:type="dxa"/>
            <w:vAlign w:val="bottom"/>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60" w:type="dxa"/>
            <w:vAlign w:val="bottom"/>
            <w:gridSpan w:val="3"/>
          </w:tcPr>
          <w:p>
            <w:pPr>
              <w:jc w:val="center"/>
              <w:ind w:right="4250"/>
              <w:spacing w:after="0"/>
              <w:rPr>
                <w:sz w:val="20"/>
                <w:szCs w:val="20"/>
                <w:color w:val="auto"/>
              </w:rPr>
            </w:pPr>
            <w:r>
              <w:rPr>
                <w:rFonts w:ascii="Arial" w:cs="Arial" w:eastAsia="Arial" w:hAnsi="Arial"/>
                <w:sz w:val="18"/>
                <w:szCs w:val="18"/>
                <w:b w:val="1"/>
                <w:bCs w:val="1"/>
                <w:color w:val="auto"/>
                <w:w w:val="91"/>
              </w:rPr>
              <w:t>(Telephone Number)</w:t>
            </w:r>
          </w:p>
        </w:tc>
      </w:tr>
    </w:tbl>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1148" w:right="239" w:bottom="1440" w:gutter="0" w:footer="0" w:header="0"/>
        </w:sectPr>
      </w:pPr>
    </w:p>
    <w:p>
      <w:pPr>
        <w:spacing w:after="0" w:line="9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9200" w:space="720"/>
            <w:col w:w="1500"/>
          </w:cols>
          <w:pgMar w:left="240" w:top="114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8340" w:space="720"/>
            <w:col w:w="2360"/>
          </w:cols>
          <w:pgMar w:left="240" w:top="1148" w:right="23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1148" w:right="239" w:bottom="1440" w:gutter="0" w:footer="0" w:header="0"/>
          <w:type w:val="continuous"/>
        </w:sectPr>
      </w:pPr>
    </w:p>
    <w:p>
      <w:pPr>
        <w:spacing w:after="0" w:line="291"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22" w:lineRule="exact"/>
        <w:rPr>
          <w:sz w:val="24"/>
          <w:szCs w:val="24"/>
          <w:color w:val="auto"/>
        </w:rPr>
      </w:pPr>
    </w:p>
    <w:p>
      <w:pPr>
        <w:ind w:left="5180"/>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79,207,368 shares outstanding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869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6869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00" w:type="dxa"/>
            <w:vAlign w:val="bottom"/>
            <w:gridSpan w:val="3"/>
            <w:shd w:val="clear" w:color="auto" w:fill="CCEEFF"/>
          </w:tcPr>
          <w:p>
            <w:pPr>
              <w:ind w:left="960"/>
              <w:spacing w:after="0"/>
              <w:rPr>
                <w:sz w:val="20"/>
                <w:szCs w:val="20"/>
                <w:color w:val="auto"/>
              </w:rPr>
            </w:pPr>
            <w:r>
              <w:rPr>
                <w:rFonts w:ascii="Arial" w:cs="Arial" w:eastAsia="Arial" w:hAnsi="Arial"/>
                <w:sz w:val="18"/>
                <w:szCs w:val="18"/>
                <w:b w:val="1"/>
                <w:bCs w:val="1"/>
                <w:color w:val="auto"/>
              </w:rPr>
              <w:t>Item 1.</w:t>
            </w:r>
          </w:p>
        </w:tc>
        <w:tc>
          <w:tcPr>
            <w:tcW w:w="922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Consolidated Statements of Income (unaudited) for the Three and Nine Months Ended September 30, 2018 and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760" w:type="dxa"/>
            <w:vAlign w:val="bottom"/>
            <w:tcBorders>
              <w:bottom w:val="single" w:sz="8" w:color="0000EE"/>
            </w:tcBorders>
            <w:gridSpan w:val="9"/>
            <w:shd w:val="clear" w:color="auto" w:fill="CCEEFF"/>
          </w:tcPr>
          <w:p>
            <w:pPr>
              <w:spacing w:after="0" w:line="202" w:lineRule="exact"/>
              <w:rPr>
                <w:rFonts w:ascii="Arial" w:cs="Arial" w:eastAsia="Arial" w:hAnsi="Arial"/>
                <w:sz w:val="18"/>
                <w:szCs w:val="18"/>
                <w:b w:val="1"/>
                <w:bCs w:val="1"/>
                <w:color w:val="0000EE"/>
                <w:w w:val="89"/>
              </w:rPr>
            </w:pPr>
            <w:hyperlink w:anchor="page5">
              <w:r>
                <w:rPr>
                  <w:rFonts w:ascii="Arial" w:cs="Arial" w:eastAsia="Arial" w:hAnsi="Arial"/>
                  <w:sz w:val="18"/>
                  <w:szCs w:val="18"/>
                  <w:b w:val="1"/>
                  <w:bCs w:val="1"/>
                  <w:color w:val="0000EE"/>
                  <w:w w:val="89"/>
                </w:rPr>
                <w:t>Consolidated Statements of Comprehensive Income (unaudited) for the Three and Nine Months Ended September</w:t>
              </w:r>
            </w:hyperlink>
          </w:p>
        </w:tc>
        <w:tc>
          <w:tcPr>
            <w:tcW w:w="46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30, 2018 and 2017</w:t>
              </w:r>
            </w:hyperlink>
          </w:p>
        </w:tc>
        <w:tc>
          <w:tcPr>
            <w:tcW w:w="200" w:type="dxa"/>
            <w:vAlign w:val="bottom"/>
            <w:gridSpan w:val="3"/>
            <w:shd w:val="clear" w:color="auto" w:fill="CCEEFF"/>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Sheets (unaudited) at September 30, 2018 and December 31,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Consolidated Statements of Changes in Shareholders’ Equity (unaudited) for the Nine Months Ended September 30,</w:t>
              </w:r>
            </w:hyperlink>
          </w:p>
        </w:tc>
        <w:tc>
          <w:tcPr>
            <w:tcW w:w="30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2018 and 2017</w:t>
              </w:r>
            </w:hyperlink>
          </w:p>
        </w:tc>
        <w:tc>
          <w:tcPr>
            <w:tcW w:w="200" w:type="dxa"/>
            <w:vAlign w:val="bottom"/>
            <w:gridSpan w:val="3"/>
            <w:shd w:val="clear" w:color="auto" w:fill="CCEEFF"/>
          </w:tcPr>
          <w:p>
            <w:pPr>
              <w:jc w:val="right"/>
              <w:ind w:righ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w w:val="98"/>
              </w:rPr>
            </w:pPr>
            <w:hyperlink w:anchor="page8">
              <w:r>
                <w:rPr>
                  <w:rFonts w:ascii="Arial" w:cs="Arial" w:eastAsia="Arial" w:hAnsi="Arial"/>
                  <w:sz w:val="18"/>
                  <w:szCs w:val="18"/>
                  <w:b w:val="1"/>
                  <w:bCs w:val="1"/>
                  <w:color w:val="0000EE"/>
                  <w:w w:val="98"/>
                </w:rPr>
                <w:t>Consolidated Statements of Cash Flows (unaudited) for the Nine Months Ended September 30, 2018 and 2017</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Item 2.</w:t>
              </w:r>
            </w:hyperlink>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48</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3.</w:t>
              </w:r>
            </w:hyperlink>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270"/>
        </w:trPr>
        <w:tc>
          <w:tcPr>
            <w:tcW w:w="96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10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000" w:type="dxa"/>
            <w:vAlign w:val="bottom"/>
            <w:gridSpan w:val="3"/>
            <w:shd w:val="clear" w:color="auto" w:fill="CCEEFF"/>
          </w:tcPr>
          <w:p>
            <w:pPr>
              <w:ind w:left="960"/>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Item 4.</w:t>
              </w:r>
            </w:hyperlink>
          </w:p>
        </w:tc>
        <w:tc>
          <w:tcPr>
            <w:tcW w:w="9220" w:type="dxa"/>
            <w:vAlign w:val="bottom"/>
            <w:gridSpan w:val="12"/>
            <w:shd w:val="clear" w:color="auto" w:fill="CCEEFF"/>
          </w:tcPr>
          <w:p>
            <w:pPr>
              <w:spacing w:after="0" w:line="20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72</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79">
        <w:r>
          <w:rPr>
            <w:rFonts w:ascii="Arial" w:cs="Arial" w:eastAsia="Arial" w:hAnsi="Arial"/>
            <w:sz w:val="18"/>
            <w:szCs w:val="18"/>
            <w:b w:val="1"/>
            <w:bCs w:val="1"/>
            <w:u w:val="single" w:color="auto"/>
            <w:color w:val="0000EE"/>
          </w:rPr>
          <w:t>PART II - Other Information</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4"/>
            <w:shd w:val="clear" w:color="auto" w:fill="CCEEFF"/>
          </w:tcPr>
          <w:p>
            <w:pPr>
              <w:ind w:left="960"/>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1.</w:t>
              </w:r>
            </w:hyperlink>
          </w:p>
        </w:tc>
        <w:tc>
          <w:tcPr>
            <w:tcW w:w="9220" w:type="dxa"/>
            <w:vAlign w:val="bottom"/>
            <w:gridSpan w:val="8"/>
            <w:shd w:val="clear" w:color="auto" w:fill="CCEEFF"/>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Legal Proceedings.</w:t>
              </w:r>
            </w:hyperlink>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1A.</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Risk Factors.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2.</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Unregistered Sales of Equity Securities and Use of Proceeds.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2120" w:type="dxa"/>
            <w:vAlign w:val="bottom"/>
            <w:tcBorders>
              <w:top w:val="single" w:sz="8" w:color="0000EE"/>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3.</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Defaults Upon Senior Securities.</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4.</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Mine Safety Disclosures.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46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2000" w:type="dxa"/>
            <w:vAlign w:val="bottom"/>
            <w:gridSpan w:val="4"/>
          </w:tcPr>
          <w:p>
            <w:pPr>
              <w:ind w:left="960"/>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Item 5.</w:t>
              </w:r>
            </w:hyperlink>
          </w:p>
        </w:tc>
        <w:tc>
          <w:tcPr>
            <w:tcW w:w="9220" w:type="dxa"/>
            <w:vAlign w:val="bottom"/>
            <w:gridSpan w:val="8"/>
          </w:tcPr>
          <w:p>
            <w:pPr>
              <w:spacing w:after="0" w:line="202" w:lineRule="exact"/>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Other Information.</w:t>
              </w:r>
            </w:hyperlink>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73</w:t>
              </w:r>
            </w:hyperlink>
          </w:p>
        </w:tc>
      </w:tr>
      <w:tr>
        <w:trPr>
          <w:trHeight w:val="48"/>
        </w:trPr>
        <w:tc>
          <w:tcPr>
            <w:tcW w:w="96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120" w:type="dxa"/>
            <w:vAlign w:val="bottom"/>
          </w:tcPr>
          <w:p>
            <w:pPr>
              <w:spacing w:after="0"/>
              <w:rPr>
                <w:sz w:val="4"/>
                <w:szCs w:val="4"/>
                <w:color w:val="auto"/>
              </w:rPr>
            </w:pPr>
          </w:p>
        </w:tc>
        <w:tc>
          <w:tcPr>
            <w:tcW w:w="46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2000" w:type="dxa"/>
            <w:vAlign w:val="bottom"/>
            <w:gridSpan w:val="4"/>
            <w:shd w:val="clear" w:color="auto" w:fill="CCEEFF"/>
          </w:tcPr>
          <w:p>
            <w:pPr>
              <w:ind w:left="960"/>
              <w:spacing w:after="0" w:line="202"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Item 6.</w:t>
              </w:r>
            </w:hyperlink>
          </w:p>
        </w:tc>
        <w:tc>
          <w:tcPr>
            <w:tcW w:w="9220" w:type="dxa"/>
            <w:vAlign w:val="bottom"/>
            <w:gridSpan w:val="8"/>
            <w:shd w:val="clear" w:color="auto" w:fill="CCEEFF"/>
          </w:tcPr>
          <w:p>
            <w:pPr>
              <w:spacing w:after="0" w:line="202" w:lineRule="exact"/>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Exhibits.</w:t>
              </w:r>
            </w:hyperlink>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74</w:t>
              </w:r>
            </w:hyperlink>
          </w:p>
        </w:tc>
      </w:tr>
      <w:tr>
        <w:trPr>
          <w:trHeight w:val="675"/>
        </w:trPr>
        <w:tc>
          <w:tcPr>
            <w:tcW w:w="960" w:type="dxa"/>
            <w:vAlign w:val="bottom"/>
            <w:tcBorders>
              <w:top w:val="single" w:sz="8" w:color="CCEEFF"/>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920" w:type="dxa"/>
            <w:vAlign w:val="bottom"/>
            <w:tcBorders>
              <w:top w:val="single" w:sz="8" w:color="CCEEFF"/>
            </w:tcBorders>
            <w:gridSpan w:val="6"/>
          </w:tcPr>
          <w:p>
            <w:pPr>
              <w:jc w:val="right"/>
              <w:ind w:right="840"/>
              <w:spacing w:after="0"/>
              <w:rPr>
                <w:sz w:val="20"/>
                <w:szCs w:val="20"/>
                <w:color w:val="auto"/>
              </w:rPr>
            </w:pPr>
            <w:r>
              <w:rPr>
                <w:rFonts w:ascii="Arial" w:cs="Arial" w:eastAsia="Arial" w:hAnsi="Arial"/>
                <w:sz w:val="18"/>
                <w:szCs w:val="18"/>
                <w:color w:val="auto"/>
              </w:rPr>
              <w:t>2</w:t>
            </w:r>
          </w:p>
        </w:tc>
        <w:tc>
          <w:tcPr>
            <w:tcW w:w="46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Statements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6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68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r>
      <w:tr>
        <w:trPr>
          <w:trHeight w:val="230"/>
        </w:trPr>
        <w:tc>
          <w:tcPr>
            <w:tcW w:w="7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revenue: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Loans, including fees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108,335</w:t>
            </w:r>
          </w:p>
        </w:tc>
        <w:tc>
          <w:tcPr>
            <w:tcW w:w="12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80,264</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308,296</w:t>
            </w:r>
          </w:p>
        </w:tc>
        <w:tc>
          <w:tcPr>
            <w:tcW w:w="100" w:type="dxa"/>
            <w:vAlign w:val="bottom"/>
          </w:tcPr>
          <w:p>
            <w:pPr>
              <w:spacing w:after="0"/>
              <w:rPr>
                <w:sz w:val="22"/>
                <w:szCs w:val="22"/>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227,816</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securities, including tax exempt of $1,052, $671, $3,049 and $1,307</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19,899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17,875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56,448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53,365</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Deposits in banks and short-term investments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1,482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1,782</w:t>
            </w:r>
          </w:p>
        </w:tc>
      </w:tr>
      <w:tr>
        <w:trPr>
          <w:trHeight w:val="250"/>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interest revenue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128,721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98,839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366,226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282,963</w:t>
            </w:r>
          </w:p>
        </w:tc>
      </w:t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NOW and interest-bearing demand</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4,317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1,932</w:t>
            </w:r>
          </w:p>
        </w:tc>
      </w:tr>
      <w:tr>
        <w:trPr>
          <w:trHeight w:val="263"/>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Money market</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3,261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8,019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4,938</w:t>
            </w:r>
          </w:p>
        </w:tc>
      </w:tr>
      <w:tr>
        <w:trPr>
          <w:trHeight w:val="27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Savings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89</w:t>
            </w:r>
          </w:p>
        </w:tc>
      </w:tr>
      <w:tr>
        <w:trPr>
          <w:trHeight w:val="26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Time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5,746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1,870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12,900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4,257</w:t>
            </w:r>
          </w:p>
        </w:tc>
      </w:tr>
      <w:tr>
        <w:trPr>
          <w:trHeight w:val="257"/>
        </w:trPr>
        <w:tc>
          <w:tcPr>
            <w:tcW w:w="74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Total deposit interest expense</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10,941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25,353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11,216</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177</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Federal Home Loan Bank advances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4,603</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3,605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10,679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8,490</w:t>
            </w:r>
          </w:p>
        </w:tc>
      </w:tr>
      <w:tr>
        <w:trPr>
          <w:trHeight w:val="25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16,611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9,064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42,355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24,486</w:t>
            </w:r>
          </w:p>
        </w:tc>
      </w:tr>
      <w:tr>
        <w:trPr>
          <w:trHeight w:val="250"/>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interest revenue</w:t>
            </w: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112,110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89,775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323,871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258,477</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1,800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2,600</w:t>
            </w:r>
          </w:p>
        </w:tc>
      </w:tr>
      <w:tr>
        <w:trPr>
          <w:trHeight w:val="250"/>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Net interest revenue after provision for credit losses</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110,310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88,775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316,471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255,877</w:t>
            </w:r>
          </w:p>
        </w:tc>
      </w:tr>
      <w:tr>
        <w:trPr>
          <w:trHeight w:val="230"/>
        </w:trPr>
        <w:tc>
          <w:tcPr>
            <w:tcW w:w="7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income: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Service charges and fees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9,112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8,220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26,831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29,525</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Mortgage loan and other related fees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15,928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13,435</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Brokerage fees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1,525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3,565</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Gains from sales of SBA/USDA loans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2,605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2,806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6,784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7,391</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Securities gains (losses), net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190</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5,674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4,150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18,077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12,226</w:t>
            </w: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income</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24,180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20,573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69,916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66,332</w:t>
            </w:r>
          </w:p>
        </w:tc>
      </w:tr>
      <w:tr>
        <w:trPr>
          <w:trHeight w:val="244"/>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Total revenue</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134,490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109,348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386,387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322,209</w:t>
            </w:r>
          </w:p>
        </w:tc>
      </w:tr>
      <w:tr>
        <w:trPr>
          <w:trHeight w:val="230"/>
        </w:trPr>
        <w:tc>
          <w:tcPr>
            <w:tcW w:w="7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Salaries and employee benefits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47,146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38,027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135,384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112,056</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Communications and equipment</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5,590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4,547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15,071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14,443</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Occupancy</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4,945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16,939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14,802</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Advertising and public relations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1,442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4,341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3,347</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Postage, printing and supplies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4,896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4,127</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3,927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2,976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11,435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8,391</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FDIC assessments and other regulatory charges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6,677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4,758</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Amortization of intangibles</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1,212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5,426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3,085</w:t>
            </w: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Merger-related and other charges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7,060</w:t>
            </w:r>
          </w:p>
        </w:tc>
      </w:tr>
      <w:tr>
        <w:trPr>
          <w:trHeight w:val="264"/>
        </w:trPr>
        <w:tc>
          <w:tcPr>
            <w:tcW w:w="74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8,236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6,227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23,425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19,660</w:t>
            </w:r>
          </w:p>
        </w:tc>
      </w:tr>
      <w:tr>
        <w:trPr>
          <w:trHeight w:val="250"/>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noninterest expenses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77,718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65,674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228,043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191,729</w:t>
            </w:r>
          </w:p>
        </w:tc>
      </w:tr>
      <w:tr>
        <w:trPr>
          <w:trHeight w:val="250"/>
        </w:trPr>
        <w:tc>
          <w:tcPr>
            <w:tcW w:w="7440" w:type="dxa"/>
            <w:vAlign w:val="bottom"/>
            <w:gridSpan w:val="2"/>
          </w:tcPr>
          <w:p>
            <w:pPr>
              <w:ind w:left="280"/>
              <w:spacing w:after="0"/>
              <w:rPr>
                <w:sz w:val="20"/>
                <w:szCs w:val="20"/>
                <w:color w:val="auto"/>
              </w:rPr>
            </w:pPr>
            <w:r>
              <w:rPr>
                <w:rFonts w:ascii="Arial" w:cs="Arial" w:eastAsia="Arial" w:hAnsi="Arial"/>
                <w:sz w:val="14"/>
                <w:szCs w:val="14"/>
                <w:color w:val="auto"/>
              </w:rPr>
              <w:t>Net income before income taxes</w:t>
            </w:r>
          </w:p>
        </w:tc>
        <w:tc>
          <w:tcPr>
            <w:tcW w:w="20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56,772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43,674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158,344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130,480</w:t>
            </w:r>
          </w:p>
        </w:tc>
      </w:tr>
      <w:tr>
        <w:trPr>
          <w:trHeight w:val="271"/>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tax expense</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13,090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15,728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37,370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50,743</w:t>
            </w:r>
          </w:p>
        </w:tc>
      </w:tr>
      <w:tr>
        <w:trPr>
          <w:trHeight w:val="283"/>
        </w:trPr>
        <w:tc>
          <w:tcPr>
            <w:tcW w:w="74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43,682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27,946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120,974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79,737</w:t>
            </w:r>
          </w:p>
        </w:tc>
      </w:tr>
      <w:tr>
        <w:trPr>
          <w:trHeight w:val="210"/>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96"/>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43,381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27,719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120,124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79,078</w:t>
            </w:r>
          </w:p>
        </w:tc>
      </w:tr>
      <w:tr>
        <w:trPr>
          <w:trHeight w:val="210"/>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63"/>
        </w:trPr>
        <w:tc>
          <w:tcPr>
            <w:tcW w:w="7440" w:type="dxa"/>
            <w:vAlign w:val="bottom"/>
            <w:gridSpan w:val="2"/>
          </w:tcPr>
          <w:p>
            <w:pPr>
              <w:ind w:left="40"/>
              <w:spacing w:after="0"/>
              <w:rPr>
                <w:sz w:val="20"/>
                <w:szCs w:val="20"/>
                <w:color w:val="auto"/>
              </w:rPr>
            </w:pPr>
            <w:r>
              <w:rPr>
                <w:rFonts w:ascii="Arial" w:cs="Arial" w:eastAsia="Arial" w:hAnsi="Arial"/>
                <w:sz w:val="14"/>
                <w:szCs w:val="14"/>
                <w:color w:val="auto"/>
              </w:rPr>
              <w:t>Earnings per common share:</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7"/>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1.10</w:t>
            </w:r>
          </w:p>
        </w:tc>
      </w:tr>
      <w:tr>
        <w:trPr>
          <w:trHeight w:val="263"/>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Diluted</w:t>
            </w:r>
          </w:p>
        </w:tc>
        <w:tc>
          <w:tcPr>
            <w:tcW w:w="20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1.10</w:t>
            </w:r>
          </w:p>
        </w:tc>
      </w:tr>
      <w:tr>
        <w:trPr>
          <w:trHeight w:val="277"/>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189"/>
        </w:trPr>
        <w:tc>
          <w:tcPr>
            <w:tcW w:w="7440" w:type="dxa"/>
            <w:vAlign w:val="bottom"/>
            <w:gridSpan w:val="2"/>
          </w:tcPr>
          <w:p>
            <w:pPr>
              <w:ind w:left="1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79,806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52"/>
              <w:spacing w:after="0"/>
              <w:rPr>
                <w:sz w:val="20"/>
                <w:szCs w:val="20"/>
                <w:color w:val="auto"/>
              </w:rPr>
            </w:pPr>
            <w:r>
              <w:rPr>
                <w:rFonts w:ascii="Arial" w:cs="Arial" w:eastAsia="Arial" w:hAnsi="Arial"/>
                <w:sz w:val="14"/>
                <w:szCs w:val="14"/>
                <w:color w:val="auto"/>
              </w:rPr>
              <w:t>73,151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79,588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72,060</w:t>
            </w:r>
          </w:p>
        </w:tc>
      </w:tr>
    </w:tbl>
    <w:p>
      <w:pPr>
        <w:sectPr>
          <w:pgSz w:w="11900" w:h="16870" w:orient="portrait"/>
          <w:cols w:equalWidth="0" w:num="1">
            <w:col w:w="11420"/>
          </w:cols>
          <w:pgMar w:left="240" w:top="580" w:right="239" w:bottom="0" w:gutter="0" w:footer="0" w:header="0"/>
        </w:sectPr>
      </w:pPr>
    </w:p>
    <w:bookmarkStart w:id="3" w:name="page4"/>
    <w:bookmarkEnd w:id="3"/>
    <w:p>
      <w:pPr>
        <w:spacing w:after="0"/>
        <w:tabs>
          <w:tab w:leader="none" w:pos="7680" w:val="left"/>
          <w:tab w:leader="none" w:pos="8720" w:val="left"/>
          <w:tab w:leader="none" w:pos="9740" w:val="left"/>
          <w:tab w:leader="none" w:pos="1074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Diluted</w:t>
      </w:r>
      <w:r>
        <w:rPr>
          <w:sz w:val="20"/>
          <w:szCs w:val="20"/>
          <w:color w:val="auto"/>
        </w:rPr>
        <w:tab/>
      </w:r>
      <w:r>
        <w:rPr>
          <w:rFonts w:ascii="Arial" w:cs="Arial" w:eastAsia="Arial" w:hAnsi="Arial"/>
          <w:sz w:val="14"/>
          <w:szCs w:val="14"/>
          <w:color w:val="auto"/>
        </w:rPr>
        <w:t>79,818</w:t>
      </w:r>
      <w:r>
        <w:rPr>
          <w:sz w:val="20"/>
          <w:szCs w:val="20"/>
          <w:color w:val="auto"/>
        </w:rPr>
        <w:tab/>
      </w:r>
      <w:r>
        <w:rPr>
          <w:rFonts w:ascii="Arial" w:cs="Arial" w:eastAsia="Arial" w:hAnsi="Arial"/>
          <w:sz w:val="14"/>
          <w:szCs w:val="14"/>
          <w:color w:val="auto"/>
        </w:rPr>
        <w:t>73,162</w:t>
      </w:r>
      <w:r>
        <w:rPr>
          <w:sz w:val="20"/>
          <w:szCs w:val="20"/>
          <w:color w:val="auto"/>
        </w:rPr>
        <w:tab/>
      </w:r>
      <w:r>
        <w:rPr>
          <w:rFonts w:ascii="Arial" w:cs="Arial" w:eastAsia="Arial" w:hAnsi="Arial"/>
          <w:sz w:val="14"/>
          <w:szCs w:val="14"/>
          <w:color w:val="auto"/>
        </w:rPr>
        <w:t>79,598</w:t>
      </w:r>
      <w:r>
        <w:rPr>
          <w:sz w:val="20"/>
          <w:szCs w:val="20"/>
          <w:color w:val="auto"/>
        </w:rPr>
        <w:tab/>
      </w:r>
      <w:r>
        <w:rPr>
          <w:rFonts w:ascii="Arial" w:cs="Arial" w:eastAsia="Arial" w:hAnsi="Arial"/>
          <w:sz w:val="12"/>
          <w:szCs w:val="12"/>
          <w:color w:val="auto"/>
        </w:rPr>
        <w:t>72,071</w:t>
      </w:r>
    </w:p>
    <w:p>
      <w:pPr>
        <w:sectPr>
          <w:pgSz w:w="11900" w:h="16838" w:orient="portrait"/>
          <w:cols w:equalWidth="0" w:num="1">
            <w:col w:w="11140"/>
          </w:cols>
          <w:pgMar w:left="420" w:top="466"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420" w:top="466"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3340" w:type="dxa"/>
            <w:vAlign w:val="bottom"/>
            <w:gridSpan w:val="8"/>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980" w:type="dxa"/>
            <w:vAlign w:val="bottom"/>
            <w:gridSpan w:val="7"/>
          </w:tcPr>
          <w:p>
            <w:pPr>
              <w:jc w:val="center"/>
              <w:ind w:right="4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Tax</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Tax</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(Expense)</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Net of Tax</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Benefit</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14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56,772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(13,090)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43,682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158,344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120,974</w:t>
            </w:r>
          </w:p>
        </w:tc>
        <w:tc>
          <w:tcPr>
            <w:tcW w:w="0" w:type="dxa"/>
            <w:vAlign w:val="bottom"/>
          </w:tcPr>
          <w:p>
            <w:pPr>
              <w:spacing w:after="0"/>
              <w:rPr>
                <w:sz w:val="1"/>
                <w:szCs w:val="1"/>
                <w:color w:val="auto"/>
              </w:rPr>
            </w:pP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losses on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Unrealized holding losses arising during period</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3,397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12,861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(39,999)</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w w:val="93"/>
              </w:rPr>
              <w:t>Reclassification adjustment for (gains) losses included in net income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2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Net unrealized losses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(14,024)</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3,402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(51,558)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12,549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(39,009)</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5"/>
              </w:rPr>
              <w:t>Amortization of prior service cost and actuarial losses included in net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493</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12,110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(37,770)</w:t>
            </w:r>
          </w:p>
        </w:tc>
        <w:tc>
          <w:tcPr>
            <w:tcW w:w="0" w:type="dxa"/>
            <w:vAlign w:val="bottom"/>
          </w:tcPr>
          <w:p>
            <w:pPr>
              <w:spacing w:after="0"/>
              <w:rPr>
                <w:sz w:val="1"/>
                <w:szCs w:val="1"/>
                <w:color w:val="auto"/>
              </w:rPr>
            </w:pPr>
          </w:p>
        </w:tc>
      </w:tr>
      <w:tr>
        <w:trPr>
          <w:trHeight w:val="277"/>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43,248</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33,436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108,464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83,204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43,674</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(15,728)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27,946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130,480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(50,743)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79,737</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gains arising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11,608</w:t>
            </w: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Reclassification adjustment for gains included in net income</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gains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11,490</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8"/>
              </w:rPr>
              <w:t>Reclassification of disproportionate tax effect related to terminated</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cash flow hedges</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3,400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cash flow hedge activity</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Amortization of prior service cost and actuarial losses included in net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19,925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15,799</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4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45,130</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(16,251)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28,879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150,405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95,536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7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74" w:right="2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3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share data)</w:t>
            </w: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129,108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196,459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185,167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314,275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2,587,559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2,615,850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Securities held to maturity (fair value $277,473 and $321,276)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321,094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Loans held for sale (includes $27,325 and $26,252 at fair value)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27,325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Loans and leases, net of unearned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8,226,466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7,735,572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Less allowance for loan and lease losses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(58,914)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Loans and leases, net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8,165,526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7,676,658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Premises and equipment,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208,852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Bank owned life insurance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188,970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33,562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32,459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deferred tax asset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29,895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22,721</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165,459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169,401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12,405,132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Noninterest-bearing demand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3,296,908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3,087,797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NOW and interest-bearing demand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2,075,479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2,131,939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2,016,748</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Savings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680,421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651,742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Time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1,548,460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Brokered</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551,358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371,011</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deposits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10,229,477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9,807,697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504,651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120,545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Derivative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149,529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103,857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11,003,250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10,612,126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$1 par value; 150,000,000 shares authorized;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79,202,479 and 77,579,561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Common stock issuable; 650,338 and 607,869 shares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surplus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1,451,814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(209,902)</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1,401,882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1,303,334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12,405,132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11,915,460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6" w:name="page7"/>
    <w:bookmarkEnd w:id="6"/>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Accumulated Other</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378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share and per share data)</w:t>
            </w: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11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Stock Issuable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6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Comprehensive Loss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1,275,849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(251,857)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1,075,735</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79,737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79,737</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15,799</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plans (13,107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issued for acquisition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(2,370,331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63,430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65,800</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Amortization of stock option and restricted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stock awards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4,359</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Vesting of restricted stock, net of shares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surrendered to cover payroll taxes (88,622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shares issued, 94,165 shares deferred)</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dividend equivalents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payroll taxes (32,279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dividends ($0.28 per share)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(20,445)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(20,445)</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Cumulative effect of change in accounting</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principle</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w:t>
            </w: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b w:val="1"/>
                <w:bCs w:val="1"/>
                <w:color w:val="auto"/>
              </w:rPr>
              <w:t>Balance,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73,403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1,341,346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(192,128)</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1,220,640</w:t>
            </w:r>
          </w:p>
        </w:tc>
      </w:tr>
      <w:tr>
        <w:trPr>
          <w:trHeight w:val="311"/>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77,580</w:t>
            </w:r>
          </w:p>
        </w:tc>
        <w:tc>
          <w:tcPr>
            <w:tcW w:w="12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9,083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1,451,814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(209,902)</w:t>
            </w:r>
          </w:p>
        </w:tc>
        <w:tc>
          <w:tcPr>
            <w:tcW w:w="10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(25,241)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1,303,334</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120,974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120,974</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(37,770)</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Exercise of stock options (12,000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issued to dividend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3"/>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reinvestment plan and employee benefit</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plans (17,756 shares)</w:t>
            </w: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Common stock issued for acquisition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(1,443,987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44,302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45,746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Amortization of stock option and restricted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stock awards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4,075</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Vesting of restricted stock, net of shares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surrendered to cover payroll taxes (100,960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shares issued, 79,856 shares deferred)</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2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Deferred compensation plan, net, including</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06"/>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dividend equivalents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344</w:t>
            </w: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issued from deferred compensation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03"/>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plan, net of shares surrendered to cover</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9"/>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payroll taxes (48,215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Common stock dividends ($0.42 per share)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(33,751)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(33,751)</w:t>
            </w: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September 30,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1,498,199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(122,679)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1,401,882</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7" w:name="page8"/>
    <w:bookmarkEnd w:id="7"/>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r>
      <w:tr>
        <w:trPr>
          <w:trHeight w:val="25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120,974</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79,737</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24,486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20,137</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credit losses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2,600</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Stock based compensation</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4,359</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36,335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51,806</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Securities losses (gains), net</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1,302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Gains from sales of SBA/USDA loans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(7,391)</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Net losses and write downs on sales of other real estate owned</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667</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assets and accrued interest receivable</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4,106</w:t>
            </w:r>
          </w:p>
        </w:tc>
      </w:tr>
      <w:tr>
        <w:trPr>
          <w:trHeight w:val="277"/>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17,593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(8,382)</w:t>
            </w:r>
          </w:p>
        </w:tc>
      </w:tr>
      <w:tr>
        <w:trPr>
          <w:trHeight w:val="264"/>
        </w:trPr>
        <w:tc>
          <w:tcPr>
            <w:tcW w:w="8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Mortgage loans held for sale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8,001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200,183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147,035</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Investment securities held to maturity:</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held to maturity</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47,325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44,896</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held to maturity</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(21,638)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securities available for sale: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Proceeds from sales of securities available for sale</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156,679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275,769</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available for sale</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249,750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465,817</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available for sale</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(425,093)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(709,742)</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increase in loans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(57,260)</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Purchase of bank owned life insurance</w:t>
            </w: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4,126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2,229</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Purchases of premises and equipment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(15,167)</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cash (paid) received for acquisition</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17,822</w:t>
            </w: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Proceeds from sale of other real estate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3,645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7,076</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(170,238)</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change in deposits</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422,622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171,611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change in short-term borrowings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9,864</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 of long-term debt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FHLB advances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2,240,000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3,370,000</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Repayment of FHLB advances</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(2,444,003)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(3,609,000)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subordinated debt, net of issuance costs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98,188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328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(18,743)</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(32,252)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(117,340)</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29,497</w:t>
            </w: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314,275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217,348</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96"/>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period</w:t>
            </w:r>
          </w:p>
        </w:tc>
        <w:tc>
          <w:tcPr>
            <w:tcW w:w="2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311,968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246,845</w:t>
            </w: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 paid</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41,373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25,513</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Income taxes paid</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5,705</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non-cash investing and financing transactions: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Unsettled securities purchases</w:t>
            </w:r>
          </w:p>
        </w:tc>
        <w:tc>
          <w:tcPr>
            <w:tcW w:w="2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15,450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28,436</w:t>
            </w:r>
          </w:p>
        </w:tc>
      </w:tr>
      <w:tr>
        <w:trPr>
          <w:trHeight w:val="64"/>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720"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Unsettled government guaranteed loan purchases</w:t>
            </w:r>
          </w:p>
        </w:tc>
        <w:tc>
          <w:tcPr>
            <w:tcW w:w="420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rPr>
              <w:t>5,214</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6220" w:type="dxa"/>
            <w:vAlign w:val="bottom"/>
          </w:tcPr>
          <w:p>
            <w:pPr>
              <w:ind w:left="280"/>
              <w:spacing w:after="0"/>
              <w:rPr>
                <w:sz w:val="20"/>
                <w:szCs w:val="20"/>
                <w:color w:val="auto"/>
              </w:rPr>
            </w:pPr>
            <w:r>
              <w:rPr>
                <w:rFonts w:ascii="Arial" w:cs="Arial" w:eastAsia="Arial" w:hAnsi="Arial"/>
                <w:sz w:val="14"/>
                <w:szCs w:val="14"/>
                <w:color w:val="auto"/>
              </w:rPr>
              <w:t>Unsettled government guaranteed loan sales</w:t>
            </w:r>
          </w:p>
        </w:tc>
        <w:tc>
          <w:tcPr>
            <w:tcW w:w="4200" w:type="dxa"/>
            <w:vAlign w:val="bottom"/>
          </w:tcPr>
          <w:p>
            <w:pPr>
              <w:jc w:val="right"/>
              <w:ind w:right="392"/>
              <w:spacing w:after="0"/>
              <w:rPr>
                <w:sz w:val="20"/>
                <w:szCs w:val="20"/>
                <w:color w:val="auto"/>
              </w:rPr>
            </w:pPr>
            <w:r>
              <w:rPr>
                <w:rFonts w:ascii="Arial" w:cs="Arial" w:eastAsia="Arial" w:hAnsi="Arial"/>
                <w:sz w:val="14"/>
                <w:szCs w:val="14"/>
                <w:color w:val="auto"/>
              </w:rPr>
              <w:t>25,680</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21,517</w:t>
            </w:r>
          </w:p>
        </w:tc>
      </w:tr>
      <w:tr>
        <w:trPr>
          <w:trHeight w:val="277"/>
        </w:trPr>
        <w:tc>
          <w:tcPr>
            <w:tcW w:w="6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Transfers of loans to foreclosed properties</w:t>
            </w:r>
          </w:p>
        </w:tc>
        <w:tc>
          <w:tcPr>
            <w:tcW w:w="42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2,063</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1,725</w:t>
            </w:r>
          </w:p>
        </w:tc>
      </w:tr>
      <w:tr>
        <w:trPr>
          <w:trHeight w:val="263"/>
        </w:trPr>
        <w:tc>
          <w:tcPr>
            <w:tcW w:w="6220" w:type="dxa"/>
            <w:vAlign w:val="bottom"/>
          </w:tcPr>
          <w:p>
            <w:pPr>
              <w:ind w:left="280"/>
              <w:spacing w:after="0"/>
              <w:rPr>
                <w:sz w:val="20"/>
                <w:szCs w:val="20"/>
                <w:color w:val="auto"/>
              </w:rPr>
            </w:pPr>
            <w:r>
              <w:rPr>
                <w:rFonts w:ascii="Arial" w:cs="Arial" w:eastAsia="Arial" w:hAnsi="Arial"/>
                <w:sz w:val="14"/>
                <w:szCs w:val="14"/>
                <w:color w:val="auto"/>
              </w:rPr>
              <w:t>Acquisitions:</w:t>
            </w:r>
          </w:p>
        </w:tc>
        <w:tc>
          <w:tcPr>
            <w:tcW w:w="4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6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Assets acquired</w:t>
            </w:r>
          </w:p>
        </w:tc>
        <w:tc>
          <w:tcPr>
            <w:tcW w:w="42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480,679</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412,477</w:t>
            </w:r>
          </w:p>
        </w:tc>
      </w:tr>
      <w:tr>
        <w:trPr>
          <w:trHeight w:val="263"/>
        </w:trPr>
        <w:tc>
          <w:tcPr>
            <w:tcW w:w="6220" w:type="dxa"/>
            <w:vAlign w:val="bottom"/>
          </w:tcPr>
          <w:p>
            <w:pPr>
              <w:ind w:left="380"/>
              <w:spacing w:after="0"/>
              <w:rPr>
                <w:sz w:val="20"/>
                <w:szCs w:val="20"/>
                <w:color w:val="auto"/>
              </w:rPr>
            </w:pPr>
            <w:r>
              <w:rPr>
                <w:rFonts w:ascii="Arial" w:cs="Arial" w:eastAsia="Arial" w:hAnsi="Arial"/>
                <w:sz w:val="14"/>
                <w:szCs w:val="14"/>
                <w:color w:val="auto"/>
              </w:rPr>
              <w:t>Liabilities assumed</w:t>
            </w:r>
          </w:p>
        </w:tc>
        <w:tc>
          <w:tcPr>
            <w:tcW w:w="4200" w:type="dxa"/>
            <w:vAlign w:val="bottom"/>
          </w:tcPr>
          <w:p>
            <w:pPr>
              <w:jc w:val="right"/>
              <w:ind w:right="392"/>
              <w:spacing w:after="0"/>
              <w:rPr>
                <w:sz w:val="20"/>
                <w:szCs w:val="20"/>
                <w:color w:val="auto"/>
              </w:rPr>
            </w:pPr>
            <w:r>
              <w:rPr>
                <w:rFonts w:ascii="Arial" w:cs="Arial" w:eastAsia="Arial" w:hAnsi="Arial"/>
                <w:sz w:val="14"/>
                <w:szCs w:val="14"/>
                <w:color w:val="auto"/>
              </w:rPr>
              <w:t>350,433</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346,646</w:t>
            </w:r>
          </w:p>
        </w:tc>
      </w:tr>
      <w:tr>
        <w:trPr>
          <w:trHeight w:val="277"/>
        </w:trPr>
        <w:tc>
          <w:tcPr>
            <w:tcW w:w="6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assets acquired</w:t>
            </w:r>
          </w:p>
        </w:tc>
        <w:tc>
          <w:tcPr>
            <w:tcW w:w="420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130,246</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65,831</w:t>
            </w:r>
          </w:p>
        </w:tc>
      </w:tr>
      <w:tr>
        <w:trPr>
          <w:trHeight w:val="256"/>
        </w:trPr>
        <w:tc>
          <w:tcPr>
            <w:tcW w:w="6220" w:type="dxa"/>
            <w:vAlign w:val="bottom"/>
          </w:tcPr>
          <w:p>
            <w:pPr>
              <w:ind w:left="380"/>
              <w:spacing w:after="0"/>
              <w:rPr>
                <w:sz w:val="20"/>
                <w:szCs w:val="20"/>
                <w:color w:val="auto"/>
              </w:rPr>
            </w:pPr>
            <w:r>
              <w:rPr>
                <w:rFonts w:ascii="Arial" w:cs="Arial" w:eastAsia="Arial" w:hAnsi="Arial"/>
                <w:sz w:val="14"/>
                <w:szCs w:val="14"/>
                <w:color w:val="auto"/>
              </w:rPr>
              <w:t>Common stock issued in acquisitions</w:t>
            </w:r>
          </w:p>
        </w:tc>
        <w:tc>
          <w:tcPr>
            <w:tcW w:w="4200" w:type="dxa"/>
            <w:vAlign w:val="bottom"/>
          </w:tcPr>
          <w:p>
            <w:pPr>
              <w:jc w:val="right"/>
              <w:ind w:right="392"/>
              <w:spacing w:after="0"/>
              <w:rPr>
                <w:sz w:val="20"/>
                <w:szCs w:val="20"/>
                <w:color w:val="auto"/>
              </w:rPr>
            </w:pPr>
            <w:r>
              <w:rPr>
                <w:rFonts w:ascii="Arial" w:cs="Arial" w:eastAsia="Arial" w:hAnsi="Arial"/>
                <w:sz w:val="14"/>
                <w:szCs w:val="14"/>
                <w:color w:val="auto"/>
              </w:rPr>
              <w:t>45,746</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65,800</w:t>
            </w:r>
          </w:p>
        </w:tc>
      </w:tr>
    </w:tbl>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2017.</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terms of securitizations acquired with NLFC Holdings Corp. (“NLFC”) require various restricted cash accounts. These cash accounts were funded from either a portion of the proceeds from the issuance of notes or from the collections on leases and loans that were conveyed in the securitization. These restricted cash accounts provide additional collateral to the note holders under specific provisions of the securitizations which govern when funds in these accounts may be released as well as conditions under which collections on contracts transferred to the securitizations may be used to fund deposits into the restricted cash accounts. At September 30, 2018, these restricted cash accounts totaled $6.90 million and were included in interest-bearing deposits in banks on the consolidated balance sheet.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Financing Lease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Equipment financing lease receivables are recorded as the sum of the future minimum lease payments, initial deferred costs and estimated or contractual residual values less unearned income.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guidance was further modified in July 2018 by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No. 2018-11</w:t>
      </w:r>
      <w:r>
        <w:rPr>
          <w:rFonts w:ascii="Arial" w:cs="Arial" w:eastAsia="Arial" w:hAnsi="Arial"/>
          <w:sz w:val="17"/>
          <w:szCs w:val="17"/>
          <w:i w:val="1"/>
          <w:iCs w:val="1"/>
          <w:color w:val="auto"/>
        </w:rPr>
        <w:t>, Leases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842): Targeted Improvements. </w:t>
      </w:r>
      <w:r>
        <w:rPr>
          <w:rFonts w:ascii="Arial" w:cs="Arial" w:eastAsia="Arial" w:hAnsi="Arial"/>
          <w:sz w:val="17"/>
          <w:szCs w:val="17"/>
          <w:color w:val="auto"/>
        </w:rPr>
        <w:t>These updates require a lessee to recognize in the statement of financial position a liability to make lease payments (the lease</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these updates are effective for fiscal years beginning after December 15, 2018, with the option to transition with a modified retrospective application to prior periods presented or to apply the guidance as of the adoption date without restating prior periods. United plans to apply the guidance as of the adoption date without restating prior periods, and expects to report higher assets and liabilities as a result of including leases on the consolidated balance sheet. At December 31, 2017, future minimum lease payments amounted to $27.1 million. United does not expect the new guidance to have a material impact on the consolidated statements of income or the consolidated statements of shareholders’ equity.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guidance replaces the incurred loss impairment methodology in current GAAP with an expected credit loss methodology and requires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Arial" w:cs="Arial" w:eastAsia="Arial" w:hAnsi="Arial"/>
          <w:sz w:val="17"/>
          <w:szCs w:val="17"/>
          <w:i w:val="1"/>
          <w:iCs w:val="1"/>
          <w:color w:val="auto"/>
        </w:rPr>
        <w:t>Receivables – Loans and Debt Securities Acquired with Deteriorated Credit Quality</w:t>
      </w:r>
      <w:r>
        <w:rPr>
          <w:rFonts w:ascii="Arial" w:cs="Arial" w:eastAsia="Arial" w:hAnsi="Arial"/>
          <w:sz w:val="17"/>
          <w:szCs w:val="17"/>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potential magnitude of the increase. Management has formed a steering committee and has completed a gap assessment that became the basis for a full project plan. In addition, management has selected a vendor model and begun the implementation phase of the project plan. United expects to run parallel for the four quarters leading up to the effective date to ensure it is prepared for implementation by the effective date.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2018, the FASB issued ASU No. 2018-06, </w:t>
      </w:r>
      <w:r>
        <w:rPr>
          <w:rFonts w:ascii="Arial" w:cs="Arial" w:eastAsia="Arial" w:hAnsi="Arial"/>
          <w:sz w:val="18"/>
          <w:szCs w:val="18"/>
          <w:i w:val="1"/>
          <w:iCs w:val="1"/>
          <w:color w:val="auto"/>
        </w:rPr>
        <w:t>Codification Improvements to Topic 942, Financial Services - Depository and Lending</w:t>
      </w:r>
      <w:r>
        <w:rPr>
          <w:rFonts w:ascii="Arial" w:cs="Arial" w:eastAsia="Arial" w:hAnsi="Arial"/>
          <w:sz w:val="18"/>
          <w:szCs w:val="18"/>
          <w:color w:val="auto"/>
        </w:rPr>
        <w:t>. This update superseded outdated guidance related to the Office of the Comptroller of the Currency’s Banking Circular 202, Accounting for Net Deferred Tax Charges. United does not expect the new guidance to have a material impact on the consolidated financial statements.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This update expands the scope of Topic 718 to include share-based payment transactions for acquiring goods and services from nonemployees.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nonemployee share-based payment awards will be measured at the grant-date fair value of the equity instruments that an entity is obligated to issue when the service has been rendered, subject to the probability of satisfying performance conditions when applicable. For public entities, this update is effective for fiscal years beginning after December 15, 2018. United does not expect the new guidance to have a material impact on the consolidated financial statements as the Company does not currently grant equity awards to nonemployees other than directors and does not anticipate doing so.</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2018, the FASB issued ASU No. 2018-08, </w:t>
      </w:r>
      <w:r>
        <w:rPr>
          <w:rFonts w:ascii="Arial" w:cs="Arial" w:eastAsia="Arial" w:hAnsi="Arial"/>
          <w:sz w:val="18"/>
          <w:szCs w:val="18"/>
          <w:i w:val="1"/>
          <w:iCs w:val="1"/>
          <w:color w:val="auto"/>
        </w:rPr>
        <w:t>Not for Profit Entities (Topic 958): Clarifying the Scope and the Accounting Guidance for Contributions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Received and Contributions Made</w:t>
      </w:r>
      <w:r>
        <w:rPr>
          <w:rFonts w:ascii="Arial" w:cs="Arial" w:eastAsia="Arial" w:hAnsi="Arial"/>
          <w:sz w:val="18"/>
          <w:szCs w:val="18"/>
          <w:color w:val="auto"/>
        </w:rPr>
        <w:t>. This update clarifies the guidance about whether a transfer of assets (or the reduction, settlement or cancellation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is a contribution or an exchange transaction. In addition, the guidance clarifies the determination of whether a transaction is conditional. For public entities, this update is effective for contributions made in fiscal years beginning after December 15, 2018. United does not expect the new guidance to have a material impact on the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to address stakeholder suggestions for minor corrections and clarifications within the codification. The transition and effective date guidance is based on the facts and circumstances of each amendment. Some of the amendments in this update do not require transition guidance and will be effective upon issuance of this update. However, many of the amendments in this update do have transition guidance with effective dates for annual periods beginning after December 15, 2018, for public business entities. United does not expect the new guidance to have a material impact on the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The update removes disclosures that are no longer considered cost beneficial, modifies certain requirements of disclosures,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adds disclosure requirements identified as relevant. For public entities, this guidance is effective for fiscal years ending after December 15, 2019 and, depending on the provision, requires either prospective or retrospective application to prior periods presented. United does not expect the new guidance to have a material impact on the consolidated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Compensation - Retirement Benefits - Defined Benefit Plans - 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 Changes to the Disclosure Requirements for Defined Benefit Plans</w:t>
      </w:r>
      <w:r>
        <w:rPr>
          <w:rFonts w:ascii="Arial" w:cs="Arial" w:eastAsia="Arial" w:hAnsi="Arial"/>
          <w:sz w:val="18"/>
          <w:szCs w:val="18"/>
          <w:color w:val="auto"/>
        </w:rPr>
        <w:t>. The update removes disclosures that are no longer considered cost</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clarifies specific requirements of disclosures, and adds disclosure requirements identified as relevant. For public entities, this guidance is effective for fiscal years ending after December 15, 2020 and requires retrospective application to prior periods presented. United does not expect the new guidance to have a material impact on the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Implementation Costs Incurred in a Cloud Computing Arrangement That is a Service Contract (a consensus of the FASB Emerging Issues Task Force)</w:t>
      </w:r>
      <w:r>
        <w:rPr>
          <w:rFonts w:ascii="Arial" w:cs="Arial" w:eastAsia="Arial" w:hAnsi="Arial"/>
          <w:sz w:val="18"/>
          <w:szCs w:val="18"/>
          <w:color w:val="auto"/>
        </w:rPr>
        <w:t>. This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aligns the requirements for capitalizing implementation costs incurred in a hosting arrangement that is a service contract with the requirements for capitalizing implementation costs incurred to develop or obtain internal-use software. For public entities, this guidance is effective for fiscal years ending after December 15, 2019 with either retrospective or prospective application. United does not expect the new guidance to have a material impact on the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ASU provides guidance on the recognition of revenue from contracts with customers.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was effective for public entities for annual reporting periods beginning after December 15, 2017, including interim periods within that reporting period, and was applied retrospectively either to each prior reporting period or with a cumulative effect recognized at the date of initial application. Because the guidance does not apply to revenue associated with financial instruments, including loans and securities, and revenue sources within scope were not materially affected, the new revenue recognition guidance did not have a material impact on the consolidated financial statements. United used the modified retrospective approach to adopting this guidance.</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2016-1, </w:t>
      </w:r>
      <w:r>
        <w:rPr>
          <w:rFonts w:ascii="Arial" w:cs="Arial" w:eastAsia="Arial" w:hAnsi="Arial"/>
          <w:sz w:val="17"/>
          <w:szCs w:val="17"/>
          <w:i w:val="1"/>
          <w:iCs w:val="1"/>
          <w:color w:val="auto"/>
        </w:rPr>
        <w:t>Financial Instruments – Overall (Subtopic 825-10): Recognition and Measurement of Financial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w:t>
      </w:r>
      <w:r>
        <w:rPr>
          <w:rFonts w:ascii="Arial" w:cs="Arial" w:eastAsia="Arial" w:hAnsi="Arial"/>
          <w:sz w:val="17"/>
          <w:szCs w:val="17"/>
          <w:color w:val="auto"/>
        </w:rPr>
        <w:t>. The guidance in this update requires that equity investments (except those accounted for under the equity method of accounting) be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The guidance also simplifies the impairment assessment of equity investments without readily determinable fair values by requiring a qualitative assessment to identify impairment. In addition, the guidance addresses various disclosure and presentation issues related to financial instruments. For public entities, this update was effective for fiscal years beginning after December 15, 2017 with early application permitted. The adoption of this update did not have a material impact on the consolidated financial statements. There was no opening balance sheet adjustment as a result of the adoption and the remainder of the standard was applied prospectively.</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 consensus of the FASB Emerging Issues Task</w:t>
      </w:r>
      <w:r>
        <w:rPr>
          <w:rFonts w:ascii="Arial" w:cs="Arial" w:eastAsia="Arial" w:hAnsi="Arial"/>
          <w:sz w:val="16"/>
          <w:szCs w:val="16"/>
          <w:color w:val="auto"/>
        </w:rPr>
        <w:t xml:space="preserve"> </w:t>
      </w:r>
      <w:r>
        <w:rPr>
          <w:rFonts w:ascii="Arial" w:cs="Arial" w:eastAsia="Arial" w:hAnsi="Arial"/>
          <w:sz w:val="16"/>
          <w:szCs w:val="16"/>
          <w:i w:val="1"/>
          <w:iCs w:val="1"/>
          <w:color w:val="auto"/>
        </w:rPr>
        <w:t>Force)</w:t>
      </w:r>
      <w:r>
        <w:rPr>
          <w:rFonts w:ascii="Arial" w:cs="Arial" w:eastAsia="Arial" w:hAnsi="Arial"/>
          <w:sz w:val="16"/>
          <w:szCs w:val="16"/>
          <w:color w:val="auto"/>
        </w:rPr>
        <w:t>. This ASU requires that the statement of cash flows explain the change during the period in the total of cash, cash equivalents, and amounts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as restricted cash or restricted cash equivalents. This guidance was effective for public entities for fiscal years beginning after December 15, 2017, including interim periods within that reporting period, and was applied retrospectively to each period presented. The adoption of this update did not have a material impact on the consolidated financial statements. There was no adjustment to prior periods as a result of the adoption.</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component from the other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was effective for fiscal years beginning after December 15, 2017, with retrospective presentation of the service cost and other components and prospective application for any capitalization of service cost. The adoption of this update did not have a material impact on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NLFC Holdings Corp.</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2018, United completed the acquisition of NLFC and its wholly-owned subsidiary, Navitas Credit Corp (“Navitas”). Navitas is a specialty lending company providing equipment finance credit services to small and medium-sized businesses nationwide. In connection with the acquisition, United acquired $393 million of assets and assumed $350 million of liabilities. Under the terms of the merger agreement, NLFC shareholders received $130 million in total consideration, of which $84.5 million was paid in cash and $45.7 million was paid in United common stock. The fair value of consideration paid exceeded the fair value of the identifiable assets and liabilities acquired and resulted in the establishment of goodwill in the amount of $87.4 million, representing the intangible value of NLFC’s business and reputation within the markets it served. None of the goodwill recognized is expected to be deductible for income tax purposes.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United’s operating results for the three and nine months ended September 30, 2018 include the operating results of the acquired assets and assumed liabilities for the period subsequent to the acquisition date of February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Recorded by</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As Recorded by</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NLFC</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 xml:space="preserve">Adjustments </w:t>
            </w:r>
            <w:r>
              <w:rPr>
                <w:rFonts w:ascii="Arial" w:cs="Arial" w:eastAsia="Arial" w:hAnsi="Arial"/>
                <w:sz w:val="14"/>
                <w:szCs w:val="14"/>
                <w:b w:val="1"/>
                <w:bCs w:val="1"/>
                <w:color w:val="auto"/>
                <w:w w:val="91"/>
              </w:rPr>
              <w:t>(1)</w:t>
            </w:r>
          </w:p>
        </w:tc>
        <w:tc>
          <w:tcPr>
            <w:tcW w:w="16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27,700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and leases,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Premises and equipment, net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4,051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398,978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393,300</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214,923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119,402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119,402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16,108</w:t>
            </w:r>
          </w:p>
        </w:tc>
        <w:tc>
          <w:tcPr>
            <w:tcW w:w="0" w:type="dxa"/>
            <w:vAlign w:val="bottom"/>
          </w:tcPr>
          <w:p>
            <w:pPr>
              <w:spacing w:after="0"/>
              <w:rPr>
                <w:sz w:val="1"/>
                <w:szCs w:val="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351,384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350,433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assets acquired over liabilities assumed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color w:val="auto"/>
              </w:rPr>
              <w:t>Aggregate fair value adjustments</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0" w:type="dxa"/>
            <w:vAlign w:val="bottom"/>
            <w:tcBorders>
              <w:bottom w:val="single" w:sz="8" w:color="CCEEFF"/>
            </w:tcBorders>
            <w:vMerge w:val="continue"/>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42,867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Consideration transferred</w:t>
            </w: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Common stock issued (1,443,987 shares)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130,246</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87,379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1" w:lineRule="auto"/>
        <w:tabs>
          <w:tab w:leader="none" w:pos="178"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acquisition date, within the one year measurement period, United received additional information regarding the fair value of loans. As a result, the provisional value assigned to the acquired loans was reduced by $526,000, partially offset by acquisition-related adjustments to deferred tax assets. The net of the adjustments was reflected as a $390,000 increase to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and lease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February 1, 2018</w:t>
            </w:r>
          </w:p>
        </w:tc>
      </w:tr>
      <w:tr>
        <w:trPr>
          <w:trHeight w:val="27"/>
        </w:trPr>
        <w:tc>
          <w:tcPr>
            <w:tcW w:w="9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Accounted for pursuant to ASC 310-30: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Contractually required principal and interest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24,711</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Non-accretable difference</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r>
      <w:tr>
        <w:trPr>
          <w:trHeight w:val="237"/>
        </w:trPr>
        <w:tc>
          <w:tcPr>
            <w:tcW w:w="9720" w:type="dxa"/>
            <w:vAlign w:val="bottom"/>
          </w:tcPr>
          <w:p>
            <w:pPr>
              <w:ind w:left="40"/>
              <w:spacing w:after="0"/>
              <w:rPr>
                <w:sz w:val="20"/>
                <w:szCs w:val="20"/>
                <w:color w:val="auto"/>
              </w:rPr>
            </w:pPr>
            <w:r>
              <w:rPr>
                <w:rFonts w:ascii="Arial" w:cs="Arial" w:eastAsia="Arial" w:hAnsi="Arial"/>
                <w:sz w:val="18"/>
                <w:szCs w:val="18"/>
                <w:color w:val="auto"/>
              </w:rPr>
              <w:t>Cash flows expected to be collected</w:t>
            </w: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19,206</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Accretable yield</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1,977</w:t>
            </w:r>
          </w:p>
        </w:tc>
      </w:tr>
      <w:tr>
        <w:trPr>
          <w:trHeight w:val="29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17,229</w:t>
            </w:r>
          </w:p>
        </w:tc>
      </w:tr>
      <w:tr>
        <w:trPr>
          <w:trHeight w:val="257"/>
        </w:trPr>
        <w:tc>
          <w:tcPr>
            <w:tcW w:w="9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b w:val="1"/>
                <w:bCs w:val="1"/>
                <w:color w:val="auto"/>
              </w:rPr>
              <w:t>Excluded from ASC 310-30:</w:t>
            </w: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341,123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Gross contractual amounts receivable</w:t>
            </w: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389,432</w:t>
            </w:r>
          </w:p>
        </w:tc>
      </w:tr>
      <w:tr>
        <w:trPr>
          <w:trHeight w:val="27"/>
        </w:trPr>
        <w:tc>
          <w:tcPr>
            <w:tcW w:w="9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 of contractual cash flows not expected to be collected</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8,624</w:t>
            </w:r>
          </w:p>
        </w:tc>
      </w:tr>
      <w:tr>
        <w:trPr>
          <w:trHeight w:val="27"/>
        </w:trPr>
        <w:tc>
          <w:tcPr>
            <w:tcW w:w="97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after announcement of its intention to acquire NLFC but prior to the completion of the acquisition, United purchased $19.9 million in loans from NLFC in a transaction separate from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Four Oaks Fincorp, Inc.</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1, 2017, United completed the acquisition of Four Oaks FinCorp, Inc. (“FOFN”) and its wholly-owned bank subsidiary, Four Oaks Bank &amp; Trust Company. Information related to the fair value of assets and liabilities acquired from FOFN is included in United’s Annual Report on Form 10-K for the year ended December 31, 2017. During first quarter 2018, within the one-year measurement period, United received additional information regarding the acquisition date fair values of loans held for sale and servicing assets. As a result, the provisional values assigned to the acquired loans held for sale and servicing assets have been adjusted to $10.7 million and $65,000, respectively, which represent an increase of $2.59 million and a decrease of $354,000, respectively, from amounts previously disclosed. The tax effect of these adjustments was reflected as a decrease to the deferred tax asset of $1.08 million, with the net amount of $1.16 million reflected as a decrease to goodwill.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HCSB Financial Corporation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31, 2017, United completed the acquisition of HCSB Financial Corporation (“HCSB”) and its wholly-owned bank subsidiary, Horry County State Bank. Information related to the fair value of assets and liabilities acquired from HCSB is included in United’s Annual Report on Form 10-K for the year ended December 31, 2017. During second quarter 2018, within the one-year measurement period, United received additional information regarding the acquisition date fair value of premises and equipment. As a result, the provisional value assigned to the acquired premises and equipment has been adjusted to $7.42 million, which represents a decrease of $493,000 from the amount previously disclosed. The tax effect of this adjustment was reflected as an increase to the deferred tax asset of $190,000, resulting in a net $303,000 increase to goodwill.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mergers with NLFC and HCSB since the respective acquisition dates through September 30 of the year of acquisition. The table also presents certain pro forma information as if NLFC had been acquired on January 1, 2017 and HCSB had been acquired on January 1, 2016. These results combine the historical results of the acquired entities with United’s consolidated statement of income and, while adjustments were made for the estimated impact of certain fair value adjustments and other acquisition-related activity, they are not necessarily indicative of what would have occurred had the acquisition taken place in earlier years.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Merger-related costs from the NLFC acquisition of $103,000 and $4.93 million, respectively, have been excluded from the three and nine months 2018 pro forma information presented below and included in the three and nine months 2017 pro forma information below. Merger-related costs from the HCSB acquisition of $1.62 million and $1.88 million, respectively, have been excluded from the three months and nine months 2017 pro forma information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 xml:space="preserve">The actual results and pro forma information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220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Income</w:t>
            </w:r>
          </w:p>
        </w:tc>
        <w:tc>
          <w:tcPr>
            <w:tcW w:w="0" w:type="dxa"/>
            <w:vAlign w:val="bottom"/>
          </w:tcPr>
          <w:p>
            <w:pPr>
              <w:spacing w:after="0"/>
              <w:rPr>
                <w:sz w:val="1"/>
                <w:szCs w:val="1"/>
                <w:color w:val="auto"/>
              </w:rPr>
            </w:pPr>
          </w:p>
        </w:tc>
      </w:tr>
      <w:tr>
        <w:trPr>
          <w:trHeight w:val="27"/>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NLFC results included in statement of income since acquisition date</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3"/>
              </w:rPr>
              <w:t>Supplemental consolidated pro forma as if NLFC had been acquired January 1, 2017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134,822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389,928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122,984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HCSB results included in statement of income since acquisition date</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9"/>
        </w:trPr>
        <w:tc>
          <w:tcPr>
            <w:tcW w:w="6400" w:type="dxa"/>
            <w:vAlign w:val="bottom"/>
          </w:tcPr>
          <w:p>
            <w:pPr>
              <w:ind w:left="40"/>
              <w:spacing w:after="0"/>
              <w:rPr>
                <w:sz w:val="20"/>
                <w:szCs w:val="20"/>
                <w:color w:val="auto"/>
              </w:rPr>
            </w:pPr>
            <w:r>
              <w:rPr>
                <w:rFonts w:ascii="Arial" w:cs="Arial" w:eastAsia="Arial" w:hAnsi="Arial"/>
                <w:sz w:val="18"/>
                <w:szCs w:val="18"/>
                <w:color w:val="auto"/>
                <w:w w:val="93"/>
              </w:rPr>
              <w:t>Supplemental consolidated pro forma as if NLFC had been acquired January 1, 2017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and HCSB had been acquired January 1, 2016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115,349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342,939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79,060</w:t>
            </w:r>
          </w:p>
        </w:tc>
        <w:tc>
          <w:tcPr>
            <w:tcW w:w="0" w:type="dxa"/>
            <w:vAlign w:val="bottom"/>
          </w:tcPr>
          <w:p>
            <w:pPr>
              <w:spacing w:after="0"/>
              <w:rPr>
                <w:sz w:val="1"/>
                <w:szCs w:val="1"/>
                <w:color w:val="auto"/>
              </w:rPr>
            </w:pPr>
          </w:p>
        </w:tc>
      </w:tr>
      <w:tr>
        <w:trPr>
          <w:trHeight w:val="702"/>
        </w:trPr>
        <w:tc>
          <w:tcPr>
            <w:tcW w:w="6400" w:type="dxa"/>
            <w:vAlign w:val="bottom"/>
          </w:tcPr>
          <w:p>
            <w:pPr>
              <w:ind w:left="562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7"/>
          <w:szCs w:val="17"/>
          <w:i w:val="1"/>
          <w:iCs w:val="1"/>
          <w:color w:val="auto"/>
        </w:rPr>
        <w:t>Offsetting.</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Gross Amounts not Offset in the Balance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3"/>
          </w:tcPr>
          <w:p>
            <w:pPr>
              <w:jc w:val="center"/>
              <w:ind w:left="808"/>
              <w:spacing w:after="0" w:line="149" w:lineRule="exact"/>
              <w:rPr>
                <w:sz w:val="20"/>
                <w:szCs w:val="20"/>
                <w:color w:val="auto"/>
              </w:rPr>
            </w:pPr>
            <w:r>
              <w:rPr>
                <w:rFonts w:ascii="Arial" w:cs="Arial" w:eastAsia="Arial" w:hAnsi="Arial"/>
                <w:sz w:val="14"/>
                <w:szCs w:val="14"/>
                <w:b w:val="1"/>
                <w:bCs w:val="1"/>
                <w:color w:val="auto"/>
                <w:w w:val="89"/>
              </w:rPr>
              <w:t>Sheet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Net Asset</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29,895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29,895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15,074</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29,895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15,074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Weighted average interest rate of reverse repurchase</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agreements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Net Liability</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Pledged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39,116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39,116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(18,849)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19,745</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89,116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19,745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interest rate of repurchase agreements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Net Asset</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22,721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22,721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(6,369)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122,721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36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Weighted average interest rate of reverse repurchase</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agreements</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24"/>
                <w:szCs w:val="24"/>
                <w:color w:val="auto"/>
              </w:rPr>
            </w:pPr>
          </w:p>
        </w:tc>
        <w:tc>
          <w:tcPr>
            <w:tcW w:w="25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Gross Amounts not Offset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Amounts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the Balance Sheet</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restart"/>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Amounts of</w:t>
            </w: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26" w:lineRule="exact"/>
              <w:rPr>
                <w:sz w:val="20"/>
                <w:szCs w:val="20"/>
                <w:color w:val="auto"/>
              </w:rPr>
            </w:pPr>
            <w:r>
              <w:rPr>
                <w:rFonts w:ascii="Arial" w:cs="Arial" w:eastAsia="Arial" w:hAnsi="Arial"/>
                <w:sz w:val="14"/>
                <w:szCs w:val="14"/>
                <w:b w:val="1"/>
                <w:bCs w:val="1"/>
                <w:color w:val="auto"/>
                <w:w w:val="92"/>
              </w:rPr>
              <w:t>Offset on the</w:t>
            </w: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Liability</w:t>
            </w:r>
          </w:p>
        </w:tc>
        <w:tc>
          <w:tcPr>
            <w:tcW w:w="180" w:type="dxa"/>
            <w:vAlign w:val="bottom"/>
          </w:tcPr>
          <w:p>
            <w:pPr>
              <w:spacing w:after="0"/>
              <w:rPr>
                <w:sz w:val="4"/>
                <w:szCs w:val="4"/>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Financial</w:t>
            </w:r>
          </w:p>
        </w:tc>
        <w:tc>
          <w:tcPr>
            <w:tcW w:w="220" w:type="dxa"/>
            <w:vAlign w:val="bottom"/>
          </w:tcPr>
          <w:p>
            <w:pPr>
              <w:spacing w:after="0"/>
              <w:rPr>
                <w:sz w:val="4"/>
                <w:szCs w:val="4"/>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Collateral</w:t>
            </w:r>
          </w:p>
        </w:tc>
        <w:tc>
          <w:tcPr>
            <w:tcW w:w="200" w:type="dxa"/>
            <w:vAlign w:val="bottom"/>
          </w:tcPr>
          <w:p>
            <w:pPr>
              <w:spacing w:after="0"/>
              <w:rPr>
                <w:sz w:val="4"/>
                <w:szCs w:val="4"/>
                <w:color w:val="auto"/>
              </w:rPr>
            </w:pPr>
          </w:p>
        </w:tc>
        <w:tc>
          <w:tcPr>
            <w:tcW w:w="9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3"/>
              </w:rPr>
              <w:t>Sheet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Instruments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Pledged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5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9"/>
              </w:rPr>
              <w:t>Repurchase agreements / reverse repurchase agreements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660" w:type="dxa"/>
            <w:vAlign w:val="bottom"/>
            <w:gridSpan w:val="2"/>
          </w:tcPr>
          <w:p>
            <w:pPr>
              <w:ind w:left="40"/>
              <w:spacing w:after="0"/>
              <w:rPr>
                <w:sz w:val="20"/>
                <w:szCs w:val="20"/>
                <w:color w:val="auto"/>
              </w:rPr>
            </w:pPr>
            <w:r>
              <w:rPr>
                <w:rFonts w:ascii="Arial" w:cs="Arial" w:eastAsia="Arial" w:hAnsi="Arial"/>
                <w:sz w:val="14"/>
                <w:szCs w:val="14"/>
                <w:color w:val="auto"/>
              </w:rPr>
              <w:t>Derivatives</w:t>
            </w:r>
          </w:p>
        </w:tc>
        <w:tc>
          <w:tcPr>
            <w:tcW w:w="200" w:type="dxa"/>
            <w:vAlign w:val="bottom"/>
          </w:tcPr>
          <w:p>
            <w:pPr>
              <w:spacing w:after="0"/>
              <w:rPr>
                <w:sz w:val="22"/>
                <w:szCs w:val="22"/>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25,376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25,376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43"/>
        </w:trPr>
        <w:tc>
          <w:tcPr>
            <w:tcW w:w="36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125,376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Weighted average interest rate of repurchase agreements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2018, United recognized the right to reclaim cash collateral of $18.8 million and the obligation to return cash collateral of $14.3 million. At December 31, 2017, United recognized the right to reclaim cash collateral of $17.2 million and the obligation to return cash collateral of $6.37 million. The right to reclaim cash collateral and the obligation to return cash collateral were included in the consolidated balance sheets in other assets and other liabilities, respectively.</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1"/>
              </w:rPr>
              <w:t>Remaining Contractual Maturity of the Agreements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Overnight and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160" w:type="dxa"/>
            <w:vAlign w:val="bottom"/>
          </w:tcPr>
          <w:p>
            <w:pPr>
              <w:spacing w:after="0"/>
              <w:rPr>
                <w:sz w:val="23"/>
                <w:szCs w:val="2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Continuous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Up to 30 Days</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30 to 90 Days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91 to 110 days</w:t>
            </w:r>
          </w:p>
        </w:tc>
        <w:tc>
          <w:tcPr>
            <w:tcW w:w="34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358"/>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5"/>
              </w:rPr>
              <w:t>Gross amount of recognized liabilities for repurchase agreements in offsetting disclosure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gridSpan w:val="5"/>
          </w:tcPr>
          <w:p>
            <w:pPr>
              <w:ind w:left="40"/>
              <w:spacing w:after="0"/>
              <w:rPr>
                <w:sz w:val="20"/>
                <w:szCs w:val="20"/>
                <w:color w:val="auto"/>
              </w:rPr>
            </w:pPr>
            <w:r>
              <w:rPr>
                <w:rFonts w:ascii="Arial" w:cs="Arial" w:eastAsia="Arial" w:hAnsi="Arial"/>
                <w:sz w:val="18"/>
                <w:szCs w:val="18"/>
                <w:color w:val="auto"/>
                <w:w w:val="95"/>
              </w:rPr>
              <w:t>Amounts related to agreements not included in offsetting disclosure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8"/>
            <w:vMerge w:val="restart"/>
          </w:tcPr>
          <w:p>
            <w:pPr>
              <w:jc w:val="center"/>
              <w:ind w:right="300"/>
              <w:spacing w:after="0"/>
              <w:rPr>
                <w:sz w:val="20"/>
                <w:szCs w:val="20"/>
                <w:color w:val="auto"/>
              </w:rPr>
            </w:pPr>
            <w:r>
              <w:rPr>
                <w:rFonts w:ascii="Arial" w:cs="Arial" w:eastAsia="Arial" w:hAnsi="Arial"/>
                <w:sz w:val="18"/>
                <w:szCs w:val="18"/>
                <w:b w:val="1"/>
                <w:bCs w:val="1"/>
                <w:color w:val="auto"/>
                <w:w w:val="91"/>
              </w:rPr>
              <w:t>Remaining Contractual Maturity of the Agreements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80" w:type="dxa"/>
            <w:vAlign w:val="bottom"/>
            <w:gridSpan w:val="8"/>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Overnight and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23"/>
                <w:szCs w:val="2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Continuous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Up to 30 Days</w:t>
            </w:r>
          </w:p>
        </w:tc>
        <w:tc>
          <w:tcPr>
            <w:tcW w:w="180" w:type="dxa"/>
            <w:vAlign w:val="bottom"/>
          </w:tcPr>
          <w:p>
            <w:pPr>
              <w:spacing w:after="0"/>
              <w:rPr>
                <w:sz w:val="23"/>
                <w:szCs w:val="23"/>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30 to 90 Days</w:t>
            </w:r>
          </w:p>
        </w:tc>
        <w:tc>
          <w:tcPr>
            <w:tcW w:w="160" w:type="dxa"/>
            <w:vAlign w:val="bottom"/>
          </w:tcPr>
          <w:p>
            <w:pPr>
              <w:spacing w:after="0"/>
              <w:rPr>
                <w:sz w:val="23"/>
                <w:szCs w:val="23"/>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91 to 110 days</w:t>
            </w:r>
          </w:p>
        </w:tc>
        <w:tc>
          <w:tcPr>
            <w:tcW w:w="340" w:type="dxa"/>
            <w:vAlign w:val="bottom"/>
          </w:tcPr>
          <w:p>
            <w:pPr>
              <w:spacing w:after="0"/>
              <w:rPr>
                <w:sz w:val="23"/>
                <w:szCs w:val="23"/>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331"/>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67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6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8"/>
                <w:szCs w:val="18"/>
                <w:color w:val="auto"/>
                <w:w w:val="95"/>
              </w:rPr>
              <w:t>Gross amount of recognized liabilities for repurchase agreements in offsetting disclosure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0"/>
        </w:trPr>
        <w:tc>
          <w:tcPr>
            <w:tcW w:w="52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00" w:type="dxa"/>
            <w:vAlign w:val="bottom"/>
            <w:gridSpan w:val="5"/>
          </w:tcPr>
          <w:p>
            <w:pPr>
              <w:ind w:left="40"/>
              <w:spacing w:after="0"/>
              <w:rPr>
                <w:sz w:val="20"/>
                <w:szCs w:val="20"/>
                <w:color w:val="auto"/>
              </w:rPr>
            </w:pPr>
            <w:r>
              <w:rPr>
                <w:rFonts w:ascii="Arial" w:cs="Arial" w:eastAsia="Arial" w:hAnsi="Arial"/>
                <w:sz w:val="18"/>
                <w:szCs w:val="18"/>
                <w:color w:val="auto"/>
                <w:w w:val="95"/>
              </w:rPr>
              <w:t>Amounts related to agreements not included in offsetting disclosure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64"/>
        </w:trPr>
        <w:tc>
          <w:tcPr>
            <w:tcW w:w="470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68,277</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216,546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209,196</w:t>
            </w:r>
          </w:p>
        </w:tc>
      </w:tr>
      <w:tr>
        <w:trPr>
          <w:trHeight w:val="270"/>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285,739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277,473</w:t>
            </w:r>
          </w:p>
        </w:tc>
      </w:tr>
      <w:tr>
        <w:trPr>
          <w:trHeight w:val="257"/>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4"/>
        </w:trPr>
        <w:tc>
          <w:tcPr>
            <w:tcW w:w="4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71,959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73,355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249,135</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247,921</w:t>
            </w: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6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321,094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321,276</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All are residential type mortgage-backed securities or U.S. government agency commercial mortgage backed securities.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8"/>
                <w:szCs w:val="18"/>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Fair</w:t>
            </w:r>
          </w:p>
        </w:tc>
      </w:tr>
      <w:tr>
        <w:trPr>
          <w:trHeight w:val="234"/>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Cost</w:t>
            </w: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Gains</w:t>
            </w:r>
          </w:p>
        </w:tc>
        <w:tc>
          <w:tcPr>
            <w:tcW w:w="26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3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318"/>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25,613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25,277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221,316</w:t>
            </w: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1,821,855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49,485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1,773,725</w:t>
            </w: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199,581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220,847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220,441</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r>
      <w:tr>
        <w:trPr>
          <w:trHeight w:val="318"/>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2,646,581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2,587,559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11"/>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318"/>
        </w:trPr>
        <w:tc>
          <w:tcPr>
            <w:tcW w:w="4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26,129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26,372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197,286</w:t>
            </w:r>
          </w:p>
        </w:tc>
      </w:tr>
      <w:tr>
        <w:trPr>
          <w:trHeight w:val="262"/>
        </w:trPr>
        <w:tc>
          <w:tcPr>
            <w:tcW w:w="4700" w:type="dxa"/>
            <w:vAlign w:val="bottom"/>
          </w:tcPr>
          <w:p>
            <w:pPr>
              <w:ind w:left="40"/>
              <w:spacing w:after="0"/>
              <w:rPr>
                <w:sz w:val="20"/>
                <w:szCs w:val="20"/>
                <w:color w:val="auto"/>
              </w:rPr>
            </w:pPr>
            <w:r>
              <w:rPr>
                <w:rFonts w:ascii="Arial" w:cs="Arial" w:eastAsia="Arial" w:hAnsi="Arial"/>
                <w:sz w:val="18"/>
                <w:szCs w:val="18"/>
                <w:color w:val="auto"/>
              </w:rPr>
              <w:t>Mortgage-backed securities</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1,738,056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17,934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1,727,211</w:t>
            </w: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306,353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237,458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318"/>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2,623,728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2,615,850</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60" w:firstLine="8"/>
        <w:spacing w:after="0" w:line="252" w:lineRule="auto"/>
        <w:tabs>
          <w:tab w:leader="none" w:pos="192"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All are residential type or U.S. government agency commercial mortgage-backed securities, with the exception of $15.5 million of private-label commercial mortgage-backed securities at September 30, 2018.</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$833 million and $1.04 billion were pledged to secure public deposits, derivatives and other secured borrowings at September 30, 2018 and December 31, 2017,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91"/>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7,989</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94,994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208,376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9,618</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91"/>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95,353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65,868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161,221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3,425</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65,868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170,190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3,603</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60" w:type="dxa"/>
            <w:vAlign w:val="bottom"/>
            <w:gridSpan w:val="5"/>
          </w:tcPr>
          <w:p>
            <w:pPr>
              <w:ind w:left="400"/>
              <w:spacing w:after="0"/>
              <w:rPr>
                <w:sz w:val="20"/>
                <w:szCs w:val="20"/>
                <w:color w:val="auto"/>
              </w:rPr>
            </w:pPr>
            <w:r>
              <w:rPr>
                <w:rFonts w:ascii="Arial" w:cs="Arial" w:eastAsia="Arial" w:hAnsi="Arial"/>
                <w:sz w:val="18"/>
                <w:szCs w:val="18"/>
                <w:b w:val="1"/>
                <w:bCs w:val="1"/>
                <w:color w:val="auto"/>
              </w:rPr>
              <w:t>12 Months or More</w:t>
            </w: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Unrealized</w:t>
            </w:r>
          </w:p>
        </w:tc>
      </w:t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318"/>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1,024,510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635,824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28,192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1,660,334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49,485</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106,687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108,172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959</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1,488,197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752,556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2,240,753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62,001</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318"/>
        </w:trPr>
        <w:tc>
          <w:tcPr>
            <w:tcW w:w="3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964,205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328,923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1,293,128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17,934</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33,726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341,662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19,846</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there were 314 available-for-sale securities and 73 held-to-maturity securities that were in an unrealized loss position. United does not intend to sell nor believes it will be required to sell securities in an unrealized loss position prior to the recovery of their amortized cost basis. Unrealized losses at September 30, 2018 were primarily attributable to changes in interest rates.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and nine months ended September 30, 2018 or 2017.</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2018 and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c>
          <w:tcPr>
            <w:tcW w:w="0" w:type="dxa"/>
            <w:vAlign w:val="bottom"/>
          </w:tcPr>
          <w:p>
            <w:pPr>
              <w:spacing w:after="0"/>
              <w:rPr>
                <w:sz w:val="1"/>
                <w:szCs w:val="1"/>
                <w:color w:val="auto"/>
              </w:rPr>
            </w:pPr>
          </w:p>
        </w:tc>
      </w:tr>
      <w:tr>
        <w:trPr>
          <w:trHeight w:val="234"/>
        </w:trPr>
        <w:tc>
          <w:tcPr>
            <w:tcW w:w="4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181,119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156,679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275,769</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gains on sales</w:t>
            </w:r>
          </w:p>
        </w:tc>
        <w:tc>
          <w:tcPr>
            <w:tcW w:w="2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Gross losses on sales</w:t>
            </w:r>
          </w:p>
        </w:tc>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(losses) gains on sales of securities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 (benefit) attributable to sales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September 30, 2018,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5"/>
          </w:tcPr>
          <w:p>
            <w:pPr>
              <w:ind w:left="760"/>
              <w:spacing w:after="0"/>
              <w:rPr>
                <w:sz w:val="20"/>
                <w:szCs w:val="20"/>
                <w:color w:val="auto"/>
              </w:rPr>
            </w:pPr>
            <w:r>
              <w:rPr>
                <w:rFonts w:ascii="Arial" w:cs="Arial" w:eastAsia="Arial" w:hAnsi="Arial"/>
                <w:sz w:val="18"/>
                <w:szCs w:val="18"/>
                <w:b w:val="1"/>
                <w:bCs w:val="1"/>
                <w:color w:val="auto"/>
              </w:rPr>
              <w:t>Available-for-Sale</w:t>
            </w:r>
          </w:p>
        </w:tc>
        <w:tc>
          <w:tcPr>
            <w:tcW w:w="140" w:type="dxa"/>
            <w:vAlign w:val="bottom"/>
          </w:tcPr>
          <w:p>
            <w:pPr>
              <w:spacing w:after="0"/>
              <w:rPr>
                <w:sz w:val="20"/>
                <w:szCs w:val="20"/>
                <w:color w:val="auto"/>
              </w:rPr>
            </w:pPr>
          </w:p>
        </w:tc>
        <w:tc>
          <w:tcPr>
            <w:tcW w:w="29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Held-to-Maturity</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Amortized Cost</w:t>
            </w:r>
          </w:p>
        </w:tc>
        <w:tc>
          <w:tcPr>
            <w:tcW w:w="240" w:type="dxa"/>
            <w:vAlign w:val="bottom"/>
          </w:tcPr>
          <w:p>
            <w:pPr>
              <w:spacing w:after="0"/>
              <w:rPr>
                <w:sz w:val="20"/>
                <w:szCs w:val="20"/>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122,427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118,285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150,529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146,418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5,883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44,184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138,427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135,225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42,160</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226,243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221,316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69,193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68,277</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17,276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16,757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200,693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193,491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193,095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220,847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Total securities other than equity and mortgage-backed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5,883</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1 to 5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116,918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115,557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10,055</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42,160</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1,821,855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1,773,725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216,546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209,196</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3"/>
        </w:trPr>
        <w:tc>
          <w:tcPr>
            <w:tcW w:w="5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2,646,581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2,587,559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285,739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277,473</w:t>
            </w:r>
          </w:p>
        </w:tc>
      </w:tr>
      <w:tr>
        <w:trPr>
          <w:trHeight w:val="27"/>
        </w:trPr>
        <w:tc>
          <w:tcPr>
            <w:tcW w:w="5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2017</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1,923,993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1,787,888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1,595,174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1,130,990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761,571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711,936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508,651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28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5,925,029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5,362,093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1,034,962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973,544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702,279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731,227</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124,064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127,504</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358,185</w:t>
            </w:r>
          </w:p>
        </w:tc>
      </w:tr>
      <w:tr>
        <w:trPr>
          <w:trHeight w:val="318"/>
        </w:trPr>
        <w:tc>
          <w:tcPr>
            <w:tcW w:w="7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loans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8,226,466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7,735,572</w:t>
            </w:r>
          </w:p>
        </w:tc>
      </w:tr>
      <w:tr>
        <w:trPr>
          <w:trHeight w:val="324"/>
        </w:trPr>
        <w:tc>
          <w:tcPr>
            <w:tcW w:w="7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loan losses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r>
      <w:tr>
        <w:trPr>
          <w:trHeight w:val="318"/>
        </w:trPr>
        <w:tc>
          <w:tcPr>
            <w:tcW w:w="7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8,165,526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7,676,658</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and December 31, 2017, loans totaling $3.81 billion and $3.73 billion, respectively, were pledged as collateral to secure Federal Home Loan Bank advances, securitized notes payable and other contingent funding sources.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September 30, 2018, the carrying value and outstanding balance of purchased credit impaired (“PCI”) loans accounted for under ASC 310-30, </w:t>
      </w:r>
      <w:r>
        <w:rPr>
          <w:rFonts w:ascii="Arial" w:cs="Arial" w:eastAsia="Arial" w:hAnsi="Arial"/>
          <w:sz w:val="18"/>
          <w:szCs w:val="18"/>
          <w:i w:val="1"/>
          <w:iCs w:val="1"/>
          <w:color w:val="auto"/>
        </w:rPr>
        <w:t>Loans and</w:t>
      </w:r>
      <w:r>
        <w:rPr>
          <w:rFonts w:ascii="Arial" w:cs="Arial" w:eastAsia="Arial" w:hAnsi="Arial"/>
          <w:sz w:val="18"/>
          <w:szCs w:val="18"/>
          <w:color w:val="auto"/>
        </w:rPr>
        <w:t xml:space="preserve"> </w:t>
      </w:r>
      <w:r>
        <w:rPr>
          <w:rFonts w:ascii="Arial" w:cs="Arial" w:eastAsia="Arial" w:hAnsi="Arial"/>
          <w:sz w:val="18"/>
          <w:szCs w:val="18"/>
          <w:i w:val="1"/>
          <w:iCs w:val="1"/>
          <w:color w:val="auto"/>
        </w:rPr>
        <w:t>Debt Securities Acquired with Deteriorated Credit Quality</w:t>
      </w:r>
      <w:r>
        <w:rPr>
          <w:rFonts w:ascii="Arial" w:cs="Arial" w:eastAsia="Arial" w:hAnsi="Arial"/>
          <w:sz w:val="18"/>
          <w:szCs w:val="18"/>
          <w:color w:val="auto"/>
        </w:rPr>
        <w:t>, were $84.0 million and $123 million, respectively. At December 31, 2017, the carrying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balance of PCI loans were $98.5 million and $142 million, respectively. The following table presents changes in the balance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6"/>
              </w:rPr>
              <w:t>Nine Months Ended</w:t>
            </w:r>
          </w:p>
        </w:tc>
      </w:tr>
      <w:tr>
        <w:trPr>
          <w:trHeight w:val="234"/>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Additions due to acquisitions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3,410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Reclassification from nonaccretable difference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5,879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expected cash flows that do not affect nonaccretable difference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24,678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24,678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14,598</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the accretable yield on PCI loans, the fair value adjustments on purchased loans outside the scope of ASC 310-30 are also accreted to interest revenue over the life of the loans. At September 30, 2018 and December 31, 2017, the remaining accretable net fair value discount on loans acquired through a business combination and not accounted for under ASC 310-30 was $4.19 million and $14.7 million, respectively. At September 30, 2018, the net fair value discount of $4.19 million included a net premium on loans acquired with NLFC. In addition, indirect auto loans purchased at a premium outside of a business combination had a remaining premium of $4.53 million and $7.84 million, respectively, as of September 30, 2018 and December 31, 2017. During the three and nine months ended September 30, 2018, United did not purchase any indirect auto loans. During the three months ended September 30, 2017, United did not purchase any indirect auto loans. During the nine months ended September 30, 2017, United purchased $81.7 million of indirect auto loans.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At September 30, 2018, equipment financing assets included leases of $26.1 million. The components of the net investment in leases are presented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30, 2018</w:t>
            </w:r>
          </w:p>
        </w:tc>
      </w:tr>
      <w:tr>
        <w:trPr>
          <w:trHeight w:val="27"/>
        </w:trPr>
        <w:tc>
          <w:tcPr>
            <w:tcW w:w="9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507"/>
        </w:trPr>
        <w:tc>
          <w:tcPr>
            <w:tcW w:w="9360" w:type="dxa"/>
            <w:vAlign w:val="bottom"/>
          </w:tcPr>
          <w:p>
            <w:pPr>
              <w:ind w:left="40"/>
              <w:spacing w:after="0"/>
              <w:rPr>
                <w:sz w:val="20"/>
                <w:szCs w:val="20"/>
                <w:color w:val="auto"/>
              </w:rPr>
            </w:pPr>
            <w:r>
              <w:rPr>
                <w:rFonts w:ascii="Arial" w:cs="Arial" w:eastAsia="Arial" w:hAnsi="Arial"/>
                <w:sz w:val="18"/>
                <w:szCs w:val="18"/>
                <w:color w:val="auto"/>
              </w:rPr>
              <w:t>Minimum future lease payments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27,472</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residual value of leased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Initial direct costs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767</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Purchase accounting premium</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995</w:t>
            </w:r>
          </w:p>
        </w:tc>
      </w:tr>
      <w:tr>
        <w:trPr>
          <w:trHeight w:val="27"/>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57"/>
        </w:trPr>
        <w:tc>
          <w:tcPr>
            <w:tcW w:w="9360" w:type="dxa"/>
            <w:vAlign w:val="bottom"/>
          </w:tcPr>
          <w:p>
            <w:pPr>
              <w:ind w:left="280"/>
              <w:spacing w:after="0"/>
              <w:rPr>
                <w:sz w:val="20"/>
                <w:szCs w:val="20"/>
                <w:color w:val="auto"/>
              </w:rPr>
            </w:pPr>
            <w:r>
              <w:rPr>
                <w:rFonts w:ascii="Arial" w:cs="Arial" w:eastAsia="Arial" w:hAnsi="Arial"/>
                <w:sz w:val="18"/>
                <w:szCs w:val="18"/>
                <w:color w:val="auto"/>
              </w:rPr>
              <w:t>Net investment in leases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26,126</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Minimum future lease payments expected to be received from lease contracts as of September 30, 2018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60" w:type="dxa"/>
            <w:vAlign w:val="bottom"/>
            <w:tcBorders>
              <w:top w:val="single" w:sz="8" w:color="CCEEFF"/>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128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3,089</w:t>
            </w:r>
          </w:p>
        </w:tc>
        <w:tc>
          <w:tcPr>
            <w:tcW w:w="364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3700"/>
              <w:spacing w:after="0"/>
              <w:rPr>
                <w:sz w:val="20"/>
                <w:szCs w:val="20"/>
                <w:color w:val="auto"/>
              </w:rPr>
            </w:pPr>
            <w:r>
              <w:rPr>
                <w:rFonts w:ascii="Arial" w:cs="Arial" w:eastAsia="Arial" w:hAnsi="Arial"/>
                <w:sz w:val="18"/>
                <w:szCs w:val="18"/>
                <w:color w:val="auto"/>
              </w:rPr>
              <w:t>2019</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10,485</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2020</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7,479</w:t>
            </w:r>
          </w:p>
        </w:tc>
        <w:tc>
          <w:tcPr>
            <w:tcW w:w="3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2"/>
          </w:tcPr>
          <w:p>
            <w:pPr>
              <w:ind w:left="3700"/>
              <w:spacing w:after="0"/>
              <w:rPr>
                <w:sz w:val="20"/>
                <w:szCs w:val="20"/>
                <w:color w:val="auto"/>
              </w:rPr>
            </w:pPr>
            <w:r>
              <w:rPr>
                <w:rFonts w:ascii="Arial" w:cs="Arial" w:eastAsia="Arial" w:hAnsi="Arial"/>
                <w:sz w:val="18"/>
                <w:szCs w:val="18"/>
                <w:color w:val="auto"/>
              </w:rPr>
              <w:t>2021</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4,063</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2022</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1,885</w:t>
            </w:r>
          </w:p>
        </w:tc>
        <w:tc>
          <w:tcPr>
            <w:tcW w:w="3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3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shd w:val="clear" w:color="auto" w:fill="CCEEFF"/>
          </w:tcPr>
          <w:p>
            <w:pPr>
              <w:spacing w:after="0"/>
              <w:rPr>
                <w:sz w:val="22"/>
                <w:szCs w:val="22"/>
                <w:color w:val="auto"/>
              </w:rPr>
            </w:pPr>
          </w:p>
        </w:tc>
        <w:tc>
          <w:tcPr>
            <w:tcW w:w="1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27,472</w:t>
            </w:r>
          </w:p>
        </w:tc>
        <w:tc>
          <w:tcPr>
            <w:tcW w:w="36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20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2"/>
                <w:szCs w:val="12"/>
                <w:color w:val="auto"/>
              </w:rPr>
            </w:pPr>
          </w:p>
        </w:tc>
        <w:tc>
          <w:tcPr>
            <w:tcW w:w="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Charge-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2"/>
                <w:szCs w:val="12"/>
                <w:color w:val="auto"/>
              </w:rPr>
            </w:pPr>
          </w:p>
        </w:tc>
        <w:tc>
          <w:tcPr>
            <w:tcW w:w="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2"/>
                <w:szCs w:val="12"/>
                <w:color w:val="auto"/>
              </w:rPr>
            </w:pPr>
          </w:p>
        </w:tc>
        <w:tc>
          <w:tcPr>
            <w:tcW w:w="660" w:type="dxa"/>
            <w:vAlign w:val="bottom"/>
          </w:tcPr>
          <w:p>
            <w:pPr>
              <w:jc w:val="right"/>
              <w:ind w:right="109"/>
              <w:spacing w:after="0" w:line="147"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Offs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20" w:type="dxa"/>
            <w:vAlign w:val="bottom"/>
          </w:tcPr>
          <w:p>
            <w:pPr>
              <w:spacing w:after="0"/>
              <w:rPr>
                <w:sz w:val="16"/>
                <w:szCs w:val="16"/>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(Release)Provision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Offs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56"/>
        </w:trPr>
        <w:tc>
          <w:tcPr>
            <w:tcW w:w="20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Owner occupied commercial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12,909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12,454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15,422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14,842</w:t>
            </w:r>
          </w:p>
        </w:tc>
        <w:tc>
          <w:tcPr>
            <w:tcW w:w="0" w:type="dxa"/>
            <w:vAlign w:val="bottom"/>
          </w:tcPr>
          <w:p>
            <w:pPr>
              <w:spacing w:after="0"/>
              <w:rPr>
                <w:sz w:val="1"/>
                <w:szCs w:val="1"/>
                <w:color w:val="auto"/>
              </w:rPr>
            </w:pPr>
          </w:p>
        </w:tc>
      </w:tr>
      <w:tr>
        <w:trPr>
          <w:trHeight w:val="163"/>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producing commercial</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4,205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3,620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10,206</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9,798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9,630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4,943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4,590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4,721</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264"/>
        </w:trPr>
        <w:tc>
          <w:tcPr>
            <w:tcW w:w="204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765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2,010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37"/>
        </w:trPr>
        <w:tc>
          <w:tcPr>
            <w:tcW w:w="204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loan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6"/>
                <w:szCs w:val="16"/>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61,071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59,500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58,605</w:t>
            </w:r>
          </w:p>
        </w:tc>
        <w:tc>
          <w:tcPr>
            <w:tcW w:w="0" w:type="dxa"/>
            <w:vAlign w:val="bottom"/>
          </w:tcPr>
          <w:p>
            <w:pPr>
              <w:spacing w:after="0"/>
              <w:rPr>
                <w:sz w:val="1"/>
                <w:szCs w:val="1"/>
                <w:color w:val="auto"/>
              </w:rPr>
            </w:pPr>
          </w:p>
        </w:tc>
      </w:tr>
      <w:tr>
        <w:trPr>
          <w:trHeight w:val="163"/>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Allowance for unfunded</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37"/>
        </w:trPr>
        <w:tc>
          <w:tcPr>
            <w:tcW w:w="204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credit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63,966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11"/>
                <w:szCs w:val="11"/>
                <w:color w:val="auto"/>
              </w:rPr>
            </w:pPr>
          </w:p>
        </w:tc>
        <w:tc>
          <w:tcPr>
            <w:tcW w:w="3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1,800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64,300</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61,722</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(3,452)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61,087</w:t>
            </w:r>
          </w:p>
        </w:tc>
        <w:tc>
          <w:tcPr>
            <w:tcW w:w="0" w:type="dxa"/>
            <w:vAlign w:val="bottom"/>
          </w:tcPr>
          <w:p>
            <w:pPr>
              <w:spacing w:after="0"/>
              <w:rPr>
                <w:sz w:val="1"/>
                <w:szCs w:val="1"/>
                <w:color w:val="auto"/>
              </w:rPr>
            </w:pPr>
          </w:p>
        </w:tc>
      </w:tr>
      <w:tr>
        <w:trPr>
          <w:trHeight w:val="186"/>
        </w:trPr>
        <w:tc>
          <w:tcPr>
            <w:tcW w:w="204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2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248"/>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w:t>
            </w: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Beginning</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2"/>
                <w:szCs w:val="12"/>
                <w:color w:val="auto"/>
              </w:rPr>
            </w:pPr>
          </w:p>
        </w:tc>
        <w:tc>
          <w:tcPr>
            <w:tcW w:w="76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Ending</w:t>
            </w:r>
          </w:p>
        </w:tc>
        <w:tc>
          <w:tcPr>
            <w:tcW w:w="100" w:type="dxa"/>
            <w:vAlign w:val="bottom"/>
          </w:tcPr>
          <w:p>
            <w:pPr>
              <w:spacing w:after="0"/>
              <w:rPr>
                <w:sz w:val="12"/>
                <w:szCs w:val="12"/>
                <w:color w:val="auto"/>
              </w:rPr>
            </w:pPr>
          </w:p>
        </w:tc>
        <w:tc>
          <w:tcPr>
            <w:tcW w:w="800" w:type="dxa"/>
            <w:vAlign w:val="bottom"/>
            <w:gridSpan w:val="2"/>
          </w:tcPr>
          <w:p>
            <w:pPr>
              <w:ind w:left="20"/>
              <w:spacing w:after="0" w:line="146"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2"/>
                <w:szCs w:val="12"/>
                <w:color w:val="auto"/>
              </w:rPr>
            </w:pPr>
          </w:p>
        </w:tc>
        <w:tc>
          <w:tcPr>
            <w:tcW w:w="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Charge-</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2"/>
                <w:szCs w:val="12"/>
                <w:color w:val="auto"/>
              </w:rPr>
            </w:pPr>
          </w:p>
        </w:tc>
        <w:tc>
          <w:tcPr>
            <w:tcW w:w="660" w:type="dxa"/>
            <w:vAlign w:val="bottom"/>
          </w:tcPr>
          <w:p>
            <w:pPr>
              <w:jc w:val="right"/>
              <w:ind w:right="109"/>
              <w:spacing w:after="0" w:line="147" w:lineRule="exact"/>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Charge-Offs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88"/>
              </w:rPr>
              <w:t>Recoveries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Offs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87"/>
              </w:rPr>
              <w:t>Provision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56"/>
        </w:trPr>
        <w:tc>
          <w:tcPr>
            <w:tcW w:w="22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Owner occupied commercial real</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estate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14,776</w:t>
            </w:r>
          </w:p>
        </w:tc>
        <w:tc>
          <w:tcPr>
            <w:tcW w:w="12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939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(3,194)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12,454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16,446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14,842</w:t>
            </w:r>
          </w:p>
        </w:tc>
        <w:tc>
          <w:tcPr>
            <w:tcW w:w="0" w:type="dxa"/>
            <w:vAlign w:val="bottom"/>
          </w:tcPr>
          <w:p>
            <w:pPr>
              <w:spacing w:after="0"/>
              <w:rPr>
                <w:sz w:val="1"/>
                <w:szCs w:val="1"/>
                <w:color w:val="auto"/>
              </w:rPr>
            </w:pPr>
          </w:p>
        </w:tc>
      </w:tr>
      <w:tr>
        <w:trPr>
          <w:trHeight w:val="16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producing commercial</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11,082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9,333</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Commercial &amp; industrial</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3,971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3,810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4,510</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10,206</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Equipment financing</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4,696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4,220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10,097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9,630</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5,177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4,599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4,721</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2,729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264"/>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27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1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1,550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1,802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37"/>
        </w:trPr>
        <w:tc>
          <w:tcPr>
            <w:tcW w:w="22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loan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6"/>
                <w:szCs w:val="16"/>
                <w:color w:val="auto"/>
              </w:rPr>
            </w:pP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58,914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6,352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60,940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61,422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58,605</w:t>
            </w:r>
          </w:p>
        </w:tc>
        <w:tc>
          <w:tcPr>
            <w:tcW w:w="0" w:type="dxa"/>
            <w:vAlign w:val="bottom"/>
          </w:tcPr>
          <w:p>
            <w:pPr>
              <w:spacing w:after="0"/>
              <w:rPr>
                <w:sz w:val="1"/>
                <w:szCs w:val="1"/>
                <w:color w:val="auto"/>
              </w:rPr>
            </w:pPr>
          </w:p>
        </w:tc>
      </w:tr>
      <w:tr>
        <w:trPr>
          <w:trHeight w:val="16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Allowance for unfunded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2,482</w:t>
            </w:r>
          </w:p>
        </w:tc>
        <w:tc>
          <w:tcPr>
            <w:tcW w:w="0" w:type="dxa"/>
            <w:vAlign w:val="bottom"/>
          </w:tcPr>
          <w:p>
            <w:pPr>
              <w:spacing w:after="0"/>
              <w:rPr>
                <w:sz w:val="1"/>
                <w:szCs w:val="1"/>
                <w:color w:val="auto"/>
              </w:rPr>
            </w:pPr>
          </w:p>
        </w:tc>
      </w:tr>
      <w:tr>
        <w:trPr>
          <w:trHeight w:val="137"/>
        </w:trPr>
        <w:tc>
          <w:tcPr>
            <w:tcW w:w="220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allowance for credit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61,226</w:t>
            </w:r>
          </w:p>
        </w:tc>
        <w:tc>
          <w:tcPr>
            <w:tcW w:w="120" w:type="dxa"/>
            <w:vAlign w:val="bottom"/>
          </w:tcPr>
          <w:p>
            <w:pPr>
              <w:spacing w:after="0"/>
              <w:rPr>
                <w:sz w:val="11"/>
                <w:szCs w:val="11"/>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(9,438)</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5,112</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7,400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64,300</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63,424</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(9,382)</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4,445</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2,600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61,087</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Allowance for Credit 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60" w:type="dxa"/>
            <w:vAlign w:val="bottom"/>
          </w:tcPr>
          <w:p>
            <w:pPr>
              <w:spacing w:after="0"/>
              <w:rPr>
                <w:sz w:val="12"/>
                <w:szCs w:val="12"/>
                <w:color w:val="auto"/>
              </w:rPr>
            </w:pPr>
          </w:p>
        </w:tc>
        <w:tc>
          <w:tcPr>
            <w:tcW w:w="8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PCI</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PCI</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12,454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10,636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9,381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3,971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10,367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10,523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8,788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8,919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10,097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1,550</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57,774</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60,940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55,645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2,312</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64,300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61,226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Loans Outstanding</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Collectively</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for</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60" w:type="dxa"/>
            <w:vAlign w:val="bottom"/>
          </w:tcPr>
          <w:p>
            <w:pPr>
              <w:spacing w:after="0"/>
              <w:rPr>
                <w:sz w:val="12"/>
                <w:szCs w:val="12"/>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1,644,656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11,243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1,673,279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21,823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1,876,411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25,759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1,923,993</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18,204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1,727,292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42,392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1,787,888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1,533,851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1,595,174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1,191,699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1,193,640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1,126,894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1,130,990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752,691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761,571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699,266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8,857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499,203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508,651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14,567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1,009,174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11,221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1,034,962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946,210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973,544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700,347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702,279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728,235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731,227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195,751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197,845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180,978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183,019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127,504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241,067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242,287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356,789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358,185</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8,085,067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8,226,466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7,574,748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7,735,572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events and circumstances, it is probable that all amounts due according to the original contractual terms of the loan will not be collected. Management individually evaluates certain impaired loans, including all non-PCI relationships that are on nonaccrual with a balance of $500,000 or greater and all troubled debt restructurings (“TDRs”) regardless of accrual status, for impairment.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if any. Interest payments received on impaired nonaccrual loans are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and Senior Credit Officers.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Allowance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Allowance</w:t>
            </w: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Unpaid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for Loan</w:t>
            </w:r>
          </w:p>
        </w:tc>
        <w:tc>
          <w:tcPr>
            <w:tcW w:w="2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 Loan</w:t>
            </w:r>
          </w:p>
        </w:tc>
      </w:t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Principal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Recorded</w:t>
            </w: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Losses</w:t>
            </w:r>
          </w:p>
        </w:tc>
        <w:tc>
          <w:tcPr>
            <w:tcW w:w="20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r>
      <w:tr>
        <w:trPr>
          <w:trHeight w:val="234"/>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Balance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Investment</w:t>
            </w: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Allocated</w:t>
            </w:r>
          </w:p>
        </w:tc>
        <w:tc>
          <w:tcPr>
            <w:tcW w:w="20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Allocated</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 no related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7,858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5,913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Total with no related allowance recorded</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21,565</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18"/>
        </w:trPr>
        <w:tc>
          <w:tcPr>
            <w:tcW w:w="3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With an allowance recorded:</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11,467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Equipment financing</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11,627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1,174</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Home equity lines of credit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w:t>
            </w:r>
          </w:p>
        </w:tc>
      </w:tr>
      <w:tr>
        <w:trPr>
          <w:trHeight w:val="27"/>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direct</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with an allowance recorded</w:t>
            </w: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37,032</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35,787</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3,256</w:t>
            </w:r>
          </w:p>
        </w:tc>
      </w:tr>
      <w:tr>
        <w:trPr>
          <w:trHeight w:val="25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57,352</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64,731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3,256</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and December 31, 2017, $2.39 million and $3.26 million, respectively, of specific reserves were allocated to customers whose loan terms have been modified in TDRs. United committed to lend additional amounts totaling up to $75,000 as of December 31, 2017, to customers with outstanding loans classified as TDRs. As of September 30, 2018, there were no commitments to lend additional amounts to customers with outstanding loans that are classified as TDRs.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nine months ended September 30, 2018 and 2017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17"/>
              <w:spacing w:after="0"/>
              <w:rPr>
                <w:sz w:val="20"/>
                <w:szCs w:val="20"/>
                <w:color w:val="auto"/>
              </w:rPr>
            </w:pPr>
            <w:r>
              <w:rPr>
                <w:rFonts w:ascii="Arial" w:cs="Arial" w:eastAsia="Arial" w:hAnsi="Arial"/>
                <w:sz w:val="13"/>
                <w:szCs w:val="13"/>
                <w:b w:val="1"/>
                <w:bCs w:val="1"/>
                <w:color w:val="auto"/>
              </w:rPr>
              <w:t>New TDRs</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right"/>
              <w:ind w:right="157"/>
              <w:spacing w:after="0" w:line="144" w:lineRule="exact"/>
              <w:rPr>
                <w:sz w:val="20"/>
                <w:szCs w:val="20"/>
                <w:color w:val="auto"/>
              </w:rPr>
            </w:pPr>
            <w:r>
              <w:rPr>
                <w:rFonts w:ascii="Arial" w:cs="Arial" w:eastAsia="Arial" w:hAnsi="Arial"/>
                <w:sz w:val="13"/>
                <w:szCs w:val="13"/>
                <w:b w:val="1"/>
                <w:bCs w:val="1"/>
                <w:color w:val="auto"/>
              </w:rPr>
              <w:t>TDRs Modified Within the</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89"/>
              </w:rPr>
              <w:t>Pre-modification</w:t>
            </w:r>
          </w:p>
        </w:tc>
        <w:tc>
          <w:tcPr>
            <w:tcW w:w="140" w:type="dxa"/>
            <w:vAlign w:val="bottom"/>
          </w:tcPr>
          <w:p>
            <w:pPr>
              <w:spacing w:after="0"/>
              <w:rPr>
                <w:sz w:val="11"/>
                <w:szCs w:val="11"/>
                <w:color w:val="auto"/>
              </w:rPr>
            </w:pPr>
          </w:p>
        </w:tc>
        <w:tc>
          <w:tcPr>
            <w:tcW w:w="3920" w:type="dxa"/>
            <w:vAlign w:val="bottom"/>
            <w:gridSpan w:val="11"/>
          </w:tcPr>
          <w:p>
            <w:pPr>
              <w:ind w:left="120"/>
              <w:spacing w:after="0" w:line="135" w:lineRule="exact"/>
              <w:rPr>
                <w:sz w:val="20"/>
                <w:szCs w:val="20"/>
                <w:color w:val="auto"/>
              </w:rPr>
            </w:pPr>
            <w:r>
              <w:rPr>
                <w:rFonts w:ascii="Arial" w:cs="Arial" w:eastAsia="Arial" w:hAnsi="Arial"/>
                <w:sz w:val="13"/>
                <w:szCs w:val="13"/>
                <w:b w:val="1"/>
                <w:bCs w:val="1"/>
                <w:color w:val="auto"/>
                <w:w w:val="96"/>
              </w:rPr>
              <w:t>Post-Modification Outstanding Recorded Investment by Type of</w:t>
            </w:r>
          </w:p>
        </w:tc>
        <w:tc>
          <w:tcPr>
            <w:tcW w:w="1900" w:type="dxa"/>
            <w:vAlign w:val="bottom"/>
            <w:gridSpan w:val="4"/>
          </w:tcPr>
          <w:p>
            <w:pPr>
              <w:jc w:val="right"/>
              <w:ind w:right="77"/>
              <w:spacing w:after="0" w:line="135" w:lineRule="exact"/>
              <w:rPr>
                <w:sz w:val="20"/>
                <w:szCs w:val="20"/>
                <w:color w:val="auto"/>
              </w:rPr>
            </w:pPr>
            <w:r>
              <w:rPr>
                <w:rFonts w:ascii="Arial" w:cs="Arial" w:eastAsia="Arial" w:hAnsi="Arial"/>
                <w:sz w:val="13"/>
                <w:szCs w:val="13"/>
                <w:b w:val="1"/>
                <w:bCs w:val="1"/>
                <w:color w:val="auto"/>
                <w:w w:val="95"/>
              </w:rPr>
              <w:t>Previous Twelve Months That</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Modification</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4"/>
            <w:vMerge w:val="restart"/>
          </w:tcPr>
          <w:p>
            <w:pPr>
              <w:jc w:val="right"/>
              <w:ind w:right="77"/>
              <w:spacing w:after="0"/>
              <w:rPr>
                <w:sz w:val="20"/>
                <w:szCs w:val="20"/>
                <w:color w:val="auto"/>
              </w:rPr>
            </w:pPr>
            <w:r>
              <w:rPr>
                <w:rFonts w:ascii="Arial" w:cs="Arial" w:eastAsia="Arial" w:hAnsi="Arial"/>
                <w:sz w:val="13"/>
                <w:szCs w:val="13"/>
                <w:b w:val="1"/>
                <w:bCs w:val="1"/>
                <w:color w:val="auto"/>
                <w:w w:val="95"/>
              </w:rPr>
              <w:t>Have Subsequently Defaulted</w:t>
            </w:r>
          </w:p>
        </w:tc>
        <w:tc>
          <w:tcPr>
            <w:tcW w:w="0" w:type="dxa"/>
            <w:vAlign w:val="bottom"/>
          </w:tcPr>
          <w:p>
            <w:pPr>
              <w:spacing w:after="0"/>
              <w:rPr>
                <w:sz w:val="1"/>
                <w:szCs w:val="1"/>
                <w:color w:val="auto"/>
              </w:rPr>
            </w:pPr>
          </w:p>
        </w:tc>
      </w:tr>
      <w:tr>
        <w:trPr>
          <w:trHeight w:val="106"/>
        </w:trPr>
        <w:tc>
          <w:tcPr>
            <w:tcW w:w="3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6"/>
              </w:rPr>
              <w:t>Outstanding</w:t>
            </w: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vMerge w:val="continue"/>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Recorded</w:t>
            </w:r>
          </w:p>
        </w:tc>
        <w:tc>
          <w:tcPr>
            <w:tcW w:w="140" w:type="dxa"/>
            <w:vAlign w:val="bottom"/>
          </w:tcPr>
          <w:p>
            <w:pPr>
              <w:spacing w:after="0"/>
              <w:rPr>
                <w:sz w:val="12"/>
                <w:szCs w:val="12"/>
                <w:color w:val="auto"/>
              </w:rPr>
            </w:pPr>
          </w:p>
        </w:tc>
        <w:tc>
          <w:tcPr>
            <w:tcW w:w="90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Rate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78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w w:val="89"/>
              </w:rPr>
              <w:t>Recorded</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Contracts</w:t>
            </w:r>
          </w:p>
        </w:tc>
        <w:tc>
          <w:tcPr>
            <w:tcW w:w="1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Investment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Reduction</w:t>
            </w: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Structure</w:t>
            </w:r>
          </w:p>
        </w:tc>
        <w:tc>
          <w:tcPr>
            <w:tcW w:w="28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0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Contracts</w:t>
            </w:r>
          </w:p>
        </w:tc>
        <w:tc>
          <w:tcPr>
            <w:tcW w:w="120" w:type="dxa"/>
            <w:vAlign w:val="bottom"/>
          </w:tcPr>
          <w:p>
            <w:pPr>
              <w:spacing w:after="0"/>
              <w:rPr>
                <w:sz w:val="15"/>
                <w:szCs w:val="15"/>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Three Months Ended September 30, 2018</w:t>
            </w:r>
          </w:p>
        </w:tc>
        <w:tc>
          <w:tcPr>
            <w:tcW w:w="12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900" w:type="dxa"/>
            <w:vAlign w:val="bottom"/>
            <w:tcBorders>
              <w:top w:val="single" w:sz="8" w:color="auto"/>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7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60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68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3,647</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3,637</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3,647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3,637</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421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395</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4,220</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 2018</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1,276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1,260</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1,869</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3,753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3,637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3,743</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7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Equipment financing</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3100" w:type="dxa"/>
            <w:vAlign w:val="bottom"/>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5,137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4,929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5,035</w:t>
            </w: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1,872</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1,186</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Consumer direct</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424</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3100" w:type="dxa"/>
            <w:vAlign w:val="bottom"/>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6,747</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6,088</w:t>
            </w:r>
          </w:p>
        </w:tc>
        <w:tc>
          <w:tcPr>
            <w:tcW w:w="120" w:type="dxa"/>
            <w:vAlign w:val="bottom"/>
          </w:tcPr>
          <w:p>
            <w:pPr>
              <w:spacing w:after="0"/>
              <w:rPr>
                <w:sz w:val="20"/>
                <w:szCs w:val="20"/>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6,618</w:t>
            </w:r>
          </w:p>
        </w:tc>
        <w:tc>
          <w:tcPr>
            <w:tcW w:w="120" w:type="dxa"/>
            <w:vAlign w:val="bottom"/>
          </w:tcPr>
          <w:p>
            <w:pPr>
              <w:spacing w:after="0"/>
              <w:rPr>
                <w:sz w:val="20"/>
                <w:szCs w:val="20"/>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20"/>
        </w:trPr>
        <w:tc>
          <w:tcPr>
            <w:tcW w:w="31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Three Months Ended September 30, 2017</w:t>
            </w: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31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743</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22"/>
                <w:szCs w:val="22"/>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2"/>
                <w:szCs w:val="2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409</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mortgage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773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773</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Residential construction</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Indirect auto</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31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1,798</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Nine Months Ended September 30, 2017</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2,603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2,161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2,269</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gridSpan w:val="2"/>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257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252</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10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00" w:type="dxa"/>
            <w:vAlign w:val="bottom"/>
          </w:tcPr>
          <w:p>
            <w:pPr>
              <w:ind w:left="40"/>
              <w:spacing w:after="0"/>
              <w:rPr>
                <w:sz w:val="20"/>
                <w:szCs w:val="20"/>
                <w:color w:val="auto"/>
              </w:rPr>
            </w:pPr>
            <w:r>
              <w:rPr>
                <w:rFonts w:ascii="Arial" w:cs="Arial" w:eastAsia="Arial" w:hAnsi="Arial"/>
                <w:sz w:val="13"/>
                <w:szCs w:val="13"/>
                <w:color w:val="auto"/>
              </w:rPr>
              <w:t>Commercial construction</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8"/>
        </w:trPr>
        <w:tc>
          <w:tcPr>
            <w:tcW w:w="3220" w:type="dxa"/>
            <w:vAlign w:val="bottom"/>
          </w:tcPr>
          <w:p>
            <w:pPr>
              <w:ind w:left="280"/>
              <w:spacing w:after="0"/>
              <w:rPr>
                <w:sz w:val="20"/>
                <w:szCs w:val="20"/>
                <w:color w:val="auto"/>
              </w:rPr>
            </w:pPr>
            <w:r>
              <w:rPr>
                <w:rFonts w:ascii="Arial" w:cs="Arial" w:eastAsia="Arial" w:hAnsi="Arial"/>
                <w:sz w:val="13"/>
                <w:szCs w:val="13"/>
                <w:color w:val="auto"/>
              </w:rPr>
              <w:t>Total commercial</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2,935</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2,236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360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2,596</w:t>
            </w: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1,609</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815</w:t>
            </w:r>
          </w:p>
        </w:tc>
      </w:tr>
      <w:tr>
        <w:trPr>
          <w:trHeight w:val="262"/>
        </w:trPr>
        <w:tc>
          <w:tcPr>
            <w:tcW w:w="3220" w:type="dxa"/>
            <w:vAlign w:val="bottom"/>
          </w:tcPr>
          <w:p>
            <w:pPr>
              <w:ind w:left="40"/>
              <w:spacing w:after="0"/>
              <w:rPr>
                <w:sz w:val="20"/>
                <w:szCs w:val="20"/>
                <w:color w:val="auto"/>
              </w:rPr>
            </w:pPr>
            <w:r>
              <w:rPr>
                <w:rFonts w:ascii="Arial" w:cs="Arial" w:eastAsia="Arial" w:hAnsi="Arial"/>
                <w:sz w:val="13"/>
                <w:szCs w:val="13"/>
                <w:color w:val="auto"/>
              </w:rPr>
              <w:t>Home equity lines of credit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296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220" w:type="dxa"/>
            <w:vAlign w:val="bottom"/>
          </w:tcPr>
          <w:p>
            <w:pPr>
              <w:ind w:left="40"/>
              <w:spacing w:after="0"/>
              <w:rPr>
                <w:sz w:val="20"/>
                <w:szCs w:val="20"/>
                <w:color w:val="auto"/>
              </w:rPr>
            </w:pPr>
            <w:r>
              <w:rPr>
                <w:rFonts w:ascii="Arial" w:cs="Arial" w:eastAsia="Arial" w:hAnsi="Arial"/>
                <w:sz w:val="13"/>
                <w:szCs w:val="13"/>
                <w:color w:val="auto"/>
              </w:rPr>
              <w:t>Consumer direct</w:t>
            </w:r>
          </w:p>
        </w:tc>
        <w:tc>
          <w:tcPr>
            <w:tcW w:w="94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3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521</w:t>
            </w:r>
          </w:p>
        </w:tc>
        <w:tc>
          <w:tcPr>
            <w:tcW w:w="1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3220" w:type="dxa"/>
            <w:vAlign w:val="bottom"/>
          </w:tcPr>
          <w:p>
            <w:pPr>
              <w:ind w:left="280"/>
              <w:spacing w:after="0"/>
              <w:rPr>
                <w:sz w:val="20"/>
                <w:szCs w:val="20"/>
                <w:color w:val="auto"/>
              </w:rPr>
            </w:pPr>
            <w:r>
              <w:rPr>
                <w:rFonts w:ascii="Arial" w:cs="Arial" w:eastAsia="Arial" w:hAnsi="Arial"/>
                <w:sz w:val="13"/>
                <w:szCs w:val="13"/>
                <w:color w:val="auto"/>
              </w:rPr>
              <w:t>Total loans</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5,448</w:t>
            </w:r>
          </w:p>
        </w:tc>
        <w:tc>
          <w:tcPr>
            <w:tcW w:w="1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3,892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1,057</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4,989</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815</w:t>
            </w: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of the collateral consistent with United’s policy for nonaccrual loans.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Cash Basis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Cash Basis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Recognized</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During</w:t>
            </w: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During</w:t>
            </w: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Revenue</w:t>
            </w: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Impairment</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Received</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Balance</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Impairment</w:t>
            </w: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Received</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26,203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66,322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97"/>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58,470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84,177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965</w:t>
            </w:r>
          </w:p>
        </w:tc>
      </w:tr>
      <w:tr>
        <w:trPr>
          <w:trHeight w:val="311"/>
        </w:trPr>
        <w:tc>
          <w:tcPr>
            <w:tcW w:w="3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1,023</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57"/>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60,968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84,175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2,926</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September 30,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$213,000 and $291,000 for the three months ended September 30, 2018 and 2017, respectively, and $812,000 and $814,000 for the nine months ended September 30,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3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3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3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tcPr>
          <w:p>
            <w:pPr>
              <w:ind w:left="180"/>
              <w:spacing w:after="0"/>
              <w:rPr>
                <w:sz w:val="20"/>
                <w:szCs w:val="20"/>
                <w:color w:val="auto"/>
              </w:rPr>
            </w:pPr>
            <w:r>
              <w:rPr>
                <w:rFonts w:ascii="Arial" w:cs="Arial" w:eastAsia="Arial" w:hAnsi="Arial"/>
                <w:sz w:val="18"/>
                <w:szCs w:val="18"/>
                <w:color w:val="auto"/>
              </w:rPr>
              <w:t>Total commercial</w:t>
            </w:r>
          </w:p>
        </w:tc>
        <w:tc>
          <w:tcPr>
            <w:tcW w:w="3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3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8,776</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Home equity lines of credit</w:t>
            </w: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3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Consumer direct</w:t>
            </w:r>
          </w:p>
        </w:tc>
        <w:tc>
          <w:tcPr>
            <w:tcW w:w="3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3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57"/>
        </w:trPr>
        <w:tc>
          <w:tcPr>
            <w:tcW w:w="4320" w:type="dxa"/>
            <w:vAlign w:val="bottom"/>
          </w:tcPr>
          <w:p>
            <w:pPr>
              <w:ind w:left="180"/>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23,658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220" w:type="dxa"/>
            <w:vAlign w:val="bottom"/>
            <w:vMerge w:val="restart"/>
          </w:tcPr>
          <w:p>
            <w:pPr>
              <w:jc w:val="right"/>
              <w:ind w:right="1650"/>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Excluding PCI loans, substantially all loans more than 90 days past due were on nonaccrual status at September 30, 2018 and December 31, 2017. The following table presents the aging of the recorded investment in past due loans by class of loans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Loans Past Due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30 - 59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60 - 89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 Not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September 30, 2018</w:t>
            </w:r>
          </w:p>
        </w:tc>
        <w:tc>
          <w:tcPr>
            <w:tcW w:w="16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&gt; 90 Days</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1,673,279</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1,743,652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1,787,888</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1,190,825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1,193,640</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754,502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761,571</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496,819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508,651</w:t>
            </w: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5,843,468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69,671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5,925,029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1,034,962</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695,738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702,279</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197,845</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122,894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124,064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240,626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242,287</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15,291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8,113,590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84,047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8,226,466</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Loans Past Due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30 - 59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60 - 89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 Not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6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Days</w:t>
            </w: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rPr>
              <w:t>&gt; 90 Days</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Past Due</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PCI Loans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1,923,993</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1,546,288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44,840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1,595,174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1,125,407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1,130,990</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702,221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711,936</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commercial</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8,271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5,265,034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80,898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5,362,093</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948,513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973,544</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4,049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724,287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731,227</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183,019</w:t>
            </w: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125,512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127,504</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358,185</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Total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21,010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36,929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7,600,129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98,514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7,735,572</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Doubtful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Pass</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Watch</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Substandard</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250"/>
        </w:trPr>
        <w:tc>
          <w:tcPr>
            <w:tcW w:w="44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 of September 30, 2018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49"/>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1,608,193</w:t>
            </w:r>
          </w:p>
        </w:tc>
        <w:tc>
          <w:tcPr>
            <w:tcW w:w="14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15,919</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37,924</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1,662,036</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1,703,741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19,555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1,745,496</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1,160,933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9,374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22,786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ind w:left="80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1,193,107</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744,356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4,884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755,516</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498,022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1,181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499,203</w:t>
            </w:r>
          </w:p>
        </w:tc>
      </w:tr>
      <w:tr>
        <w:trPr>
          <w:trHeight w:val="257"/>
        </w:trPr>
        <w:tc>
          <w:tcPr>
            <w:tcW w:w="45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5,715,245</w:t>
            </w:r>
          </w:p>
        </w:tc>
        <w:tc>
          <w:tcPr>
            <w:tcW w:w="1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49,732</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90,367</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5,855,358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1,004,157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19,584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1,023,741</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693,385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7,206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700,591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195,269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1,763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197,032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122,936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123,410</w:t>
            </w:r>
          </w:p>
        </w:tc>
      </w:tr>
      <w:tr>
        <w:trPr>
          <w:trHeight w:val="264"/>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239,955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2,332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242,287</w:t>
            </w:r>
          </w:p>
        </w:tc>
      </w:tr>
      <w:tr>
        <w:trPr>
          <w:trHeight w:val="250"/>
        </w:trPr>
        <w:tc>
          <w:tcPr>
            <w:tcW w:w="45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7,970,947</w:t>
            </w: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49,753</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121,705</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14</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8,142,419</w:t>
            </w: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2,666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5,561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11,243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17,969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21,259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3,164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42,392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199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3,333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2,561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6,055</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9,174</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9,448</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33,341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24,545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69,671</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8,295</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2,926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11,221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1,262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1,688</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724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586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654</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44,208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24,545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15,294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84,047</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95"/>
        </w:trPr>
        <w:tc>
          <w:tcPr>
            <w:tcW w:w="458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Total loan portfolio</w:t>
            </w:r>
          </w:p>
        </w:tc>
        <w:tc>
          <w:tcPr>
            <w:tcW w:w="3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8,015,155</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74,298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136,999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8,226,466</w:t>
            </w:r>
          </w:p>
        </w:tc>
      </w:tr>
      <w:tr>
        <w:trPr>
          <w:trHeight w:val="225"/>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 of December 31, 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1,833,469</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33,571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31,194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1,898,234</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1,495,805</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30,780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23,749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1,550,334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1,097,907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18,052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13,589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1,129,548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693,873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2,947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6,259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703,079</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5,121,054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85,350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74,791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5,281,195</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939,706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20,697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960,403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721,142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7,194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728,336</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180,567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182,555</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125,860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126,384</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354,788</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358,185</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7,443,117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85,350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108,591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7,637,058</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2,400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8,163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15,196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25,759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13,392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21,928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9,520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44,840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383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1,442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3,866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8,857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20,041</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32,991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27,866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80,898</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9,566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173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3,402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13,141</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1,579</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2,891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423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464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1,076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1,120</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32,685</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33,601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32,228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98,514</w:t>
            </w:r>
          </w:p>
        </w:tc>
      </w:tr>
    </w:tbl>
    <w:p>
      <w:pPr>
        <w:sectPr>
          <w:pgSz w:w="11900" w:h="16838" w:orient="portrait"/>
          <w:cols w:equalWidth="0" w:num="1">
            <w:col w:w="11420"/>
          </w:cols>
          <w:pgMar w:left="240" w:top="121" w:right="239" w:bottom="0" w:gutter="0" w:footer="0" w:header="0"/>
        </w:sectPr>
      </w:pPr>
    </w:p>
    <w:bookmarkStart w:id="33" w:name="page34"/>
    <w:bookmarkEnd w:id="33"/>
    <w:p>
      <w:pPr>
        <w:spacing w:after="0"/>
        <w:tabs>
          <w:tab w:leader="none" w:pos="4320" w:val="left"/>
          <w:tab w:leader="none" w:pos="4920" w:val="left"/>
          <w:tab w:leader="none" w:pos="5720" w:val="left"/>
          <w:tab w:leader="none" w:pos="6440" w:val="left"/>
          <w:tab w:leader="none" w:pos="7100" w:val="left"/>
          <w:tab w:leader="none" w:pos="7880" w:val="left"/>
          <w:tab w:leader="none" w:pos="8560" w:val="left"/>
          <w:tab w:leader="none" w:pos="9540" w:val="left"/>
          <w:tab w:leader="none" w:pos="9900" w:val="left"/>
          <w:tab w:leader="none" w:pos="105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Total loan portfolio</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7,475,802</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118,951</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140,819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7,735,572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36830</wp:posOffset>
            </wp:positionV>
            <wp:extent cx="4339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040"/>
          </w:cols>
          <w:pgMar w:left="520" w:top="310"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40"/>
          </w:cols>
          <w:pgMar w:left="520" w:top="310" w:right="3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Amounts Reclassified from Accumulated Other</w:t>
      </w:r>
    </w:p>
    <w:p>
      <w:pPr>
        <w:spacing w:after="0" w:line="26" w:lineRule="exact"/>
        <w:rPr>
          <w:sz w:val="20"/>
          <w:szCs w:val="20"/>
          <w:color w:val="auto"/>
        </w:rPr>
      </w:pPr>
    </w:p>
    <w:p>
      <w:pPr>
        <w:jc w:val="center"/>
        <w:ind w:right="500"/>
        <w:spacing w:after="0"/>
        <w:rPr>
          <w:sz w:val="20"/>
          <w:szCs w:val="20"/>
          <w:color w:val="auto"/>
        </w:rPr>
      </w:pPr>
      <w:r>
        <w:rPr>
          <w:rFonts w:ascii="Arial" w:cs="Arial" w:eastAsia="Arial" w:hAnsi="Arial"/>
          <w:sz w:val="16"/>
          <w:szCs w:val="16"/>
          <w:b w:val="1"/>
          <w:bCs w:val="1"/>
          <w:color w:val="auto"/>
        </w:rPr>
        <w:t>Comprehensive Income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540" w:type="dxa"/>
            <w:vAlign w:val="bottom"/>
            <w:gridSpan w:val="7"/>
          </w:tcPr>
          <w:p>
            <w:pPr>
              <w:ind w:left="100"/>
              <w:spacing w:after="0"/>
              <w:rPr>
                <w:sz w:val="20"/>
                <w:szCs w:val="20"/>
                <w:color w:val="auto"/>
              </w:rPr>
            </w:pPr>
            <w:r>
              <w:rPr>
                <w:rFonts w:ascii="Arial" w:cs="Arial" w:eastAsia="Arial" w:hAnsi="Arial"/>
                <w:sz w:val="16"/>
                <w:szCs w:val="16"/>
                <w:b w:val="1"/>
                <w:bCs w:val="1"/>
                <w:color w:val="auto"/>
                <w:w w:val="98"/>
              </w:rPr>
              <w:t>Three Months Ended September</w:t>
            </w:r>
          </w:p>
        </w:tc>
        <w:tc>
          <w:tcPr>
            <w:tcW w:w="260" w:type="dxa"/>
            <w:vAlign w:val="bottom"/>
          </w:tcPr>
          <w:p>
            <w:pPr>
              <w:spacing w:after="0"/>
              <w:rPr>
                <w:sz w:val="17"/>
                <w:szCs w:val="17"/>
                <w:color w:val="auto"/>
              </w:rPr>
            </w:pPr>
          </w:p>
        </w:tc>
        <w:tc>
          <w:tcPr>
            <w:tcW w:w="210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Details about Accumulated Other</w:t>
            </w:r>
          </w:p>
        </w:tc>
        <w:tc>
          <w:tcPr>
            <w:tcW w:w="26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3520" w:type="dxa"/>
            <w:vAlign w:val="bottom"/>
            <w:vMerge w:val="restart"/>
          </w:tcPr>
          <w:p>
            <w:pPr>
              <w:ind w:left="180"/>
              <w:spacing w:after="0"/>
              <w:rPr>
                <w:sz w:val="20"/>
                <w:szCs w:val="20"/>
                <w:color w:val="auto"/>
              </w:rPr>
            </w:pPr>
            <w:r>
              <w:rPr>
                <w:rFonts w:ascii="Arial" w:cs="Arial" w:eastAsia="Arial" w:hAnsi="Arial"/>
                <w:sz w:val="16"/>
                <w:szCs w:val="16"/>
                <w:b w:val="1"/>
                <w:bCs w:val="1"/>
                <w:color w:val="auto"/>
                <w:w w:val="94"/>
              </w:rPr>
              <w:t>Affected Line Item in the Statement Where Net</w:t>
            </w:r>
          </w:p>
        </w:tc>
        <w:tc>
          <w:tcPr>
            <w:tcW w:w="0" w:type="dxa"/>
            <w:vAlign w:val="bottom"/>
          </w:tcPr>
          <w:p>
            <w:pPr>
              <w:spacing w:after="0"/>
              <w:rPr>
                <w:sz w:val="1"/>
                <w:szCs w:val="1"/>
                <w:color w:val="auto"/>
              </w:rPr>
            </w:pPr>
          </w:p>
        </w:tc>
      </w:tr>
      <w:tr>
        <w:trPr>
          <w:trHeight w:val="33"/>
        </w:trPr>
        <w:tc>
          <w:tcPr>
            <w:tcW w:w="3000" w:type="dxa"/>
            <w:vAlign w:val="bottom"/>
            <w:vMerge w:val="continue"/>
          </w:tcPr>
          <w:p>
            <w:pPr>
              <w:spacing w:after="0"/>
              <w:rPr>
                <w:sz w:val="2"/>
                <w:szCs w:val="2"/>
                <w:color w:val="auto"/>
              </w:rPr>
            </w:pPr>
          </w:p>
        </w:tc>
        <w:tc>
          <w:tcPr>
            <w:tcW w:w="260" w:type="dxa"/>
            <w:vAlign w:val="bottom"/>
            <w:tcBorders>
              <w:bottom w:val="single" w:sz="8" w:color="auto"/>
            </w:tcBorders>
            <w:vMerge w:val="continue"/>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w w:val="95"/>
              </w:rPr>
              <w:t>Comprehensive Income Components</w:t>
            </w: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19"/>
              <w:spacing w:after="0"/>
              <w:rPr>
                <w:sz w:val="20"/>
                <w:szCs w:val="20"/>
                <w:color w:val="auto"/>
              </w:rPr>
            </w:pPr>
            <w:r>
              <w:rPr>
                <w:rFonts w:ascii="Arial" w:cs="Arial" w:eastAsia="Arial" w:hAnsi="Arial"/>
                <w:sz w:val="16"/>
                <w:szCs w:val="16"/>
                <w:b w:val="1"/>
                <w:bCs w:val="1"/>
                <w:color w:val="auto"/>
                <w:w w:val="95"/>
              </w:rPr>
              <w:t>2017</w:t>
            </w:r>
          </w:p>
        </w:tc>
        <w:tc>
          <w:tcPr>
            <w:tcW w:w="3520" w:type="dxa"/>
            <w:vAlign w:val="bottom"/>
          </w:tcPr>
          <w:p>
            <w:pPr>
              <w:ind w:left="1120"/>
              <w:spacing w:after="0"/>
              <w:rPr>
                <w:sz w:val="20"/>
                <w:szCs w:val="20"/>
                <w:color w:val="auto"/>
              </w:rPr>
            </w:pPr>
            <w:r>
              <w:rPr>
                <w:rFonts w:ascii="Arial" w:cs="Arial" w:eastAsia="Arial" w:hAnsi="Arial"/>
                <w:sz w:val="16"/>
                <w:szCs w:val="16"/>
                <w:b w:val="1"/>
                <w:bCs w:val="1"/>
                <w:color w:val="auto"/>
              </w:rPr>
              <w:t>Income is Presented</w:t>
            </w: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Realized (losses) gains on available-for-sale securities: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3520" w:type="dxa"/>
            <w:vAlign w:val="bottom"/>
          </w:tcPr>
          <w:p>
            <w:pPr>
              <w:ind w:left="140"/>
              <w:spacing w:after="0"/>
              <w:rPr>
                <w:sz w:val="20"/>
                <w:szCs w:val="20"/>
                <w:color w:val="auto"/>
              </w:rPr>
            </w:pPr>
            <w:r>
              <w:rPr>
                <w:rFonts w:ascii="Arial" w:cs="Arial" w:eastAsia="Arial" w:hAnsi="Arial"/>
                <w:sz w:val="16"/>
                <w:szCs w:val="16"/>
                <w:color w:val="auto"/>
              </w:rPr>
              <w:t>Securities (losses) gains, net</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 (expense)</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11"/>
        </w:trPr>
        <w:tc>
          <w:tcPr>
            <w:tcW w:w="3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40" w:type="dxa"/>
            <w:vAlign w:val="bottom"/>
            <w:gridSpan w:val="12"/>
          </w:tcPr>
          <w:p>
            <w:pPr>
              <w:ind w:left="40"/>
              <w:spacing w:after="0"/>
              <w:rPr>
                <w:sz w:val="20"/>
                <w:szCs w:val="20"/>
                <w:color w:val="auto"/>
              </w:rPr>
            </w:pPr>
            <w:r>
              <w:rPr>
                <w:rFonts w:ascii="Arial" w:cs="Arial" w:eastAsia="Arial" w:hAnsi="Arial"/>
                <w:sz w:val="16"/>
                <w:szCs w:val="16"/>
                <w:color w:val="auto"/>
                <w:w w:val="93"/>
              </w:rPr>
              <w:t>Amortization of losses included in net income on available-for-sale securities transferred to held-to-maturity:</w:t>
            </w:r>
          </w:p>
        </w:tc>
        <w:tc>
          <w:tcPr>
            <w:tcW w:w="7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44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319</w:t>
            </w:r>
          </w:p>
        </w:tc>
        <w:tc>
          <w:tcPr>
            <w:tcW w:w="352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26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losses included in net income on derivative financial instruments accounted for as cash flow hedges: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ind w:left="280"/>
              <w:spacing w:after="0"/>
              <w:rPr>
                <w:sz w:val="20"/>
                <w:szCs w:val="20"/>
                <w:color w:val="auto"/>
              </w:rPr>
            </w:pPr>
            <w:r>
              <w:rPr>
                <w:rFonts w:ascii="Arial" w:cs="Arial" w:eastAsia="Arial" w:hAnsi="Arial"/>
                <w:sz w:val="16"/>
                <w:szCs w:val="16"/>
                <w:color w:val="auto"/>
              </w:rPr>
              <w:t>Amortization of losses on de-</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20" w:type="dxa"/>
            <w:vAlign w:val="bottom"/>
          </w:tcPr>
          <w:p>
            <w:pPr>
              <w:spacing w:after="0"/>
              <w:rPr>
                <w:sz w:val="17"/>
                <w:szCs w:val="17"/>
                <w:color w:val="auto"/>
              </w:rPr>
            </w:pPr>
          </w:p>
        </w:tc>
      </w:tr>
      <w:tr>
        <w:trPr>
          <w:trHeight w:val="206"/>
        </w:trPr>
        <w:tc>
          <w:tcPr>
            <w:tcW w:w="3000" w:type="dxa"/>
            <w:vAlign w:val="bottom"/>
          </w:tcPr>
          <w:p>
            <w:pPr>
              <w:ind w:left="280"/>
              <w:spacing w:after="0"/>
              <w:rPr>
                <w:sz w:val="20"/>
                <w:szCs w:val="20"/>
                <w:color w:val="auto"/>
              </w:rPr>
            </w:pPr>
            <w:r>
              <w:rPr>
                <w:rFonts w:ascii="Arial" w:cs="Arial" w:eastAsia="Arial" w:hAnsi="Arial"/>
                <w:sz w:val="16"/>
                <w:szCs w:val="16"/>
                <w:color w:val="auto"/>
              </w:rPr>
              <w:t>designated positions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(448)</w:t>
            </w:r>
          </w:p>
        </w:tc>
        <w:tc>
          <w:tcPr>
            <w:tcW w:w="3520" w:type="dxa"/>
            <w:vAlign w:val="bottom"/>
          </w:tcPr>
          <w:p>
            <w:pPr>
              <w:ind w:left="140"/>
              <w:spacing w:after="0"/>
              <w:rPr>
                <w:sz w:val="20"/>
                <w:szCs w:val="20"/>
                <w:color w:val="auto"/>
              </w:rPr>
            </w:pPr>
            <w:r>
              <w:rPr>
                <w:rFonts w:ascii="Arial" w:cs="Arial" w:eastAsia="Arial" w:hAnsi="Arial"/>
                <w:sz w:val="16"/>
                <w:szCs w:val="16"/>
                <w:color w:val="auto"/>
              </w:rPr>
              <w:t>Money market deposit interest expense</w:t>
            </w:r>
          </w:p>
        </w:tc>
      </w:tr>
      <w:tr>
        <w:trPr>
          <w:trHeight w:val="33"/>
        </w:trPr>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0"/>
        </w:trPr>
        <w:tc>
          <w:tcPr>
            <w:tcW w:w="3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losses on de-</w:t>
            </w: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 Home Loan Bank advances interest</w:t>
            </w:r>
          </w:p>
        </w:tc>
      </w:tr>
      <w:tr>
        <w:trPr>
          <w:trHeight w:val="239"/>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designated positions</w:t>
            </w: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w:t>
            </w:r>
          </w:p>
        </w:tc>
      </w:tr>
      <w:tr>
        <w:trPr>
          <w:trHeight w:val="217"/>
        </w:trPr>
        <w:tc>
          <w:tcPr>
            <w:tcW w:w="3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3520" w:type="dxa"/>
            <w:vAlign w:val="bottom"/>
          </w:tcPr>
          <w:p>
            <w:pPr>
              <w:ind w:left="140"/>
              <w:spacing w:after="0"/>
              <w:rPr>
                <w:sz w:val="20"/>
                <w:szCs w:val="20"/>
                <w:color w:val="auto"/>
              </w:rPr>
            </w:pPr>
            <w:r>
              <w:rPr>
                <w:rFonts w:ascii="Arial" w:cs="Arial" w:eastAsia="Arial" w:hAnsi="Arial"/>
                <w:sz w:val="16"/>
                <w:szCs w:val="16"/>
                <w:color w:val="auto"/>
              </w:rPr>
              <w:t>Total before tax</w:t>
            </w:r>
          </w:p>
        </w:tc>
      </w:tr>
      <w:tr>
        <w:trPr>
          <w:trHeight w:val="33"/>
        </w:trPr>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benefit</w:t>
            </w:r>
          </w:p>
        </w:tc>
      </w:tr>
      <w:tr>
        <w:trPr>
          <w:trHeight w:val="284"/>
        </w:trPr>
        <w:tc>
          <w:tcPr>
            <w:tcW w:w="30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of tax</w:t>
            </w:r>
          </w:p>
        </w:tc>
      </w:tr>
      <w:tr>
        <w:trPr>
          <w:trHeight w:val="311"/>
        </w:trPr>
        <w:tc>
          <w:tcPr>
            <w:tcW w:w="30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Reclassification of disproportionate tax effect related to terminated cash flow hedges: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r>
      <w:tr>
        <w:trPr>
          <w:trHeight w:val="324"/>
        </w:trPr>
        <w:tc>
          <w:tcPr>
            <w:tcW w:w="4160" w:type="dxa"/>
            <w:vAlign w:val="bottom"/>
            <w:gridSpan w:val="3"/>
          </w:tcPr>
          <w:p>
            <w:pPr>
              <w:spacing w:after="0"/>
              <w:rPr>
                <w:sz w:val="24"/>
                <w:szCs w:val="24"/>
                <w:color w:val="auto"/>
              </w:rPr>
            </w:pPr>
          </w:p>
        </w:tc>
        <w:tc>
          <w:tcPr>
            <w:tcW w:w="1280" w:type="dxa"/>
            <w:vAlign w:val="bottom"/>
            <w:gridSpan w:val="3"/>
          </w:tcPr>
          <w:p>
            <w:pPr>
              <w:spacing w:after="0"/>
              <w:rPr>
                <w:sz w:val="24"/>
                <w:szCs w:val="24"/>
                <w:color w:val="auto"/>
              </w:rPr>
            </w:pPr>
          </w:p>
        </w:tc>
        <w:tc>
          <w:tcPr>
            <w:tcW w:w="1220" w:type="dxa"/>
            <w:vAlign w:val="bottom"/>
            <w:gridSpan w:val="3"/>
          </w:tcPr>
          <w:p>
            <w:pPr>
              <w:spacing w:after="0"/>
              <w:rPr>
                <w:sz w:val="24"/>
                <w:szCs w:val="24"/>
                <w:color w:val="auto"/>
              </w:rPr>
            </w:pPr>
          </w:p>
        </w:tc>
        <w:tc>
          <w:tcPr>
            <w:tcW w:w="1240" w:type="dxa"/>
            <w:vAlign w:val="bottom"/>
            <w:gridSpan w:val="3"/>
          </w:tcPr>
          <w:p>
            <w:pPr>
              <w:spacing w:after="0"/>
              <w:rPr>
                <w:sz w:val="24"/>
                <w:szCs w:val="24"/>
                <w:color w:val="auto"/>
              </w:rPr>
            </w:pPr>
          </w:p>
        </w:tc>
        <w:tc>
          <w:tcPr>
            <w:tcW w:w="3520" w:type="dxa"/>
            <w:vAlign w:val="bottom"/>
          </w:tcPr>
          <w:p>
            <w:pPr>
              <w:spacing w:after="0"/>
              <w:rPr>
                <w:sz w:val="24"/>
                <w:szCs w:val="24"/>
                <w:color w:val="auto"/>
              </w:rPr>
            </w:pPr>
          </w:p>
        </w:tc>
      </w:tr>
      <w:tr>
        <w:trPr>
          <w:trHeight w:val="301"/>
        </w:trPr>
        <w:tc>
          <w:tcPr>
            <w:tcW w:w="7900" w:type="dxa"/>
            <w:vAlign w:val="bottom"/>
            <w:gridSpan w:val="12"/>
            <w:shd w:val="clear" w:color="auto" w:fill="CCEEFF"/>
          </w:tcPr>
          <w:p>
            <w:pPr>
              <w:ind w:left="40"/>
              <w:spacing w:after="0"/>
              <w:rPr>
                <w:sz w:val="20"/>
                <w:szCs w:val="20"/>
                <w:color w:val="auto"/>
              </w:rPr>
            </w:pPr>
            <w:r>
              <w:rPr>
                <w:rFonts w:ascii="Arial" w:cs="Arial" w:eastAsia="Arial" w:hAnsi="Arial"/>
                <w:sz w:val="16"/>
                <w:szCs w:val="16"/>
                <w:color w:val="auto"/>
                <w:w w:val="94"/>
              </w:rPr>
              <w:t>Amortization of prior service cost and actuarial losses included in net periodic pension cost for defined benefit pension</w:t>
            </w:r>
          </w:p>
        </w:tc>
        <w:tc>
          <w:tcPr>
            <w:tcW w:w="3520" w:type="dxa"/>
            <w:vAlign w:val="bottom"/>
            <w:shd w:val="clear" w:color="auto" w:fill="CCEEFF"/>
          </w:tcPr>
          <w:p>
            <w:pPr>
              <w:spacing w:after="0"/>
              <w:rPr>
                <w:sz w:val="24"/>
                <w:szCs w:val="24"/>
                <w:color w:val="auto"/>
              </w:rPr>
            </w:pPr>
          </w:p>
        </w:tc>
      </w:tr>
      <w:tr>
        <w:trPr>
          <w:trHeight w:val="206"/>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r>
      <w:tr>
        <w:trPr>
          <w:trHeight w:val="114"/>
        </w:trPr>
        <w:tc>
          <w:tcPr>
            <w:tcW w:w="30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520" w:type="dxa"/>
            <w:vAlign w:val="bottom"/>
            <w:shd w:val="clear" w:color="auto" w:fill="CCEEFF"/>
          </w:tcPr>
          <w:p>
            <w:pPr>
              <w:spacing w:after="0"/>
              <w:rPr>
                <w:sz w:val="9"/>
                <w:szCs w:val="9"/>
                <w:color w:val="auto"/>
              </w:rPr>
            </w:pPr>
          </w:p>
        </w:tc>
      </w:tr>
      <w:tr>
        <w:trPr>
          <w:trHeight w:val="237"/>
        </w:trPr>
        <w:tc>
          <w:tcPr>
            <w:tcW w:w="3000" w:type="dxa"/>
            <w:vAlign w:val="bottom"/>
          </w:tcPr>
          <w:p>
            <w:pPr>
              <w:ind w:left="280"/>
              <w:spacing w:after="0"/>
              <w:rPr>
                <w:sz w:val="20"/>
                <w:szCs w:val="20"/>
                <w:color w:val="auto"/>
              </w:rPr>
            </w:pPr>
            <w:r>
              <w:rPr>
                <w:rFonts w:ascii="Arial" w:cs="Arial" w:eastAsia="Arial" w:hAnsi="Arial"/>
                <w:sz w:val="16"/>
                <w:szCs w:val="16"/>
                <w:color w:val="auto"/>
              </w:rPr>
              <w:t>Prior service cost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(420)</w:t>
            </w:r>
          </w:p>
        </w:tc>
        <w:tc>
          <w:tcPr>
            <w:tcW w:w="3520" w:type="dxa"/>
            <w:vAlign w:val="bottom"/>
          </w:tcPr>
          <w:p>
            <w:pPr>
              <w:ind w:left="140"/>
              <w:spacing w:after="0"/>
              <w:rPr>
                <w:sz w:val="20"/>
                <w:szCs w:val="20"/>
                <w:color w:val="auto"/>
              </w:rPr>
            </w:pPr>
            <w:r>
              <w:rPr>
                <w:rFonts w:ascii="Arial" w:cs="Arial" w:eastAsia="Arial" w:hAnsi="Arial"/>
                <w:sz w:val="16"/>
                <w:szCs w:val="16"/>
                <w:color w:val="auto"/>
              </w:rPr>
              <w:t>Salaries and employee benefits expense</w:t>
            </w:r>
          </w:p>
        </w:tc>
      </w:tr>
      <w:tr>
        <w:trPr>
          <w:trHeight w:val="33"/>
        </w:trPr>
        <w:tc>
          <w:tcPr>
            <w:tcW w:w="3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Actuarial losses</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Other expense</w:t>
            </w:r>
          </w:p>
        </w:tc>
      </w:tr>
      <w:tr>
        <w:trPr>
          <w:trHeight w:val="237"/>
        </w:trPr>
        <w:tc>
          <w:tcPr>
            <w:tcW w:w="3000" w:type="dxa"/>
            <w:vAlign w:val="bottom"/>
          </w:tcPr>
          <w:p>
            <w:pPr>
              <w:ind w:left="280"/>
              <w:spacing w:after="0"/>
              <w:rPr>
                <w:sz w:val="20"/>
                <w:szCs w:val="20"/>
                <w:color w:val="auto"/>
              </w:rPr>
            </w:pPr>
            <w:r>
              <w:rPr>
                <w:rFonts w:ascii="Arial" w:cs="Arial" w:eastAsia="Arial" w:hAnsi="Arial"/>
                <w:sz w:val="16"/>
                <w:szCs w:val="16"/>
                <w:color w:val="auto"/>
              </w:rPr>
              <w:t>Actuarial losses</w:t>
            </w:r>
          </w:p>
        </w:tc>
        <w:tc>
          <w:tcPr>
            <w:tcW w:w="4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w:t>
            </w:r>
          </w:p>
        </w:tc>
        <w:tc>
          <w:tcPr>
            <w:tcW w:w="3520" w:type="dxa"/>
            <w:vAlign w:val="bottom"/>
          </w:tcPr>
          <w:p>
            <w:pPr>
              <w:ind w:left="140"/>
              <w:spacing w:after="0"/>
              <w:rPr>
                <w:sz w:val="20"/>
                <w:szCs w:val="20"/>
                <w:color w:val="auto"/>
              </w:rPr>
            </w:pPr>
            <w:r>
              <w:rPr>
                <w:rFonts w:ascii="Arial" w:cs="Arial" w:eastAsia="Arial" w:hAnsi="Arial"/>
                <w:sz w:val="16"/>
                <w:szCs w:val="16"/>
                <w:color w:val="auto"/>
              </w:rPr>
              <w:t>Salaries and employee benefits expense</w:t>
            </w:r>
          </w:p>
        </w:tc>
      </w:tr>
      <w:tr>
        <w:trPr>
          <w:trHeight w:val="33"/>
        </w:trPr>
        <w:tc>
          <w:tcPr>
            <w:tcW w:w="3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before tax</w:t>
            </w:r>
          </w:p>
        </w:tc>
      </w:tr>
      <w:tr>
        <w:trPr>
          <w:trHeight w:val="237"/>
        </w:trPr>
        <w:tc>
          <w:tcPr>
            <w:tcW w:w="3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3520" w:type="dxa"/>
            <w:vAlign w:val="bottom"/>
          </w:tcPr>
          <w:p>
            <w:pPr>
              <w:ind w:left="140"/>
              <w:spacing w:after="0"/>
              <w:rPr>
                <w:sz w:val="20"/>
                <w:szCs w:val="20"/>
                <w:color w:val="auto"/>
              </w:rPr>
            </w:pPr>
            <w:r>
              <w:rPr>
                <w:rFonts w:ascii="Arial" w:cs="Arial" w:eastAsia="Arial" w:hAnsi="Arial"/>
                <w:sz w:val="16"/>
                <w:szCs w:val="16"/>
                <w:color w:val="auto"/>
              </w:rPr>
              <w:t>Income tax benefit</w:t>
            </w:r>
          </w:p>
        </w:tc>
      </w:tr>
      <w:tr>
        <w:trPr>
          <w:trHeight w:val="33"/>
        </w:trPr>
        <w:tc>
          <w:tcPr>
            <w:tcW w:w="30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84"/>
        </w:trPr>
        <w:tc>
          <w:tcPr>
            <w:tcW w:w="3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w:t>
            </w:r>
          </w:p>
        </w:tc>
        <w:tc>
          <w:tcPr>
            <w:tcW w:w="3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79,737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and undistributed earnings allocated to unvested shares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120,124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79,078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79,806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73,151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79,588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72,060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 units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79,818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73,162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79,598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72,071</w:t>
            </w:r>
          </w:p>
        </w:tc>
      </w:tr>
      <w:tr>
        <w:trPr>
          <w:trHeight w:val="311"/>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2018, United had potentially dilutive warrants outstanding to purchase 219,909 shares of common stock at $61.40 per share that were not included in the computation of diluted earnings per share because their inclusion would have had an antidilutive effect. Also excluded from the computation of diluted earnings per share for the three and nine months ended September 30, 2018 because of their antidilutive effect were options to purchase an additional 33,283 and 32,283, respectively, of common stock.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2017, United had the following potentially dilutive stock options and warrants outstanding: a warrant to purchase 219,909 shares of common stock at $61.40 per share; 60,489 shares of common stock issuable upon exercise of stock options granted to employees with a weighted average exercise price of $24.15; and 710,145 shares of common stock issuable upon the vesting of restricted stock unit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primarily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gridSpan w:val="7"/>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80" w:type="dxa"/>
            <w:vAlign w:val="bottom"/>
            <w:gridSpan w:val="2"/>
          </w:tcPr>
          <w:p>
            <w:pPr>
              <w:ind w:left="980"/>
              <w:spacing w:after="0"/>
              <w:rPr>
                <w:sz w:val="20"/>
                <w:szCs w:val="20"/>
                <w:color w:val="auto"/>
              </w:rPr>
            </w:pPr>
            <w:r>
              <w:rPr>
                <w:rFonts w:ascii="Arial" w:cs="Arial" w:eastAsia="Arial" w:hAnsi="Arial"/>
                <w:sz w:val="18"/>
                <w:szCs w:val="18"/>
                <w:b w:val="1"/>
                <w:bCs w:val="1"/>
                <w:color w:val="auto"/>
              </w:rPr>
              <w:t>Interest Rate Products</w:t>
            </w:r>
          </w:p>
        </w:tc>
        <w:tc>
          <w:tcPr>
            <w:tcW w:w="3780" w:type="dxa"/>
            <w:vAlign w:val="bottom"/>
            <w:gridSpan w:val="5"/>
          </w:tcPr>
          <w:p>
            <w:pPr>
              <w:ind w:left="94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hedge of corporate bonds</w:t>
            </w:r>
          </w:p>
        </w:tc>
        <w:tc>
          <w:tcPr>
            <w:tcW w:w="37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52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Fair value hedge of brokered CDs</w:t>
            </w:r>
          </w:p>
        </w:tc>
        <w:tc>
          <w:tcPr>
            <w:tcW w:w="3780" w:type="dxa"/>
            <w:vAlign w:val="bottom"/>
            <w:gridSpan w:val="5"/>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gridSpan w:val="7"/>
            <w:vMerge w:val="restart"/>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6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00" w:type="dxa"/>
            <w:vAlign w:val="bottom"/>
            <w:gridSpan w:val="4"/>
          </w:tcPr>
          <w:p>
            <w:pPr>
              <w:jc w:val="right"/>
              <w:ind w:right="14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540"/>
              <w:spacing w:after="0"/>
              <w:rPr>
                <w:sz w:val="20"/>
                <w:szCs w:val="20"/>
                <w:color w:val="auto"/>
              </w:rPr>
            </w:pPr>
            <w:r>
              <w:rPr>
                <w:rFonts w:ascii="Arial" w:cs="Arial" w:eastAsia="Arial" w:hAnsi="Arial"/>
                <w:sz w:val="18"/>
                <w:szCs w:val="18"/>
                <w:b w:val="1"/>
                <w:bCs w:val="1"/>
                <w:color w:val="auto"/>
              </w:rPr>
              <w:t>Interest Rate Products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3"/>
          </w:tcPr>
          <w:p>
            <w:pPr>
              <w:ind w:left="360"/>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Pr>
          <w:p>
            <w:pPr>
              <w:spacing w:after="0"/>
              <w:rPr>
                <w:sz w:val="20"/>
                <w:szCs w:val="20"/>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140" w:type="dxa"/>
            <w:vAlign w:val="bottom"/>
          </w:tcPr>
          <w:p>
            <w:pPr>
              <w:spacing w:after="0"/>
              <w:rPr>
                <w:sz w:val="20"/>
                <w:szCs w:val="20"/>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derivative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Dealer offsets to customer derivative positions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14,492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banking - loan commitment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Mortgage banking - forward sales commitment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Bifurcated embedded 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Interest rate caps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derivative positions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Dealer offsets to customer derivative positions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 participations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Mortgage banking - forward sales commitment</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7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3"/>
              </w:rPr>
              <w:t>Dealer offsets to bifurcated embedded derivatives</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14,279</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De-designated hedges</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gridSpan w:val="3"/>
          </w:tcPr>
          <w:p>
            <w:pPr>
              <w:ind w:left="4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ectPr>
          <w:pgSz w:w="11900" w:h="16838" w:orient="portrait"/>
          <w:cols w:equalWidth="0" w:num="1">
            <w:col w:w="11420"/>
          </w:cols>
          <w:pgMar w:left="240" w:top="121"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2018 and December 31, 2017 United did not have any active cash flow hedges. Changes in balance sheet composition and interest rate risk position made cash flow hedges no longer necessary as protection against rising interest rates. The loss remaining in other comprehensive income from prior hedges that have been de-designated is being amortized into earnings over the original term of the swaps as the forecasted transactions that the swaps were originally designated to hedge are still expected to occur. United expects that $279,000 will be reclassified as an increase to interest expense over the next twelve months related to these cash flow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statements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2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89"/>
              </w:rPr>
              <w:t>Gain (Loss) Reclassified from</w:t>
            </w:r>
          </w:p>
        </w:tc>
        <w:tc>
          <w:tcPr>
            <w:tcW w:w="1000" w:type="dxa"/>
            <w:vAlign w:val="bottom"/>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4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0"/>
              </w:rPr>
              <w:t>Accumulated Other Comprehensive</w:t>
            </w:r>
          </w:p>
        </w:tc>
        <w:tc>
          <w:tcPr>
            <w:tcW w:w="1000" w:type="dxa"/>
            <w:vAlign w:val="bottom"/>
          </w:tcPr>
          <w:p>
            <w:pPr>
              <w:spacing w:after="0"/>
              <w:rPr>
                <w:sz w:val="18"/>
                <w:szCs w:val="18"/>
                <w:color w:val="auto"/>
              </w:rPr>
            </w:pPr>
          </w:p>
        </w:tc>
      </w:tr>
      <w:tr>
        <w:trPr>
          <w:trHeight w:val="234"/>
        </w:trPr>
        <w:tc>
          <w:tcPr>
            <w:tcW w:w="6400" w:type="dxa"/>
            <w:vAlign w:val="bottom"/>
          </w:tcPr>
          <w:p>
            <w:pPr>
              <w:spacing w:after="0"/>
              <w:rPr>
                <w:sz w:val="20"/>
                <w:szCs w:val="20"/>
                <w:color w:val="auto"/>
              </w:rPr>
            </w:pPr>
          </w:p>
        </w:tc>
        <w:tc>
          <w:tcPr>
            <w:tcW w:w="402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1"/>
              </w:rPr>
              <w:t>Income into Income (Effective Portion)</w:t>
            </w:r>
          </w:p>
        </w:tc>
        <w:tc>
          <w:tcPr>
            <w:tcW w:w="10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1300" w:type="dxa"/>
            <w:vAlign w:val="bottom"/>
          </w:tcPr>
          <w:p>
            <w:pPr>
              <w:ind w:left="480"/>
              <w:spacing w:after="0"/>
              <w:rPr>
                <w:sz w:val="20"/>
                <w:szCs w:val="20"/>
                <w:color w:val="auto"/>
              </w:rPr>
            </w:pPr>
            <w:r>
              <w:rPr>
                <w:rFonts w:ascii="Arial" w:cs="Arial" w:eastAsia="Arial" w:hAnsi="Arial"/>
                <w:sz w:val="18"/>
                <w:szCs w:val="18"/>
                <w:b w:val="1"/>
                <w:bCs w:val="1"/>
                <w:color w:val="auto"/>
              </w:rPr>
              <w:t>Location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64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Interest expense</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1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97"/>
        </w:trPr>
        <w:tc>
          <w:tcPr>
            <w:tcW w:w="6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Interest expense</w:t>
            </w: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September 30, 2018, United had four interest rate swaps with a notional amount of $39.0 million that were designated as fair value hedges of interest rate risk and were pay-variable / receive-fixed swaps hedging the changes in the fair value of fixed-rate brokered time deposits resulting from changes in interest rates. At December 31, 2017, United had four interest rate swaps with an aggregate notional amount of $40.7 million that were designated as fair value hedges of interest rate risk and were pay-variable / receive-fixed, hedging the changes in the fair value of fixed-rate brokered time deposits resulting from changes in interest rates. Also at December 31, 2017, United had one interest rate swap with a notional value of $30 million that was designated as a pay-fixed / receive-variable fair value hedge of changes in the fair value of a fixed-rate corporate bond.</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nine months ended September 30, 2018, United recognized net losses of $127,000 and $325,000 respectively, related to ineffectiveness in the fair value hedging relationships. During the three and nine months ended September 30, 2017, United recognized net losses of $160,000 and $612,000, respectively, related to ineffectiveness in the fair value hedging relationships. United also recognized a net increase in interest expense of $74,000 and $154,000, respectively, for the three and nine months ended September 30, 2018, and net reductions of interest expense of $40,000 and $137,000, respectively, for the three and nine months ended September 30, 2017 related to fair value hedges of brokered time deposits, which includes net settlements on the derivatives. United recognized an increase in interest revenue on securities for the nine months ended September 30, 2018 of $17,000 and reductions of interest revenue on securities during the three and nine months ended September 30, 2017 of $71,000 and $244,000, respectively, related to fair value hedges of corporate bonds. For the three months ended September 30, 2018, there was no impact on interest revenue on securities related to fair value hedges of corporate bonds.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Amount of Gain (Loss)</w:t>
            </w:r>
          </w:p>
        </w:tc>
        <w:tc>
          <w:tcPr>
            <w:tcW w:w="280" w:type="dxa"/>
            <w:vAlign w:val="bottom"/>
          </w:tcPr>
          <w:p>
            <w:pPr>
              <w:spacing w:after="0"/>
              <w:rPr>
                <w:sz w:val="18"/>
                <w:szCs w:val="18"/>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28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Recognized in Income</w:t>
            </w:r>
          </w:p>
        </w:tc>
        <w:tc>
          <w:tcPr>
            <w:tcW w:w="280" w:type="dxa"/>
            <w:vAlign w:val="bottom"/>
          </w:tcPr>
          <w:p>
            <w:pPr>
              <w:spacing w:after="0"/>
              <w:rPr>
                <w:sz w:val="18"/>
                <w:szCs w:val="18"/>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26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440" w:type="dxa"/>
            <w:vAlign w:val="bottom"/>
            <w:gridSpan w:val="5"/>
            <w:vMerge w:val="restart"/>
          </w:tcPr>
          <w:p>
            <w:pPr>
              <w:jc w:val="center"/>
              <w:ind w:right="360"/>
              <w:spacing w:after="0"/>
              <w:rPr>
                <w:sz w:val="20"/>
                <w:szCs w:val="20"/>
                <w:color w:val="auto"/>
              </w:rPr>
            </w:pPr>
            <w:r>
              <w:rPr>
                <w:rFonts w:ascii="Arial" w:cs="Arial" w:eastAsia="Arial" w:hAnsi="Arial"/>
                <w:sz w:val="18"/>
                <w:szCs w:val="18"/>
                <w:b w:val="1"/>
                <w:bCs w:val="1"/>
                <w:color w:val="auto"/>
                <w:w w:val="91"/>
              </w:rPr>
              <w:t>on Derivative</w:t>
            </w:r>
          </w:p>
        </w:tc>
        <w:tc>
          <w:tcPr>
            <w:tcW w:w="280" w:type="dxa"/>
            <w:vAlign w:val="bottom"/>
          </w:tcPr>
          <w:p>
            <w:pPr>
              <w:spacing w:after="0"/>
              <w:rPr>
                <w:sz w:val="5"/>
                <w:szCs w:val="5"/>
                <w:color w:val="auto"/>
              </w:rPr>
            </w:pPr>
          </w:p>
        </w:tc>
        <w:tc>
          <w:tcPr>
            <w:tcW w:w="2340" w:type="dxa"/>
            <w:vAlign w:val="bottom"/>
            <w:gridSpan w:val="4"/>
            <w:vMerge w:val="restart"/>
          </w:tcPr>
          <w:p>
            <w:pPr>
              <w:jc w:val="center"/>
              <w:ind w:right="17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2620" w:type="dxa"/>
            <w:vAlign w:val="bottom"/>
            <w:gridSpan w:val="2"/>
            <w:vMerge w:val="restart"/>
          </w:tcPr>
          <w:p>
            <w:pPr>
              <w:jc w:val="center"/>
              <w:ind w:right="120"/>
              <w:spacing w:after="0" w:line="194" w:lineRule="exact"/>
              <w:rPr>
                <w:sz w:val="20"/>
                <w:szCs w:val="20"/>
                <w:color w:val="auto"/>
              </w:rPr>
            </w:pPr>
            <w:r>
              <w:rPr>
                <w:rFonts w:ascii="Arial" w:cs="Arial" w:eastAsia="Arial" w:hAnsi="Arial"/>
                <w:sz w:val="18"/>
                <w:szCs w:val="18"/>
                <w:b w:val="1"/>
                <w:bCs w:val="1"/>
                <w:color w:val="auto"/>
                <w:w w:val="86"/>
              </w:rPr>
              <w:t>(Loss) Recognized</w:t>
            </w:r>
          </w:p>
        </w:tc>
        <w:tc>
          <w:tcPr>
            <w:tcW w:w="280" w:type="dxa"/>
            <w:vAlign w:val="bottom"/>
          </w:tcPr>
          <w:p>
            <w:pPr>
              <w:spacing w:after="0"/>
              <w:rPr>
                <w:sz w:val="14"/>
                <w:szCs w:val="14"/>
                <w:color w:val="auto"/>
              </w:rPr>
            </w:pPr>
          </w:p>
        </w:tc>
        <w:tc>
          <w:tcPr>
            <w:tcW w:w="244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 Income on Derivative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Fair value hedges of brokered CDs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of corporate bonds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67"/>
        </w:trPr>
        <w:tc>
          <w:tcPr>
            <w:tcW w:w="3460" w:type="dxa"/>
            <w:vAlign w:val="bottom"/>
            <w:tcBorders>
              <w:bottom w:val="single" w:sz="8" w:color="CCEEFF"/>
            </w:tcBorders>
          </w:tcPr>
          <w:p>
            <w:pPr>
              <w:spacing w:after="0"/>
              <w:rPr>
                <w:sz w:val="5"/>
                <w:szCs w:val="5"/>
                <w:color w:val="auto"/>
              </w:rPr>
            </w:pPr>
          </w:p>
        </w:tc>
        <w:tc>
          <w:tcPr>
            <w:tcW w:w="25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4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hedges of brokered CDs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Fair value hedges of corporate bonds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30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Amount of Gain (Loss) Recognized in</w:t>
            </w:r>
          </w:p>
        </w:tc>
        <w:tc>
          <w:tcPr>
            <w:tcW w:w="0" w:type="dxa"/>
            <w:vAlign w:val="bottom"/>
          </w:tcPr>
          <w:p>
            <w:pPr>
              <w:spacing w:after="0"/>
              <w:rPr>
                <w:sz w:val="1"/>
                <w:szCs w:val="1"/>
                <w:color w:val="auto"/>
              </w:rPr>
            </w:pPr>
          </w:p>
        </w:tc>
      </w:tr>
      <w:tr>
        <w:trPr>
          <w:trHeight w:val="68"/>
        </w:trPr>
        <w:tc>
          <w:tcPr>
            <w:tcW w:w="5620" w:type="dxa"/>
            <w:vAlign w:val="bottom"/>
          </w:tcPr>
          <w:p>
            <w:pPr>
              <w:spacing w:after="0"/>
              <w:rPr>
                <w:sz w:val="5"/>
                <w:szCs w:val="5"/>
                <w:color w:val="auto"/>
              </w:rPr>
            </w:pPr>
          </w:p>
        </w:tc>
        <w:tc>
          <w:tcPr>
            <w:tcW w:w="27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4"/>
            <w:vMerge w:val="restart"/>
          </w:tcPr>
          <w:p>
            <w:pPr>
              <w:jc w:val="right"/>
              <w:ind w:right="590"/>
              <w:spacing w:after="0"/>
              <w:rPr>
                <w:sz w:val="20"/>
                <w:szCs w:val="20"/>
                <w:color w:val="auto"/>
              </w:rPr>
            </w:pPr>
            <w:r>
              <w:rPr>
                <w:rFonts w:ascii="Arial" w:cs="Arial" w:eastAsia="Arial" w:hAnsi="Arial"/>
                <w:sz w:val="18"/>
                <w:szCs w:val="18"/>
                <w:b w:val="1"/>
                <w:bCs w:val="1"/>
                <w:color w:val="auto"/>
              </w:rPr>
              <w:t>Income on Derivative</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2740" w:type="dxa"/>
            <w:vAlign w:val="bottom"/>
            <w:gridSpan w:val="2"/>
            <w:vMerge w:val="restart"/>
          </w:tcPr>
          <w:p>
            <w:pPr>
              <w:jc w:val="center"/>
              <w:spacing w:after="0" w:line="194" w:lineRule="exact"/>
              <w:rPr>
                <w:sz w:val="20"/>
                <w:szCs w:val="20"/>
                <w:color w:val="auto"/>
              </w:rPr>
            </w:pPr>
            <w:r>
              <w:rPr>
                <w:rFonts w:ascii="Arial" w:cs="Arial" w:eastAsia="Arial" w:hAnsi="Arial"/>
                <w:sz w:val="18"/>
                <w:szCs w:val="18"/>
                <w:b w:val="1"/>
                <w:bCs w:val="1"/>
                <w:color w:val="auto"/>
                <w:w w:val="89"/>
              </w:rPr>
              <w:t>Recognized in Income on</w:t>
            </w:r>
          </w:p>
        </w:tc>
        <w:tc>
          <w:tcPr>
            <w:tcW w:w="340" w:type="dxa"/>
            <w:vAlign w:val="bottom"/>
          </w:tcPr>
          <w:p>
            <w:pPr>
              <w:spacing w:after="0"/>
              <w:rPr>
                <w:sz w:val="14"/>
                <w:szCs w:val="14"/>
                <w:color w:val="auto"/>
              </w:rPr>
            </w:pPr>
          </w:p>
        </w:tc>
        <w:tc>
          <w:tcPr>
            <w:tcW w:w="2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rate caps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De-designated hedges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Mortgage banking derivatives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Mortgage loan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 participations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Nine Months Ended September 30,</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Bifurcated embedded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caps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De-designated hedges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banking derivatives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Mortgage loan revenue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Risk participations</w:t>
            </w:r>
          </w:p>
        </w:tc>
        <w:tc>
          <w:tcPr>
            <w:tcW w:w="2740" w:type="dxa"/>
            <w:vAlign w:val="bottom"/>
            <w:gridSpan w:val="2"/>
          </w:tcPr>
          <w:p>
            <w:pPr>
              <w:ind w:left="140"/>
              <w:spacing w:after="0"/>
              <w:rPr>
                <w:sz w:val="20"/>
                <w:szCs w:val="20"/>
                <w:color w:val="auto"/>
              </w:rPr>
            </w:pPr>
            <w:r>
              <w:rPr>
                <w:rFonts w:ascii="Arial" w:cs="Arial" w:eastAsia="Arial" w:hAnsi="Arial"/>
                <w:sz w:val="18"/>
                <w:szCs w:val="18"/>
                <w:color w:val="auto"/>
              </w:rPr>
              <w:t>Other noninterest income</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with the exception of customer counterparties. The credit support agreements require collateralization of exposures beyond specified minimum threshold amounts. The details of these agreements, including the minimum thresholds, vary by counterparty. As of September 30, 2018, collateral totaling $18.8 million was pledged toward derivatives in a liability position.</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 As a result of the Dodd-Frank Wall Street Reform and Consumer Protection Act of 2010 (the “Dodd-Frank Act”), all newly eligible derivatives entered into are cleared through a central clearinghouse. Derivatives that are centrally cleared do not have credit-risk-related features that would require additional collateral if United’s credit rating were downgraded.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have had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September 30, 2018, incentive stock options, nonqualified stock options, restricted stock and restricted stock unit awards, base salary stock grants and performance share awards have been granted under the plan. As of September 30, 2018, 1.56 million additional awards remained available for grant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nine months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160" w:type="dxa"/>
            <w:vAlign w:val="bottom"/>
            <w:gridSpan w:val="2"/>
          </w:tcPr>
          <w:p>
            <w:pPr>
              <w:ind w:left="2220"/>
              <w:spacing w:after="0"/>
              <w:rPr>
                <w:sz w:val="20"/>
                <w:szCs w:val="20"/>
                <w:color w:val="auto"/>
              </w:rPr>
            </w:pPr>
            <w:r>
              <w:rPr>
                <w:rFonts w:ascii="Arial" w:cs="Arial" w:eastAsia="Arial" w:hAnsi="Arial"/>
                <w:sz w:val="18"/>
                <w:szCs w:val="18"/>
                <w:b w:val="1"/>
                <w:bCs w:val="1"/>
                <w:color w:val="auto"/>
              </w:rPr>
              <w:t>Options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 ($000)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Outstanding at September 30,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48,106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27.16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84"/>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Exercisable at September 30, 2018</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128</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nine months ended September 30, 2018 and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recognized $18,000 and $22,000 in compensation expense related to stock options during each of the nine months ended September 30, 2018 and 2017, respectively. The amount of compensation expense was determined based on the fair value of the options at the time of grant, multiplied by the number of options granted that were expected to vest, which was then amortized over the vesting period.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nine months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Average Grant-</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r>
      <w:tr>
        <w:trPr>
          <w:trHeight w:val="234"/>
        </w:trPr>
        <w:tc>
          <w:tcPr>
            <w:tcW w:w="5160" w:type="dxa"/>
            <w:vAlign w:val="bottom"/>
            <w:gridSpan w:val="2"/>
          </w:tcPr>
          <w:p>
            <w:pPr>
              <w:ind w:left="1380"/>
              <w:spacing w:after="0"/>
              <w:rPr>
                <w:sz w:val="20"/>
                <w:szCs w:val="20"/>
                <w:color w:val="auto"/>
              </w:rPr>
            </w:pPr>
            <w:r>
              <w:rPr>
                <w:rFonts w:ascii="Arial" w:cs="Arial" w:eastAsia="Arial" w:hAnsi="Arial"/>
                <w:sz w:val="18"/>
                <w:szCs w:val="18"/>
                <w:b w:val="1"/>
                <w:bCs w:val="1"/>
                <w:color w:val="auto"/>
              </w:rPr>
              <w:t>Restricted Stock Unit Awards</w:t>
            </w: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($000)</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663,817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400,592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1500" w:type="dxa"/>
            <w:vAlign w:val="bottom"/>
          </w:tcPr>
          <w:p>
            <w:pPr>
              <w:jc w:val="right"/>
              <w:spacing w:after="0"/>
              <w:rPr>
                <w:sz w:val="20"/>
                <w:szCs w:val="20"/>
                <w:color w:val="auto"/>
              </w:rPr>
            </w:pPr>
            <w:r>
              <w:rPr>
                <w:rFonts w:ascii="Arial" w:cs="Arial" w:eastAsia="Arial" w:hAnsi="Arial"/>
                <w:sz w:val="18"/>
                <w:szCs w:val="18"/>
                <w:color w:val="auto"/>
              </w:rPr>
              <w:t>(21,852)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807,551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22,523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 For the nine months ended September 30, 2018 and 2017, expense of $3.79 million and $4.13 million, respectively, was recognized related to restricted stock unit awards granted to United employees. Of the expense recognized related to restricted stock unit awards during the nine months ended September 30, 2017, $696,000 relates to the modification of existing awards resulting from an acceleration of vesting of unvested awards due to retirement which was recognized in merger-related and other charges in the consolidated statement of income. The remaining expense of $3.43 million was recognized in compensation expense. In addition, for the nine months ended September 30, 2018 and 2017, $264,000 and $212,000, respectively, was recognized in other operating expense for restricted stock unit awards granted to members of United’s board of directors.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2018, in addition to time-based restricted stock unit awards, United’s Board of Directors approved performance-based restricted stock unit awards with market conditions (“PSUs”). The PSUs will vest based on achieving, during the applicable calendar-year performance periods from 2019 through 2022, certain performance and market targets relative to a bank peer group. Achievement of the base-level performance and market targets for all applicable periods will result in the issuance of 49,268 shares, which are included in the outstanding balance in the table above. Additional shares may be issued if more stringent performance and market hurdles are met. The grant date per share fair market value of these PSUs of $30.28 was estimated using the Monte Carlo Simulation valuation model.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deferred income tax benefit related to expense for options and restricted stock of $1.04 million and $1.70 million was included in the determination of income tax expense for the nine months ended September 30, 2018 and 2017, respectively. As of September 30, 2018, there was $18.8 million of unrecognized expense related to non-vested stock options and restricted stock unit awards granted under the plan. That cost is expected to be recognized over a weighted-average period of 2.7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nine months ended September 30, 2018 and 2017, 5,232 shares and 2,842 shares, respectively, were issued through the DRIP.</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nine months of 2018 and 2017, United issued 12,524 shares and 10,265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September 30, 2018 and December 31, 2017, 650,338 and 607,869 shares of common stock, respectively, were issuable under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In November 2017, the Board of Directors extended this program to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nine months of 2018 and 2017, United did not repurchase any shares under the program. As of September 30, 2018, $36.3 million of United’s outstanding common stock may be repurchased under the program. In November of 2018, the Board of Directors authorized an increase in the repurchase program to $50 million, as well as an extension through December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income tax provision for the three and nine months ended September 30, 2018 was $13.1 million and $37.4 million, respectively, which represents an effective tax rate of 23.1% and 23.6%, respectively, for each period. The effective tax rates for the third quarter and first nine months of 2018 reflect the lower federal income tax rate enacted in the fourth quarter of 2017 following the passage of H.R. 1, commonly known as the Tax Cuts and Jobs Act of 2017 (the “Tax Act”). The income tax provision for the first nine months of 2018 also includes $509,000 of additional tax expense resulting from the partial impairment of United’s deferred tax asset due to Georgia’s announcement that it has reduced its corporate income tax rate from 6.00% to 5.75% effective January 1, 2019. The income tax provision for the three and nine months ended September 30, 2017 was $15.7 million and $50.7 million, respectively, which represents an effective tax rate of 36.0% and 38.9%, respectively, for each period.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for that period.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2018 and December 31, 2017, United maintained a valuation allowance on its net deferred tax asset of $4.85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September 30, 2018 that it was more likely than not that the net deferred tax asset of $76.9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2015. Although it is not possible to know the ultimate outcome of future examinations, management believes that the liability recorded for uncertain tax positions is appropriate. At September 30, 2018 and December 31, 2017, unrecognized income tax benefits totaled $3.14 million and $3.16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credit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recognizes servicing rights upon the sale of SBA/USDA loans sold with servicing retained. Management has elected to carry this asset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Given the nature of the asset, the key valuation inputs are unobservable and management classifies this asset as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United recognizes servicing rights upon the sale of residential mortgage loans sold with servicing retained. Management has elected to carry this asset at fair value. Given the nature of the asset, the key valuation inputs are unobservable and management classifies this asset as Level 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18 in the Annual Report on Form 10-K for the year ended December 31,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146,418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146,418</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25,277</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25,277</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221,316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221,316</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1,773,725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1,773,725</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198,586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199,581</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220,441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220,441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Equity securities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801</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27,325</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27,325</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7,498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7,498</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12,031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12,031</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15,479</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14,416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29,895</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153,766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2,482,149</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34,940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2,670,855</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6,547</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20,371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18,745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39,116</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20,371</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18,745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45,663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121,113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121,113</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26,372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26,372</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197,286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197,286</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1,727,211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1,727,211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305,453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306,353</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237,458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237,458</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26,252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26,252</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5,716</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7,740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7,740</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8,262</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10,514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12,207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22,721</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97"/>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126,829</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2,530,603</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29,109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2,686,541</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5,716</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16,744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25,376</w:t>
            </w:r>
          </w:p>
        </w:tc>
      </w:tr>
      <w:tr>
        <w:trPr>
          <w:trHeight w:val="297"/>
        </w:trPr>
        <w:tc>
          <w:tcPr>
            <w:tcW w:w="50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2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57"/>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8,632</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16,744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31,092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14"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1" w:right="239" w:bottom="514"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4"/>
        </w:trPr>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5"/>
              </w:rPr>
              <w:t>Servicing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Residential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5"/>
              </w:rPr>
              <w:t>Servicing</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Residential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rights for</w:t>
            </w: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mortgage</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rights for</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mortgage</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6"/>
              </w:rPr>
              <w:t>Securities</w:t>
            </w:r>
          </w:p>
        </w:tc>
      </w:tr>
      <w:tr>
        <w:trPr>
          <w:trHeight w:val="135"/>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SBA/USDA</w:t>
            </w: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servicing</w:t>
            </w: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Available-</w:t>
            </w:r>
          </w:p>
        </w:tc>
        <w:tc>
          <w:tcPr>
            <w:tcW w:w="1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SBA/USDA</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servicing</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7"/>
              </w:rPr>
              <w:t>Available-</w:t>
            </w:r>
          </w:p>
        </w:tc>
      </w:tr>
      <w:tr>
        <w:trPr>
          <w:trHeight w:val="174"/>
        </w:trPr>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Asset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Liability</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2"/>
              </w:rPr>
              <w:t>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8"/>
              </w:rPr>
              <w:t>rights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for-Sale</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Asset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Liability</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8"/>
              </w:rPr>
              <w:t>rights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6"/>
              </w:rPr>
              <w:t>for-Sale</w:t>
            </w:r>
          </w:p>
        </w:tc>
      </w:tr>
      <w:tr>
        <w:trPr>
          <w:trHeight w:val="249"/>
        </w:trPr>
        <w:tc>
          <w:tcPr>
            <w:tcW w:w="2060" w:type="dxa"/>
            <w:vAlign w:val="bottom"/>
            <w:gridSpan w:val="2"/>
          </w:tcPr>
          <w:p>
            <w:pPr>
              <w:ind w:left="40"/>
              <w:spacing w:after="0"/>
              <w:rPr>
                <w:sz w:val="20"/>
                <w:szCs w:val="20"/>
                <w:color w:val="auto"/>
              </w:rPr>
            </w:pPr>
            <w:r>
              <w:rPr>
                <w:rFonts w:ascii="Arial" w:cs="Arial" w:eastAsia="Arial" w:hAnsi="Arial"/>
                <w:sz w:val="13"/>
                <w:szCs w:val="13"/>
                <w:b w:val="1"/>
                <w:bCs w:val="1"/>
                <w:color w:val="auto"/>
                <w:w w:val="90"/>
              </w:rPr>
              <w:t>Three Months Ended September 30,</w:t>
            </w: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14,510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18,366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10,801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16,091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810</w:t>
            </w:r>
          </w:p>
        </w:tc>
      </w:tr>
      <w:tr>
        <w:trPr>
          <w:trHeight w:val="262"/>
        </w:trPr>
        <w:tc>
          <w:tcPr>
            <w:tcW w:w="1960" w:type="dxa"/>
            <w:vAlign w:val="bottom"/>
          </w:tcPr>
          <w:p>
            <w:pPr>
              <w:ind w:left="18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1,397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settlements</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96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Amounts included in earnings -</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0"/>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fair value adjustments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14,416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18,745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7,498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12,031</w:t>
            </w:r>
          </w:p>
        </w:tc>
        <w:tc>
          <w:tcPr>
            <w:tcW w:w="1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11,118</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15,345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7,067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6,926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810</w:t>
            </w:r>
          </w:p>
        </w:tc>
      </w:tr>
      <w:tr>
        <w:trPr>
          <w:trHeight w:val="306"/>
        </w:trPr>
        <w:tc>
          <w:tcPr>
            <w:tcW w:w="1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2"/>
        </w:trPr>
        <w:tc>
          <w:tcPr>
            <w:tcW w:w="1960" w:type="dxa"/>
            <w:vAlign w:val="bottom"/>
          </w:tcPr>
          <w:p>
            <w:pPr>
              <w:ind w:left="40"/>
              <w:spacing w:after="0"/>
              <w:rPr>
                <w:sz w:val="20"/>
                <w:szCs w:val="20"/>
                <w:color w:val="auto"/>
              </w:rPr>
            </w:pPr>
            <w:r>
              <w:rPr>
                <w:rFonts w:ascii="Arial" w:cs="Arial" w:eastAsia="Arial" w:hAnsi="Arial"/>
                <w:sz w:val="13"/>
                <w:szCs w:val="13"/>
                <w:b w:val="1"/>
                <w:bCs w:val="1"/>
                <w:color w:val="auto"/>
                <w:w w:val="88"/>
              </w:rPr>
              <w:t>Nine Months Ended September 30,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12,207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16,744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7,740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8,262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16,347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5,752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675</w:t>
            </w:r>
          </w:p>
        </w:tc>
      </w:tr>
      <w:tr>
        <w:trPr>
          <w:trHeight w:val="262"/>
        </w:trPr>
        <w:tc>
          <w:tcPr>
            <w:tcW w:w="1960" w:type="dxa"/>
            <w:vAlign w:val="bottom"/>
          </w:tcPr>
          <w:p>
            <w:pPr>
              <w:ind w:left="180"/>
              <w:spacing w:after="0"/>
              <w:rPr>
                <w:sz w:val="20"/>
                <w:szCs w:val="20"/>
                <w:color w:val="auto"/>
              </w:rPr>
            </w:pPr>
            <w:r>
              <w:rPr>
                <w:rFonts w:ascii="Arial" w:cs="Arial" w:eastAsia="Arial" w:hAnsi="Arial"/>
                <w:sz w:val="13"/>
                <w:szCs w:val="13"/>
                <w:color w:val="auto"/>
              </w:rPr>
              <w:t>Business combinations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(354)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Transfer from amortization</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6"/>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method to fair value</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5,070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960" w:type="dxa"/>
            <w:vAlign w:val="bottom"/>
          </w:tcPr>
          <w:p>
            <w:pPr>
              <w:ind w:left="18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1,837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3,505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Sales and settlements</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96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135</w:t>
            </w:r>
          </w:p>
        </w:tc>
      </w:tr>
      <w:tr>
        <w:trPr>
          <w:trHeight w:val="156"/>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Amounts included in earnings -</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70"/>
        </w:trPr>
        <w:tc>
          <w:tcPr>
            <w:tcW w:w="19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fair value adjustments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1,421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5"/>
        </w:trPr>
        <w:tc>
          <w:tcPr>
            <w:tcW w:w="1960" w:type="dxa"/>
            <w:vAlign w:val="bottom"/>
          </w:tcPr>
          <w:p>
            <w:pPr>
              <w:ind w:left="4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14,416</w:t>
            </w:r>
          </w:p>
        </w:tc>
        <w:tc>
          <w:tcPr>
            <w:tcW w:w="12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18,745</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7,498</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12,031</w:t>
            </w:r>
          </w:p>
        </w:tc>
        <w:tc>
          <w:tcPr>
            <w:tcW w:w="140" w:type="dxa"/>
            <w:vAlign w:val="bottom"/>
            <w:tcBorders>
              <w:top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11,118</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15,345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7,067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6,926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810</w:t>
            </w:r>
          </w:p>
        </w:tc>
      </w:tr>
      <w:tr>
        <w:trPr>
          <w:trHeight w:val="20"/>
        </w:trPr>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Level 3 Assets and Liabilities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9"/>
              </w:rPr>
              <w:t>Valuation Technique</w:t>
            </w:r>
          </w:p>
        </w:tc>
        <w:tc>
          <w:tcPr>
            <w:tcW w:w="0" w:type="dxa"/>
            <w:vAlign w:val="bottom"/>
          </w:tcPr>
          <w:p>
            <w:pPr>
              <w:spacing w:after="0"/>
              <w:rPr>
                <w:sz w:val="1"/>
                <w:szCs w:val="1"/>
                <w:color w:val="auto"/>
              </w:rPr>
            </w:pPr>
          </w:p>
        </w:tc>
      </w:tr>
      <w:tr>
        <w:trPr>
          <w:trHeight w:val="216"/>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Servicing rights for SBA/USDA loans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7,498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7,740</w:t>
            </w:r>
          </w:p>
        </w:tc>
        <w:tc>
          <w:tcPr>
            <w:tcW w:w="120" w:type="dxa"/>
            <w:vAlign w:val="bottom"/>
          </w:tcPr>
          <w:p>
            <w:pPr>
              <w:spacing w:after="0"/>
              <w:rPr>
                <w:sz w:val="18"/>
                <w:szCs w:val="18"/>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527"/>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Residential mortgage servicing rights</w:t>
            </w:r>
          </w:p>
        </w:tc>
        <w:tc>
          <w:tcPr>
            <w:tcW w:w="1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12,031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8,262</w:t>
            </w:r>
          </w:p>
        </w:tc>
        <w:tc>
          <w:tcPr>
            <w:tcW w:w="1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706"/>
        </w:trPr>
        <w:tc>
          <w:tcPr>
            <w:tcW w:w="2640" w:type="dxa"/>
            <w:vAlign w:val="bottom"/>
            <w:gridSpan w:val="2"/>
            <w:vMerge w:val="restart"/>
          </w:tcPr>
          <w:p>
            <w:pPr>
              <w:ind w:left="4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4"/>
                <w:szCs w:val="24"/>
                <w:color w:val="auto"/>
              </w:rPr>
            </w:pPr>
          </w:p>
        </w:tc>
        <w:tc>
          <w:tcPr>
            <w:tcW w:w="1000" w:type="dxa"/>
            <w:vAlign w:val="bottom"/>
            <w:vMerge w:val="restart"/>
          </w:tcPr>
          <w:p>
            <w:pPr>
              <w:jc w:val="right"/>
              <w:ind w:right="32"/>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Arial" w:cs="Arial" w:eastAsia="Arial" w:hAnsi="Arial"/>
                <w:sz w:val="14"/>
                <w:szCs w:val="14"/>
                <w:color w:val="auto"/>
                <w:w w:val="90"/>
              </w:rPr>
              <w:t>Indicative bid provided by a</w:t>
            </w:r>
          </w:p>
        </w:tc>
        <w:tc>
          <w:tcPr>
            <w:tcW w:w="0" w:type="dxa"/>
            <w:vAlign w:val="bottom"/>
          </w:tcPr>
          <w:p>
            <w:pPr>
              <w:spacing w:after="0"/>
              <w:rPr>
                <w:sz w:val="1"/>
                <w:szCs w:val="1"/>
                <w:color w:val="auto"/>
              </w:rPr>
            </w:pPr>
          </w:p>
        </w:tc>
      </w:tr>
      <w:tr>
        <w:trPr>
          <w:trHeight w:val="105"/>
        </w:trPr>
        <w:tc>
          <w:tcPr>
            <w:tcW w:w="2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vMerge w:val="restart"/>
          </w:tcPr>
          <w:p>
            <w:pPr>
              <w:ind w:left="20"/>
              <w:spacing w:after="0"/>
              <w:rPr>
                <w:sz w:val="20"/>
                <w:szCs w:val="20"/>
                <w:color w:val="auto"/>
              </w:rPr>
            </w:pPr>
            <w:r>
              <w:rPr>
                <w:rFonts w:ascii="Arial" w:cs="Arial" w:eastAsia="Arial" w:hAnsi="Arial"/>
                <w:sz w:val="14"/>
                <w:szCs w:val="14"/>
                <w:color w:val="auto"/>
              </w:rPr>
              <w:t>broker</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506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b w:val="1"/>
                <w:bCs w:val="1"/>
                <w:color w:val="auto"/>
              </w:rPr>
              <w:t>Weighted Average</w:t>
            </w:r>
          </w:p>
        </w:tc>
      </w:tr>
      <w:tr>
        <w:trPr>
          <w:trHeight w:val="352"/>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December 31,</w:t>
            </w:r>
          </w:p>
        </w:tc>
      </w:tr>
      <w:tr>
        <w:trPr>
          <w:trHeight w:val="182"/>
        </w:trPr>
        <w:tc>
          <w:tcPr>
            <w:tcW w:w="22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16"/>
        </w:trPr>
        <w:tc>
          <w:tcPr>
            <w:tcW w:w="2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57"/>
        </w:trPr>
        <w:tc>
          <w:tcPr>
            <w:tcW w:w="2280" w:type="dxa"/>
            <w:vAlign w:val="bottom"/>
          </w:tcPr>
          <w:p>
            <w:pPr>
              <w:ind w:left="20"/>
              <w:spacing w:after="0"/>
              <w:rPr>
                <w:sz w:val="20"/>
                <w:szCs w:val="20"/>
                <w:color w:val="auto"/>
              </w:rPr>
            </w:pPr>
            <w:r>
              <w:rPr>
                <w:rFonts w:ascii="Arial" w:cs="Arial" w:eastAsia="Arial" w:hAnsi="Arial"/>
                <w:sz w:val="14"/>
                <w:szCs w:val="14"/>
                <w:color w:val="auto"/>
              </w:rPr>
              <w:t>Prepayment rate</w:t>
            </w:r>
          </w:p>
        </w:tc>
        <w:tc>
          <w:tcPr>
            <w:tcW w:w="1280" w:type="dxa"/>
            <w:vAlign w:val="bottom"/>
            <w:gridSpan w:val="2"/>
          </w:tcPr>
          <w:p>
            <w:pPr>
              <w:jc w:val="right"/>
              <w:ind w:right="72"/>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8.3</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1280" w:type="dxa"/>
            <w:vAlign w:val="bottom"/>
            <w:gridSpan w:val="2"/>
          </w:tcPr>
          <w:p>
            <w:pPr>
              <w:jc w:val="right"/>
              <w:ind w:right="72"/>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10.0</w:t>
            </w:r>
          </w:p>
        </w:tc>
      </w:tr>
      <w:tr>
        <w:trPr>
          <w:trHeight w:val="270"/>
        </w:trPr>
        <w:tc>
          <w:tcPr>
            <w:tcW w:w="2280" w:type="dxa"/>
            <w:vAlign w:val="bottom"/>
          </w:tcPr>
          <w:p>
            <w:pPr>
              <w:ind w:left="20"/>
              <w:spacing w:after="0"/>
              <w:rPr>
                <w:sz w:val="20"/>
                <w:szCs w:val="20"/>
                <w:color w:val="auto"/>
              </w:rPr>
            </w:pPr>
            <w:r>
              <w:rPr>
                <w:rFonts w:ascii="Arial" w:cs="Arial" w:eastAsia="Arial" w:hAnsi="Arial"/>
                <w:sz w:val="14"/>
                <w:szCs w:val="14"/>
                <w:color w:val="auto"/>
              </w:rPr>
              <w:t>Prepayment rate</w:t>
            </w:r>
          </w:p>
        </w:tc>
        <w:tc>
          <w:tcPr>
            <w:tcW w:w="1280" w:type="dxa"/>
            <w:vAlign w:val="bottom"/>
            <w:gridSpan w:val="2"/>
          </w:tcPr>
          <w:p>
            <w:pPr>
              <w:jc w:val="right"/>
              <w:ind w:right="72"/>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Arial" w:cs="Arial" w:eastAsia="Arial" w:hAnsi="Arial"/>
                <w:sz w:val="14"/>
                <w:szCs w:val="14"/>
                <w:color w:val="auto"/>
              </w:rPr>
              <w:t>9.5</w:t>
            </w:r>
          </w:p>
        </w:tc>
      </w:tr>
      <w:tr>
        <w:trPr>
          <w:trHeight w:val="219"/>
        </w:trPr>
        <w:tc>
          <w:tcPr>
            <w:tcW w:w="2280" w:type="dxa"/>
            <w:vAlign w:val="bottom"/>
          </w:tcPr>
          <w:p>
            <w:pPr>
              <w:ind w:left="20"/>
              <w:spacing w:after="0"/>
              <w:rPr>
                <w:sz w:val="20"/>
                <w:szCs w:val="20"/>
                <w:color w:val="auto"/>
              </w:rPr>
            </w:pPr>
            <w:r>
              <w:rPr>
                <w:rFonts w:ascii="Arial" w:cs="Arial" w:eastAsia="Arial" w:hAnsi="Arial"/>
                <w:sz w:val="14"/>
                <w:szCs w:val="14"/>
                <w:color w:val="auto"/>
              </w:rPr>
              <w:t>Multiple factors, including but not</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w w:val="94"/>
              </w:rPr>
              <w:t>limited to, current operations, financial</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rPr>
              <w:t>condition, cash flows, and recently</w:t>
            </w:r>
          </w:p>
        </w:tc>
        <w:tc>
          <w:tcPr>
            <w:tcW w:w="100" w:type="dxa"/>
            <w:vAlign w:val="bottom"/>
          </w:tcPr>
          <w:p>
            <w:pPr>
              <w:spacing w:after="0"/>
              <w:rPr>
                <w:sz w:val="12"/>
                <w:szCs w:val="12"/>
                <w:color w:val="auto"/>
              </w:rPr>
            </w:pPr>
          </w:p>
        </w:tc>
        <w:tc>
          <w:tcPr>
            <w:tcW w:w="1280" w:type="dxa"/>
            <w:vAlign w:val="bottom"/>
            <w:gridSpan w:val="2"/>
          </w:tcPr>
          <w:p>
            <w:pPr>
              <w:ind w:left="800"/>
              <w:spacing w:after="0" w:line="149" w:lineRule="exact"/>
              <w:rPr>
                <w:sz w:val="20"/>
                <w:szCs w:val="20"/>
                <w:color w:val="auto"/>
              </w:rPr>
            </w:pPr>
            <w:r>
              <w:rPr>
                <w:rFonts w:ascii="Arial" w:cs="Arial" w:eastAsia="Arial" w:hAnsi="Arial"/>
                <w:sz w:val="14"/>
                <w:szCs w:val="14"/>
                <w:color w:val="auto"/>
              </w:rPr>
              <w:t>N/A</w:t>
            </w:r>
          </w:p>
        </w:tc>
        <w:tc>
          <w:tcPr>
            <w:tcW w:w="10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N/A</w:t>
            </w:r>
          </w:p>
        </w:tc>
      </w:tr>
      <w:tr>
        <w:trPr>
          <w:trHeight w:val="149"/>
        </w:trPr>
        <w:tc>
          <w:tcPr>
            <w:tcW w:w="2280" w:type="dxa"/>
            <w:vAlign w:val="bottom"/>
          </w:tcPr>
          <w:p>
            <w:pPr>
              <w:ind w:left="20"/>
              <w:spacing w:after="0" w:line="149" w:lineRule="exact"/>
              <w:rPr>
                <w:sz w:val="20"/>
                <w:szCs w:val="20"/>
                <w:color w:val="auto"/>
              </w:rPr>
            </w:pPr>
            <w:r>
              <w:rPr>
                <w:rFonts w:ascii="Arial" w:cs="Arial" w:eastAsia="Arial" w:hAnsi="Arial"/>
                <w:sz w:val="14"/>
                <w:szCs w:val="14"/>
                <w:color w:val="auto"/>
                <w:w w:val="92"/>
              </w:rPr>
              <w:t>executed financing transactions related</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2"/>
        </w:trPr>
        <w:tc>
          <w:tcPr>
            <w:tcW w:w="2280" w:type="dxa"/>
            <w:vAlign w:val="bottom"/>
          </w:tcPr>
          <w:p>
            <w:pPr>
              <w:ind w:left="20"/>
              <w:spacing w:after="0"/>
              <w:rPr>
                <w:sz w:val="20"/>
                <w:szCs w:val="20"/>
                <w:color w:val="auto"/>
              </w:rPr>
            </w:pPr>
            <w:r>
              <w:rPr>
                <w:rFonts w:ascii="Arial" w:cs="Arial" w:eastAsia="Arial" w:hAnsi="Arial"/>
                <w:sz w:val="14"/>
                <w:szCs w:val="14"/>
                <w:color w:val="auto"/>
              </w:rPr>
              <w:t>to the company</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6580" w:space="120"/>
            <w:col w:w="4720"/>
          </w:cols>
          <w:pgMar w:left="240" w:top="121" w:right="239"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 - mortgage</w:t>
            </w:r>
          </w:p>
        </w:tc>
        <w:tc>
          <w:tcPr>
            <w:tcW w:w="12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1,249</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1,150</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Pull through rate</w:t>
            </w:r>
          </w:p>
        </w:tc>
        <w:tc>
          <w:tcPr>
            <w:tcW w:w="1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rPr>
              <w:t>82.9</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80.0</w:t>
            </w:r>
          </w:p>
        </w:tc>
      </w:tr>
      <w:tr>
        <w:trPr>
          <w:trHeight w:val="216"/>
        </w:trPr>
        <w:tc>
          <w:tcPr>
            <w:tcW w:w="2760" w:type="dxa"/>
            <w:vAlign w:val="bottom"/>
          </w:tcPr>
          <w:p>
            <w:pPr>
              <w:ind w:left="40"/>
              <w:spacing w:after="0"/>
              <w:rPr>
                <w:sz w:val="20"/>
                <w:szCs w:val="20"/>
                <w:color w:val="auto"/>
              </w:rPr>
            </w:pPr>
            <w:r>
              <w:rPr>
                <w:rFonts w:ascii="Arial" w:cs="Arial" w:eastAsia="Arial" w:hAnsi="Arial"/>
                <w:sz w:val="14"/>
                <w:szCs w:val="14"/>
                <w:color w:val="auto"/>
              </w:rPr>
              <w:t>Derivative assets - other</w:t>
            </w:r>
          </w:p>
        </w:tc>
        <w:tc>
          <w:tcPr>
            <w:tcW w:w="1260" w:type="dxa"/>
            <w:vAlign w:val="bottom"/>
          </w:tcPr>
          <w:p>
            <w:pPr>
              <w:jc w:val="right"/>
              <w:ind w:right="292"/>
              <w:spacing w:after="0"/>
              <w:rPr>
                <w:sz w:val="20"/>
                <w:szCs w:val="20"/>
                <w:color w:val="auto"/>
              </w:rPr>
            </w:pPr>
            <w:r>
              <w:rPr>
                <w:rFonts w:ascii="Arial" w:cs="Arial" w:eastAsia="Arial" w:hAnsi="Arial"/>
                <w:sz w:val="14"/>
                <w:szCs w:val="14"/>
                <w:color w:val="auto"/>
              </w:rPr>
              <w:t>13,167</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11,057</w:t>
            </w:r>
          </w:p>
        </w:tc>
        <w:tc>
          <w:tcPr>
            <w:tcW w:w="1360" w:type="dxa"/>
            <w:vAlign w:val="bottom"/>
          </w:tcPr>
          <w:p>
            <w:pPr>
              <w:ind w:left="120"/>
              <w:spacing w:after="0"/>
              <w:rPr>
                <w:sz w:val="20"/>
                <w:szCs w:val="20"/>
                <w:color w:val="auto"/>
              </w:rPr>
            </w:pPr>
            <w:r>
              <w:rPr>
                <w:rFonts w:ascii="Arial" w:cs="Arial" w:eastAsia="Arial" w:hAnsi="Arial"/>
                <w:sz w:val="14"/>
                <w:szCs w:val="14"/>
                <w:color w:val="auto"/>
              </w:rPr>
              <w:t>Dealer priced</w:t>
            </w:r>
          </w:p>
        </w:tc>
        <w:tc>
          <w:tcPr>
            <w:tcW w:w="2740" w:type="dxa"/>
            <w:vAlign w:val="bottom"/>
          </w:tcPr>
          <w:p>
            <w:pPr>
              <w:ind w:left="460"/>
              <w:spacing w:after="0"/>
              <w:rPr>
                <w:sz w:val="20"/>
                <w:szCs w:val="20"/>
                <w:color w:val="auto"/>
              </w:rPr>
            </w:pPr>
            <w:r>
              <w:rPr>
                <w:rFonts w:ascii="Arial" w:cs="Arial" w:eastAsia="Arial" w:hAnsi="Arial"/>
                <w:sz w:val="14"/>
                <w:szCs w:val="14"/>
                <w:color w:val="auto"/>
              </w:rPr>
              <w:t>Dealer priced</w:t>
            </w:r>
          </w:p>
        </w:tc>
        <w:tc>
          <w:tcPr>
            <w:tcW w:w="1580" w:type="dxa"/>
            <w:vAlign w:val="bottom"/>
          </w:tcPr>
          <w:p>
            <w:pPr>
              <w:jc w:val="right"/>
              <w:ind w:right="392"/>
              <w:spacing w:after="0"/>
              <w:rPr>
                <w:sz w:val="20"/>
                <w:szCs w:val="20"/>
                <w:color w:val="auto"/>
              </w:rPr>
            </w:pPr>
            <w:r>
              <w:rPr>
                <w:rFonts w:ascii="Arial" w:cs="Arial" w:eastAsia="Arial" w:hAnsi="Arial"/>
                <w:sz w:val="14"/>
                <w:szCs w:val="14"/>
                <w:color w:val="auto"/>
              </w:rPr>
              <w:t>N/A</w:t>
            </w: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N/A</w:t>
            </w:r>
          </w:p>
        </w:tc>
      </w:tr>
      <w:tr>
        <w:trPr>
          <w:trHeight w:val="55"/>
        </w:trPr>
        <w:tc>
          <w:tcPr>
            <w:tcW w:w="2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liabilities - risk participations</w:t>
            </w:r>
          </w:p>
        </w:tc>
        <w:tc>
          <w:tcPr>
            <w:tcW w:w="126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Internal model</w:t>
            </w:r>
          </w:p>
        </w:tc>
        <w:tc>
          <w:tcPr>
            <w:tcW w:w="2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Probable exposure rate</w:t>
            </w:r>
          </w:p>
        </w:tc>
        <w:tc>
          <w:tcPr>
            <w:tcW w:w="1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rPr>
              <w:t>0.5</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0.4</w:t>
            </w:r>
          </w:p>
        </w:tc>
      </w:tr>
      <w:tr>
        <w:trPr>
          <w:trHeight w:val="216"/>
        </w:trPr>
        <w:tc>
          <w:tcPr>
            <w:tcW w:w="2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740" w:type="dxa"/>
            <w:vAlign w:val="bottom"/>
          </w:tcPr>
          <w:p>
            <w:pPr>
              <w:ind w:left="460"/>
              <w:spacing w:after="0"/>
              <w:rPr>
                <w:sz w:val="20"/>
                <w:szCs w:val="20"/>
                <w:color w:val="auto"/>
              </w:rPr>
            </w:pPr>
            <w:r>
              <w:rPr>
                <w:rFonts w:ascii="Arial" w:cs="Arial" w:eastAsia="Arial" w:hAnsi="Arial"/>
                <w:sz w:val="14"/>
                <w:szCs w:val="14"/>
                <w:color w:val="auto"/>
              </w:rPr>
              <w:t>Probability of default rate</w:t>
            </w:r>
          </w:p>
        </w:tc>
        <w:tc>
          <w:tcPr>
            <w:tcW w:w="1580" w:type="dxa"/>
            <w:vAlign w:val="bottom"/>
          </w:tcPr>
          <w:p>
            <w:pPr>
              <w:jc w:val="right"/>
              <w:ind w:right="392"/>
              <w:spacing w:after="0"/>
              <w:rPr>
                <w:sz w:val="20"/>
                <w:szCs w:val="20"/>
                <w:color w:val="auto"/>
              </w:rPr>
            </w:pPr>
            <w:r>
              <w:rPr>
                <w:rFonts w:ascii="Arial" w:cs="Arial" w:eastAsia="Arial" w:hAnsi="Arial"/>
                <w:sz w:val="14"/>
                <w:szCs w:val="14"/>
                <w:color w:val="auto"/>
              </w:rPr>
              <w:t>1.8</w:t>
            </w:r>
          </w:p>
        </w:tc>
        <w:tc>
          <w:tcPr>
            <w:tcW w:w="840" w:type="dxa"/>
            <w:vAlign w:val="bottom"/>
          </w:tcPr>
          <w:p>
            <w:pPr>
              <w:jc w:val="right"/>
              <w:ind w:right="72"/>
              <w:spacing w:after="0"/>
              <w:rPr>
                <w:sz w:val="20"/>
                <w:szCs w:val="20"/>
                <w:color w:val="auto"/>
              </w:rPr>
            </w:pPr>
            <w:r>
              <w:rPr>
                <w:rFonts w:ascii="Arial" w:cs="Arial" w:eastAsia="Arial" w:hAnsi="Arial"/>
                <w:sz w:val="14"/>
                <w:szCs w:val="14"/>
                <w:color w:val="auto"/>
              </w:rPr>
              <w:t>1.8</w:t>
            </w:r>
          </w:p>
        </w:tc>
      </w:tr>
      <w:tr>
        <w:trPr>
          <w:trHeight w:val="55"/>
        </w:trPr>
        <w:tc>
          <w:tcPr>
            <w:tcW w:w="27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2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liabilities - other</w:t>
            </w:r>
          </w:p>
        </w:tc>
        <w:tc>
          <w:tcPr>
            <w:tcW w:w="12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18,737</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16,724</w:t>
            </w:r>
          </w:p>
        </w:tc>
        <w:tc>
          <w:tcPr>
            <w:tcW w:w="1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Dealer priced</w:t>
            </w:r>
          </w:p>
        </w:tc>
        <w:tc>
          <w:tcPr>
            <w:tcW w:w="27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Dealer priced</w:t>
            </w:r>
          </w:p>
        </w:tc>
        <w:tc>
          <w:tcPr>
            <w:tcW w:w="158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N/A</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N/A</w:t>
            </w:r>
          </w:p>
        </w:tc>
      </w:tr>
      <w:tr>
        <w:trPr>
          <w:trHeight w:val="55"/>
        </w:trPr>
        <w:tc>
          <w:tcPr>
            <w:tcW w:w="276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74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type w:val="continuous"/>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2018, mortgage loans held for sale for which the fair value option was elected had an aggregate fair value and outstanding principal balance of $27.3 million and $26.7 million, respectively. At December 31, 2017, mortgage loans held for sale for which the fair value option was elected had an aggregate fair value and outstanding principal balance of $26.3 million and $25.4 million, respectively. Interest income on these loans is calculated based on the note rate of the loan and is recorded in interest revenue. During the three and nine months ended September 30, 2018, changes in fair value of these loans resulted in net losses of $412,000 and $157,000, respectively. During the three and nine months ended September 30, 2017, changes in fair value of these loans resulted in net gains of $264,000 and $708,000, respectively. Gains resulting from the change in fair value of these loans are recorded in mortgage loan and other related fees. These changes in fair value were mostly offset by hedging activities. An immaterial portion of these amounts was attributable to changes in instrument-specific credit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September 30, 2018 and December 31, 2017,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Loans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7,127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7,127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3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Loans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6,905</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ind w:left="520"/>
              <w:spacing w:after="0"/>
              <w:rPr>
                <w:sz w:val="20"/>
                <w:szCs w:val="20"/>
                <w:color w:val="auto"/>
              </w:rPr>
            </w:pPr>
            <w:r>
              <w:rPr>
                <w:rFonts w:ascii="Arial" w:cs="Arial" w:eastAsia="Arial" w:hAnsi="Arial"/>
                <w:sz w:val="18"/>
                <w:szCs w:val="18"/>
                <w:b w:val="1"/>
                <w:bCs w:val="1"/>
                <w:color w:val="auto"/>
              </w:rPr>
              <w:t>Fair Value Level</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to maturity</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277,473</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Loans and leases, net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8,165,526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8,127,948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8,127,948</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10,229,477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10,221,841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10,221,841</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299,979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299,979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298,036</w:t>
            </w:r>
          </w:p>
        </w:tc>
      </w:tr>
      <w:tr>
        <w:trPr>
          <w:trHeight w:val="32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37"/>
        </w:trPr>
        <w:tc>
          <w:tcPr>
            <w:tcW w:w="40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Securities held to maturity</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321,094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321,276</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7,676,658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7,674,460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7,674,460</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6,514</w:t>
            </w:r>
          </w:p>
        </w:tc>
      </w:tr>
      <w:tr>
        <w:trPr>
          <w:trHeight w:val="32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9,807,697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9,809,264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9,809,264</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504,460</w:t>
            </w: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120,545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123,844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123,844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p>
      <w:pPr>
        <w:ind w:left="7660"/>
        <w:spacing w:after="0"/>
        <w:tabs>
          <w:tab w:leader="none" w:pos="9700" w:val="left"/>
        </w:tabs>
        <w:rPr>
          <w:sz w:val="20"/>
          <w:szCs w:val="20"/>
          <w:color w:val="auto"/>
        </w:rPr>
      </w:pPr>
      <w:r>
        <w:rPr>
          <w:rFonts w:ascii="Arial" w:cs="Arial" w:eastAsia="Arial" w:hAnsi="Arial"/>
          <w:sz w:val="18"/>
          <w:szCs w:val="18"/>
          <w:b w:val="1"/>
          <w:bCs w:val="1"/>
          <w:color w:val="auto"/>
        </w:rPr>
        <w:t>September 30, 2018</w:t>
      </w:r>
      <w:r>
        <w:rPr>
          <w:sz w:val="20"/>
          <w:szCs w:val="20"/>
          <w:color w:val="auto"/>
        </w:rPr>
        <w:tab/>
      </w:r>
      <w:r>
        <w:rPr>
          <w:rFonts w:ascii="Arial" w:cs="Arial" w:eastAsia="Arial" w:hAnsi="Arial"/>
          <w:sz w:val="16"/>
          <w:szCs w:val="16"/>
          <w:b w:val="1"/>
          <w:bCs w:val="1"/>
          <w:color w:val="auto"/>
        </w:rPr>
        <w:t>December 31, 2017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13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2,093,957</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1,910,777</w:t>
            </w:r>
          </w:p>
        </w:tc>
      </w:tr>
      <w:tr>
        <w:trPr>
          <w:trHeight w:val="27"/>
        </w:trPr>
        <w:tc>
          <w:tcPr>
            <w:tcW w:w="7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Letters of credit</w:t>
            </w: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25,926</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28,075</w:t>
            </w:r>
          </w:p>
        </w:tc>
      </w:tr>
      <w:tr>
        <w:trPr>
          <w:trHeight w:val="27"/>
        </w:trPr>
        <w:tc>
          <w:tcPr>
            <w:tcW w:w="74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September 30, 2018, the Bank had committed to fund an additional $8.76 million related to future capital calls that had not been reflected in the consolidated balance sheet.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1"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gridSpan w:val="5"/>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4"/>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414"/>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54"/>
              <w:spacing w:after="0"/>
              <w:rPr>
                <w:sz w:val="20"/>
                <w:szCs w:val="20"/>
                <w:color w:val="auto"/>
              </w:rPr>
            </w:pPr>
            <w:r>
              <w:rPr>
                <w:rFonts w:ascii="Arial" w:cs="Arial" w:eastAsia="Arial" w:hAnsi="Arial"/>
                <w:sz w:val="18"/>
                <w:szCs w:val="18"/>
                <w:b w:val="1"/>
                <w:bCs w:val="1"/>
                <w:color w:val="auto"/>
                <w:w w:val="89"/>
              </w:rPr>
              <w:t>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gridSpan w:val="6"/>
            <w:shd w:val="clear" w:color="auto" w:fill="CCEEFF"/>
          </w:tcPr>
          <w:p>
            <w:pPr>
              <w:ind w:left="1880"/>
              <w:spacing w:after="0"/>
              <w:rPr>
                <w:sz w:val="20"/>
                <w:szCs w:val="20"/>
                <w:color w:val="auto"/>
              </w:rPr>
            </w:pPr>
            <w:r>
              <w:rPr>
                <w:rFonts w:ascii="Arial" w:cs="Arial" w:eastAsia="Arial" w:hAnsi="Arial"/>
                <w:sz w:val="18"/>
                <w:szCs w:val="18"/>
                <w:color w:val="auto"/>
              </w:rPr>
              <w:t>Core deposit intangible</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62,652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gridSpan w:val="7"/>
          </w:tcPr>
          <w:p>
            <w:pPr>
              <w:ind w:left="1880"/>
              <w:spacing w:after="0"/>
              <w:rPr>
                <w:sz w:val="20"/>
                <w:szCs w:val="20"/>
                <w:color w:val="auto"/>
              </w:rPr>
            </w:pPr>
            <w:r>
              <w:rPr>
                <w:rFonts w:ascii="Arial" w:cs="Arial" w:eastAsia="Arial" w:hAnsi="Arial"/>
                <w:sz w:val="18"/>
                <w:szCs w:val="18"/>
                <w:color w:val="auto"/>
                <w:w w:val="96"/>
              </w:rPr>
              <w:t>Less: accumulated amortization</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(44,989)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(41,229)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CCEEFF"/>
            </w:tcBorders>
            <w:gridSpan w:val="2"/>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6"/>
            <w:shd w:val="clear" w:color="auto" w:fill="CCEEFF"/>
          </w:tcPr>
          <w:p>
            <w:pPr>
              <w:ind w:left="100"/>
              <w:spacing w:after="0"/>
              <w:rPr>
                <w:sz w:val="20"/>
                <w:szCs w:val="20"/>
                <w:color w:val="auto"/>
              </w:rPr>
            </w:pPr>
            <w:r>
              <w:rPr>
                <w:rFonts w:ascii="Arial" w:cs="Arial" w:eastAsia="Arial" w:hAnsi="Arial"/>
                <w:sz w:val="18"/>
                <w:szCs w:val="18"/>
                <w:color w:val="auto"/>
              </w:rPr>
              <w:t>Net core deposit intangible</w:t>
            </w: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17,663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gridSpan w:val="6"/>
          </w:tcPr>
          <w:p>
            <w:pPr>
              <w:ind w:left="1880"/>
              <w:spacing w:after="0"/>
              <w:rPr>
                <w:sz w:val="20"/>
                <w:szCs w:val="20"/>
                <w:color w:val="auto"/>
              </w:rPr>
            </w:pPr>
            <w:r>
              <w:rPr>
                <w:rFonts w:ascii="Arial" w:cs="Arial" w:eastAsia="Arial" w:hAnsi="Arial"/>
                <w:sz w:val="18"/>
                <w:szCs w:val="18"/>
                <w:color w:val="auto"/>
                <w:w w:val="95"/>
              </w:rPr>
              <w:t>Noncompete agreements</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3,144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3,144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4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gridSpan w:val="7"/>
            <w:shd w:val="clear" w:color="auto" w:fill="CCEEFF"/>
          </w:tcPr>
          <w:p>
            <w:pPr>
              <w:ind w:left="1880"/>
              <w:spacing w:after="0"/>
              <w:rPr>
                <w:sz w:val="20"/>
                <w:szCs w:val="20"/>
                <w:color w:val="auto"/>
              </w:rPr>
            </w:pPr>
            <w:r>
              <w:rPr>
                <w:rFonts w:ascii="Arial" w:cs="Arial" w:eastAsia="Arial" w:hAnsi="Arial"/>
                <w:sz w:val="18"/>
                <w:szCs w:val="18"/>
                <w:color w:val="auto"/>
                <w:w w:val="96"/>
              </w:rPr>
              <w:t>Less: accumulated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20" w:type="dxa"/>
            <w:vAlign w:val="bottom"/>
          </w:tcPr>
          <w:p>
            <w:pPr>
              <w:spacing w:after="0"/>
              <w:rPr>
                <w:sz w:val="20"/>
                <w:szCs w:val="20"/>
                <w:color w:val="auto"/>
              </w:rPr>
            </w:pPr>
          </w:p>
        </w:tc>
        <w:tc>
          <w:tcPr>
            <w:tcW w:w="2320" w:type="dxa"/>
            <w:vAlign w:val="bottom"/>
            <w:gridSpan w:val="6"/>
          </w:tcPr>
          <w:p>
            <w:pPr>
              <w:ind w:left="100"/>
              <w:spacing w:after="0"/>
              <w:rPr>
                <w:sz w:val="20"/>
                <w:szCs w:val="20"/>
                <w:color w:val="auto"/>
              </w:rPr>
            </w:pPr>
            <w:r>
              <w:rPr>
                <w:rFonts w:ascii="Arial" w:cs="Arial" w:eastAsia="Arial" w:hAnsi="Arial"/>
                <w:sz w:val="18"/>
                <w:szCs w:val="18"/>
                <w:color w:val="auto"/>
                <w:w w:val="94"/>
              </w:rPr>
              <w:t>Net noncompete agreements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5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gridSpan w:val="9"/>
            <w:shd w:val="clear" w:color="auto" w:fill="CCEEFF"/>
          </w:tcPr>
          <w:p>
            <w:pPr>
              <w:ind w:left="1880"/>
              <w:spacing w:after="0"/>
              <w:rPr>
                <w:sz w:val="20"/>
                <w:szCs w:val="20"/>
                <w:color w:val="auto"/>
              </w:rPr>
            </w:pPr>
            <w:r>
              <w:rPr>
                <w:rFonts w:ascii="Arial" w:cs="Arial" w:eastAsia="Arial" w:hAnsi="Arial"/>
                <w:sz w:val="18"/>
                <w:szCs w:val="18"/>
                <w:color w:val="auto"/>
                <w:w w:val="97"/>
              </w:rPr>
              <w:t>Total intangibles subject to amortization, net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18,381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23,806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gridSpan w:val="4"/>
          </w:tcPr>
          <w:p>
            <w:pPr>
              <w:ind w:left="1880"/>
              <w:spacing w:after="0"/>
              <w:rPr>
                <w:sz w:val="20"/>
                <w:szCs w:val="20"/>
                <w:color w:val="auto"/>
              </w:rPr>
            </w:pPr>
            <w:r>
              <w:rPr>
                <w:rFonts w:ascii="Arial" w:cs="Arial" w:eastAsia="Arial" w:hAnsi="Arial"/>
                <w:sz w:val="18"/>
                <w:szCs w:val="18"/>
                <w:color w:val="auto"/>
              </w:rPr>
              <w:t>Goodwill</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307,112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220,591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gridSpan w:val="2"/>
          </w:tcPr>
          <w:p>
            <w:pPr>
              <w:spacing w:after="0"/>
              <w:rPr>
                <w:sz w:val="2"/>
                <w:szCs w:val="2"/>
                <w:color w:val="auto"/>
              </w:rPr>
            </w:pPr>
          </w:p>
        </w:tc>
        <w:tc>
          <w:tcPr>
            <w:tcW w:w="152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gridSpan w:val="9"/>
            <w:shd w:val="clear" w:color="auto" w:fill="CCEEFF"/>
          </w:tcPr>
          <w:p>
            <w:pPr>
              <w:ind w:left="1880"/>
              <w:spacing w:after="0"/>
              <w:rPr>
                <w:sz w:val="20"/>
                <w:szCs w:val="20"/>
                <w:color w:val="auto"/>
              </w:rPr>
            </w:pPr>
            <w:r>
              <w:rPr>
                <w:rFonts w:ascii="Arial" w:cs="Arial" w:eastAsia="Arial" w:hAnsi="Arial"/>
                <w:sz w:val="18"/>
                <w:szCs w:val="18"/>
                <w:color w:val="auto"/>
                <w:w w:val="94"/>
              </w:rPr>
              <w:t>Total goodwill and other intangible assets, net</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325,493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244,397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gridSpan w:val="11"/>
            <w:vMerge w:val="restart"/>
          </w:tcPr>
          <w:p>
            <w:pPr>
              <w:spacing w:after="0"/>
              <w:rPr>
                <w:sz w:val="20"/>
                <w:szCs w:val="20"/>
                <w:color w:val="auto"/>
              </w:rPr>
            </w:pPr>
            <w:r>
              <w:rPr>
                <w:rFonts w:ascii="Arial" w:cs="Arial" w:eastAsia="Arial" w:hAnsi="Arial"/>
                <w:sz w:val="18"/>
                <w:szCs w:val="18"/>
                <w:color w:val="auto"/>
                <w:w w:val="95"/>
              </w:rPr>
              <w:t xml:space="preserve">The following is a summary of changes in the carrying amounts of goodwill </w:t>
            </w:r>
            <w:r>
              <w:rPr>
                <w:rFonts w:ascii="Arial" w:cs="Arial" w:eastAsia="Arial" w:hAnsi="Arial"/>
                <w:sz w:val="18"/>
                <w:szCs w:val="18"/>
                <w:i w:val="1"/>
                <w:iCs w:val="1"/>
                <w:color w:val="auto"/>
                <w:w w:val="95"/>
              </w:rPr>
              <w:t>(in thousands)</w:t>
            </w:r>
            <w:r>
              <w:rPr>
                <w:rFonts w:ascii="Arial" w:cs="Arial" w:eastAsia="Arial" w:hAnsi="Arial"/>
                <w:sz w:val="18"/>
                <w:szCs w:val="18"/>
                <w:color w:val="auto"/>
                <w:w w:val="95"/>
              </w:rPr>
              <w:t>:</w:t>
            </w: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60" w:type="dxa"/>
            <w:vAlign w:val="bottom"/>
            <w:gridSpan w:val="11"/>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7"/>
          </w:tcPr>
          <w:p>
            <w:pPr>
              <w:jc w:val="right"/>
              <w:ind w:right="559"/>
              <w:spacing w:after="0"/>
              <w:rPr>
                <w:sz w:val="20"/>
                <w:szCs w:val="20"/>
                <w:color w:val="auto"/>
              </w:rPr>
            </w:pPr>
            <w:r>
              <w:rPr>
                <w:rFonts w:ascii="Arial" w:cs="Arial" w:eastAsia="Arial" w:hAnsi="Arial"/>
                <w:sz w:val="16"/>
                <w:szCs w:val="16"/>
                <w:b w:val="1"/>
                <w:bCs w:val="1"/>
                <w:color w:val="auto"/>
              </w:rPr>
              <w:t>For the Three Months Ended September 30,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80" w:type="dxa"/>
            <w:vAlign w:val="bottom"/>
            <w:gridSpan w:val="10"/>
          </w:tcPr>
          <w:p>
            <w:pPr>
              <w:jc w:val="right"/>
              <w:ind w:right="619"/>
              <w:spacing w:after="0"/>
              <w:rPr>
                <w:sz w:val="20"/>
                <w:szCs w:val="20"/>
                <w:color w:val="auto"/>
              </w:rPr>
            </w:pPr>
            <w:r>
              <w:rPr>
                <w:rFonts w:ascii="Arial" w:cs="Arial" w:eastAsia="Arial" w:hAnsi="Arial"/>
                <w:sz w:val="16"/>
                <w:szCs w:val="16"/>
                <w:b w:val="1"/>
                <w:bCs w:val="1"/>
                <w:color w:val="auto"/>
              </w:rPr>
              <w:t>For the Nine Months Ended September 30,</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Goodwill, net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4"/>
              <w:spacing w:after="0"/>
              <w:rPr>
                <w:sz w:val="20"/>
                <w:szCs w:val="20"/>
                <w:color w:val="auto"/>
              </w:rPr>
            </w:pPr>
            <w:r>
              <w:rPr>
                <w:rFonts w:ascii="Arial" w:cs="Arial" w:eastAsia="Arial" w:hAnsi="Arial"/>
                <w:sz w:val="16"/>
                <w:szCs w:val="16"/>
                <w:b w:val="1"/>
                <w:bCs w:val="1"/>
                <w:color w:val="auto"/>
                <w:w w:val="91"/>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Goodwill, net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ind w:left="2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14"/>
              <w:spacing w:after="0"/>
              <w:rPr>
                <w:sz w:val="20"/>
                <w:szCs w:val="20"/>
                <w:color w:val="auto"/>
              </w:rPr>
            </w:pPr>
            <w:r>
              <w:rPr>
                <w:rFonts w:ascii="Arial" w:cs="Arial" w:eastAsia="Arial" w:hAnsi="Arial"/>
                <w:sz w:val="16"/>
                <w:szCs w:val="16"/>
                <w:b w:val="1"/>
                <w:bCs w:val="1"/>
                <w:color w:val="auto"/>
                <w:w w:val="97"/>
              </w:rPr>
              <w:t>Impairment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210"/>
        </w:trPr>
        <w:tc>
          <w:tcPr>
            <w:tcW w:w="202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Goodwill</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Impairment Losses</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Impairment Losses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100"/>
              <w:spacing w:after="0"/>
              <w:rPr>
                <w:sz w:val="20"/>
                <w:szCs w:val="20"/>
                <w:color w:val="auto"/>
              </w:rPr>
            </w:pPr>
            <w:r>
              <w:rPr>
                <w:rFonts w:ascii="Arial" w:cs="Arial" w:eastAsia="Arial" w:hAnsi="Arial"/>
                <w:sz w:val="16"/>
                <w:szCs w:val="16"/>
                <w:b w:val="1"/>
                <w:bCs w:val="1"/>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4"/>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Impairment Losses</w:t>
            </w:r>
          </w:p>
        </w:tc>
        <w:tc>
          <w:tcPr>
            <w:tcW w:w="0" w:type="dxa"/>
            <w:vAlign w:val="bottom"/>
          </w:tcPr>
          <w:p>
            <w:pPr>
              <w:spacing w:after="0"/>
              <w:rPr>
                <w:sz w:val="1"/>
                <w:szCs w:val="1"/>
                <w:color w:val="auto"/>
              </w:rPr>
            </w:pPr>
          </w:p>
        </w:tc>
      </w:tr>
      <w:tr>
        <w:trPr>
          <w:trHeight w:val="33"/>
        </w:trPr>
        <w:tc>
          <w:tcPr>
            <w:tcW w:w="2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20" w:type="dxa"/>
            <w:vAlign w:val="bottom"/>
          </w:tcPr>
          <w:p>
            <w:pPr>
              <w:ind w:left="40"/>
              <w:spacing w:after="0"/>
              <w:rPr>
                <w:sz w:val="20"/>
                <w:szCs w:val="20"/>
                <w:color w:val="auto"/>
              </w:rPr>
            </w:pPr>
            <w:r>
              <w:rPr>
                <w:rFonts w:ascii="Arial" w:cs="Arial" w:eastAsia="Arial" w:hAnsi="Arial"/>
                <w:sz w:val="16"/>
                <w:szCs w:val="16"/>
                <w:color w:val="auto"/>
                <w:w w:val="96"/>
              </w:rPr>
              <w:t>Balance, beginning of period</w:t>
            </w:r>
          </w:p>
        </w:tc>
        <w:tc>
          <w:tcPr>
            <w:tcW w:w="64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612,702</w:t>
            </w:r>
          </w:p>
        </w:tc>
        <w:tc>
          <w:tcPr>
            <w:tcW w:w="1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307,112</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526,181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(305,590)</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220,591</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NLFC</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87,379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87,379</w:t>
            </w:r>
          </w:p>
        </w:tc>
        <w:tc>
          <w:tcPr>
            <w:tcW w:w="0" w:type="dxa"/>
            <w:vAlign w:val="bottom"/>
          </w:tcPr>
          <w:p>
            <w:pPr>
              <w:spacing w:after="0"/>
              <w:rPr>
                <w:sz w:val="1"/>
                <w:szCs w:val="1"/>
                <w:color w:val="auto"/>
              </w:rPr>
            </w:pPr>
          </w:p>
        </w:tc>
      </w:tr>
      <w:tr>
        <w:trPr>
          <w:trHeight w:val="220"/>
        </w:trPr>
        <w:tc>
          <w:tcPr>
            <w:tcW w:w="2660" w:type="dxa"/>
            <w:vAlign w:val="bottom"/>
            <w:gridSpan w:val="4"/>
          </w:tcPr>
          <w:p>
            <w:pPr>
              <w:ind w:left="40"/>
              <w:spacing w:after="0"/>
              <w:rPr>
                <w:sz w:val="20"/>
                <w:szCs w:val="20"/>
                <w:color w:val="auto"/>
              </w:rPr>
            </w:pPr>
            <w:r>
              <w:rPr>
                <w:rFonts w:ascii="Arial" w:cs="Arial" w:eastAsia="Arial" w:hAnsi="Arial"/>
                <w:sz w:val="16"/>
                <w:szCs w:val="16"/>
                <w:color w:val="auto"/>
              </w:rPr>
              <w:t>Measurement period adjustments-</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20" w:type="dxa"/>
            <w:vAlign w:val="bottom"/>
          </w:tcPr>
          <w:p>
            <w:pPr>
              <w:ind w:left="40"/>
              <w:spacing w:after="0"/>
              <w:rPr>
                <w:sz w:val="20"/>
                <w:szCs w:val="20"/>
                <w:color w:val="auto"/>
              </w:rPr>
            </w:pPr>
            <w:r>
              <w:rPr>
                <w:rFonts w:ascii="Arial" w:cs="Arial" w:eastAsia="Arial" w:hAnsi="Arial"/>
                <w:sz w:val="16"/>
                <w:szCs w:val="16"/>
                <w:color w:val="auto"/>
              </w:rPr>
              <w:t>FOFN and HCSB</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14"/>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33"/>
        </w:trPr>
        <w:tc>
          <w:tcPr>
            <w:tcW w:w="2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64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612,702</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307,112</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6"/>
              </w:rPr>
              <w:t>Balance, beginning of period</w:t>
            </w:r>
          </w:p>
        </w:tc>
        <w:tc>
          <w:tcPr>
            <w:tcW w:w="280" w:type="dxa"/>
            <w:vAlign w:val="bottom"/>
            <w:tcBorders>
              <w:top w:val="single" w:sz="8" w:color="auto"/>
            </w:tcBorders>
          </w:tcPr>
          <w:p>
            <w:pPr>
              <w:spacing w:after="0"/>
              <w:rPr>
                <w:sz w:val="18"/>
                <w:szCs w:val="18"/>
                <w:color w:val="auto"/>
              </w:rPr>
            </w:pP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447,615</w:t>
            </w:r>
          </w:p>
        </w:tc>
        <w:tc>
          <w:tcPr>
            <w:tcW w:w="1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142,025</w:t>
            </w:r>
          </w:p>
        </w:tc>
        <w:tc>
          <w:tcPr>
            <w:tcW w:w="3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447,615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(305,590)</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142,025</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HCSB</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23,863</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23,863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23,863</w:t>
            </w:r>
          </w:p>
        </w:tc>
        <w:tc>
          <w:tcPr>
            <w:tcW w:w="0" w:type="dxa"/>
            <w:vAlign w:val="bottom"/>
          </w:tcPr>
          <w:p>
            <w:pPr>
              <w:spacing w:after="0"/>
              <w:rPr>
                <w:sz w:val="1"/>
                <w:szCs w:val="1"/>
                <w:color w:val="auto"/>
              </w:rPr>
            </w:pPr>
          </w:p>
        </w:tc>
      </w:tr>
      <w:tr>
        <w:trPr>
          <w:trHeight w:val="244"/>
        </w:trPr>
        <w:tc>
          <w:tcPr>
            <w:tcW w:w="202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400" w:type="dxa"/>
            <w:vAlign w:val="bottom"/>
            <w:gridSpan w:val="2"/>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471,478</w:t>
            </w:r>
          </w:p>
        </w:tc>
        <w:tc>
          <w:tcPr>
            <w:tcW w:w="140" w:type="dxa"/>
            <w:vAlign w:val="bottom"/>
          </w:tcPr>
          <w:p>
            <w:pPr>
              <w:spacing w:after="0"/>
              <w:rPr>
                <w:sz w:val="21"/>
                <w:szCs w:val="21"/>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165,888</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471,478</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(305,590)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165,888</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estimated aggregate amortization expense for future periods for core deposit intangibles and noncompete agreements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80" w:type="dxa"/>
            <w:vAlign w:val="bottom"/>
            <w:tcBorders>
              <w:top w:val="single" w:sz="8" w:color="CCEEFF"/>
              <w:bottom w:val="single" w:sz="8" w:color="CCEEFF"/>
            </w:tcBorders>
            <w:shd w:val="clear" w:color="auto" w:fill="CCEEFF"/>
          </w:tcPr>
          <w:p>
            <w:pPr>
              <w:spacing w:after="0"/>
              <w:rPr>
                <w:sz w:val="22"/>
                <w:szCs w:val="22"/>
                <w:color w:val="auto"/>
              </w:rPr>
            </w:pPr>
          </w:p>
        </w:tc>
        <w:tc>
          <w:tcPr>
            <w:tcW w:w="2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600" w:type="dxa"/>
            <w:vAlign w:val="bottom"/>
            <w:tcBorders>
              <w:top w:val="single" w:sz="8" w:color="CCEEFF"/>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37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43"/>
        </w:trPr>
        <w:tc>
          <w:tcPr>
            <w:tcW w:w="5960" w:type="dxa"/>
            <w:vAlign w:val="bottom"/>
            <w:gridSpan w:val="2"/>
          </w:tcPr>
          <w:p>
            <w:pPr>
              <w:ind w:left="3800"/>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4,551</w:t>
            </w:r>
          </w:p>
        </w:tc>
        <w:tc>
          <w:tcPr>
            <w:tcW w:w="37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8"/>
                <w:szCs w:val="18"/>
                <w:color w:val="auto"/>
              </w:rPr>
              <w:t>2020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3800"/>
              <w:spacing w:after="0"/>
              <w:rPr>
                <w:sz w:val="20"/>
                <w:szCs w:val="20"/>
                <w:color w:val="auto"/>
              </w:rPr>
            </w:pPr>
            <w:r>
              <w:rPr>
                <w:rFonts w:ascii="Arial" w:cs="Arial" w:eastAsia="Arial" w:hAnsi="Arial"/>
                <w:sz w:val="18"/>
                <w:szCs w:val="18"/>
                <w:color w:val="auto"/>
              </w:rPr>
              <w:t>2021</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37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380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spacing w:after="0"/>
              <w:rPr>
                <w:sz w:val="21"/>
                <w:szCs w:val="21"/>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4,555</w:t>
            </w:r>
          </w:p>
        </w:tc>
        <w:tc>
          <w:tcPr>
            <w:tcW w:w="376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18,381</w:t>
            </w:r>
          </w:p>
        </w:tc>
        <w:tc>
          <w:tcPr>
            <w:tcW w:w="3760" w:type="dxa"/>
            <w:vAlign w:val="bottom"/>
            <w:tcBorders>
              <w:bottom w:val="single" w:sz="8" w:color="CCEEFF"/>
            </w:tcBorders>
            <w:shd w:val="clear" w:color="auto" w:fill="CCEEFF"/>
          </w:tcPr>
          <w:p>
            <w:pPr>
              <w:spacing w:after="0"/>
              <w:rPr>
                <w:sz w:val="22"/>
                <w:szCs w:val="22"/>
                <w:color w:val="auto"/>
              </w:rPr>
            </w:pPr>
          </w:p>
        </w:tc>
      </w:tr>
      <w:tr>
        <w:trPr>
          <w:trHeight w:val="20"/>
        </w:trPr>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1"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Stated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Earliest</w:t>
            </w:r>
          </w:p>
        </w:tc>
        <w:tc>
          <w:tcPr>
            <w:tcW w:w="3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Maturity</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Call</w:t>
            </w:r>
          </w:p>
        </w:tc>
        <w:tc>
          <w:tcPr>
            <w:tcW w:w="3080" w:type="dxa"/>
            <w:vAlign w:val="bottom"/>
            <w:vMerge w:val="restart"/>
          </w:tcPr>
          <w:p>
            <w:pPr>
              <w:jc w:val="right"/>
              <w:ind w:right="106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192"/>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1140" w:type="dxa"/>
            <w:vAlign w:val="bottom"/>
          </w:tcPr>
          <w:p>
            <w:pPr>
              <w:ind w:left="4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Date</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3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Obligations of the Bank and its Subsidiaries:</w:t>
            </w: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40" w:type="dxa"/>
            <w:vAlign w:val="bottom"/>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Pr>
          <w:p>
            <w:pPr>
              <w:ind w:left="20"/>
              <w:spacing w:after="0"/>
              <w:rPr>
                <w:sz w:val="20"/>
                <w:szCs w:val="20"/>
                <w:color w:val="auto"/>
              </w:rPr>
            </w:pPr>
            <w:r>
              <w:rPr>
                <w:rFonts w:ascii="Arial" w:cs="Arial" w:eastAsia="Arial" w:hAnsi="Arial"/>
                <w:sz w:val="14"/>
                <w:szCs w:val="14"/>
                <w:color w:val="auto"/>
              </w:rPr>
              <w:t>Class A-2 notes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30,878</w:t>
            </w:r>
          </w:p>
        </w:tc>
        <w:tc>
          <w:tcPr>
            <w:tcW w:w="12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1"/>
              </w:rPr>
              <w:t>n/a</w:t>
            </w:r>
          </w:p>
        </w:tc>
        <w:tc>
          <w:tcPr>
            <w:tcW w:w="3080" w:type="dxa"/>
            <w:vAlign w:val="bottom"/>
          </w:tcPr>
          <w:p>
            <w:pPr>
              <w:jc w:val="right"/>
              <w:ind w:right="2528"/>
              <w:spacing w:after="0"/>
              <w:rPr>
                <w:sz w:val="20"/>
                <w:szCs w:val="20"/>
                <w:color w:val="auto"/>
              </w:rPr>
            </w:pPr>
            <w:r>
              <w:rPr>
                <w:rFonts w:ascii="Arial" w:cs="Arial" w:eastAsia="Arial" w:hAnsi="Arial"/>
                <w:sz w:val="14"/>
                <w:szCs w:val="14"/>
                <w:color w:val="auto"/>
                <w:w w:val="96"/>
              </w:rPr>
              <w:t>2.200%</w:t>
            </w:r>
          </w:p>
        </w:tc>
        <w:tc>
          <w:tcPr>
            <w:tcW w:w="0" w:type="dxa"/>
            <w:vAlign w:val="bottom"/>
          </w:tcPr>
          <w:p>
            <w:pPr>
              <w:spacing w:after="0"/>
              <w:rPr>
                <w:sz w:val="1"/>
                <w:szCs w:val="1"/>
                <w:color w:val="auto"/>
              </w:rPr>
            </w:pPr>
          </w:p>
        </w:tc>
      </w:tr>
      <w:tr>
        <w:trPr>
          <w:trHeight w:val="53"/>
        </w:trPr>
        <w:tc>
          <w:tcPr>
            <w:tcW w:w="6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B notes</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25,489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1"/>
              </w:rPr>
              <w:t>n/a</w:t>
            </w:r>
          </w:p>
        </w:tc>
        <w:tc>
          <w:tcPr>
            <w:tcW w:w="3080" w:type="dxa"/>
            <w:vAlign w:val="bottom"/>
            <w:tcBorders>
              <w:bottom w:val="single" w:sz="8" w:color="CCEEFF"/>
            </w:tcBorders>
            <w:shd w:val="clear" w:color="auto" w:fill="CCEEFF"/>
          </w:tcPr>
          <w:p>
            <w:pPr>
              <w:jc w:val="right"/>
              <w:ind w:right="2528"/>
              <w:spacing w:after="0"/>
              <w:rPr>
                <w:sz w:val="20"/>
                <w:szCs w:val="20"/>
                <w:color w:val="auto"/>
              </w:rPr>
            </w:pPr>
            <w:r>
              <w:rPr>
                <w:rFonts w:ascii="Arial" w:cs="Arial" w:eastAsia="Arial" w:hAnsi="Arial"/>
                <w:sz w:val="14"/>
                <w:szCs w:val="14"/>
                <w:color w:val="auto"/>
                <w:w w:val="96"/>
              </w:rPr>
              <w:t>3.220%</w:t>
            </w:r>
          </w:p>
        </w:tc>
        <w:tc>
          <w:tcPr>
            <w:tcW w:w="0" w:type="dxa"/>
            <w:vAlign w:val="bottom"/>
          </w:tcPr>
          <w:p>
            <w:pPr>
              <w:spacing w:after="0"/>
              <w:rPr>
                <w:sz w:val="1"/>
                <w:szCs w:val="1"/>
                <w:color w:val="auto"/>
              </w:rPr>
            </w:pPr>
          </w:p>
        </w:tc>
      </w:tr>
      <w:tr>
        <w:trPr>
          <w:trHeight w:val="218"/>
        </w:trPr>
        <w:tc>
          <w:tcPr>
            <w:tcW w:w="640" w:type="dxa"/>
            <w:vAlign w:val="bottom"/>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Pr>
          <w:p>
            <w:pPr>
              <w:ind w:left="20"/>
              <w:spacing w:after="0"/>
              <w:rPr>
                <w:sz w:val="20"/>
                <w:szCs w:val="20"/>
                <w:color w:val="auto"/>
              </w:rPr>
            </w:pPr>
            <w:r>
              <w:rPr>
                <w:rFonts w:ascii="Arial" w:cs="Arial" w:eastAsia="Arial" w:hAnsi="Arial"/>
                <w:sz w:val="14"/>
                <w:szCs w:val="14"/>
                <w:color w:val="auto"/>
              </w:rPr>
              <w:t>Class C notes</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6,319</w:t>
            </w:r>
          </w:p>
        </w:tc>
        <w:tc>
          <w:tcPr>
            <w:tcW w:w="12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81"/>
              </w:rPr>
              <w:t>n/a</w:t>
            </w:r>
          </w:p>
        </w:tc>
        <w:tc>
          <w:tcPr>
            <w:tcW w:w="3080" w:type="dxa"/>
            <w:vAlign w:val="bottom"/>
          </w:tcPr>
          <w:p>
            <w:pPr>
              <w:jc w:val="right"/>
              <w:ind w:right="2528"/>
              <w:spacing w:after="0"/>
              <w:rPr>
                <w:sz w:val="20"/>
                <w:szCs w:val="20"/>
                <w:color w:val="auto"/>
              </w:rPr>
            </w:pPr>
            <w:r>
              <w:rPr>
                <w:rFonts w:ascii="Arial" w:cs="Arial" w:eastAsia="Arial" w:hAnsi="Arial"/>
                <w:sz w:val="14"/>
                <w:szCs w:val="14"/>
                <w:color w:val="auto"/>
                <w:w w:val="96"/>
              </w:rPr>
              <w:t>5.050%</w:t>
            </w:r>
          </w:p>
        </w:tc>
        <w:tc>
          <w:tcPr>
            <w:tcW w:w="0" w:type="dxa"/>
            <w:vAlign w:val="bottom"/>
          </w:tcPr>
          <w:p>
            <w:pPr>
              <w:spacing w:after="0"/>
              <w:rPr>
                <w:sz w:val="1"/>
                <w:szCs w:val="1"/>
                <w:color w:val="auto"/>
              </w:rPr>
            </w:pPr>
          </w:p>
        </w:tc>
      </w:tr>
      <w:tr>
        <w:trPr>
          <w:trHeight w:val="53"/>
        </w:trPr>
        <w:tc>
          <w:tcPr>
            <w:tcW w:w="6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4"/>
              </w:rPr>
              <w:t>NER 16-1</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D notes</w:t>
            </w:r>
          </w:p>
        </w:tc>
        <w:tc>
          <w:tcPr>
            <w:tcW w:w="11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3,213</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1"/>
              </w:rPr>
              <w:t>n/a</w:t>
            </w:r>
          </w:p>
        </w:tc>
        <w:tc>
          <w:tcPr>
            <w:tcW w:w="3080" w:type="dxa"/>
            <w:vAlign w:val="bottom"/>
            <w:tcBorders>
              <w:bottom w:val="single" w:sz="8" w:color="CCEEFF"/>
            </w:tcBorders>
            <w:shd w:val="clear" w:color="auto" w:fill="CCEEFF"/>
          </w:tcPr>
          <w:p>
            <w:pPr>
              <w:jc w:val="right"/>
              <w:ind w:right="2528"/>
              <w:spacing w:after="0"/>
              <w:rPr>
                <w:sz w:val="20"/>
                <w:szCs w:val="20"/>
                <w:color w:val="auto"/>
              </w:rPr>
            </w:pPr>
            <w:r>
              <w:rPr>
                <w:rFonts w:ascii="Arial" w:cs="Arial" w:eastAsia="Arial" w:hAnsi="Arial"/>
                <w:sz w:val="14"/>
                <w:szCs w:val="14"/>
                <w:color w:val="auto"/>
                <w:w w:val="96"/>
              </w:rPr>
              <w:t>7.870%</w:t>
            </w:r>
          </w:p>
        </w:tc>
        <w:tc>
          <w:tcPr>
            <w:tcW w:w="0" w:type="dxa"/>
            <w:vAlign w:val="bottom"/>
          </w:tcPr>
          <w:p>
            <w:pPr>
              <w:spacing w:after="0"/>
              <w:rPr>
                <w:sz w:val="1"/>
                <w:szCs w:val="1"/>
                <w:color w:val="auto"/>
              </w:rPr>
            </w:pPr>
          </w:p>
        </w:tc>
      </w:tr>
      <w:tr>
        <w:trPr>
          <w:trHeight w:val="211"/>
        </w:trPr>
        <w:tc>
          <w:tcPr>
            <w:tcW w:w="2880" w:type="dxa"/>
            <w:vAlign w:val="bottom"/>
            <w:gridSpan w:val="2"/>
          </w:tcPr>
          <w:p>
            <w:pPr>
              <w:ind w:left="180"/>
              <w:spacing w:after="0"/>
              <w:rPr>
                <w:sz w:val="20"/>
                <w:szCs w:val="20"/>
                <w:color w:val="auto"/>
              </w:rPr>
            </w:pPr>
            <w:r>
              <w:rPr>
                <w:rFonts w:ascii="Arial" w:cs="Arial" w:eastAsia="Arial" w:hAnsi="Arial"/>
                <w:sz w:val="14"/>
                <w:szCs w:val="14"/>
                <w:color w:val="auto"/>
              </w:rPr>
              <w:t>Total securitized notes payable</w:t>
            </w: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65,899</w:t>
            </w:r>
          </w:p>
        </w:tc>
        <w:tc>
          <w:tcPr>
            <w:tcW w:w="120" w:type="dxa"/>
            <w:vAlign w:val="bottom"/>
          </w:tcPr>
          <w:p>
            <w:pPr>
              <w:spacing w:after="0"/>
              <w:rPr>
                <w:sz w:val="18"/>
                <w:szCs w:val="18"/>
                <w:color w:val="auto"/>
              </w:rPr>
            </w:pPr>
          </w:p>
        </w:tc>
        <w:tc>
          <w:tcPr>
            <w:tcW w:w="1140" w:type="dxa"/>
            <w:vAlign w:val="bottom"/>
            <w:tcBorders>
              <w:top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640" w:type="dxa"/>
            <w:vAlign w:val="bottom"/>
            <w:tcBorders>
              <w:bottom w:val="single" w:sz="8" w:color="CCEEFF"/>
            </w:tcBorders>
          </w:tcPr>
          <w:p>
            <w:pPr>
              <w:spacing w:after="0"/>
              <w:rPr>
                <w:sz w:val="3"/>
                <w:szCs w:val="3"/>
                <w:color w:val="auto"/>
              </w:rPr>
            </w:pPr>
          </w:p>
        </w:tc>
        <w:tc>
          <w:tcPr>
            <w:tcW w:w="22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640" w:type="dxa"/>
            <w:vAlign w:val="bottom"/>
            <w:shd w:val="clear" w:color="auto" w:fill="CCEEFF"/>
          </w:tcPr>
          <w:p>
            <w:pPr>
              <w:spacing w:after="0"/>
              <w:rPr>
                <w:sz w:val="24"/>
                <w:szCs w:val="24"/>
                <w:color w:val="auto"/>
              </w:rPr>
            </w:pPr>
          </w:p>
        </w:tc>
        <w:tc>
          <w:tcPr>
            <w:tcW w:w="2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Obligations of the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840" w:type="dxa"/>
            <w:vAlign w:val="bottom"/>
          </w:tcPr>
          <w:p>
            <w:pPr>
              <w:spacing w:after="0"/>
              <w:rPr>
                <w:sz w:val="20"/>
                <w:szCs w:val="20"/>
                <w:color w:val="auto"/>
              </w:rPr>
            </w:pPr>
            <w:r>
              <w:rPr>
                <w:rFonts w:ascii="Arial" w:cs="Arial" w:eastAsia="Arial" w:hAnsi="Arial"/>
                <w:sz w:val="14"/>
                <w:szCs w:val="14"/>
                <w:color w:val="auto"/>
              </w:rPr>
              <w:t>2022 senior debentures</w:t>
            </w:r>
          </w:p>
        </w:tc>
        <w:tc>
          <w:tcPr>
            <w:tcW w:w="3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50,000</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2022</w:t>
            </w: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351"/>
        </w:trPr>
        <w:tc>
          <w:tcPr>
            <w:tcW w:w="2840" w:type="dxa"/>
            <w:vAlign w:val="bottom"/>
          </w:tcPr>
          <w:p>
            <w:pPr>
              <w:spacing w:after="0"/>
              <w:rPr>
                <w:sz w:val="20"/>
                <w:szCs w:val="20"/>
                <w:color w:val="auto"/>
              </w:rPr>
            </w:pPr>
            <w:r>
              <w:rPr>
                <w:rFonts w:ascii="Arial" w:cs="Arial" w:eastAsia="Arial" w:hAnsi="Arial"/>
                <w:sz w:val="14"/>
                <w:szCs w:val="14"/>
                <w:color w:val="auto"/>
              </w:rPr>
              <w:t>2027 senior debentures</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35,000</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2027</w:t>
            </w:r>
          </w:p>
        </w:tc>
        <w:tc>
          <w:tcPr>
            <w:tcW w:w="680" w:type="dxa"/>
            <w:vAlign w:val="bottom"/>
          </w:tcPr>
          <w:p>
            <w:pPr>
              <w:jc w:val="right"/>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9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senior debentures</w:t>
            </w: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85,000</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6"/>
        </w:trPr>
        <w:tc>
          <w:tcPr>
            <w:tcW w:w="2840" w:type="dxa"/>
            <w:vAlign w:val="bottom"/>
          </w:tcPr>
          <w:p>
            <w:pPr>
              <w:spacing w:after="0"/>
              <w:rPr>
                <w:sz w:val="20"/>
                <w:szCs w:val="20"/>
                <w:color w:val="auto"/>
              </w:rPr>
            </w:pPr>
            <w:r>
              <w:rPr>
                <w:rFonts w:ascii="Arial" w:cs="Arial" w:eastAsia="Arial" w:hAnsi="Arial"/>
                <w:sz w:val="14"/>
                <w:szCs w:val="14"/>
                <w:color w:val="auto"/>
              </w:rPr>
              <w:t>2028 subordinated debentures</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2018</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2028</w:t>
            </w:r>
          </w:p>
        </w:tc>
        <w:tc>
          <w:tcPr>
            <w:tcW w:w="68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311"/>
        </w:trPr>
        <w:tc>
          <w:tcPr>
            <w:tcW w:w="2840" w:type="dxa"/>
            <w:vAlign w:val="bottom"/>
          </w:tcPr>
          <w:p>
            <w:pPr>
              <w:spacing w:after="0"/>
              <w:rPr>
                <w:sz w:val="20"/>
                <w:szCs w:val="20"/>
                <w:color w:val="auto"/>
              </w:rPr>
            </w:pPr>
            <w:r>
              <w:rPr>
                <w:rFonts w:ascii="Arial" w:cs="Arial" w:eastAsia="Arial" w:hAnsi="Arial"/>
                <w:sz w:val="14"/>
                <w:szCs w:val="14"/>
                <w:color w:val="auto"/>
              </w:rPr>
              <w:t>2025 subordinated debentures</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11,500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11,500</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2015</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2025</w:t>
            </w:r>
          </w:p>
        </w:tc>
        <w:tc>
          <w:tcPr>
            <w:tcW w:w="680" w:type="dxa"/>
            <w:vAlign w:val="bottom"/>
          </w:tcPr>
          <w:p>
            <w:pPr>
              <w:jc w:val="right"/>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5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subordinated debentures</w:t>
            </w: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111,500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11,500</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35"/>
        </w:trPr>
        <w:tc>
          <w:tcPr>
            <w:tcW w:w="2840" w:type="dxa"/>
            <w:vAlign w:val="bottom"/>
          </w:tcPr>
          <w:p>
            <w:pPr>
              <w:spacing w:after="0"/>
              <w:rPr>
                <w:sz w:val="20"/>
                <w:szCs w:val="20"/>
                <w:color w:val="auto"/>
              </w:rPr>
            </w:pPr>
            <w:r>
              <w:rPr>
                <w:rFonts w:ascii="Arial" w:cs="Arial" w:eastAsia="Arial" w:hAnsi="Arial"/>
                <w:sz w:val="14"/>
                <w:szCs w:val="14"/>
                <w:color w:val="auto"/>
              </w:rPr>
              <w:t>Southern Bancorp Capital Trust I</w:t>
            </w:r>
          </w:p>
        </w:tc>
        <w:tc>
          <w:tcPr>
            <w:tcW w:w="3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4,382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4,382</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2004</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2034</w:t>
            </w:r>
          </w:p>
        </w:tc>
        <w:tc>
          <w:tcPr>
            <w:tcW w:w="680" w:type="dxa"/>
            <w:vAlign w:val="bottom"/>
          </w:tcPr>
          <w:p>
            <w:pPr>
              <w:jc w:val="right"/>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United Community Statutory Trust III</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2008</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2038</w:t>
            </w: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Tidelands Statutory Trust I</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8,248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8,248</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2006</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2036</w:t>
            </w: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Tidelands Statutory Trust II</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6,186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6,186</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2008</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2038</w:t>
            </w:r>
          </w:p>
        </w:tc>
        <w:tc>
          <w:tcPr>
            <w:tcW w:w="680" w:type="dxa"/>
            <w:vAlign w:val="bottom"/>
          </w:tcPr>
          <w:p>
            <w:pPr>
              <w:jc w:val="right"/>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4"/>
                <w:szCs w:val="14"/>
                <w:color w:val="auto"/>
              </w:rPr>
              <w:t>Four Oaks Statutory Trust I</w:t>
            </w:r>
          </w:p>
        </w:tc>
        <w:tc>
          <w:tcPr>
            <w:tcW w:w="32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12,372</w:t>
            </w:r>
          </w:p>
        </w:tc>
        <w:tc>
          <w:tcPr>
            <w:tcW w:w="920" w:type="dxa"/>
            <w:vAlign w:val="bottom"/>
          </w:tcPr>
          <w:p>
            <w:pPr>
              <w:jc w:val="right"/>
              <w:ind w:right="248"/>
              <w:spacing w:after="0"/>
              <w:rPr>
                <w:sz w:val="20"/>
                <w:szCs w:val="20"/>
                <w:color w:val="auto"/>
              </w:rPr>
            </w:pPr>
            <w:r>
              <w:rPr>
                <w:rFonts w:ascii="Arial" w:cs="Arial" w:eastAsia="Arial" w:hAnsi="Arial"/>
                <w:sz w:val="14"/>
                <w:szCs w:val="14"/>
                <w:color w:val="auto"/>
              </w:rPr>
              <w:t>2006</w:t>
            </w:r>
          </w:p>
        </w:tc>
        <w:tc>
          <w:tcPr>
            <w:tcW w:w="1020" w:type="dxa"/>
            <w:vAlign w:val="bottom"/>
          </w:tcPr>
          <w:p>
            <w:pPr>
              <w:jc w:val="right"/>
              <w:ind w:right="308"/>
              <w:spacing w:after="0"/>
              <w:rPr>
                <w:sz w:val="20"/>
                <w:szCs w:val="20"/>
                <w:color w:val="auto"/>
              </w:rPr>
            </w:pPr>
            <w:r>
              <w:rPr>
                <w:rFonts w:ascii="Arial" w:cs="Arial" w:eastAsia="Arial" w:hAnsi="Arial"/>
                <w:sz w:val="14"/>
                <w:szCs w:val="14"/>
                <w:color w:val="auto"/>
              </w:rPr>
              <w:t>2036</w:t>
            </w:r>
          </w:p>
        </w:tc>
        <w:tc>
          <w:tcPr>
            <w:tcW w:w="680" w:type="dxa"/>
            <w:vAlign w:val="bottom"/>
          </w:tcPr>
          <w:p>
            <w:pPr>
              <w:jc w:val="right"/>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53"/>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Total trust preferred securities</w:t>
            </w: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32,426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32,426</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vMerge w:val="restart"/>
          </w:tcPr>
          <w:p>
            <w:pPr>
              <w:ind w:left="140"/>
              <w:spacing w:after="0"/>
              <w:rPr>
                <w:sz w:val="20"/>
                <w:szCs w:val="20"/>
                <w:color w:val="auto"/>
              </w:rPr>
            </w:pPr>
            <w:r>
              <w:rPr>
                <w:rFonts w:ascii="Arial" w:cs="Arial" w:eastAsia="Arial" w:hAnsi="Arial"/>
                <w:sz w:val="14"/>
                <w:szCs w:val="14"/>
                <w:color w:val="auto"/>
              </w:rPr>
              <w:t>Less discount</w:t>
            </w: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(9,697)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(8,381)</w:t>
            </w: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840" w:type="dxa"/>
            <w:vAlign w:val="bottom"/>
          </w:tcPr>
          <w:p>
            <w:pPr>
              <w:ind w:left="140"/>
              <w:spacing w:after="0"/>
              <w:rPr>
                <w:sz w:val="20"/>
                <w:szCs w:val="20"/>
                <w:color w:val="auto"/>
              </w:rPr>
            </w:pPr>
            <w:r>
              <w:rPr>
                <w:rFonts w:ascii="Arial" w:cs="Arial" w:eastAsia="Arial" w:hAnsi="Arial"/>
                <w:sz w:val="14"/>
                <w:szCs w:val="14"/>
                <w:color w:val="auto"/>
              </w:rPr>
              <w:t>Total long-term debt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285,128</w:t>
            </w:r>
          </w:p>
        </w:tc>
        <w:tc>
          <w:tcPr>
            <w:tcW w:w="12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120,545</w:t>
            </w: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8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-2555240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-2169160</wp:posOffset>
            </wp:positionV>
            <wp:extent cx="724662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-1774825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-1045845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5.000% through August 13, 2020, 3-month LIBOR plus 3.814% thereafter</w:t>
      </w:r>
    </w:p>
    <w:p>
      <w:pPr>
        <w:spacing w:after="0" w:line="12"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5.500% through August 13, 2025, 3-month LIBOR plus 3.71% thereafter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4.500% through January 30, 2023, 3-month LIBOR plus 2.12% thereafter</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6.250%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Prime + 1.00%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Prime + 3.00%</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1.38%</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5.075%</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3-month LIBOR plus 1.35%</w:t>
      </w:r>
    </w:p>
    <w:p>
      <w:pPr>
        <w:spacing w:after="0" w:line="1111" w:lineRule="exact"/>
        <w:rPr>
          <w:sz w:val="20"/>
          <w:szCs w:val="20"/>
          <w:color w:val="auto"/>
        </w:rPr>
      </w:pPr>
    </w:p>
    <w:p>
      <w:pPr>
        <w:sectPr>
          <w:pgSz w:w="11900" w:h="16838" w:orient="portrait"/>
          <w:cols w:equalWidth="0" w:num="2">
            <w:col w:w="7920" w:space="440"/>
            <w:col w:w="3060"/>
          </w:cols>
          <w:pgMar w:left="240" w:top="12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semiannually or quarterly for all senior and subordinated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acquired, as part of the FOFN acquisition, $11.5 million aggregate principal amount of subordinated debentures. The notes are due on November 30, 2025. United may prepay the notes at any time after November 30, 2020, subject to compliance with applicable laws. In January 2018, United issued $100 million fixed to floating rate subordinated notes due January 30, 2028. The subordinated debentures qualify as Tier 2 regulatory capital.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Securitized Notes Payable</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 acquired, as part of the NLFC acquisition, Navitas Equipment Receivables LLC 2016-1 (“NER 16-1”), which is a bankruptcy-remote special purpose entity (“SPE”) whose sole purpose is to receive loans to secure financings. The SPE provided financing by issuing notes to investors through a private offering of Receivable-Backed Notes under Rule 144A of the Securities and Exchange Act of 1934. These notes are collateralized by specific qualifying loans and by cash placed in restricted cash accounts. These notes will continue amortizing sequentially based on collections on the underlying loans available to pay the note holders at each monthly payment date after payment of certain amounts as specified in the securitization documents including fees to various parties to the securitizations, interest due to the note holders and certain other payments. Sequentially, each subsequent class of note holders receive principal payments until paid down in full prior to the remaining subsequent class of note holders receiving principal payments. In addition to the pay-downs on these notes, they also have legal final maturity dates as reflected in the table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as provided in the indentures.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1, 2018, United redeemed all issued and outstanding debt securities due October 31, 2038 of United Community Statutory Trust III for a redemption price of $1.24 million, plus accrued and unpaid interest. Also on October 1, 2018, United redeemed all issued and outstanding debt securities due June 30, 2038 held by Tidelands Statutory Trust II for a redemption price of $6.19 million, plus accrued and unpaid interest. As of September 30, 2018, both trust preferred securities were included in long-term debt on the balance sheet and discussed further in Note 16.</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7, 2018, United’s Board of Directors approved a regular quarterly cash dividend of $0.16 per common share. The dividend is payable January 7, 2019, to shareholders of record on December 15,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and Section 21E of the Securities Exchange Act of 1934, as amended, (the “Exchange Act”), about United Community Banks, Inc.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2017 as well as the following factors:</w:t>
      </w:r>
    </w:p>
    <w:p>
      <w:pPr>
        <w:spacing w:after="0" w:line="18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 banking system and financial markets;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deteriorating conditions in the stock market, the public debt market, and other capital markets, which could affect our ability to raise capital;</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 as well as changes in the cost and availability of funding;</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lack of geographic diversification and the success of the local economies in which we operate;</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concentrations of commercial construction and development loans and commercial real estate loans are subject to unique risks that could adversely affect our earnings;</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with respect to our ability to successfully expand and complete acquisitions and integrate businesses and operations that are acquired;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180" w:hanging="172"/>
        <w:spacing w:after="0" w:line="265"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laws and regulations or failures to comply with such laws and regulations, including the Dodd-Frank Wall Street Reform and Consumer Protection Act of 2010 and related regulations (the “Dodd-Frank Act”) and the Tax Cuts and Jobs Act of 2017 and related regulations (the “Tax Act”);</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 as well as the impact on regulatory capital of changing accounting standards related to the allowance for loan and lease losses and lease accounting;</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possible regulatory or judicial proceedings, board resolutions, informal memorandums of understanding or formal enforcement actions imposed by regulators;</w:t>
      </w: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accounting and reporting policies; and</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and its subsidiaries and should be read in conjunction with the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2018, United had total consolidated assets of $12.4 billion, total loans of $8.23 billion, total deposits of $10.2 billion, and shareholders’ equity of $1.40 billion.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conducts substantially all of its operations through its wholly-owned bank subsidiary, United Community Bank (the “Bank”), which as of September 30, 2018, operated at 150 locations throughout markets in Georgia, South Carolina, North Carolina, and Tennessee.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 September 30, 2017 United has completed the following acquisitions (the “Acquisitions”):</w:t>
      </w:r>
    </w:p>
    <w:p>
      <w:pPr>
        <w:spacing w:after="0" w:line="383" w:lineRule="exact"/>
        <w:rPr>
          <w:sz w:val="20"/>
          <w:szCs w:val="20"/>
          <w:color w:val="auto"/>
        </w:rPr>
      </w:pPr>
    </w:p>
    <w:tbl>
      <w:tblPr>
        <w:tblLayout w:type="fixed"/>
        <w:tblInd w:w="2640" w:type="dxa"/>
        <w:tblCellMar>
          <w:top w:w="0" w:type="dxa"/>
          <w:left w:w="0" w:type="dxa"/>
          <w:bottom w:w="0" w:type="dxa"/>
          <w:right w:w="0" w:type="dxa"/>
        </w:tblCellMar>
      </w:tblPr>
      <w:tr>
        <w:trPr>
          <w:trHeight w:val="234"/>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Entity</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Date Acquired</w:t>
            </w:r>
          </w:p>
        </w:tc>
      </w:tr>
      <w:tr>
        <w:trPr>
          <w:trHeight w:val="27"/>
        </w:trPr>
        <w:tc>
          <w:tcPr>
            <w:tcW w:w="3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NLFC Holdings Corp. (“NLFC”)</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1, 2018</w:t>
            </w:r>
          </w:p>
        </w:tc>
      </w:tr>
      <w:tr>
        <w:trPr>
          <w:trHeight w:val="270"/>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Four Oaks Fincorp, Inc. (“FOFN”)</w:t>
            </w:r>
          </w:p>
        </w:tc>
        <w:tc>
          <w:tcPr>
            <w:tcW w:w="2500" w:type="dxa"/>
            <w:vAlign w:val="bottom"/>
          </w:tcPr>
          <w:p>
            <w:pPr>
              <w:ind w:left="20"/>
              <w:spacing w:after="0"/>
              <w:rPr>
                <w:sz w:val="20"/>
                <w:szCs w:val="20"/>
                <w:color w:val="auto"/>
              </w:rPr>
            </w:pPr>
            <w:r>
              <w:rPr>
                <w:rFonts w:ascii="Arial" w:cs="Arial" w:eastAsia="Arial" w:hAnsi="Arial"/>
                <w:sz w:val="18"/>
                <w:szCs w:val="18"/>
                <w:color w:val="auto"/>
              </w:rPr>
              <w:t>November 1, 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acquired entities’ results are included in United’s consolidated results beginning on the respective acquisition dates.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reported net income of $43.7 million, or $0.54 per diluted share, for the third quarter of 2018, compared to net income of $27.9 million, or $0.38 per diluted share, for the third quarter of 2017. For the nine months ended September 30, 2018, United reported net income of $121 million, or $1.51 per diluted share, compared to $79.7 million, or $1.10 per diluted share for the first nine months of 2017. The most significant factor contributing to the increase in net income and diluted earnings per share is the reduction of the federal income tax rate from 35% in 2017 to 21% in 2018 resulting from the Tax Act.</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revenue increased to $112 million for the third quarter of 2018, compared to $89.8 million for the third quarter of 2017, due to higher loan volume, much of which resulted from the Acquisitions, and rising interest rates. Net interest margin increased to 3.95% for the three months ended September 30, 2018 from 3.54% for the same period in 2017 due to the effect of rising interest rates on floating rate loans and a more favorable earning asset mix due to the Acquisitions. For the nine months ended September 30, 2018, net interest revenue was $324 million and the net interest margin was 3.88% compared to net interest revenue of $258 million and net interest margin of 3.49% for the same period in 2017.</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credit losses was $1.80 million for the third quarter of 2018, compared to $1.00 million for the third quarter of 2017. For the nine months ended September 30, 2018, the provision for credit losses was $7.40 million, compared to $2.60 million for the same period in 2017. Net charge-offs for the third quarter and first nine months of 2018 were $1.47 million and $4.33 million, respectively, compared to $1.64 million and $4.94 million, respectively, for the same periods in 2017. Since credit quality remained stable, the increase in the provision reflects growth in the loan and lease portfolio (collectively referred to as the “loan portfolio” or “loans”), including a $2.29 million increase resulting from including NLFC’s loans in the allowance for loan losses model in the first quarter of 2018. Because NLFC’s loans were recorded at a premium, the allowance for loan losses model required us to immediately establish an allowance for loan losses sufficient to cover estimated credit losses inherent in the NLFC loan portfolio.</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2018, United’s allowance for loan losses was $60.9 million, or 0.74% of loans, compared to $58.9 million, or 0.76% of loans, at December 31, 2017 reflecting stable asset quality. Nonperforming assets of $23.9 million were 0.19% of total assets at September 30, 2018, down from 0.23% at December 31, 2017. During the third quarter of 2018, $5.76 million in loans were placed on nonaccrual compared with $7.96 million in the third quarter of 2017.</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0" w:right="239" w:bottom="1440" w:gutter="0" w:footer="0" w:header="0"/>
        </w:sectPr>
      </w:pPr>
    </w:p>
    <w:bookmarkStart w:id="53" w:name="page54"/>
    <w:bookmarkEnd w:id="53"/>
    <w:p>
      <w:pPr>
        <w:jc w:val="both"/>
        <w:spacing w:after="0" w:line="288" w:lineRule="auto"/>
        <w:rPr>
          <w:sz w:val="20"/>
          <w:szCs w:val="20"/>
          <w:color w:val="auto"/>
        </w:rPr>
      </w:pPr>
      <w:r>
        <w:rPr>
          <w:rFonts w:ascii="Arial" w:cs="Arial" w:eastAsia="Arial" w:hAnsi="Arial"/>
          <w:sz w:val="16"/>
          <w:szCs w:val="16"/>
          <w:color w:val="auto"/>
        </w:rPr>
        <w:t>Noninterest income of $24.2 million for the third quarter of 2018 was up $3.61 million, or 18%, from the third quarter of 2017. Service charges and fees increased $892,000, or 11%, compared to the third quarter of 2017, which was mostly attributable to volume driven increases provided by the Acquisitions. Mortgage fees of $5.26 million for the third quarter of 2018 increased from $4.20 million in the third quarter of 2017. The increase is due to United’s emphasis on growing its mortgage business by recruiting lenders in metropolitan markets. Other noninterest income for the third quarter of 2018 increased $1.47 million from the same period of 2017, primarily due to fee revenue from the equipment finance business that came through acquisition of NLFC. For the first nine months of 2018, total noninterest income increased $3.58 million compared to the same period of 2017 due to the same reasons mentioned above, partially offset by a decrease in service charges and fees and an increase in securities losses. The decrease in service charges and fees for the nine months ended September 30, 2018 was mainly due to the effect of the Durbin Amendment of the Dodd-Frank Act (the “Durbin Amendment”), which took effect for United in the third quarter of 2017 and limited the amount of interchange fees charged on debit card transactions. Other noninterest income for the nine months ended September 30, 2018 also included gains on derivative cancellations and gains on the prepayment of FHLB advances.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third quarter and first nine months of 2018, noninterest expenses of $77.7 million and $228 million, respectively, increased $12.0 million and $36.3 million, respectively, from the same periods of 2017. The increases are primarily due to the addition of noninterest expenses related to the Acquisitions. Salaries and benefits expense for the third quarter and first nine months of 2018 increased $9.12 million and $23.3 million from the same periods of 2017, mostly due to the Acquisitions, investment in additional staff and new teams to expand the Commercial Banking Solutions area, and higher incentive compensation in connection with increased lending activities and improvement in earnings performance.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all of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53.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and diluted earnings per common share of $43.7 million and $0.54, respectively, for the third quarter of 2018. This compared to net income and diluted earnings per common share of $27.9 million and $0.38, respectively, for the same period in 2017. For the nine months ended September 30, 2018, United reported net income of $121 million compared to net income of $79.7 million for the same period in 2017.</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4" w:name="page55"/>
    <w:bookmarkEnd w:id="54"/>
    <w:p>
      <w:pPr>
        <w:jc w:val="both"/>
        <w:spacing w:after="0" w:line="255" w:lineRule="auto"/>
        <w:rPr>
          <w:sz w:val="20"/>
          <w:szCs w:val="20"/>
          <w:color w:val="auto"/>
        </w:rPr>
      </w:pPr>
      <w:r>
        <w:rPr>
          <w:rFonts w:ascii="Arial" w:cs="Arial" w:eastAsia="Arial" w:hAnsi="Arial"/>
          <w:sz w:val="18"/>
          <w:szCs w:val="18"/>
          <w:color w:val="auto"/>
        </w:rPr>
        <w:t>United reported operating net income of $44.1 million and $126 million, respectively, for the third quarter and first nine months of 2018, compared to $30.2 million and $87.9 million, respectively, for the same periods in 2017. For the third quarter and first nine months of 2018, operating net income excludes merger-related and branch closure charges, which net of tax, totaled $451,000 and $5.22 million, respectively. For the third quarter of 2017, operating net income excludes merger-related charges and impairment charges on surplus bank properties, which, net of the associated income tax benefit, totaled $2.27 million. For the first nine months of 2017, operating net income excludes merger-related charges, impairment charges on surplus bank properties, executive retirement charges and the release from accumulated other comprehensive income of the disproportionate tax effect related to cash flow hedges, which, net of tax, totaled $8.12 million.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5" w:name="page56"/>
    <w:bookmarkEnd w:id="5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color w:val="auto"/>
              </w:rPr>
              <w:t>UNITED COMMUNITY BANKS, INC.</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70"/>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color w:val="auto"/>
              </w:rPr>
              <w:t>Table 1 - Financial Highlights</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color w:val="auto"/>
              </w:rPr>
              <w:t>Selected Financial Information</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8"/>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4"/>
          </w:tcPr>
          <w:p>
            <w:pPr>
              <w:jc w:val="right"/>
              <w:ind w:right="206"/>
              <w:spacing w:after="0"/>
              <w:rPr>
                <w:sz w:val="20"/>
                <w:szCs w:val="20"/>
                <w:color w:val="auto"/>
              </w:rPr>
            </w:pPr>
            <w:r>
              <w:rPr>
                <w:rFonts w:ascii="Arial" w:cs="Arial" w:eastAsia="Arial" w:hAnsi="Arial"/>
                <w:sz w:val="11"/>
                <w:szCs w:val="11"/>
                <w:b w:val="1"/>
                <w:bCs w:val="1"/>
                <w:color w:val="auto"/>
                <w:w w:val="95"/>
              </w:rPr>
              <w:t>For the Nine Months Ended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2"/>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06"/>
              <w:spacing w:after="0"/>
              <w:rPr>
                <w:sz w:val="20"/>
                <w:szCs w:val="20"/>
                <w:color w:val="auto"/>
              </w:rPr>
            </w:pPr>
            <w:r>
              <w:rPr>
                <w:rFonts w:ascii="Arial" w:cs="Arial" w:eastAsia="Arial" w:hAnsi="Arial"/>
                <w:sz w:val="11"/>
                <w:szCs w:val="11"/>
                <w:b w:val="1"/>
                <w:bCs w:val="1"/>
                <w:color w:val="auto"/>
              </w:rPr>
              <w:t>2017</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Third Quarter</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01"/>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40" w:type="dxa"/>
            <w:vAlign w:val="bottom"/>
            <w:gridSpan w:val="2"/>
          </w:tcPr>
          <w:p>
            <w:pPr>
              <w:jc w:val="right"/>
              <w:ind w:right="106"/>
              <w:spacing w:after="0" w:line="102" w:lineRule="exact"/>
              <w:rPr>
                <w:sz w:val="20"/>
                <w:szCs w:val="20"/>
                <w:color w:val="auto"/>
              </w:rPr>
            </w:pPr>
            <w:r>
              <w:rPr>
                <w:rFonts w:ascii="Arial" w:cs="Arial" w:eastAsia="Arial" w:hAnsi="Arial"/>
                <w:sz w:val="11"/>
                <w:szCs w:val="11"/>
                <w:b w:val="1"/>
                <w:bCs w:val="1"/>
                <w:color w:val="auto"/>
              </w:rPr>
              <w:t>2018 - 2017</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jc w:val="right"/>
              <w:ind w:right="86"/>
              <w:spacing w:after="0" w:line="102" w:lineRule="exact"/>
              <w:rPr>
                <w:sz w:val="20"/>
                <w:szCs w:val="20"/>
                <w:color w:val="auto"/>
              </w:rPr>
            </w:pPr>
            <w:r>
              <w:rPr>
                <w:rFonts w:ascii="Arial" w:cs="Arial" w:eastAsia="Arial" w:hAnsi="Arial"/>
                <w:sz w:val="11"/>
                <w:szCs w:val="11"/>
                <w:b w:val="1"/>
                <w:bCs w:val="1"/>
                <w:color w:val="auto"/>
              </w:rPr>
              <w:t>YTD 2018 -</w:t>
            </w:r>
          </w:p>
        </w:tc>
      </w:tr>
      <w:tr>
        <w:trPr>
          <w:trHeight w:val="140"/>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i w:val="1"/>
                <w:iCs w:val="1"/>
                <w:color w:val="auto"/>
              </w:rPr>
              <w:t>(in thousands, except per share data)</w:t>
            </w:r>
          </w:p>
        </w:tc>
        <w:tc>
          <w:tcPr>
            <w:tcW w:w="10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Third Quarter</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Second Quarter</w:t>
            </w:r>
          </w:p>
        </w:tc>
        <w:tc>
          <w:tcPr>
            <w:tcW w:w="80" w:type="dxa"/>
            <w:vAlign w:val="bottom"/>
          </w:tcPr>
          <w:p>
            <w:pPr>
              <w:spacing w:after="0"/>
              <w:rPr>
                <w:sz w:val="12"/>
                <w:szCs w:val="12"/>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First Quarter</w:t>
            </w:r>
          </w:p>
        </w:tc>
        <w:tc>
          <w:tcPr>
            <w:tcW w:w="940" w:type="dxa"/>
            <w:vAlign w:val="bottom"/>
            <w:gridSpan w:val="3"/>
          </w:tcPr>
          <w:p>
            <w:pPr>
              <w:ind w:left="60"/>
              <w:spacing w:after="0"/>
              <w:rPr>
                <w:sz w:val="20"/>
                <w:szCs w:val="20"/>
                <w:color w:val="auto"/>
              </w:rPr>
            </w:pPr>
            <w:r>
              <w:rPr>
                <w:rFonts w:ascii="Arial" w:cs="Arial" w:eastAsia="Arial" w:hAnsi="Arial"/>
                <w:sz w:val="11"/>
                <w:szCs w:val="11"/>
                <w:b w:val="1"/>
                <w:bCs w:val="1"/>
                <w:color w:val="auto"/>
              </w:rPr>
              <w:t>Fourth Quarter</w:t>
            </w:r>
          </w:p>
        </w:tc>
        <w:tc>
          <w:tcPr>
            <w:tcW w:w="8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Third Quarter</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Change</w:t>
            </w:r>
          </w:p>
        </w:tc>
        <w:tc>
          <w:tcPr>
            <w:tcW w:w="180" w:type="dxa"/>
            <w:vAlign w:val="bottom"/>
          </w:tcPr>
          <w:p>
            <w:pPr>
              <w:spacing w:after="0"/>
              <w:rPr>
                <w:sz w:val="12"/>
                <w:szCs w:val="12"/>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ind w:right="306"/>
              <w:spacing w:after="0"/>
              <w:rPr>
                <w:sz w:val="20"/>
                <w:szCs w:val="20"/>
                <w:color w:val="auto"/>
              </w:rPr>
            </w:pPr>
            <w:r>
              <w:rPr>
                <w:rFonts w:ascii="Arial" w:cs="Arial" w:eastAsia="Arial" w:hAnsi="Arial"/>
                <w:sz w:val="11"/>
                <w:szCs w:val="11"/>
                <w:b w:val="1"/>
                <w:bCs w:val="1"/>
                <w:color w:val="auto"/>
                <w:w w:val="73"/>
              </w:rPr>
              <w:t>2017</w:t>
            </w:r>
          </w:p>
        </w:tc>
        <w:tc>
          <w:tcPr>
            <w:tcW w:w="100" w:type="dxa"/>
            <w:vAlign w:val="bottom"/>
          </w:tcPr>
          <w:p>
            <w:pPr>
              <w:spacing w:after="0"/>
              <w:rPr>
                <w:sz w:val="12"/>
                <w:szCs w:val="12"/>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b w:val="1"/>
                <w:bCs w:val="1"/>
                <w:color w:val="auto"/>
              </w:rPr>
              <w:t>2017 Change</w:t>
            </w:r>
          </w:p>
        </w:tc>
      </w:tr>
      <w:tr>
        <w:trPr>
          <w:trHeight w:val="22"/>
        </w:trPr>
        <w:tc>
          <w:tcPr>
            <w:tcW w:w="2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color w:val="auto"/>
              </w:rPr>
              <w:t>INCOME SUMMARY</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122,215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115,290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106,757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98,839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366,226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282,963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40"/>
              <w:spacing w:after="0"/>
              <w:rPr>
                <w:sz w:val="20"/>
                <w:szCs w:val="20"/>
                <w:color w:val="auto"/>
              </w:rPr>
            </w:pPr>
            <w:r>
              <w:rPr>
                <w:rFonts w:ascii="Arial" w:cs="Arial" w:eastAsia="Arial" w:hAnsi="Arial"/>
                <w:sz w:val="11"/>
                <w:szCs w:val="11"/>
                <w:color w:val="auto"/>
              </w:rPr>
              <w:t>Interest expense</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16,611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13,739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9,064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42,355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24,486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3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Net interest revenue</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112,110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108,476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103,285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97,508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89,775</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323,871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258,477</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25 %</w:t>
            </w:r>
          </w:p>
        </w:tc>
      </w:tr>
      <w:tr>
        <w:trPr>
          <w:trHeight w:val="248"/>
        </w:trPr>
        <w:tc>
          <w:tcPr>
            <w:tcW w:w="3020" w:type="dxa"/>
            <w:vAlign w:val="bottom"/>
            <w:gridSpan w:val="2"/>
          </w:tcPr>
          <w:p>
            <w:pPr>
              <w:ind w:left="40"/>
              <w:spacing w:after="0"/>
              <w:rPr>
                <w:sz w:val="20"/>
                <w:szCs w:val="20"/>
                <w:color w:val="auto"/>
              </w:rPr>
            </w:pPr>
            <w:r>
              <w:rPr>
                <w:rFonts w:ascii="Arial" w:cs="Arial" w:eastAsia="Arial" w:hAnsi="Arial"/>
                <w:sz w:val="11"/>
                <w:szCs w:val="11"/>
                <w:color w:val="auto"/>
              </w:rPr>
              <w:t>Provision for credit losses</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1,800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1,000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7,400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2,600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Noninterest income</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23,340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21,928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20,573</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69,916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66,332</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5</w:t>
            </w:r>
          </w:p>
        </w:tc>
      </w:tr>
      <w:tr>
        <w:trPr>
          <w:trHeight w:val="228"/>
        </w:trPr>
        <w:tc>
          <w:tcPr>
            <w:tcW w:w="3020" w:type="dxa"/>
            <w:vAlign w:val="bottom"/>
            <w:gridSpan w:val="2"/>
          </w:tcPr>
          <w:p>
            <w:pPr>
              <w:ind w:left="180"/>
              <w:spacing w:after="0"/>
              <w:rPr>
                <w:sz w:val="20"/>
                <w:szCs w:val="20"/>
                <w:color w:val="auto"/>
              </w:rPr>
            </w:pPr>
            <w:r>
              <w:rPr>
                <w:rFonts w:ascii="Arial" w:cs="Arial" w:eastAsia="Arial" w:hAnsi="Arial"/>
                <w:sz w:val="11"/>
                <w:szCs w:val="11"/>
                <w:b w:val="1"/>
                <w:bCs w:val="1"/>
                <w:color w:val="auto"/>
              </w:rPr>
              <w:t>Total revenue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134,490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130,016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121,881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118,236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109,348</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386,387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322,209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20</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77,718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76,850</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73,475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75,882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65,674</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228,043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191,729</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19</w:t>
            </w:r>
          </w:p>
        </w:tc>
      </w:tr>
      <w:tr>
        <w:trPr>
          <w:trHeight w:val="22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Income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56,772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53,166</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48,406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42,354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43,674</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158,344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130,480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21</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13,090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10,748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54,270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15,728</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37,370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50,743</w:t>
            </w:r>
          </w:p>
        </w:tc>
        <w:tc>
          <w:tcPr>
            <w:tcW w:w="92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(26)</w:t>
            </w:r>
          </w:p>
        </w:tc>
      </w:tr>
      <w:tr>
        <w:trPr>
          <w:trHeight w:val="228"/>
        </w:trPr>
        <w:tc>
          <w:tcPr>
            <w:tcW w:w="3020" w:type="dxa"/>
            <w:vAlign w:val="bottom"/>
            <w:gridSpan w:val="2"/>
          </w:tcPr>
          <w:p>
            <w:pPr>
              <w:ind w:left="180"/>
              <w:spacing w:after="0"/>
              <w:rPr>
                <w:sz w:val="20"/>
                <w:szCs w:val="20"/>
                <w:color w:val="auto"/>
              </w:rPr>
            </w:pPr>
            <w:r>
              <w:rPr>
                <w:rFonts w:ascii="Arial" w:cs="Arial" w:eastAsia="Arial" w:hAnsi="Arial"/>
                <w:sz w:val="11"/>
                <w:szCs w:val="11"/>
                <w:b w:val="1"/>
                <w:bCs w:val="1"/>
                <w:color w:val="auto"/>
              </w:rPr>
              <w:t>Net income (loss)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43,682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39,634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37,658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(11,916)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27,946</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56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120,974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79,737</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52</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Merger-related and other charges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2,873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7,358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7,304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40"/>
              <w:spacing w:after="0"/>
              <w:rPr>
                <w:sz w:val="20"/>
                <w:szCs w:val="20"/>
                <w:color w:val="auto"/>
              </w:rPr>
            </w:pPr>
            <w:r>
              <w:rPr>
                <w:rFonts w:ascii="Arial" w:cs="Arial" w:eastAsia="Arial" w:hAnsi="Arial"/>
                <w:sz w:val="11"/>
                <w:szCs w:val="11"/>
                <w:color w:val="auto"/>
              </w:rPr>
              <w:t>Income tax benefit of merger-related and other charges</w:t>
            </w:r>
          </w:p>
        </w:tc>
        <w:tc>
          <w:tcPr>
            <w:tcW w:w="10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46"/>
              <w:spacing w:after="0"/>
              <w:rPr>
                <w:sz w:val="20"/>
                <w:szCs w:val="20"/>
                <w:color w:val="auto"/>
              </w:rPr>
            </w:pPr>
            <w:r>
              <w:rPr>
                <w:rFonts w:ascii="Arial" w:cs="Arial" w:eastAsia="Arial" w:hAnsi="Arial"/>
                <w:sz w:val="11"/>
                <w:szCs w:val="11"/>
                <w:color w:val="auto"/>
              </w:rPr>
              <w:t>(628)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26"/>
              <w:spacing w:after="0"/>
              <w:rPr>
                <w:sz w:val="20"/>
                <w:szCs w:val="20"/>
                <w:color w:val="auto"/>
              </w:rPr>
            </w:pPr>
            <w:r>
              <w:rPr>
                <w:rFonts w:ascii="Arial" w:cs="Arial" w:eastAsia="Arial" w:hAnsi="Arial"/>
                <w:sz w:val="11"/>
                <w:szCs w:val="11"/>
                <w:color w:val="auto"/>
              </w:rPr>
              <w:t>(1,147)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(2,580)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9"/>
        </w:trPr>
        <w:tc>
          <w:tcPr>
            <w:tcW w:w="30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9"/>
              </w:rPr>
              <w:t>Impact of remeasurement of deferred tax asset resulting from</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38"/>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2017 Tax Cuts and Jobs Act</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38,199</w:t>
            </w: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248"/>
        </w:trPr>
        <w:tc>
          <w:tcPr>
            <w:tcW w:w="3020" w:type="dxa"/>
            <w:vAlign w:val="bottom"/>
            <w:gridSpan w:val="2"/>
          </w:tcPr>
          <w:p>
            <w:pPr>
              <w:ind w:left="40"/>
              <w:spacing w:after="0"/>
              <w:rPr>
                <w:sz w:val="20"/>
                <w:szCs w:val="20"/>
                <w:color w:val="auto"/>
              </w:rPr>
            </w:pPr>
            <w:r>
              <w:rPr>
                <w:rFonts w:ascii="Arial" w:cs="Arial" w:eastAsia="Arial" w:hAnsi="Arial"/>
                <w:sz w:val="11"/>
                <w:szCs w:val="11"/>
                <w:color w:val="auto"/>
              </w:rPr>
              <w:t>Release of disproportionate tax effects lodged in OCI</w:t>
            </w:r>
          </w:p>
        </w:tc>
        <w:tc>
          <w:tcPr>
            <w:tcW w:w="10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3,400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r>
      <w:tr>
        <w:trPr>
          <w:trHeight w:val="244"/>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b w:val="1"/>
                <w:bCs w:val="1"/>
                <w:color w:val="auto"/>
              </w:rPr>
              <w:t xml:space="preserve">Net income - operating </w:t>
            </w:r>
            <w:r>
              <w:rPr>
                <w:rFonts w:ascii="Arial" w:cs="Arial" w:eastAsia="Arial" w:hAnsi="Arial"/>
                <w:sz w:val="8"/>
                <w:szCs w:val="8"/>
                <w:b w:val="1"/>
                <w:bCs w:val="1"/>
                <w:color w:val="auto"/>
              </w:rPr>
              <w:t>(1)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44,133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42,386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39,676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b w:val="1"/>
                <w:bCs w:val="1"/>
                <w:color w:val="auto"/>
              </w:rPr>
              <w:t>32,476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58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30,219</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126,195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b w:val="1"/>
                <w:bCs w:val="1"/>
                <w:color w:val="auto"/>
              </w:rPr>
              <w:t>$</w:t>
            </w:r>
          </w:p>
        </w:tc>
        <w:tc>
          <w:tcPr>
            <w:tcW w:w="5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rPr>
              <w:t>87,861</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44</w:t>
            </w:r>
          </w:p>
        </w:tc>
      </w:tr>
      <w:tr>
        <w:trPr>
          <w:trHeight w:val="135"/>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PERFORMANCE MEASURES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Per common share:</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Diluted net income (loss) - GAAP</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0.38</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37</w:t>
            </w: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Diluted net income - operating </w:t>
            </w:r>
            <w:r>
              <w:rPr>
                <w:rFonts w:ascii="Arial" w:cs="Arial" w:eastAsia="Arial" w:hAnsi="Arial"/>
                <w:sz w:val="8"/>
                <w:szCs w:val="8"/>
                <w:color w:val="auto"/>
              </w:rPr>
              <w:t>(1)</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0.55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0.53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0.41</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1.21</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30</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Cash dividends declared</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0.10</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0.28</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50</w:t>
            </w: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Book value</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17.29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16.67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16.50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17.56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16.50</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6</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Tangible book value </w:t>
            </w:r>
            <w:r>
              <w:rPr>
                <w:rFonts w:ascii="Arial" w:cs="Arial" w:eastAsia="Arial" w:hAnsi="Arial"/>
                <w:sz w:val="8"/>
                <w:szCs w:val="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14.11</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14.11</w:t>
            </w:r>
          </w:p>
        </w:tc>
        <w:tc>
          <w:tcPr>
            <w:tcW w:w="92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(4)</w:t>
            </w: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Key performance ratios: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common equity - GAAP </w:t>
            </w:r>
            <w:r>
              <w:rPr>
                <w:rFonts w:ascii="Arial" w:cs="Arial" w:eastAsia="Arial" w:hAnsi="Arial"/>
                <w:sz w:val="8"/>
                <w:szCs w:val="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Return on common equity - operating </w:t>
            </w:r>
            <w:r>
              <w:rPr>
                <w:rFonts w:ascii="Arial" w:cs="Arial" w:eastAsia="Arial" w:hAnsi="Arial"/>
                <w:sz w:val="8"/>
                <w:szCs w:val="8"/>
                <w:color w:val="auto"/>
              </w:rPr>
              <w:t>(1)(2)(4)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11.97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11.71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9.97</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10.20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tangible common equity - operating </w:t>
            </w:r>
            <w:r>
              <w:rPr>
                <w:rFonts w:ascii="Arial" w:cs="Arial" w:eastAsia="Arial" w:hAnsi="Arial"/>
                <w:sz w:val="8"/>
                <w:szCs w:val="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Return on assets - GAAP </w:t>
            </w:r>
            <w:r>
              <w:rPr>
                <w:rFonts w:ascii="Arial" w:cs="Arial" w:eastAsia="Arial" w:hAnsi="Arial"/>
                <w:sz w:val="8"/>
                <w:szCs w:val="8"/>
                <w:color w:val="auto"/>
              </w:rPr>
              <w:t>(4)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0.99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Return on assets - operating </w:t>
            </w:r>
            <w:r>
              <w:rPr>
                <w:rFonts w:ascii="Arial" w:cs="Arial" w:eastAsia="Arial" w:hAnsi="Arial"/>
                <w:sz w:val="8"/>
                <w:szCs w:val="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Dividend payout ratio - GAAP</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30.61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26.32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27.81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25.45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Dividend payout ratio - operating </w:t>
            </w:r>
            <w:r>
              <w:rPr>
                <w:rFonts w:ascii="Arial" w:cs="Arial" w:eastAsia="Arial" w:hAnsi="Arial"/>
                <w:sz w:val="8"/>
                <w:szCs w:val="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24.39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Net interest margin (fully taxable equivalent) </w:t>
            </w:r>
            <w:r>
              <w:rPr>
                <w:rFonts w:ascii="Arial" w:cs="Arial" w:eastAsia="Arial" w:hAnsi="Arial"/>
                <w:sz w:val="8"/>
                <w:szCs w:val="8"/>
                <w:color w:val="auto"/>
              </w:rPr>
              <w:t>(4)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3.63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3.49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Efficiency ratio - GAAP</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57.94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63.03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59.27</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Efficiency ratio - operating </w:t>
            </w:r>
            <w:r>
              <w:rPr>
                <w:rFonts w:ascii="Arial" w:cs="Arial" w:eastAsia="Arial" w:hAnsi="Arial"/>
                <w:sz w:val="8"/>
                <w:szCs w:val="8"/>
                <w:color w:val="auto"/>
              </w:rPr>
              <w:t>(1)</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56.39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55.77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55.75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56.92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56.18</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55.98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56.57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Average equity to average assets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 xml:space="preserve">Average tangible common equity to average assets </w:t>
            </w:r>
            <w:r>
              <w:rPr>
                <w:rFonts w:ascii="Arial" w:cs="Arial" w:eastAsia="Arial" w:hAnsi="Arial"/>
                <w:sz w:val="8"/>
                <w:szCs w:val="8"/>
                <w:color w:val="auto"/>
              </w:rPr>
              <w:t>(3)</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9.52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9.45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9.21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Tangible common equity to risk-weighted assets </w:t>
            </w:r>
            <w:r>
              <w:rPr>
                <w:rFonts w:ascii="Arial" w:cs="Arial" w:eastAsia="Arial" w:hAnsi="Arial"/>
                <w:sz w:val="8"/>
                <w:szCs w:val="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12.05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135"/>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3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ASSET QUALITY</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Nonperforming loans</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22,530</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21,817</w:t>
            </w:r>
          </w:p>
        </w:tc>
        <w:tc>
          <w:tcPr>
            <w:tcW w:w="1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26,240</w:t>
            </w:r>
          </w:p>
        </w:tc>
        <w:tc>
          <w:tcPr>
            <w:tcW w:w="100" w:type="dxa"/>
            <w:vAlign w:val="bottom"/>
          </w:tcPr>
          <w:p>
            <w:pPr>
              <w:spacing w:after="0"/>
              <w:rPr>
                <w:sz w:val="21"/>
                <w:szCs w:val="21"/>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23,658</w:t>
            </w:r>
          </w:p>
        </w:tc>
        <w:tc>
          <w:tcPr>
            <w:tcW w:w="100" w:type="dxa"/>
            <w:vAlign w:val="bottom"/>
          </w:tcPr>
          <w:p>
            <w:pPr>
              <w:spacing w:after="0"/>
              <w:rPr>
                <w:sz w:val="21"/>
                <w:szCs w:val="21"/>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22,921</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22,530</w:t>
            </w:r>
          </w:p>
        </w:tc>
        <w:tc>
          <w:tcPr>
            <w:tcW w:w="100" w:type="dxa"/>
            <w:vAlign w:val="bottom"/>
          </w:tcPr>
          <w:p>
            <w:pPr>
              <w:spacing w:after="0"/>
              <w:rPr>
                <w:sz w:val="21"/>
                <w:szCs w:val="21"/>
                <w:color w:val="auto"/>
              </w:rPr>
            </w:pPr>
          </w:p>
        </w:tc>
        <w:tc>
          <w:tcPr>
            <w:tcW w:w="36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22,921</w:t>
            </w:r>
          </w:p>
        </w:tc>
        <w:tc>
          <w:tcPr>
            <w:tcW w:w="920" w:type="dxa"/>
            <w:vAlign w:val="bottom"/>
            <w:gridSpan w:val="2"/>
          </w:tcPr>
          <w:p>
            <w:pPr>
              <w:jc w:val="right"/>
              <w:ind w:right="46"/>
              <w:spacing w:after="0"/>
              <w:rPr>
                <w:sz w:val="20"/>
                <w:szCs w:val="20"/>
                <w:color w:val="auto"/>
              </w:rPr>
            </w:pPr>
            <w:r>
              <w:rPr>
                <w:rFonts w:ascii="Arial" w:cs="Arial" w:eastAsia="Arial" w:hAnsi="Arial"/>
                <w:sz w:val="11"/>
                <w:szCs w:val="11"/>
                <w:color w:val="auto"/>
              </w:rPr>
              <w:t>(2)</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Foreclosed properties</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2,597</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3,234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2,736</w:t>
            </w:r>
          </w:p>
        </w:tc>
        <w:tc>
          <w:tcPr>
            <w:tcW w:w="940" w:type="dxa"/>
            <w:vAlign w:val="bottom"/>
            <w:tcBorders>
              <w:bottom w:val="single" w:sz="8" w:color="CCEEFF"/>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2,736</w:t>
            </w:r>
          </w:p>
        </w:tc>
        <w:tc>
          <w:tcPr>
            <w:tcW w:w="92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r>
      <w:tr>
        <w:trPr>
          <w:trHeight w:val="228"/>
        </w:trPr>
        <w:tc>
          <w:tcPr>
            <w:tcW w:w="3020" w:type="dxa"/>
            <w:vAlign w:val="bottom"/>
            <w:gridSpan w:val="2"/>
          </w:tcPr>
          <w:p>
            <w:pPr>
              <w:ind w:left="280"/>
              <w:spacing w:after="0"/>
              <w:rPr>
                <w:sz w:val="20"/>
                <w:szCs w:val="20"/>
                <w:color w:val="auto"/>
              </w:rPr>
            </w:pPr>
            <w:r>
              <w:rPr>
                <w:rFonts w:ascii="Arial" w:cs="Arial" w:eastAsia="Arial" w:hAnsi="Arial"/>
                <w:sz w:val="11"/>
                <w:szCs w:val="11"/>
                <w:color w:val="auto"/>
              </w:rPr>
              <w:t>Total nonperforming assets ("NPAs")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23,866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24,414</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28,954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26,892</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25,657</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23,866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25,657</w:t>
            </w:r>
          </w:p>
        </w:tc>
        <w:tc>
          <w:tcPr>
            <w:tcW w:w="920" w:type="dxa"/>
            <w:vAlign w:val="bottom"/>
            <w:gridSpan w:val="2"/>
          </w:tcPr>
          <w:p>
            <w:pPr>
              <w:jc w:val="right"/>
              <w:ind w:right="46"/>
              <w:spacing w:after="0"/>
              <w:rPr>
                <w:sz w:val="20"/>
                <w:szCs w:val="20"/>
                <w:color w:val="auto"/>
              </w:rPr>
            </w:pPr>
            <w:r>
              <w:rPr>
                <w:rFonts w:ascii="Arial" w:cs="Arial" w:eastAsia="Arial" w:hAnsi="Arial"/>
                <w:sz w:val="11"/>
                <w:szCs w:val="11"/>
                <w:color w:val="auto"/>
              </w:rPr>
              <w:t>(7)</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Allowance for loan losses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61,071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61,085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58,914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58,605</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58,605</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4</w:t>
            </w: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Net charge-offs</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1,466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1,359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1,501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1,635</w:t>
            </w:r>
          </w:p>
        </w:tc>
        <w:tc>
          <w:tcPr>
            <w:tcW w:w="940" w:type="dxa"/>
            <w:vAlign w:val="bottom"/>
            <w:gridSpan w:val="2"/>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4,326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4,937</w:t>
            </w:r>
          </w:p>
        </w:tc>
        <w:tc>
          <w:tcPr>
            <w:tcW w:w="920" w:type="dxa"/>
            <w:vAlign w:val="bottom"/>
            <w:gridSpan w:val="2"/>
          </w:tcPr>
          <w:p>
            <w:pPr>
              <w:jc w:val="right"/>
              <w:ind w:right="46"/>
              <w:spacing w:after="0"/>
              <w:rPr>
                <w:sz w:val="20"/>
                <w:szCs w:val="20"/>
                <w:color w:val="auto"/>
              </w:rPr>
            </w:pPr>
            <w:r>
              <w:rPr>
                <w:rFonts w:ascii="Arial" w:cs="Arial" w:eastAsia="Arial" w:hAnsi="Arial"/>
                <w:sz w:val="11"/>
                <w:szCs w:val="11"/>
                <w:color w:val="auto"/>
              </w:rPr>
              <w:t>(12)</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Allowance for loan losses to loans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 xml:space="preserve">Net charge-offs to average loans </w:t>
            </w:r>
            <w:r>
              <w:rPr>
                <w:rFonts w:ascii="Arial" w:cs="Arial" w:eastAsia="Arial" w:hAnsi="Arial"/>
                <w:sz w:val="8"/>
                <w:szCs w:val="8"/>
                <w:color w:val="auto"/>
              </w:rPr>
              <w:t>(4)</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0.09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0.09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NPAs to loans and foreclosed properties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NPAs to total assets</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0.23</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0.23</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5"/>
        </w:trPr>
        <w:tc>
          <w:tcPr>
            <w:tcW w:w="2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248"/>
        </w:trPr>
        <w:tc>
          <w:tcPr>
            <w:tcW w:w="302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AVERAGE BALANCES </w:t>
            </w:r>
            <w:r>
              <w:rPr>
                <w:rFonts w:ascii="Arial" w:cs="Arial" w:eastAsia="Arial" w:hAnsi="Arial"/>
                <w:sz w:val="11"/>
                <w:szCs w:val="11"/>
                <w:i w:val="1"/>
                <w:iCs w:val="1"/>
                <w:color w:val="auto"/>
              </w:rPr>
              <w:t>($ in millions)</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Loans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8,177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7,560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7,149</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7,012</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16</w:t>
            </w: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Investment securities</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2,916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2,802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2,870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2,991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2,800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2,863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2,799</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2</w:t>
            </w:r>
          </w:p>
        </w:tc>
      </w:tr>
      <w:tr>
        <w:trPr>
          <w:trHeight w:val="22"/>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1"/>
                <w:szCs w:val="11"/>
                <w:color w:val="auto"/>
              </w:rPr>
              <w:t>Earning assets</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11,320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10,735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10,133</w:t>
            </w:r>
          </w:p>
        </w:tc>
        <w:tc>
          <w:tcPr>
            <w:tcW w:w="94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9,969</w:t>
            </w:r>
          </w:p>
        </w:tc>
        <w:tc>
          <w:tcPr>
            <w:tcW w:w="920" w:type="dxa"/>
            <w:vAlign w:val="bottom"/>
            <w:tcBorders>
              <w:bottom w:val="single" w:sz="8" w:color="CCEEFF"/>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12</w:t>
            </w:r>
          </w:p>
        </w:tc>
      </w:tr>
      <w:tr>
        <w:trPr>
          <w:trHeight w:val="248"/>
        </w:trPr>
        <w:tc>
          <w:tcPr>
            <w:tcW w:w="3020" w:type="dxa"/>
            <w:vAlign w:val="bottom"/>
            <w:gridSpan w:val="2"/>
          </w:tcPr>
          <w:p>
            <w:pPr>
              <w:ind w:left="180"/>
              <w:spacing w:after="0"/>
              <w:rPr>
                <w:sz w:val="20"/>
                <w:szCs w:val="20"/>
                <w:color w:val="auto"/>
              </w:rPr>
            </w:pPr>
            <w:r>
              <w:rPr>
                <w:rFonts w:ascii="Arial" w:cs="Arial" w:eastAsia="Arial" w:hAnsi="Arial"/>
                <w:sz w:val="11"/>
                <w:szCs w:val="11"/>
                <w:color w:val="auto"/>
              </w:rPr>
              <w:t>Total assets</w:t>
            </w:r>
          </w:p>
        </w:tc>
        <w:tc>
          <w:tcPr>
            <w:tcW w:w="100" w:type="dxa"/>
            <w:vAlign w:val="bottom"/>
          </w:tcPr>
          <w:p>
            <w:pPr>
              <w:spacing w:after="0"/>
              <w:rPr>
                <w:sz w:val="21"/>
                <w:szCs w:val="21"/>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12,302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12,213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ind w:right="66"/>
              <w:spacing w:after="0"/>
              <w:rPr>
                <w:sz w:val="20"/>
                <w:szCs w:val="20"/>
                <w:color w:val="auto"/>
              </w:rPr>
            </w:pPr>
            <w:r>
              <w:rPr>
                <w:rFonts w:ascii="Arial" w:cs="Arial" w:eastAsia="Arial" w:hAnsi="Arial"/>
                <w:sz w:val="11"/>
                <w:szCs w:val="11"/>
                <w:color w:val="auto"/>
              </w:rPr>
              <w:t>12,111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6"/>
              <w:spacing w:after="0"/>
              <w:rPr>
                <w:sz w:val="20"/>
                <w:szCs w:val="20"/>
                <w:color w:val="auto"/>
              </w:rPr>
            </w:pPr>
            <w:r>
              <w:rPr>
                <w:rFonts w:ascii="Arial" w:cs="Arial" w:eastAsia="Arial" w:hAnsi="Arial"/>
                <w:sz w:val="11"/>
                <w:szCs w:val="11"/>
                <w:color w:val="auto"/>
              </w:rPr>
              <w:t>11,687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10,980</w:t>
            </w: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6"/>
              <w:spacing w:after="0"/>
              <w:rPr>
                <w:sz w:val="20"/>
                <w:szCs w:val="20"/>
                <w:color w:val="auto"/>
              </w:rPr>
            </w:pPr>
            <w:r>
              <w:rPr>
                <w:rFonts w:ascii="Arial" w:cs="Arial" w:eastAsia="Arial" w:hAnsi="Arial"/>
                <w:sz w:val="11"/>
                <w:szCs w:val="11"/>
                <w:color w:val="auto"/>
              </w:rPr>
              <w:t>12,209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10,788</w:t>
            </w:r>
          </w:p>
        </w:tc>
        <w:tc>
          <w:tcPr>
            <w:tcW w:w="920" w:type="dxa"/>
            <w:vAlign w:val="bottom"/>
            <w:gridSpan w:val="2"/>
          </w:tcPr>
          <w:p>
            <w:pPr>
              <w:jc w:val="right"/>
              <w:ind w:right="86"/>
              <w:spacing w:after="0"/>
              <w:rPr>
                <w:sz w:val="20"/>
                <w:szCs w:val="20"/>
                <w:color w:val="auto"/>
              </w:rPr>
            </w:pPr>
            <w:r>
              <w:rPr>
                <w:rFonts w:ascii="Arial" w:cs="Arial" w:eastAsia="Arial" w:hAnsi="Arial"/>
                <w:sz w:val="11"/>
                <w:szCs w:val="11"/>
                <w:color w:val="auto"/>
              </w:rPr>
              <w:t>13</w:t>
            </w:r>
          </w:p>
        </w:tc>
      </w:tr>
      <w:tr>
        <w:trPr>
          <w:trHeight w:val="59"/>
        </w:trPr>
        <w:tc>
          <w:tcPr>
            <w:tcW w:w="2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r>
    </w:tbl>
    <w:p>
      <w:pPr>
        <w:sectPr>
          <w:pgSz w:w="11900" w:h="16900" w:orient="portrait"/>
          <w:cols w:equalWidth="0" w:num="1">
            <w:col w:w="11360"/>
          </w:cols>
          <w:pgMar w:left="240" w:top="842" w:right="29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Deposits</w:t>
            </w: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9,950</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9,978</w:t>
            </w: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9,759</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9,624</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8,913</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w:t>
            </w: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9,896</w:t>
            </w:r>
          </w:p>
        </w:tc>
        <w:tc>
          <w:tcPr>
            <w:tcW w:w="4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rPr>
              <w:t>8,723</w:t>
            </w:r>
          </w:p>
        </w:tc>
        <w:tc>
          <w:tcPr>
            <w:tcW w:w="6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w:t>
            </w:r>
          </w:p>
        </w:tc>
      </w:tr>
      <w:tr>
        <w:trPr>
          <w:trHeight w:val="87"/>
        </w:trPr>
        <w:tc>
          <w:tcPr>
            <w:tcW w:w="24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248"/>
        </w:trPr>
        <w:tc>
          <w:tcPr>
            <w:tcW w:w="2480" w:type="dxa"/>
            <w:vAlign w:val="bottom"/>
          </w:tcPr>
          <w:p>
            <w:pPr>
              <w:ind w:left="180"/>
              <w:spacing w:after="0"/>
              <w:rPr>
                <w:sz w:val="20"/>
                <w:szCs w:val="20"/>
                <w:color w:val="auto"/>
              </w:rPr>
            </w:pPr>
            <w:r>
              <w:rPr>
                <w:rFonts w:ascii="Arial" w:cs="Arial" w:eastAsia="Arial" w:hAnsi="Arial"/>
                <w:sz w:val="11"/>
                <w:szCs w:val="11"/>
                <w:color w:val="auto"/>
              </w:rPr>
              <w:t>Shareholders’ equity</w:t>
            </w:r>
          </w:p>
        </w:tc>
        <w:tc>
          <w:tcPr>
            <w:tcW w:w="82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1,394</w:t>
            </w:r>
          </w:p>
        </w:tc>
        <w:tc>
          <w:tcPr>
            <w:tcW w:w="32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1,370</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1,336</w:t>
            </w:r>
          </w:p>
        </w:tc>
        <w:tc>
          <w:tcPr>
            <w:tcW w:w="34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1,310</w:t>
            </w:r>
          </w:p>
        </w:tc>
        <w:tc>
          <w:tcPr>
            <w:tcW w:w="360" w:type="dxa"/>
            <w:vAlign w:val="bottom"/>
          </w:tcPr>
          <w:p>
            <w:pPr>
              <w:spacing w:after="0"/>
              <w:rPr>
                <w:sz w:val="21"/>
                <w:szCs w:val="2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color w:val="auto"/>
              </w:rPr>
              <w:t>1,193</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17</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1,367</w:t>
            </w:r>
          </w:p>
        </w:tc>
        <w:tc>
          <w:tcPr>
            <w:tcW w:w="40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1,137</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20</w:t>
            </w:r>
          </w:p>
        </w:tc>
      </w:tr>
      <w:tr>
        <w:trPr>
          <w:trHeight w:val="22"/>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Common shares - basic (thousands)</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79,806</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79,753</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79,205</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76,768</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73,151</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79,588</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72,060</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w:t>
            </w:r>
          </w:p>
        </w:tc>
      </w:tr>
      <w:tr>
        <w:trPr>
          <w:trHeight w:val="248"/>
        </w:trPr>
        <w:tc>
          <w:tcPr>
            <w:tcW w:w="2480" w:type="dxa"/>
            <w:vAlign w:val="bottom"/>
          </w:tcPr>
          <w:p>
            <w:pPr>
              <w:ind w:left="180"/>
              <w:spacing w:after="0"/>
              <w:rPr>
                <w:sz w:val="20"/>
                <w:szCs w:val="20"/>
                <w:color w:val="auto"/>
              </w:rPr>
            </w:pPr>
            <w:r>
              <w:rPr>
                <w:rFonts w:ascii="Arial" w:cs="Arial" w:eastAsia="Arial" w:hAnsi="Arial"/>
                <w:sz w:val="11"/>
                <w:szCs w:val="11"/>
                <w:color w:val="auto"/>
              </w:rPr>
              <w:t>Common shares - diluted (thousands)</w:t>
            </w:r>
          </w:p>
        </w:tc>
        <w:tc>
          <w:tcPr>
            <w:tcW w:w="82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79,818</w:t>
            </w:r>
          </w:p>
        </w:tc>
        <w:tc>
          <w:tcPr>
            <w:tcW w:w="32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79,755</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79,215</w:t>
            </w:r>
          </w:p>
        </w:tc>
        <w:tc>
          <w:tcPr>
            <w:tcW w:w="34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76,768</w:t>
            </w:r>
          </w:p>
        </w:tc>
        <w:tc>
          <w:tcPr>
            <w:tcW w:w="360" w:type="dxa"/>
            <w:vAlign w:val="bottom"/>
          </w:tcPr>
          <w:p>
            <w:pPr>
              <w:spacing w:after="0"/>
              <w:rPr>
                <w:sz w:val="21"/>
                <w:szCs w:val="2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color w:val="auto"/>
              </w:rPr>
              <w:t>73,162</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79,598</w:t>
            </w:r>
          </w:p>
        </w:tc>
        <w:tc>
          <w:tcPr>
            <w:tcW w:w="40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72,071</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w:t>
            </w:r>
          </w:p>
        </w:tc>
      </w:tr>
      <w:tr>
        <w:trPr>
          <w:trHeight w:val="22"/>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5"/>
        </w:trPr>
        <w:tc>
          <w:tcPr>
            <w:tcW w:w="2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r>
      <w:tr>
        <w:trPr>
          <w:trHeight w:val="248"/>
        </w:trPr>
        <w:tc>
          <w:tcPr>
            <w:tcW w:w="2480" w:type="dxa"/>
            <w:vAlign w:val="bottom"/>
          </w:tcPr>
          <w:p>
            <w:pPr>
              <w:ind w:left="40"/>
              <w:spacing w:after="0"/>
              <w:rPr>
                <w:sz w:val="20"/>
                <w:szCs w:val="20"/>
                <w:color w:val="auto"/>
              </w:rPr>
            </w:pPr>
            <w:r>
              <w:rPr>
                <w:rFonts w:ascii="Arial" w:cs="Arial" w:eastAsia="Arial" w:hAnsi="Arial"/>
                <w:sz w:val="11"/>
                <w:szCs w:val="11"/>
                <w:b w:val="1"/>
                <w:bCs w:val="1"/>
                <w:color w:val="auto"/>
              </w:rPr>
              <w:t xml:space="preserve">AT PERIOD END </w:t>
            </w:r>
            <w:r>
              <w:rPr>
                <w:rFonts w:ascii="Arial" w:cs="Arial" w:eastAsia="Arial" w:hAnsi="Arial"/>
                <w:sz w:val="11"/>
                <w:szCs w:val="11"/>
                <w:i w:val="1"/>
                <w:iCs w:val="1"/>
                <w:color w:val="auto"/>
              </w:rPr>
              <w:t>($ in millions)</w:t>
            </w: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Loans</w:t>
            </w:r>
          </w:p>
        </w:tc>
        <w:tc>
          <w:tcPr>
            <w:tcW w:w="82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8,226</w:t>
            </w:r>
          </w:p>
        </w:tc>
        <w:tc>
          <w:tcPr>
            <w:tcW w:w="3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8,220</w:t>
            </w:r>
          </w:p>
        </w:tc>
        <w:tc>
          <w:tcPr>
            <w:tcW w:w="3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8,184</w:t>
            </w:r>
          </w:p>
        </w:tc>
        <w:tc>
          <w:tcPr>
            <w:tcW w:w="3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7,736</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7,203</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c>
          <w:tcPr>
            <w:tcW w:w="3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8,226</w:t>
            </w:r>
          </w:p>
        </w:tc>
        <w:tc>
          <w:tcPr>
            <w:tcW w:w="40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7,203</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w:t>
            </w:r>
          </w:p>
        </w:tc>
      </w:tr>
      <w:tr>
        <w:trPr>
          <w:trHeight w:val="248"/>
        </w:trPr>
        <w:tc>
          <w:tcPr>
            <w:tcW w:w="2480" w:type="dxa"/>
            <w:vAlign w:val="bottom"/>
          </w:tcPr>
          <w:p>
            <w:pPr>
              <w:ind w:left="180"/>
              <w:spacing w:after="0"/>
              <w:rPr>
                <w:sz w:val="20"/>
                <w:szCs w:val="20"/>
                <w:color w:val="auto"/>
              </w:rPr>
            </w:pPr>
            <w:r>
              <w:rPr>
                <w:rFonts w:ascii="Arial" w:cs="Arial" w:eastAsia="Arial" w:hAnsi="Arial"/>
                <w:sz w:val="11"/>
                <w:szCs w:val="11"/>
                <w:color w:val="auto"/>
              </w:rPr>
              <w:t>Investment securities</w:t>
            </w:r>
          </w:p>
        </w:tc>
        <w:tc>
          <w:tcPr>
            <w:tcW w:w="82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2,873</w:t>
            </w:r>
          </w:p>
        </w:tc>
        <w:tc>
          <w:tcPr>
            <w:tcW w:w="32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2,834</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2,731</w:t>
            </w:r>
          </w:p>
        </w:tc>
        <w:tc>
          <w:tcPr>
            <w:tcW w:w="34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2,937</w:t>
            </w:r>
          </w:p>
        </w:tc>
        <w:tc>
          <w:tcPr>
            <w:tcW w:w="360" w:type="dxa"/>
            <w:vAlign w:val="bottom"/>
          </w:tcPr>
          <w:p>
            <w:pPr>
              <w:spacing w:after="0"/>
              <w:rPr>
                <w:sz w:val="21"/>
                <w:szCs w:val="2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color w:val="auto"/>
              </w:rPr>
              <w:t>2,847</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2,873</w:t>
            </w:r>
          </w:p>
        </w:tc>
        <w:tc>
          <w:tcPr>
            <w:tcW w:w="40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2,847</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w:t>
            </w:r>
          </w:p>
        </w:tc>
      </w:tr>
      <w:tr>
        <w:trPr>
          <w:trHeight w:val="22"/>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assets</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12,405</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12,386</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12,264</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11,915</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11,129</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12,405</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11,129</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w:t>
            </w:r>
          </w:p>
        </w:tc>
      </w:tr>
      <w:tr>
        <w:trPr>
          <w:trHeight w:val="248"/>
        </w:trPr>
        <w:tc>
          <w:tcPr>
            <w:tcW w:w="2480" w:type="dxa"/>
            <w:vAlign w:val="bottom"/>
          </w:tcPr>
          <w:p>
            <w:pPr>
              <w:ind w:left="180"/>
              <w:spacing w:after="0"/>
              <w:rPr>
                <w:sz w:val="20"/>
                <w:szCs w:val="20"/>
                <w:color w:val="auto"/>
              </w:rPr>
            </w:pPr>
            <w:r>
              <w:rPr>
                <w:rFonts w:ascii="Arial" w:cs="Arial" w:eastAsia="Arial" w:hAnsi="Arial"/>
                <w:sz w:val="11"/>
                <w:szCs w:val="11"/>
                <w:color w:val="auto"/>
              </w:rPr>
              <w:t>Deposits</w:t>
            </w:r>
          </w:p>
        </w:tc>
        <w:tc>
          <w:tcPr>
            <w:tcW w:w="82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10,229</w:t>
            </w:r>
          </w:p>
        </w:tc>
        <w:tc>
          <w:tcPr>
            <w:tcW w:w="32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9,966</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9,993</w:t>
            </w:r>
          </w:p>
        </w:tc>
        <w:tc>
          <w:tcPr>
            <w:tcW w:w="34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9,808</w:t>
            </w:r>
          </w:p>
        </w:tc>
        <w:tc>
          <w:tcPr>
            <w:tcW w:w="360" w:type="dxa"/>
            <w:vAlign w:val="bottom"/>
          </w:tcPr>
          <w:p>
            <w:pPr>
              <w:spacing w:after="0"/>
              <w:rPr>
                <w:sz w:val="21"/>
                <w:szCs w:val="2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color w:val="auto"/>
              </w:rPr>
              <w:t>9,127</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10,229</w:t>
            </w:r>
          </w:p>
        </w:tc>
        <w:tc>
          <w:tcPr>
            <w:tcW w:w="40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9,127</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12</w:t>
            </w:r>
          </w:p>
        </w:tc>
      </w:tr>
      <w:tr>
        <w:trPr>
          <w:trHeight w:val="22"/>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Shareholders’ equity</w:t>
            </w:r>
          </w:p>
        </w:tc>
        <w:tc>
          <w:tcPr>
            <w:tcW w:w="8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1,402</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1,379</w:t>
            </w: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1,357</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1,303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1,221</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1,402</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6"/>
              <w:spacing w:after="0"/>
              <w:rPr>
                <w:sz w:val="20"/>
                <w:szCs w:val="20"/>
                <w:color w:val="auto"/>
              </w:rPr>
            </w:pPr>
            <w:r>
              <w:rPr>
                <w:rFonts w:ascii="Arial" w:cs="Arial" w:eastAsia="Arial" w:hAnsi="Arial"/>
                <w:sz w:val="11"/>
                <w:szCs w:val="11"/>
                <w:color w:val="auto"/>
              </w:rPr>
              <w:t>1,221</w:t>
            </w:r>
          </w:p>
        </w:tc>
        <w:tc>
          <w:tcPr>
            <w:tcW w:w="6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w:t>
            </w:r>
          </w:p>
        </w:tc>
      </w:tr>
      <w:tr>
        <w:trPr>
          <w:trHeight w:val="248"/>
        </w:trPr>
        <w:tc>
          <w:tcPr>
            <w:tcW w:w="2480" w:type="dxa"/>
            <w:vAlign w:val="bottom"/>
          </w:tcPr>
          <w:p>
            <w:pPr>
              <w:ind w:left="180"/>
              <w:spacing w:after="0"/>
              <w:rPr>
                <w:sz w:val="20"/>
                <w:szCs w:val="20"/>
                <w:color w:val="auto"/>
              </w:rPr>
            </w:pPr>
            <w:r>
              <w:rPr>
                <w:rFonts w:ascii="Arial" w:cs="Arial" w:eastAsia="Arial" w:hAnsi="Arial"/>
                <w:sz w:val="11"/>
                <w:szCs w:val="11"/>
                <w:color w:val="auto"/>
              </w:rPr>
              <w:t>Common shares outstanding (thousands)</w:t>
            </w:r>
          </w:p>
        </w:tc>
        <w:tc>
          <w:tcPr>
            <w:tcW w:w="820" w:type="dxa"/>
            <w:vAlign w:val="bottom"/>
          </w:tcPr>
          <w:p>
            <w:pPr>
              <w:spacing w:after="0"/>
              <w:rPr>
                <w:sz w:val="21"/>
                <w:szCs w:val="21"/>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79,202</w:t>
            </w:r>
          </w:p>
        </w:tc>
        <w:tc>
          <w:tcPr>
            <w:tcW w:w="32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79,138</w:t>
            </w:r>
          </w:p>
        </w:tc>
        <w:tc>
          <w:tcPr>
            <w:tcW w:w="32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79,123</w:t>
            </w:r>
          </w:p>
        </w:tc>
        <w:tc>
          <w:tcPr>
            <w:tcW w:w="340" w:type="dxa"/>
            <w:vAlign w:val="bottom"/>
          </w:tcPr>
          <w:p>
            <w:pPr>
              <w:spacing w:after="0"/>
              <w:rPr>
                <w:sz w:val="21"/>
                <w:szCs w:val="21"/>
                <w:color w:val="auto"/>
              </w:rPr>
            </w:pPr>
          </w:p>
        </w:tc>
        <w:tc>
          <w:tcPr>
            <w:tcW w:w="580" w:type="dxa"/>
            <w:vAlign w:val="bottom"/>
          </w:tcPr>
          <w:p>
            <w:pPr>
              <w:jc w:val="right"/>
              <w:ind w:right="86"/>
              <w:spacing w:after="0"/>
              <w:rPr>
                <w:sz w:val="20"/>
                <w:szCs w:val="20"/>
                <w:color w:val="auto"/>
              </w:rPr>
            </w:pPr>
            <w:r>
              <w:rPr>
                <w:rFonts w:ascii="Arial" w:cs="Arial" w:eastAsia="Arial" w:hAnsi="Arial"/>
                <w:sz w:val="11"/>
                <w:szCs w:val="11"/>
                <w:color w:val="auto"/>
              </w:rPr>
              <w:t>77,580</w:t>
            </w:r>
          </w:p>
        </w:tc>
        <w:tc>
          <w:tcPr>
            <w:tcW w:w="360" w:type="dxa"/>
            <w:vAlign w:val="bottom"/>
          </w:tcPr>
          <w:p>
            <w:pPr>
              <w:spacing w:after="0"/>
              <w:rPr>
                <w:sz w:val="21"/>
                <w:szCs w:val="21"/>
                <w:color w:val="auto"/>
              </w:rPr>
            </w:pPr>
          </w:p>
        </w:tc>
        <w:tc>
          <w:tcPr>
            <w:tcW w:w="840" w:type="dxa"/>
            <w:vAlign w:val="bottom"/>
          </w:tcPr>
          <w:p>
            <w:pPr>
              <w:jc w:val="right"/>
              <w:ind w:right="346"/>
              <w:spacing w:after="0"/>
              <w:rPr>
                <w:sz w:val="20"/>
                <w:szCs w:val="20"/>
                <w:color w:val="auto"/>
              </w:rPr>
            </w:pPr>
            <w:r>
              <w:rPr>
                <w:rFonts w:ascii="Arial" w:cs="Arial" w:eastAsia="Arial" w:hAnsi="Arial"/>
                <w:sz w:val="11"/>
                <w:szCs w:val="11"/>
                <w:color w:val="auto"/>
              </w:rPr>
              <w:t>73,403</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w:t>
            </w:r>
          </w:p>
        </w:tc>
        <w:tc>
          <w:tcPr>
            <w:tcW w:w="360" w:type="dxa"/>
            <w:vAlign w:val="bottom"/>
          </w:tcPr>
          <w:p>
            <w:pPr>
              <w:spacing w:after="0"/>
              <w:rPr>
                <w:sz w:val="21"/>
                <w:szCs w:val="21"/>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79,202</w:t>
            </w:r>
          </w:p>
        </w:tc>
        <w:tc>
          <w:tcPr>
            <w:tcW w:w="400" w:type="dxa"/>
            <w:vAlign w:val="bottom"/>
          </w:tcPr>
          <w:p>
            <w:pPr>
              <w:spacing w:after="0"/>
              <w:rPr>
                <w:sz w:val="21"/>
                <w:szCs w:val="21"/>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color w:val="auto"/>
              </w:rPr>
              <w:t>73,403</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8</w:t>
            </w:r>
          </w:p>
        </w:tc>
      </w:tr>
    </w:tbl>
    <w:p>
      <w:pPr>
        <w:spacing w:after="0" w:line="156" w:lineRule="exact"/>
        <w:rPr>
          <w:sz w:val="20"/>
          <w:szCs w:val="20"/>
          <w:color w:val="auto"/>
        </w:rPr>
      </w:pPr>
    </w:p>
    <w:p>
      <w:pPr>
        <w:ind w:right="20" w:firstLine="8"/>
        <w:spacing w:after="0" w:line="247" w:lineRule="auto"/>
        <w:tabs>
          <w:tab w:leader="none" w:pos="136" w:val="left"/>
        </w:tabs>
        <w:numPr>
          <w:ilvl w:val="0"/>
          <w:numId w:val="7"/>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amortization of certain executive change of control benefits, the fourth quarter 2017 impact of remeasurement of United’s deferred tax assets following the passage of tax reform legislation and a first quarter 2017 release of disproportionate tax effects lodged in OCI.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8"/>
          <w:szCs w:val="8"/>
          <w:color w:val="auto"/>
        </w:rPr>
        <w:t>(4)</w:t>
      </w:r>
      <w:r>
        <w:rPr>
          <w:rFonts w:ascii="Arial" w:cs="Arial" w:eastAsia="Arial" w:hAnsi="Arial"/>
          <w:sz w:val="13"/>
          <w:szCs w:val="13"/>
          <w:color w:val="auto"/>
        </w:rPr>
        <w:t xml:space="preserve"> Annualized.</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40" w:right="299" w:bottom="1440" w:gutter="0" w:footer="0" w:header="0"/>
        </w:sectPr>
      </w:pPr>
    </w:p>
    <w:bookmarkStart w:id="57" w:name="page58"/>
    <w:bookmarkEnd w:id="57"/>
    <w:p>
      <w:pPr>
        <w:spacing w:after="0" w:line="6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UNITED COMMUNITY BANKS, INC.</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Table 1 (Continued) - Non-GAAP Performance Measures Reconciliation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Selected Financial Information</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48"/>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right"/>
              <w:ind w:right="199"/>
              <w:spacing w:after="0"/>
              <w:rPr>
                <w:sz w:val="20"/>
                <w:szCs w:val="20"/>
                <w:color w:val="auto"/>
              </w:rPr>
            </w:pPr>
            <w:r>
              <w:rPr>
                <w:rFonts w:ascii="Arial" w:cs="Arial" w:eastAsia="Arial" w:hAnsi="Arial"/>
                <w:sz w:val="12"/>
                <w:szCs w:val="12"/>
                <w:b w:val="1"/>
                <w:bCs w:val="1"/>
                <w:color w:val="auto"/>
                <w:w w:val="98"/>
              </w:rPr>
              <w:t>For the Nine Months Ended</w:t>
            </w:r>
          </w:p>
        </w:tc>
      </w:tr>
      <w:tr>
        <w:trPr>
          <w:trHeight w:val="170"/>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2018</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2017</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Borders>
              <w:bottom w:val="single" w:sz="8" w:color="auto"/>
            </w:tcBorders>
          </w:tcPr>
          <w:p>
            <w:pPr>
              <w:spacing w:after="0"/>
              <w:rPr>
                <w:sz w:val="14"/>
                <w:szCs w:val="14"/>
                <w:color w:val="auto"/>
              </w:rPr>
            </w:pPr>
          </w:p>
        </w:tc>
      </w:tr>
      <w:tr>
        <w:trPr>
          <w:trHeight w:val="534"/>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8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Third Quarter</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Second Quarter</w:t>
            </w:r>
          </w:p>
        </w:tc>
        <w:tc>
          <w:tcPr>
            <w:tcW w:w="100" w:type="dxa"/>
            <w:vAlign w:val="bottom"/>
          </w:tcPr>
          <w:p>
            <w:pPr>
              <w:spacing w:after="0"/>
              <w:rPr>
                <w:sz w:val="24"/>
                <w:szCs w:val="24"/>
                <w:color w:val="auto"/>
              </w:rPr>
            </w:pP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First Quarter</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Fourth Quarter</w:t>
            </w:r>
          </w:p>
        </w:tc>
        <w:tc>
          <w:tcPr>
            <w:tcW w:w="1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Third Quarter</w:t>
            </w:r>
          </w:p>
        </w:tc>
        <w:tc>
          <w:tcPr>
            <w:tcW w:w="180" w:type="dxa"/>
            <w:vAlign w:val="bottom"/>
          </w:tcPr>
          <w:p>
            <w:pPr>
              <w:spacing w:after="0"/>
              <w:rPr>
                <w:sz w:val="24"/>
                <w:szCs w:val="24"/>
                <w:color w:val="auto"/>
              </w:rPr>
            </w:pPr>
          </w:p>
        </w:tc>
        <w:tc>
          <w:tcPr>
            <w:tcW w:w="760" w:type="dxa"/>
            <w:vAlign w:val="bottom"/>
          </w:tcPr>
          <w:p>
            <w:pPr>
              <w:jc w:val="right"/>
              <w:ind w:right="279"/>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jc w:val="right"/>
              <w:ind w:right="299"/>
              <w:spacing w:after="0"/>
              <w:rPr>
                <w:sz w:val="20"/>
                <w:szCs w:val="20"/>
                <w:color w:val="auto"/>
              </w:rPr>
            </w:pPr>
            <w:r>
              <w:rPr>
                <w:rFonts w:ascii="Arial" w:cs="Arial" w:eastAsia="Arial" w:hAnsi="Arial"/>
                <w:sz w:val="12"/>
                <w:szCs w:val="12"/>
                <w:b w:val="1"/>
                <w:bCs w:val="1"/>
                <w:color w:val="auto"/>
                <w:w w:val="82"/>
              </w:rPr>
              <w:t>2017</w:t>
            </w:r>
          </w:p>
        </w:tc>
      </w:tr>
      <w:tr>
        <w:trPr>
          <w:trHeight w:val="216"/>
        </w:trPr>
        <w:tc>
          <w:tcPr>
            <w:tcW w:w="4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Expense reconciliation</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Expenses (GAAP)</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77,718</w:t>
            </w:r>
          </w:p>
        </w:tc>
        <w:tc>
          <w:tcPr>
            <w:tcW w:w="100" w:type="dxa"/>
            <w:vAlign w:val="bottom"/>
          </w:tcPr>
          <w:p>
            <w:pPr>
              <w:spacing w:after="0"/>
              <w:rPr>
                <w:sz w:val="22"/>
                <w:szCs w:val="22"/>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76,850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73,475</w:t>
            </w:r>
          </w:p>
        </w:tc>
        <w:tc>
          <w:tcPr>
            <w:tcW w:w="10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75,882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65,674</w:t>
            </w:r>
          </w:p>
        </w:tc>
        <w:tc>
          <w:tcPr>
            <w:tcW w:w="100" w:type="dxa"/>
            <w:vAlign w:val="bottom"/>
          </w:tcPr>
          <w:p>
            <w:pPr>
              <w:spacing w:after="0"/>
              <w:rPr>
                <w:sz w:val="22"/>
                <w:szCs w:val="22"/>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228,043</w:t>
            </w:r>
          </w:p>
        </w:tc>
        <w:tc>
          <w:tcPr>
            <w:tcW w:w="120" w:type="dxa"/>
            <w:vAlign w:val="bottom"/>
          </w:tcPr>
          <w:p>
            <w:pPr>
              <w:spacing w:after="0"/>
              <w:rPr>
                <w:sz w:val="22"/>
                <w:szCs w:val="22"/>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99"/>
              <w:spacing w:after="0"/>
              <w:rPr>
                <w:sz w:val="20"/>
                <w:szCs w:val="20"/>
                <w:color w:val="auto"/>
              </w:rPr>
            </w:pPr>
            <w:r>
              <w:rPr>
                <w:rFonts w:ascii="Arial" w:cs="Arial" w:eastAsia="Arial" w:hAnsi="Arial"/>
                <w:sz w:val="12"/>
                <w:szCs w:val="12"/>
                <w:color w:val="auto"/>
                <w:w w:val="96"/>
              </w:rPr>
              <w:t>191,729</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(2,873)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(2,646)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(7,358)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(3,420)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(6,111)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(7,304)</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Expenses - operating</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77,126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73,977</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70,829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68,524</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62,254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221,932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w w:val="96"/>
              </w:rPr>
              <w:t>184,425</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Net income (loss) reconciliation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Net income (loss) (GAAP)</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43,682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39,634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37,658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(11,916)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27,946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120,974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79,737</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592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2,646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7,358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3,420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6,111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7,304</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(1,165)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(1,147)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(890)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(2,580)</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38,199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3,400</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Net income - operating</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44,133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42,386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39,676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2"/>
                <w:szCs w:val="12"/>
                <w:color w:val="auto"/>
              </w:rPr>
              <w:t>32,476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30,219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126,195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2"/>
                <w:szCs w:val="12"/>
                <w:color w:val="auto"/>
              </w:rPr>
              <w:t>87,861</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Diluted income (loss) per common share reconciliation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Diluted income (loss) per common share (GAAP)</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0.54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1.10</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0.01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0.08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0.03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0.06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0.06</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0.05</w:t>
            </w:r>
          </w:p>
        </w:tc>
      </w:tr>
      <w:tr>
        <w:trPr>
          <w:trHeight w:val="241"/>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Diluted income per common share - operating</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0.42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0.41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1.21</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Book value per common share reconciliation</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Book value per common share (GAAP)</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17.56</w:t>
            </w:r>
          </w:p>
        </w:tc>
        <w:tc>
          <w:tcPr>
            <w:tcW w:w="100" w:type="dxa"/>
            <w:vAlign w:val="bottom"/>
          </w:tcPr>
          <w:p>
            <w:pPr>
              <w:spacing w:after="0"/>
              <w:rPr>
                <w:sz w:val="22"/>
                <w:szCs w:val="22"/>
                <w:color w:val="auto"/>
              </w:rPr>
            </w:pPr>
          </w:p>
        </w:tc>
        <w:tc>
          <w:tcPr>
            <w:tcW w:w="220" w:type="dxa"/>
            <w:vAlign w:val="bottom"/>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17.29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17.02</w:t>
            </w:r>
          </w:p>
        </w:tc>
        <w:tc>
          <w:tcPr>
            <w:tcW w:w="100" w:type="dxa"/>
            <w:vAlign w:val="bottom"/>
          </w:tcPr>
          <w:p>
            <w:pPr>
              <w:spacing w:after="0"/>
              <w:rPr>
                <w:sz w:val="22"/>
                <w:szCs w:val="22"/>
                <w:color w:val="auto"/>
              </w:rPr>
            </w:pPr>
          </w:p>
        </w:tc>
        <w:tc>
          <w:tcPr>
            <w:tcW w:w="260" w:type="dxa"/>
            <w:vAlign w:val="bottom"/>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16.67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16.50</w:t>
            </w:r>
          </w:p>
        </w:tc>
        <w:tc>
          <w:tcPr>
            <w:tcW w:w="100" w:type="dxa"/>
            <w:vAlign w:val="bottom"/>
          </w:tcPr>
          <w:p>
            <w:pPr>
              <w:spacing w:after="0"/>
              <w:rPr>
                <w:sz w:val="22"/>
                <w:szCs w:val="22"/>
                <w:color w:val="auto"/>
              </w:rPr>
            </w:pP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17.56</w:t>
            </w:r>
          </w:p>
        </w:tc>
        <w:tc>
          <w:tcPr>
            <w:tcW w:w="120" w:type="dxa"/>
            <w:vAlign w:val="bottom"/>
          </w:tcPr>
          <w:p>
            <w:pPr>
              <w:spacing w:after="0"/>
              <w:rPr>
                <w:sz w:val="22"/>
                <w:szCs w:val="22"/>
                <w:color w:val="auto"/>
              </w:rPr>
            </w:pPr>
          </w:p>
        </w:tc>
        <w:tc>
          <w:tcPr>
            <w:tcW w:w="340" w:type="dxa"/>
            <w:vAlign w:val="bottom"/>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16.50</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(3.02)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(4.02)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(2.39)</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Tangible book value per common share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13.54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13.25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12.96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13.65</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14.11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13.54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14.11</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Return on tangible common equity reconciliation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Return on common equity (GAAP)</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11.11 %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9.22 %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11.43 %</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9.26 %</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0.77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99"/>
              <w:spacing w:after="0"/>
              <w:rPr>
                <w:sz w:val="20"/>
                <w:szCs w:val="20"/>
                <w:color w:val="auto"/>
              </w:rPr>
            </w:pPr>
            <w:r>
              <w:rPr>
                <w:rFonts w:ascii="Arial" w:cs="Arial" w:eastAsia="Arial" w:hAnsi="Arial"/>
                <w:sz w:val="12"/>
                <w:szCs w:val="12"/>
                <w:color w:val="auto"/>
              </w:rPr>
              <w:t>0.75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99"/>
              <w:spacing w:after="0"/>
              <w:rPr>
                <w:sz w:val="20"/>
                <w:szCs w:val="20"/>
                <w:color w:val="auto"/>
              </w:rPr>
            </w:pPr>
            <w:r>
              <w:rPr>
                <w:rFonts w:ascii="Arial" w:cs="Arial" w:eastAsia="Arial" w:hAnsi="Arial"/>
                <w:sz w:val="12"/>
                <w:szCs w:val="12"/>
                <w:color w:val="auto"/>
              </w:rPr>
              <w:t>0.50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0.55</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11.44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0.39</w:t>
            </w:r>
          </w:p>
        </w:tc>
      </w:tr>
      <w:tr>
        <w:trPr>
          <w:trHeight w:val="257"/>
        </w:trPr>
        <w:tc>
          <w:tcPr>
            <w:tcW w:w="41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2"/>
                <w:szCs w:val="12"/>
                <w:color w:val="auto"/>
              </w:rPr>
              <w:t>Return on common equity - operating</w:t>
            </w:r>
          </w:p>
        </w:tc>
        <w:tc>
          <w:tcPr>
            <w:tcW w:w="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12.09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11.97</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11.71</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2"/>
                <w:szCs w:val="12"/>
                <w:color w:val="auto"/>
              </w:rPr>
              <w:t>9.73</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9.97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11.93</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2"/>
                <w:szCs w:val="12"/>
                <w:color w:val="auto"/>
              </w:rPr>
              <w:t>10.20</w:t>
            </w:r>
          </w:p>
        </w:tc>
      </w:tr>
      <w:tr>
        <w:trPr>
          <w:trHeight w:val="264"/>
        </w:trPr>
        <w:tc>
          <w:tcPr>
            <w:tcW w:w="418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3.72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3.55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color w:val="auto"/>
              </w:rPr>
              <w:t>2.20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3.69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color w:val="auto"/>
              </w:rPr>
              <w:t>1.87</w:t>
            </w:r>
          </w:p>
        </w:tc>
      </w:tr>
      <w:tr>
        <w:trPr>
          <w:trHeight w:val="241"/>
        </w:trPr>
        <w:tc>
          <w:tcPr>
            <w:tcW w:w="4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Return on tangible common equity - operating</w:t>
            </w:r>
          </w:p>
        </w:tc>
        <w:tc>
          <w:tcPr>
            <w:tcW w:w="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15.81 %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15.79 %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15.26 %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11.93 %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11.93 %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12.07 %</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Return on assets reconciliation</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Return on assets (GAAP)</w:t>
            </w: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1.30 %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1.26 %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(0.40)%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1.32 %</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0.99 %</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0.20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0.06</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600" w:type="dxa"/>
            <w:vAlign w:val="bottom"/>
          </w:tcPr>
          <w:p>
            <w:pPr>
              <w:jc w:val="right"/>
              <w:ind w:right="99"/>
              <w:spacing w:after="0"/>
              <w:rPr>
                <w:sz w:val="20"/>
                <w:szCs w:val="20"/>
                <w:color w:val="auto"/>
              </w:rPr>
            </w:pPr>
            <w:r>
              <w:rPr>
                <w:rFonts w:ascii="Arial" w:cs="Arial" w:eastAsia="Arial" w:hAnsi="Arial"/>
                <w:sz w:val="12"/>
                <w:szCs w:val="12"/>
                <w:color w:val="auto"/>
              </w:rPr>
              <w:t>—</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0.04</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Return on assets - operating</w:t>
            </w:r>
          </w:p>
        </w:tc>
        <w:tc>
          <w:tcPr>
            <w:tcW w:w="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1.42 %</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1.39 %</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1.33 %</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1.10 %</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1.09 %</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1.38 %</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1.09 %</w:t>
            </w:r>
          </w:p>
        </w:tc>
      </w:tr>
      <w:tr>
        <w:trPr>
          <w:trHeight w:val="199"/>
        </w:trPr>
        <w:tc>
          <w:tcPr>
            <w:tcW w:w="4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b w:val="1"/>
                <w:bCs w:val="1"/>
                <w:color w:val="auto"/>
              </w:rPr>
              <w:t>Dividend payout ratio reconciliation</w:t>
            </w: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Dividend payout ratio (GAAP)</w:t>
            </w: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27.78 %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30.61 %</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25.53 %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26.32 %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27.81 %</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25.45 %</w:t>
            </w: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59"/>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2"/>
                <w:szCs w:val="12"/>
                <w:color w:val="auto"/>
              </w:rPr>
              <w:t>(1.53)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ind w:right="119"/>
              <w:spacing w:after="0"/>
              <w:rPr>
                <w:sz w:val="20"/>
                <w:szCs w:val="20"/>
                <w:color w:val="auto"/>
              </w:rPr>
            </w:pPr>
            <w:r>
              <w:rPr>
                <w:rFonts w:ascii="Arial" w:cs="Arial" w:eastAsia="Arial" w:hAnsi="Arial"/>
                <w:sz w:val="12"/>
                <w:szCs w:val="12"/>
                <w:color w:val="auto"/>
              </w:rPr>
              <w:t>12.04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(1.31)</w:t>
            </w:r>
          </w:p>
        </w:tc>
      </w:tr>
      <w:tr>
        <w:trPr>
          <w:trHeight w:val="27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Impact of tax reform on remeasurement of deferred tax asset</w:t>
            </w: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19"/>
              <w:spacing w:after="0"/>
              <w:rPr>
                <w:sz w:val="20"/>
                <w:szCs w:val="20"/>
                <w:color w:val="auto"/>
              </w:rPr>
            </w:pPr>
            <w:r>
              <w:rPr>
                <w:rFonts w:ascii="Arial" w:cs="Arial" w:eastAsia="Arial" w:hAnsi="Arial"/>
                <w:sz w:val="12"/>
                <w:szCs w:val="12"/>
                <w:color w:val="auto"/>
              </w:rPr>
              <w:t>74.27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99"/>
              <w:spacing w:after="0"/>
              <w:rPr>
                <w:sz w:val="20"/>
                <w:szCs w:val="20"/>
                <w:color w:val="auto"/>
              </w:rPr>
            </w:pPr>
            <w:r>
              <w:rPr>
                <w:rFonts w:ascii="Arial" w:cs="Arial" w:eastAsia="Arial" w:hAnsi="Arial"/>
                <w:sz w:val="12"/>
                <w:szCs w:val="12"/>
                <w:color w:val="auto"/>
              </w:rPr>
              <w:t>—</w:t>
            </w:r>
          </w:p>
        </w:tc>
      </w:tr>
      <w:tr>
        <w:trPr>
          <w:trHeight w:val="264"/>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Release of disproportionate tax effects lodged in OCI</w:t>
            </w:r>
          </w:p>
        </w:tc>
        <w:tc>
          <w:tcPr>
            <w:tcW w:w="8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2"/>
                <w:szCs w:val="2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2"/>
                <w:szCs w:val="22"/>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2"/>
                <w:szCs w:val="22"/>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(1.00)</w:t>
            </w:r>
          </w:p>
        </w:tc>
      </w:tr>
      <w:tr>
        <w:trPr>
          <w:trHeight w:val="241"/>
        </w:trPr>
        <w:tc>
          <w:tcPr>
            <w:tcW w:w="4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Dividend payout ratio - operating</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27.27 %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28.30 %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23.14 %</w:t>
            </w:r>
          </w:p>
        </w:tc>
      </w:tr>
      <w:tr>
        <w:trPr>
          <w:trHeight w:val="20"/>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99"/>
        </w:trPr>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70"/>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Efficiency ratio reconciliation</w:t>
            </w:r>
          </w:p>
        </w:tc>
        <w:tc>
          <w:tcPr>
            <w:tcW w:w="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1"/>
        </w:trPr>
        <w:tc>
          <w:tcPr>
            <w:tcW w:w="4180" w:type="dxa"/>
            <w:vAlign w:val="bottom"/>
            <w:gridSpan w:val="2"/>
          </w:tcPr>
          <w:p>
            <w:pPr>
              <w:ind w:left="40"/>
              <w:spacing w:after="0"/>
              <w:rPr>
                <w:sz w:val="20"/>
                <w:szCs w:val="20"/>
                <w:color w:val="auto"/>
              </w:rPr>
            </w:pPr>
            <w:r>
              <w:rPr>
                <w:rFonts w:ascii="Arial" w:cs="Arial" w:eastAsia="Arial" w:hAnsi="Arial"/>
                <w:sz w:val="12"/>
                <w:szCs w:val="12"/>
                <w:color w:val="auto"/>
              </w:rPr>
              <w:t>Efficiency ratio (GAAP)</w:t>
            </w:r>
          </w:p>
        </w:tc>
        <w:tc>
          <w:tcPr>
            <w:tcW w:w="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56.82 %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57.94 %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57.83 %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63.03 %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59.27 %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57.52 %</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58.81 %</w:t>
            </w:r>
          </w:p>
        </w:tc>
      </w:tr>
      <w:tr>
        <w:trPr>
          <w:trHeight w:val="27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(0.43)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(2.17)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2"/>
                <w:szCs w:val="12"/>
                <w:color w:val="auto"/>
              </w:rPr>
              <w:t>(6.11)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(1.54)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(2.24)</w:t>
            </w:r>
          </w:p>
        </w:tc>
      </w:tr>
      <w:tr>
        <w:trPr>
          <w:trHeight w:val="281"/>
        </w:trPr>
        <w:tc>
          <w:tcPr>
            <w:tcW w:w="4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2"/>
                <w:szCs w:val="12"/>
                <w:color w:val="auto"/>
              </w:rPr>
              <w:t>Efficiency ratio - operating</w:t>
            </w: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56.39 %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55.77 %</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55.75 %</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56.92 %</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56.18 %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55.98 %</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56.57 %</w:t>
            </w:r>
          </w:p>
        </w:tc>
      </w:tr>
    </w:tbl>
    <w:p>
      <w:pPr>
        <w:sectPr>
          <w:pgSz w:w="11900" w:h="16900" w:orient="portrait"/>
          <w:cols w:equalWidth="0" w:num="1">
            <w:col w:w="11420"/>
          </w:cols>
          <w:pgMar w:left="240" w:top="1044" w:right="239" w:bottom="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4180" w:type="dxa"/>
            <w:vAlign w:val="bottom"/>
          </w:tcPr>
          <w:p>
            <w:pPr>
              <w:ind w:left="40"/>
              <w:spacing w:after="0"/>
              <w:rPr>
                <w:sz w:val="20"/>
                <w:szCs w:val="20"/>
                <w:color w:val="auto"/>
              </w:rPr>
            </w:pPr>
            <w:r>
              <w:rPr>
                <w:rFonts w:ascii="Arial" w:cs="Arial" w:eastAsia="Arial" w:hAnsi="Arial"/>
                <w:sz w:val="12"/>
                <w:szCs w:val="12"/>
                <w:b w:val="1"/>
                <w:bCs w:val="1"/>
                <w:color w:val="auto"/>
              </w:rPr>
              <w:t>Average equity to assets reconciliation</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Equity to average assets (GAAP)</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11.33 %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11.03 %</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11.21 %</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10.86 %</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11.19 %</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10.54 %</w:t>
            </w:r>
          </w:p>
        </w:tc>
      </w:tr>
      <w:tr>
        <w:trPr>
          <w:trHeight w:val="264"/>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Effect of goodwill and other intangibles</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(2.38)</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(2.21)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(1.69)</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(2.31)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(1.33)</w:t>
            </w:r>
          </w:p>
        </w:tc>
      </w:tr>
      <w:tr>
        <w:trPr>
          <w:trHeight w:val="241"/>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Average tangible common equity to average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8.82 %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9.52 %</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9.45 %</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8.88 %</w:t>
            </w: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9.21 %</w:t>
            </w: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9"/>
        </w:trPr>
        <w:tc>
          <w:tcPr>
            <w:tcW w:w="4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0"/>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Tangible common equity to risk-weighted assets reconciliation</w:t>
            </w: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1"/>
        </w:trPr>
        <w:tc>
          <w:tcPr>
            <w:tcW w:w="4180" w:type="dxa"/>
            <w:vAlign w:val="bottom"/>
          </w:tcPr>
          <w:p>
            <w:pPr>
              <w:ind w:left="40"/>
              <w:spacing w:after="0"/>
              <w:rPr>
                <w:sz w:val="20"/>
                <w:szCs w:val="20"/>
                <w:color w:val="auto"/>
              </w:rPr>
            </w:pPr>
            <w:r>
              <w:rPr>
                <w:rFonts w:ascii="Arial" w:cs="Arial" w:eastAsia="Arial" w:hAnsi="Arial"/>
                <w:sz w:val="12"/>
                <w:szCs w:val="12"/>
                <w:color w:val="auto"/>
              </w:rPr>
              <w:t>Tier 1 capital ratio (Regulatory)</w:t>
            </w:r>
          </w:p>
        </w:tc>
        <w:tc>
          <w:tcPr>
            <w:tcW w:w="940" w:type="dxa"/>
            <w:vAlign w:val="bottom"/>
          </w:tcPr>
          <w:p>
            <w:pPr>
              <w:jc w:val="right"/>
              <w:spacing w:after="0"/>
              <w:rPr>
                <w:sz w:val="20"/>
                <w:szCs w:val="20"/>
                <w:color w:val="auto"/>
              </w:rPr>
            </w:pPr>
            <w:r>
              <w:rPr>
                <w:rFonts w:ascii="Arial" w:cs="Arial" w:eastAsia="Arial" w:hAnsi="Arial"/>
                <w:sz w:val="12"/>
                <w:szCs w:val="12"/>
                <w:color w:val="auto"/>
              </w:rPr>
              <w:t>12.25 %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11.94 %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11.61 %</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12.24 %</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12.27 %</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12.25 %</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12.27 %</w:t>
            </w: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Effect of other comprehensive income</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(0.68)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(0.57)</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(0.50)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(0.29)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(0.68)</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(0.13)</w:t>
            </w:r>
          </w:p>
        </w:tc>
      </w:tr>
      <w:tr>
        <w:trPr>
          <w:trHeight w:val="261"/>
        </w:trPr>
        <w:tc>
          <w:tcPr>
            <w:tcW w:w="4180" w:type="dxa"/>
            <w:vAlign w:val="bottom"/>
          </w:tcPr>
          <w:p>
            <w:pPr>
              <w:ind w:left="40"/>
              <w:spacing w:after="0"/>
              <w:rPr>
                <w:sz w:val="20"/>
                <w:szCs w:val="20"/>
                <w:color w:val="auto"/>
              </w:rPr>
            </w:pPr>
            <w:r>
              <w:rPr>
                <w:rFonts w:ascii="Arial" w:cs="Arial" w:eastAsia="Arial" w:hAnsi="Arial"/>
                <w:sz w:val="12"/>
                <w:szCs w:val="12"/>
                <w:color w:val="auto"/>
              </w:rPr>
              <w:t>Effect of deferred tax limitation</w:t>
            </w: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0.30</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0.33</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0.42</w:t>
            </w:r>
          </w:p>
        </w:tc>
        <w:tc>
          <w:tcPr>
            <w:tcW w:w="100" w:type="dxa"/>
            <w:vAlign w:val="bottom"/>
          </w:tcPr>
          <w:p>
            <w:pPr>
              <w:spacing w:after="0"/>
              <w:rPr>
                <w:sz w:val="22"/>
                <w:szCs w:val="22"/>
                <w:color w:val="auto"/>
              </w:rPr>
            </w:pPr>
          </w:p>
        </w:tc>
        <w:tc>
          <w:tcPr>
            <w:tcW w:w="960" w:type="dxa"/>
            <w:vAlign w:val="bottom"/>
          </w:tcPr>
          <w:p>
            <w:pPr>
              <w:jc w:val="right"/>
              <w:ind w:right="119"/>
              <w:spacing w:after="0"/>
              <w:rPr>
                <w:sz w:val="20"/>
                <w:szCs w:val="20"/>
                <w:color w:val="auto"/>
              </w:rPr>
            </w:pPr>
            <w:r>
              <w:rPr>
                <w:rFonts w:ascii="Arial" w:cs="Arial" w:eastAsia="Arial" w:hAnsi="Arial"/>
                <w:sz w:val="12"/>
                <w:szCs w:val="12"/>
                <w:color w:val="auto"/>
              </w:rPr>
              <w:t>0.51</w:t>
            </w:r>
          </w:p>
        </w:tc>
        <w:tc>
          <w:tcPr>
            <w:tcW w:w="10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2"/>
                <w:szCs w:val="12"/>
                <w:color w:val="auto"/>
              </w:rPr>
              <w:t>0.94</w:t>
            </w:r>
          </w:p>
        </w:tc>
        <w:tc>
          <w:tcPr>
            <w:tcW w:w="10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0.30</w:t>
            </w:r>
          </w:p>
        </w:tc>
        <w:tc>
          <w:tcPr>
            <w:tcW w:w="12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2"/>
                <w:szCs w:val="12"/>
                <w:color w:val="auto"/>
              </w:rPr>
              <w:t>0.94</w:t>
            </w:r>
          </w:p>
        </w:tc>
      </w:tr>
      <w:tr>
        <w:trPr>
          <w:trHeight w:val="279"/>
        </w:trPr>
        <w:tc>
          <w:tcPr>
            <w:tcW w:w="4180" w:type="dxa"/>
            <w:vAlign w:val="bottom"/>
            <w:shd w:val="clear" w:color="auto" w:fill="CCEEFF"/>
          </w:tcPr>
          <w:p>
            <w:pPr>
              <w:ind w:left="40"/>
              <w:spacing w:after="0"/>
              <w:rPr>
                <w:sz w:val="20"/>
                <w:szCs w:val="20"/>
                <w:color w:val="auto"/>
              </w:rPr>
            </w:pPr>
            <w:r>
              <w:rPr>
                <w:rFonts w:ascii="Arial" w:cs="Arial" w:eastAsia="Arial" w:hAnsi="Arial"/>
                <w:sz w:val="12"/>
                <w:szCs w:val="12"/>
                <w:color w:val="auto"/>
              </w:rPr>
              <w:t>Effect of trust preferred</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(0.26)</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(0.34)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2"/>
                <w:szCs w:val="12"/>
                <w:color w:val="auto"/>
              </w:rPr>
              <w:t>(0.36)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(0.24)</w:t>
            </w:r>
          </w:p>
        </w:tc>
      </w:tr>
      <w:tr>
        <w:trPr>
          <w:trHeight w:val="264"/>
        </w:trPr>
        <w:tc>
          <w:tcPr>
            <w:tcW w:w="4180" w:type="dxa"/>
            <w:vAlign w:val="bottom"/>
          </w:tcPr>
          <w:p>
            <w:pPr>
              <w:ind w:left="40"/>
              <w:spacing w:after="0"/>
              <w:rPr>
                <w:sz w:val="20"/>
                <w:szCs w:val="20"/>
                <w:color w:val="auto"/>
              </w:rPr>
            </w:pPr>
            <w:r>
              <w:rPr>
                <w:rFonts w:ascii="Arial" w:cs="Arial" w:eastAsia="Arial" w:hAnsi="Arial"/>
                <w:sz w:val="12"/>
                <w:szCs w:val="12"/>
                <w:color w:val="auto"/>
              </w:rPr>
              <w:t>Basel III intangibles transition adjustment</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79"/>
              <w:spacing w:after="0"/>
              <w:rPr>
                <w:sz w:val="20"/>
                <w:szCs w:val="20"/>
                <w:color w:val="auto"/>
              </w:rPr>
            </w:pPr>
            <w:r>
              <w:rPr>
                <w:rFonts w:ascii="Arial" w:cs="Arial" w:eastAsia="Arial" w:hAnsi="Arial"/>
                <w:sz w:val="12"/>
                <w:szCs w:val="12"/>
                <w:color w:val="auto"/>
              </w:rPr>
              <w:t>(0.05)</w:t>
            </w:r>
          </w:p>
        </w:tc>
        <w:tc>
          <w:tcPr>
            <w:tcW w:w="10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2"/>
                <w:szCs w:val="12"/>
                <w:color w:val="auto"/>
              </w:rPr>
              <w:t>(0.04)</w:t>
            </w:r>
          </w:p>
        </w:tc>
        <w:tc>
          <w:tcPr>
            <w:tcW w:w="10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59"/>
              <w:spacing w:after="0"/>
              <w:rPr>
                <w:sz w:val="20"/>
                <w:szCs w:val="20"/>
                <w:color w:val="auto"/>
              </w:rPr>
            </w:pPr>
            <w:r>
              <w:rPr>
                <w:rFonts w:ascii="Arial" w:cs="Arial" w:eastAsia="Arial" w:hAnsi="Arial"/>
                <w:sz w:val="12"/>
                <w:szCs w:val="12"/>
                <w:color w:val="auto"/>
              </w:rPr>
              <w:t>(0.04)</w:t>
            </w:r>
          </w:p>
        </w:tc>
      </w:tr>
      <w:tr>
        <w:trPr>
          <w:trHeight w:val="241"/>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Tangible common equity to risk-weighted assets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11.36 %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11.19 %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12.80 %</w:t>
            </w:r>
          </w:p>
        </w:tc>
      </w:tr>
      <w:tr>
        <w:trPr>
          <w:trHeight w:val="20"/>
        </w:trPr>
        <w:tc>
          <w:tcPr>
            <w:tcW w:w="4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22"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third quarter of 2018 was $112 million, compared to $89.8 million for the third quarter of 2017. Taxable equivalent net interest revenue for the third quarter of 2018 was $113 million, which represents an increase of $22.2 million from the same period in 2017. The combination of the larger earning asset base from the Acquisitions, growth in the loan portfolio and a wider net interest margin were responsible for the increase in net interest revenue.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interest-earning assets for the third quarter of 2018 increased $1.19 billion, or 12%, from the third quarter of 2017, which was due primarily to the increase in loans. Average loans increased $1.05 billion, or 15%, from the third quarter of last year, which includes the effect of the Acquisitions. The yield on loans increased 77 basis points, reflecting the effect of rising interest rates on the floating rate loans in the portfolio and the acquisition of higher yielding loans from NLFC and FOFN.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Average interest-bearing liabilities of $7.38 billion for the third quarter of 2018 increased $564 million from the third quarter of 2017. Average non-interest-bearing deposits increased $412 million from the third quarter of 2017 to $3.25 billion for the third quarter of 2018. The average cost of interest-bearing liabilities for the third quarter of 2018 was 0.89% compared to 0.53% for the same period in 2017, reflecting higher average rates on interest-bearing deposits and short-term borrowings. Although the fed funds rate has increased 100 basis points since September 30, 2017, United’s cost of interest-bearing deposits has increased only 35 basis points over that same time period, which has contributed to margin expansion and an increase in net interest revenue.</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third quarters of 2018 and 2017, the net interest spread was 3.64% and 3.37%, respectively, while the net interest margin was 3.95% and 3.54%, respectively. The increase in the net interest margin reflects the impact of higher short-term interest rates on floating-rate loans and securities in combination with United’s ability to improve its overall yield on interest-earning assets through growth in the loan portfolio. The resulting increases in interest revenue more than offset the increase in interest expense due to increased pricing on interest-bearing liabilities from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2018, net interest revenue was $324 million, an increase of $65.4 million, or 25%, from the first nine months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2017. Similarly, fully taxable equivalent net interest revenue for the first nine months of 2018 was $325 million, an increase of $65.4 million, or 25%, from the first nine months of 2017. Average earning assets increased 12% to $11.2 billion during the first nine months of 2018 compared to the same period a year ago, primarily due to the increase in loans, including the Acquisitions. The yield on earning assets increased 58 basis points to 4.39% in the first nine months of 2018 primarily due to a higher loan yield. The higher loan portfolio yield reflects the effect of rising interest rates and changes in portfolio composition, primarily due to the NLFC acquisition. The rate on interest-bearing liabilities during the first nine months of 2018 increased 28 basis points. The higher yield on interest-earning assets more than offset the higher cost of interest-bearing liabilities and resulted in a 39 basis point increase in the net interest margin from the first nine months of 2017 to the first nine months of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interest-earning assets and interest-bearing liabilities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60" w:name="page61"/>
    <w:bookmarkEnd w:id="60"/>
    <w:p>
      <w:pPr>
        <w:ind w:left="4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8,199,856</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108,197</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5.23%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7,149,348</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80,301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4.46%</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2,763,461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18,847</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2,695,162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17,204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152,939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105,151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11,319,963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129,212</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10,132,831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99,486</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(62,322)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(60,098)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Premises and equipment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216,775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203,579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703,915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599,725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12,301,621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w w:val="99"/>
              </w:rPr>
              <w:t>10,979,514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4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1,874,397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0.40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1,863,160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Money market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2,167,031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3,261</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2,170,148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680,640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Time</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1,545,020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3,351</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1,338,786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0.46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434,182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4580" w:type="dxa"/>
            <w:vAlign w:val="bottom"/>
            <w:gridSpan w:val="2"/>
          </w:tcPr>
          <w:p>
            <w:pPr>
              <w:ind w:left="3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6,701,270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10,941</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6,075,728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4,557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331,413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1,791</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574,404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1,709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296,366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3,605</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154,616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678,546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5,670</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740,333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4,507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7,379,816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6,816,061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31"/>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3,249,218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2,837,378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278,764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10,907,798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9,786,651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1,393,823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1,192,863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12,301,621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10,979,514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112,601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90,422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Arial" w:cs="Arial" w:eastAsia="Arial" w:hAnsi="Arial"/>
                <w:sz w:val="16"/>
                <w:szCs w:val="16"/>
                <w:color w:val="auto"/>
                <w:w w:val="96"/>
              </w:rPr>
              <w:t>3.64%</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3.37%</w:t>
            </w: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3.54%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140" w:hanging="172"/>
        <w:spacing w:after="0" w:line="250" w:lineRule="auto"/>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2018 and 39% in 2017, reflecting the statutory federal income tax rate and the federal tax adjusted state income tax rate.</w:t>
      </w: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14"/>
          <w:szCs w:val="14"/>
          <w:color w:val="auto"/>
        </w:rPr>
      </w:pPr>
    </w:p>
    <w:p>
      <w:pPr>
        <w:ind w:left="180" w:right="260" w:hanging="172"/>
        <w:spacing w:after="0" w:line="241" w:lineRule="auto"/>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Securities available for sale are shown at amortized cost. Pretax unrealized losses of $49.9 million in 2018 and pretax unrealized gains of $12.6 million in 2017 are included in other assets for purposes of this presentation.</w:t>
      </w:r>
    </w:p>
    <w:p>
      <w:pPr>
        <w:ind w:left="180" w:hanging="172"/>
        <w:spacing w:after="0"/>
        <w:tabs>
          <w:tab w:leader="none" w:pos="1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742" w:right="239" w:bottom="1440" w:gutter="0" w:footer="0" w:header="0"/>
          <w:type w:val="continuous"/>
        </w:sectPr>
      </w:pPr>
    </w:p>
    <w:bookmarkStart w:id="61" w:name="page62"/>
    <w:bookmarkEnd w:id="61"/>
    <w:p>
      <w:pPr>
        <w:ind w:left="4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8,124,269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307,981</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5.07%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7,011,962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227,853</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4.34%</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2,712,900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53,399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2,731,081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52,058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4,106</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68,005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11,197,019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367,609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4.39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9,968,630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284,340</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Non-interest-earning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Allowance for loan losses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(60,971)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Premises and equipment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217,339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195,576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717,555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582,194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12,209,463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w w:val="99"/>
              </w:rPr>
              <w:t>10,787,958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5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0.29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1,907,889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Money market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2,203,677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8,019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2,100,296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4,938</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Time</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1,534,823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8,288</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1,292,521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3,499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298,653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38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6,718,065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25,353</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5,984,386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11,216</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58,144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392,227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5,551</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616,388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4,603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295,966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Total borrowed funds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746,337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17,002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807,184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13,270</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7,464,402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42,355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6,791,570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24,486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3,178,387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2,738,118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199,848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121,672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10,842,637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9,651,360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1,366,826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1,136,598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12,209,463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10,787,958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325,254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259,854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3.63%</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3.33%</w:t>
            </w: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140" w:hanging="172"/>
        <w:spacing w:after="0" w:line="250" w:lineRule="auto"/>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in 2018 and 39% in 2017, reflecting the statutory federal income tax rate and the federal tax adjusted state income tax rate.</w:t>
      </w: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14"/>
          <w:szCs w:val="14"/>
          <w:color w:val="auto"/>
        </w:rPr>
      </w:pPr>
    </w:p>
    <w:p>
      <w:pPr>
        <w:ind w:left="180" w:right="260" w:hanging="172"/>
        <w:spacing w:after="0" w:line="241" w:lineRule="auto"/>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Securities available for sale are shown at amortized cost. Pretax unrealized losses of $40.4 million in 2018 and pretax unrealized gains of $4.67 million in 2017 are included in other assets for purposes of this presentation.</w:t>
      </w:r>
    </w:p>
    <w:p>
      <w:pPr>
        <w:ind w:left="180" w:hanging="172"/>
        <w:spacing w:after="0"/>
        <w:tabs>
          <w:tab w:leader="none" w:pos="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742" w:right="239" w:bottom="1440" w:gutter="0" w:footer="0" w:header="0"/>
          <w:type w:val="continuous"/>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39" w:lineRule="exact"/>
        <w:rPr>
          <w:sz w:val="20"/>
          <w:szCs w:val="20"/>
          <w:color w:val="auto"/>
        </w:rPr>
      </w:pPr>
    </w:p>
    <w:p>
      <w:pPr>
        <w:ind w:left="40" w:right="5180"/>
        <w:spacing w:after="0" w:line="344"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6"/>
          </w:tcPr>
          <w:p>
            <w:pPr>
              <w:jc w:val="center"/>
              <w:ind w:left="450"/>
              <w:spacing w:after="0"/>
              <w:rPr>
                <w:sz w:val="20"/>
                <w:szCs w:val="20"/>
                <w:color w:val="auto"/>
              </w:rPr>
            </w:pPr>
            <w:r>
              <w:rPr>
                <w:rFonts w:ascii="Arial" w:cs="Arial" w:eastAsia="Arial" w:hAnsi="Arial"/>
                <w:sz w:val="18"/>
                <w:szCs w:val="18"/>
                <w:b w:val="1"/>
                <w:bCs w:val="1"/>
                <w:color w:val="auto"/>
                <w:w w:val="92"/>
              </w:rPr>
              <w:t>Three Months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91"/>
              </w:rPr>
              <w:t>Nine Months Ended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6"/>
          </w:tcPr>
          <w:p>
            <w:pPr>
              <w:jc w:val="center"/>
              <w:ind w:left="430"/>
              <w:spacing w:after="0"/>
              <w:rPr>
                <w:sz w:val="20"/>
                <w:szCs w:val="20"/>
                <w:color w:val="auto"/>
              </w:rPr>
            </w:pPr>
            <w:r>
              <w:rPr>
                <w:rFonts w:ascii="Arial" w:cs="Arial" w:eastAsia="Arial" w:hAnsi="Arial"/>
                <w:sz w:val="18"/>
                <w:szCs w:val="18"/>
                <w:b w:val="1"/>
                <w:bCs w:val="1"/>
                <w:color w:val="auto"/>
                <w:w w:val="89"/>
              </w:rPr>
              <w:t>September 30, 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jc w:val="center"/>
              <w:ind w:left="470"/>
              <w:spacing w:after="0"/>
              <w:rPr>
                <w:sz w:val="20"/>
                <w:szCs w:val="20"/>
                <w:color w:val="auto"/>
              </w:rPr>
            </w:pPr>
            <w:r>
              <w:rPr>
                <w:rFonts w:ascii="Arial" w:cs="Arial" w:eastAsia="Arial" w:hAnsi="Arial"/>
                <w:sz w:val="18"/>
                <w:szCs w:val="18"/>
                <w:b w:val="1"/>
                <w:bCs w:val="1"/>
                <w:color w:val="auto"/>
                <w:w w:val="89"/>
              </w:rPr>
              <w:t>September 30, 2018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gridSpan w:val="1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20" w:type="dxa"/>
            <w:vAlign w:val="bottom"/>
            <w:gridSpan w:val="15"/>
          </w:tcPr>
          <w:p>
            <w:pPr>
              <w:jc w:val="right"/>
              <w:ind w:right="70"/>
              <w:spacing w:after="0"/>
              <w:rPr>
                <w:sz w:val="20"/>
                <w:szCs w:val="20"/>
                <w:color w:val="auto"/>
              </w:rPr>
            </w:pPr>
            <w:r>
              <w:rPr>
                <w:rFonts w:ascii="Arial" w:cs="Arial" w:eastAsia="Arial" w:hAnsi="Arial"/>
                <w:sz w:val="18"/>
                <w:szCs w:val="18"/>
                <w:b w:val="1"/>
                <w:bCs w:val="1"/>
                <w:color w:val="auto"/>
              </w:rPr>
              <w:t>Compared to 2017 Increase (decrease) Due to Changes in</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Volume</w:t>
            </w:r>
          </w:p>
        </w:tc>
        <w:tc>
          <w:tcPr>
            <w:tcW w:w="18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w:t>
            </w:r>
          </w:p>
        </w:tc>
        <w:tc>
          <w:tcPr>
            <w:tcW w:w="200" w:type="dxa"/>
            <w:vAlign w:val="bottom"/>
          </w:tcPr>
          <w:p>
            <w:pPr>
              <w:spacing w:after="0"/>
              <w:rPr>
                <w:sz w:val="20"/>
                <w:szCs w:val="20"/>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5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(FTE)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12,741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27,896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80,128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Taxable securities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securities (FTE)</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Federal funds sold and other interest-earning assets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interest-earning assets (FTE)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29,726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83,269</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NOW and interest-bearing demand accounts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accounts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deposits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Brokered deposits</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14,137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1,933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borrowed funds</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3,080</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6,883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17,869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380"/>
              <w:spacing w:after="0"/>
              <w:rPr>
                <w:sz w:val="20"/>
                <w:szCs w:val="20"/>
                <w:color w:val="auto"/>
              </w:rPr>
            </w:pPr>
            <w:r>
              <w:rPr>
                <w:rFonts w:ascii="Arial" w:cs="Arial" w:eastAsia="Arial" w:hAnsi="Arial"/>
                <w:sz w:val="18"/>
                <w:szCs w:val="18"/>
                <w:b w:val="1"/>
                <w:bCs w:val="1"/>
                <w:color w:val="auto"/>
              </w:rPr>
              <w:t>Increase in net interest revenue (FTE)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10,650</w:t>
            </w:r>
          </w:p>
        </w:tc>
        <w:tc>
          <w:tcPr>
            <w:tcW w:w="1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11,529</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22,179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34,766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30,634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65,400</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Provision for Credit Losses</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unfunded loan commitments and corresponding analysis of the allowance for credit losses at quarter-end. Provision for credit losses was $1.80 million and $7.40 million for the three and nine months ended September 30, 2018, compared to $1.00 million and $2.60 million for the same periods in 2017.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NLFC on February 1, 2018. At September 30, 2018, United included the performing non-impaired loans acquired from NLFC in its general allowance calculation in order to reflect the necessary allowance for incurred losses, which accounted for a majority of the increase in the provision expense. For the nine months ended September 30, 2018, net loan charge-offs as an annualized percentage of average outstanding loans were 0.07% compared to 0.09% for the same period in 2017.</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Additional discussion on credit quality and the allowance for loan losses is included in the “Asset Quality and Risk Elements” section of this report.</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84"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for the third quarter of 2018 was $24.2 million, an increase of $3.61 million, or 18%, compared to the third quarter of 2017. For the nine months ended September 30, 2018, noninterest income totaled $69.9 million, an increase of $3.58 million, or 5%, compared to the same period of 2017. Much of the overall increase in both periods is due to the Acquisitions. The following table presents the components of noninterest income for the periods indicated.</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Noninterest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020" w:type="dxa"/>
            <w:vAlign w:val="bottom"/>
            <w:gridSpan w:val="4"/>
          </w:tcPr>
          <w:p>
            <w:pPr>
              <w:ind w:left="62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9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Change</w:t>
            </w: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Percent</w:t>
            </w:r>
          </w:p>
        </w:tc>
      </w:tr>
      <w:tr>
        <w:trPr>
          <w:trHeight w:val="27"/>
        </w:trPr>
        <w:tc>
          <w:tcPr>
            <w:tcW w:w="2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Overdraft fees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ATM and debit card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Other service charges and fees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r>
      <w:tr>
        <w:trPr>
          <w:trHeight w:val="27"/>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charges and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1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Mortgage loan and related fees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5,262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1,062</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13,435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2,493</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Brokerage fees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4"/>
              </w:rPr>
              <w:t>Gains on sales of SBA/USDA loans</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Securities gains (losses), net</w:t>
            </w:r>
          </w:p>
        </w:tc>
        <w:tc>
          <w:tcPr>
            <w:tcW w:w="1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1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5,618</w:t>
            </w:r>
          </w:p>
        </w:tc>
        <w:tc>
          <w:tcPr>
            <w:tcW w:w="11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r>
      <w:tr>
        <w:trPr>
          <w:trHeight w:val="257"/>
        </w:trPr>
        <w:tc>
          <w:tcPr>
            <w:tcW w:w="2740" w:type="dxa"/>
            <w:vAlign w:val="bottom"/>
          </w:tcPr>
          <w:p>
            <w:pPr>
              <w:ind w:left="18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24,180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20,573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3,607</w:t>
            </w: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69,916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66,332</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3,584</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5</w:t>
            </w: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charges and fees of $9.11 million for the third quarter of 2018 increased $892,000, or 11%, from the third quarter of 2017, primarily due to the Acquisitions. Service charges and fees for the nine months ended September 30, 2018 decreased $2.69 million, or 9% compared to the same period of 2017. The decrease for the nine months ended is primarily due to the effect of the Durbin Amendment, which took effect for United in the third quarter of 2017 and limited the amount of interchange fees charged on debit card transactions.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loan and related fees for the third quarter of 2018 increased $1.06 million, or 25%, from the third quarter of 2017. For the nine months ended September 30, 2018 mortgage loan and related fees increased $2.49 million from the same period of 2017. The increase reflects United’s focus on growing the mortgage business by recruiting new mortgage lenders in key metropolitan markets and an increase in purchase and refinancing activity. In the third quarter of 2018, United closed 1,021 mortgage loans totaling $237 million compared with 848 mortgage loans totaling $193 million in the third quarter of 2017. Year-to-date mortgage production in 2018 amounted to 2,897 loans totaling $688 million, compared to 2,433 loans totaling $548 million for the same period in 2017. United had $164 million and $419 million in home purchase mortgage originations in the third quarter and first nine months of 2018, which accounted for 70% and 62% of mortgage production volume, respectively, compared with $117 million and $351 million, or 60% and 64%, respectively, of production volume for the same periods a year ago.</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Brokerage fees for the first nine months of 2018 totaled $3.60 million, flat compared to the same period of 2017. Brokerage fees for the third quarter of 2018 increased 51% compared to the third quarter 2017. The increase primarily relates to the completion of the transition to a new third-party broker dealer, which began in the first quarter of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and first nine months of 2018, United realized $2.61 million and $6.78 million, respectively, in gains from the sales of the guaranteed portion of Small Business Administration (“SBA”) and United States Department of Agriculture (“USDA”) loans, compared to $2.81 million and $7.39 million in the same periods of 2017. United’s SBA/USDA lending strategy includes selling a portion of the loan production each quarter. In the third quarter and first nine months of 2018, United sold the guaranteed portion of loans in the amount of $35.6 million and $86.3 million, respectively, compared to $29.9 million and $83.6 million, respectively, for the same periods a year ago.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4" w:right="2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Other noninterest income for the third quarter and first nine months of 2018 was up $1.47 million and $5.62 million, respectively, from the same periods of 2017. Noninterest income from NLFC added approximately $1.29 million and $3.24 million, respectively, to other noninterest income for the third quarter and first nine months of 2018. Other noninterest income for the nine months ended September 30, 2018 also included $533,000 in gains from the prepayment of fixed rate FHLB advances and $1.16 million in gains from the cancellation of interest rate swaps and caps that were serving as economic hedges to protect against rising interest rates.</w:t>
      </w:r>
    </w:p>
    <w:p>
      <w:pPr>
        <w:spacing w:after="0" w:line="1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losses of $1.30 million recognized in the first nine months of 2018 were part of the same balance sheet management activities described above that resulted in the gains from prepayment of FHLB advances and cancellation of the derivative instruments. The gains from those activities and the securities losses are mostly offsetting.</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Noninterest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980" w:type="dxa"/>
            <w:vAlign w:val="bottom"/>
            <w:gridSpan w:val="4"/>
          </w:tcPr>
          <w:p>
            <w:pPr>
              <w:ind w:left="58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88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27"/>
        </w:trPr>
        <w:tc>
          <w:tcPr>
            <w:tcW w:w="2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Percent</w:t>
            </w:r>
          </w:p>
        </w:tc>
      </w:tr>
      <w:tr>
        <w:trPr>
          <w:trHeight w:val="27"/>
        </w:trPr>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and employee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9,119</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Communications and equipment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1,043</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Advertising and public relations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994</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Postage, printing and supplies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951</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3,044</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36</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FDIC assessments and other</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charges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r>
      <w:tr>
        <w:trPr>
          <w:trHeight w:val="229"/>
        </w:trPr>
        <w:tc>
          <w:tcPr>
            <w:tcW w:w="2780" w:type="dxa"/>
            <w:vAlign w:val="bottom"/>
          </w:tcPr>
          <w:p>
            <w:pPr>
              <w:ind w:left="40"/>
              <w:spacing w:after="0"/>
              <w:rPr>
                <w:sz w:val="20"/>
                <w:szCs w:val="20"/>
                <w:color w:val="auto"/>
              </w:rPr>
            </w:pPr>
            <w:r>
              <w:rPr>
                <w:rFonts w:ascii="Arial" w:cs="Arial" w:eastAsia="Arial" w:hAnsi="Arial"/>
                <w:sz w:val="18"/>
                <w:szCs w:val="18"/>
                <w:color w:val="auto"/>
              </w:rPr>
              <w:t>Amortization of core deposit</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80" w:type="dxa"/>
            <w:vAlign w:val="bottom"/>
          </w:tcPr>
          <w:p>
            <w:pPr>
              <w:ind w:left="40"/>
              <w:spacing w:after="0"/>
              <w:rPr>
                <w:sz w:val="20"/>
                <w:szCs w:val="20"/>
                <w:color w:val="auto"/>
              </w:rPr>
            </w:pPr>
            <w:r>
              <w:rPr>
                <w:rFonts w:ascii="Arial" w:cs="Arial" w:eastAsia="Arial" w:hAnsi="Arial"/>
                <w:sz w:val="18"/>
                <w:szCs w:val="18"/>
                <w:color w:val="auto"/>
              </w:rPr>
              <w:t>intangibles</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923</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2,009</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09"/>
        </w:trPr>
        <w:tc>
          <w:tcPr>
            <w:tcW w:w="2780" w:type="dxa"/>
            <w:vAlign w:val="bottom"/>
          </w:tcPr>
          <w:p>
            <w:pPr>
              <w:ind w:left="180"/>
              <w:spacing w:after="0"/>
              <w:rPr>
                <w:sz w:val="20"/>
                <w:szCs w:val="20"/>
                <w:color w:val="auto"/>
              </w:rPr>
            </w:pPr>
            <w:r>
              <w:rPr>
                <w:rFonts w:ascii="Arial" w:cs="Arial" w:eastAsia="Arial" w:hAnsi="Arial"/>
                <w:sz w:val="18"/>
                <w:szCs w:val="18"/>
                <w:color w:val="auto"/>
                <w:w w:val="92"/>
              </w:rPr>
              <w:t>Total excluding merger-related and</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other charges</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14,872</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221,932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184,425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37,507</w:t>
            </w:r>
          </w:p>
        </w:tc>
        <w:tc>
          <w:tcPr>
            <w:tcW w:w="1100" w:type="dxa"/>
            <w:vAlign w:val="bottom"/>
            <w:gridSpan w:val="2"/>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2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Merger-related and other charges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780" w:type="dxa"/>
            <w:vAlign w:val="bottom"/>
          </w:tcPr>
          <w:p>
            <w:pPr>
              <w:ind w:left="40"/>
              <w:spacing w:after="0"/>
              <w:rPr>
                <w:sz w:val="20"/>
                <w:szCs w:val="20"/>
                <w:color w:val="auto"/>
              </w:rPr>
            </w:pPr>
            <w:r>
              <w:rPr>
                <w:rFonts w:ascii="Arial" w:cs="Arial" w:eastAsia="Arial" w:hAnsi="Arial"/>
                <w:sz w:val="18"/>
                <w:szCs w:val="18"/>
                <w:color w:val="auto"/>
              </w:rPr>
              <w:t>Amortization of noncompete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80" w:type="dxa"/>
            <w:vAlign w:val="bottom"/>
          </w:tcPr>
          <w:p>
            <w:pPr>
              <w:ind w:left="40"/>
              <w:spacing w:after="0"/>
              <w:rPr>
                <w:sz w:val="20"/>
                <w:szCs w:val="20"/>
                <w:color w:val="auto"/>
              </w:rPr>
            </w:pPr>
            <w:r>
              <w:rPr>
                <w:rFonts w:ascii="Arial" w:cs="Arial" w:eastAsia="Arial" w:hAnsi="Arial"/>
                <w:sz w:val="18"/>
                <w:szCs w:val="18"/>
                <w:color w:val="auto"/>
              </w:rPr>
              <w:t>agreements</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2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noninterest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65,674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12,044</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228,043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191,729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36,314</w:t>
            </w:r>
          </w:p>
        </w:tc>
        <w:tc>
          <w:tcPr>
            <w:tcW w:w="1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0"/>
        </w:trPr>
        <w:tc>
          <w:tcPr>
            <w:tcW w:w="2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Noninterest expenses for the third quarter and first nine months of 2018 totaled $77.7 million and $228 million, respectively, up 18% and 19%, respectively, from the same periods of 2017. Much of the overall increase was due to the Acquisitions.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Salaries and employee benefits for the third quarter and first nine months of 2018 were $47.1 million and $135 million, respectively, up 24% and 21%, respectively, from same periods of 2017. The increase was due to a number of factors including investments in additional staff and new teams to expand Commercial Banking Solutions and other key areas, additional staff resulting from the Acquisitions, incentive accruals, and annual merit-based salary increases awarded in the second quarter of 2018. Full time equivalent headcount totaled 2,300 at September 30, 2018, up from 2,020 at September 30, 2017.</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Occupancy expenses increased primarily due to higher depreciation and lease rental charges for the expanded branch network resulting from the Acquisitions. Professional fees for the third quarter and first nine months of 2018 of $3.93 million and $11.4 million increased 32% and 36%, from the same periods of 2017. The increase was due primarily to the Acquisitions, technology related projects, and increased legal fees associated with loan growth.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5" w:name="page66"/>
    <w:bookmarkEnd w:id="65"/>
    <w:p>
      <w:pPr>
        <w:jc w:val="both"/>
        <w:spacing w:after="0" w:line="264" w:lineRule="auto"/>
        <w:rPr>
          <w:sz w:val="20"/>
          <w:szCs w:val="20"/>
          <w:color w:val="auto"/>
        </w:rPr>
      </w:pPr>
      <w:r>
        <w:rPr>
          <w:rFonts w:ascii="Arial" w:cs="Arial" w:eastAsia="Arial" w:hAnsi="Arial"/>
          <w:sz w:val="18"/>
          <w:szCs w:val="18"/>
          <w:color w:val="auto"/>
        </w:rPr>
        <w:t>FDIC assessments and other regulatory charges for the nine months ended September 30, 2018 increased relative to the same period in 2017 due to a larger balance sheet as well as the effect of the higher deposit insurance assessment imposed beginning in the third quarter of 2017 as a result of United’s exceeding the $10 billion asset size threshold.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core deposit intangibles of $1.20 million and $3.76 million, respectively, in the third quarter and first nine months of 2018 increased relative to the same periods in 2017 due to the additional amortization resulting from intangibles related to the HCSB and FOFN acquisitions.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Merger-related and other charges for the three months ended September 30, 2018 decreased $3.06 million from the same period of 2017, due to the lack of merger-related activity during the period and gains recognized on the sale of surplus properties of approximately $411,000. In the first nine months of 2018, merger-related and other charges of $4.45 million included these gains offset by expenses primarily consisting of severance, conversion costs, branch closure costs, and legal and professional fees. Merger-related and other charges for the third quarter of 2017 of $3.18 million consisted of merger costs of $2.04 million and impairment charges on surplus properties of $1.14 million. In the first nine months of 2017, merger-related and other charges of $7.06 million included these costs as well as executive retirement costs, severance, branch closure costs and technology equipment write offs.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income tax provision for the three and nine months ended September 30, 2018 was $13.1 million and $37.4 million, respectively, which represents an effective tax rate of 23.1% and 23.6% respectively, for each period. The income tax provision for the three and nine months ended September 30, 2017 was $15.7 million and $50.7 million, respectively, which represents an effective tax rate of 36.0% and 38.9%, respectively, for each period. The effective tax rates for the third quarter and first nine months of 2018 reflect the lower federal income tax rate enacted following the passage of the Tax Act in the fourth quarter of 2017. The income tax provision for the first nine months of 2018 also included $509,000 of additional tax expense caused by the partial impairment of United’s net deferred tax asset as a result of the announcement that Georgia has elected to lower its corporate income tax rate from 6.00% to 5.75% effective January 1, 2019. The effective tax rate in the first nine months of 2017 was affected by the release of disproportionate tax effects in the first quarter of 2017.</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2018 and December 31, 2017, United maintained a valuation allowance on its net deferred tax asset of $4.85 million and $4.41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September 30, 2018 that it was more likely than not that the net deferred tax asset of $76.9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assets at September 30, 2018 and December 31, 2017 were $12.4 billion and $11.9 billion, respectively. Average total assets for the third quarter and first nine months of 2018 were $12.3 billion and $12.2 billion, respectively, up from $11.0 billion and $10.8 billion, respectively, in the third quarter and first nine months of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7 - Loans Outstanding</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2018</w:t>
            </w:r>
          </w:p>
        </w:tc>
        <w:tc>
          <w:tcPr>
            <w:tcW w:w="220" w:type="dxa"/>
            <w:vAlign w:val="bottom"/>
          </w:tcPr>
          <w:p>
            <w:pPr>
              <w:spacing w:after="0"/>
              <w:rPr>
                <w:sz w:val="18"/>
                <w:szCs w:val="18"/>
                <w:color w:val="auto"/>
              </w:rPr>
            </w:pPr>
          </w:p>
        </w:tc>
        <w:tc>
          <w:tcPr>
            <w:tcW w:w="176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 2017</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Loan Type</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1,673,279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1,923,993</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1,787,888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1,595,174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1,193,640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1,130,990</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761,571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711,936</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508,651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5,925,029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5,362,093</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1,034,962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973,544</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702,279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731,227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197,845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183,019</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124,064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127,504</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242,287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358,185</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8,226,466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7,735,572</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11"/>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total loans:</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13</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311"/>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Geographic Location</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North Georgia</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992,016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1,018,945</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Atlanta MSA</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1,492,670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1,510,067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North Carolina</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1,078,147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1,049,592</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Coastal Georgia</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609,568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629,919</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Gainesville MSA</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234,828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248,060</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Tennessee</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474,515</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South Carolina</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1,586,043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1,485,632</w:t>
            </w:r>
          </w:p>
        </w:tc>
      </w:tr>
      <w:tr>
        <w:trPr>
          <w:trHeight w:val="33"/>
        </w:trPr>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Banking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1,530,315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960,657</w:t>
            </w:r>
          </w:p>
        </w:tc>
      </w:tr>
      <w:tr>
        <w:trPr>
          <w:trHeight w:val="237"/>
        </w:trPr>
        <w:tc>
          <w:tcPr>
            <w:tcW w:w="736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242,287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358,185</w:t>
            </w:r>
          </w:p>
        </w:tc>
      </w:tr>
      <w:tr>
        <w:trPr>
          <w:trHeight w:val="33"/>
        </w:trPr>
        <w:tc>
          <w:tcPr>
            <w:tcW w:w="7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8,226,466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7,735,572</w:t>
            </w: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800" w:right="239" w:bottom="1440" w:gutter="0" w:footer="0" w:header="0"/>
          <w:type w:val="continuous"/>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or are generated by the Commercial Banking Solutions division that focuses on specific commercial loan businesses, such as equipment financing and SBA and franchise lending. Approximately 75% of United’s loans are secured by real estate. Total loans averaged $8.20 billion in the third quarter of 2018, compared with $7.15 billion in the third quarter of 2017, an increase of 15% due in part to the Acquisitions. At September 30, 2018, total loans were $8.23 billion, an increase of $491 million from December 31, 2017, of which $358 million came through the acquisition of NLFC.</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September 30, 2018 and December 31, 2017, the funded portion of home equity lines totaled $702 million and $731 million, respectively. Approximately 3% of the home equity lines at September 30, 2018 were amortizing. Of the $702 million in balances outstanding at September 30, 2018, $423 million, or 60%, were secured by first liens. At September 30, 2018, 52% of the total available home equity lines were drawn upon.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creditor.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2017.</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8 - Performing Classified Loans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460" w:type="dxa"/>
            <w:vAlign w:val="bottom"/>
            <w:gridSpan w:val="3"/>
          </w:tcPr>
          <w:p>
            <w:pPr>
              <w:ind w:left="80"/>
              <w:spacing w:after="0"/>
              <w:rPr>
                <w:sz w:val="20"/>
                <w:szCs w:val="20"/>
                <w:color w:val="auto"/>
              </w:rPr>
            </w:pPr>
            <w:r>
              <w:rPr>
                <w:rFonts w:ascii="Arial" w:cs="Arial" w:eastAsia="Arial" w:hAnsi="Arial"/>
                <w:sz w:val="18"/>
                <w:szCs w:val="18"/>
                <w:b w:val="1"/>
                <w:bCs w:val="1"/>
                <w:color w:val="auto"/>
              </w:rPr>
              <w:t>March 31, 2018</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Category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38,601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42,096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41,467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37,147</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10,740</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6,213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75,022</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14,824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15,914</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5,603</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1,754</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direct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1,685</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100,486</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Market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23,540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25,417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26,243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30,952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30,049</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MSA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9,936</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24,886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11,341</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Coastal Georgia</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456</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Tennessee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31,123</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Banking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1,685</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120,474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111,380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100,486</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2018, performing classified loans totaled $114 million, which represents a decrease of $5.99 million from the prior quarter-end.</w:t>
      </w: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9 - Allowance for Credit Losses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Pr>
          <w:p>
            <w:pPr>
              <w:spacing w:after="0"/>
              <w:rPr>
                <w:sz w:val="18"/>
                <w:szCs w:val="18"/>
                <w:color w:val="auto"/>
              </w:rPr>
            </w:pPr>
          </w:p>
        </w:tc>
      </w:tr>
      <w:tr>
        <w:trPr>
          <w:trHeight w:val="33"/>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41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 at beginning of period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61,071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59,500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58,914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61,422</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2,335</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1,143</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769</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1,069</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1,216</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127</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1,374</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1,066</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 charged-off</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9,382</w:t>
            </w:r>
          </w:p>
        </w:tc>
      </w:tr>
      <w:tr>
        <w:trPr>
          <w:trHeight w:val="231"/>
        </w:trPr>
        <w:tc>
          <w:tcPr>
            <w:tcW w:w="590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123</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912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200</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485</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153</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716</w:t>
            </w: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214</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4,445</w:t>
            </w:r>
          </w:p>
        </w:tc>
      </w:tr>
      <w:tr>
        <w:trPr>
          <w:trHeight w:val="217"/>
        </w:trPr>
        <w:tc>
          <w:tcPr>
            <w:tcW w:w="5900" w:type="dxa"/>
            <w:vAlign w:val="bottom"/>
          </w:tcPr>
          <w:p>
            <w:pPr>
              <w:ind w:left="280"/>
              <w:spacing w:after="0"/>
              <w:rPr>
                <w:sz w:val="20"/>
                <w:szCs w:val="20"/>
                <w:color w:val="auto"/>
              </w:rPr>
            </w:pPr>
            <w:r>
              <w:rPr>
                <w:rFonts w:ascii="Arial" w:cs="Arial" w:eastAsia="Arial" w:hAnsi="Arial"/>
                <w:sz w:val="16"/>
                <w:szCs w:val="16"/>
                <w:color w:val="auto"/>
              </w:rPr>
              <w:t>Net charge-offs</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4,326</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4,937</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loan and lease losses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2,120</w:t>
            </w: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loan and lease losses at end of period</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60,940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58,605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60,940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58,605</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318"/>
        </w:trPr>
        <w:tc>
          <w:tcPr>
            <w:tcW w:w="5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unfunded commitments at beginning of period</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2,895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2,002</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unfunded commitments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w:t>
            </w:r>
          </w:p>
        </w:tc>
      </w:tr>
      <w:tr>
        <w:trPr>
          <w:trHeight w:val="217"/>
        </w:trPr>
        <w:tc>
          <w:tcPr>
            <w:tcW w:w="5900" w:type="dxa"/>
            <w:vAlign w:val="bottom"/>
          </w:tcPr>
          <w:p>
            <w:pPr>
              <w:ind w:left="40"/>
              <w:spacing w:after="0"/>
              <w:rPr>
                <w:sz w:val="20"/>
                <w:szCs w:val="20"/>
                <w:color w:val="auto"/>
              </w:rPr>
            </w:pPr>
            <w:r>
              <w:rPr>
                <w:rFonts w:ascii="Arial" w:cs="Arial" w:eastAsia="Arial" w:hAnsi="Arial"/>
                <w:sz w:val="16"/>
                <w:szCs w:val="16"/>
                <w:color w:val="auto"/>
              </w:rPr>
              <w:t>Allowance for unfunded commitments at end of period</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3,360</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2,482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3,360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2,482</w:t>
            </w:r>
          </w:p>
        </w:tc>
      </w:tr>
      <w:tr>
        <w:trPr>
          <w:trHeight w:val="33"/>
        </w:trPr>
        <w:tc>
          <w:tcPr>
            <w:tcW w:w="5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64,300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61,087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61,087</w:t>
            </w:r>
          </w:p>
        </w:tc>
      </w:tr>
      <w:tr>
        <w:trPr>
          <w:trHeight w:val="20"/>
        </w:trPr>
        <w:tc>
          <w:tcPr>
            <w:tcW w:w="5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11"/>
        </w:trPr>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At period-end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8,226,466</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w w:val="89"/>
              </w:rPr>
              <w:t>7,202,937</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8,226,466</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7,202,937</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Average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8,199,856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7,149,348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8,124,269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7,011,962</w:t>
            </w:r>
          </w:p>
        </w:tc>
      </w:tr>
      <w:tr>
        <w:trPr>
          <w:trHeight w:val="237"/>
        </w:trPr>
        <w:tc>
          <w:tcPr>
            <w:tcW w:w="5900" w:type="dxa"/>
            <w:vAlign w:val="bottom"/>
          </w:tcPr>
          <w:p>
            <w:pPr>
              <w:ind w:left="40"/>
              <w:spacing w:after="0"/>
              <w:rPr>
                <w:sz w:val="20"/>
                <w:szCs w:val="20"/>
                <w:color w:val="auto"/>
              </w:rPr>
            </w:pPr>
            <w:r>
              <w:rPr>
                <w:rFonts w:ascii="Arial" w:cs="Arial" w:eastAsia="Arial" w:hAnsi="Arial"/>
                <w:sz w:val="16"/>
                <w:szCs w:val="16"/>
                <w:color w:val="auto"/>
                <w:w w:val="97"/>
              </w:rPr>
              <w:t>Allowance for loan and lease losses as a percentage of period-end loans and leases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average loans (annualized):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900" w:type="dxa"/>
            <w:vAlign w:val="bottom"/>
          </w:tcPr>
          <w:p>
            <w:pPr>
              <w:ind w:left="180"/>
              <w:spacing w:after="0"/>
              <w:rPr>
                <w:sz w:val="20"/>
                <w:szCs w:val="20"/>
                <w:color w:val="auto"/>
              </w:rPr>
            </w:pPr>
            <w:r>
              <w:rPr>
                <w:rFonts w:ascii="Arial" w:cs="Arial" w:eastAsia="Arial" w:hAnsi="Arial"/>
                <w:sz w:val="16"/>
                <w:szCs w:val="16"/>
                <w:color w:val="auto"/>
              </w:rPr>
              <w:t>Net charge-offs</w:t>
            </w: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0.09</w:t>
            </w:r>
          </w:p>
        </w:tc>
      </w:tr>
      <w:tr>
        <w:trPr>
          <w:trHeight w:val="33"/>
        </w:trPr>
        <w:tc>
          <w:tcPr>
            <w:tcW w:w="5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5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loan and lease losses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0.04</w:t>
            </w:r>
          </w:p>
        </w:tc>
      </w:tr>
      <w:tr>
        <w:trPr>
          <w:trHeight w:val="33"/>
        </w:trPr>
        <w:tc>
          <w:tcPr>
            <w:tcW w:w="59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84" w:right="239" w:bottom="1440" w:gutter="0" w:footer="0" w:header="0"/>
          <w:type w:val="continuous"/>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$64.3 million at September 30, 2018, compared with $61.2 million at December 31, 2017. At September 30, 2018, the allowance for loan losses was $60.9 million, or 0.74% of loans, compared with $58.9 million, or 0.76% of total loans, at December 31, 2017.</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credit losses at September 30, 2018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nonperforming assets.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10 -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2017</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loans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23,658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Foreclosed properties/other real estate owned ("OREO")</w:t>
            </w:r>
          </w:p>
        </w:tc>
        <w:tc>
          <w:tcPr>
            <w:tcW w:w="18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3,234</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318"/>
        </w:trPr>
        <w:tc>
          <w:tcPr>
            <w:tcW w:w="7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304"/>
        </w:trPr>
        <w:tc>
          <w:tcPr>
            <w:tcW w:w="74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23,866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26,892</w:t>
            </w:r>
          </w:p>
        </w:tc>
      </w:tr>
      <w:tr>
        <w:trPr>
          <w:trHeight w:val="311"/>
        </w:trPr>
        <w:tc>
          <w:tcPr>
            <w:tcW w:w="7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Nonperforming loans as a percentage of total loans and leases</w:t>
            </w:r>
          </w:p>
        </w:tc>
        <w:tc>
          <w:tcPr>
            <w:tcW w:w="1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7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Nonperforming assets as a percentage of total loans and OREO</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0.35</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Nonperforming assets as a percentage of total assets</w:t>
            </w:r>
          </w:p>
        </w:tc>
        <w:tc>
          <w:tcPr>
            <w:tcW w:w="180" w:type="dxa"/>
            <w:vAlign w:val="bottom"/>
          </w:tcPr>
          <w:p>
            <w:pPr>
              <w:spacing w:after="0"/>
              <w:rPr>
                <w:sz w:val="21"/>
                <w:szCs w:val="21"/>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0.23</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2018, nonperforming loans were $22.5 million compared to $23.7 million at December 31, 2017. Nonperforming assets, which include nonperforming loans and foreclosed real estate, totaled $23.9 million at September 30, 2018 and $26.9 million at December 31, 2017.</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September 30, 2018 or December 31, 2017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11 - Nonperforming Assets by Category and Market</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2017</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Nonaccrual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Foreclosed</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Nonaccrual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Foreclosed</w:t>
            </w:r>
          </w:p>
        </w:tc>
        <w:tc>
          <w:tcPr>
            <w:tcW w:w="24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Loans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Properties</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NPAs</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CATEGORY</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Owner occupied commercial real 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4,884</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4,923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6,878</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producing commercial 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2,097</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construction</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Equipment financing</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8,912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equity lines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direct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1,637</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BY MARKET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North Georgia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7,170</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7,310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7,404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MSA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North Carolina</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5,756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Coastal Georgia</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Gainesville MSA</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739</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East Tennessee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South Carolina</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Banking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1,637</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NPAs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23,866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26,892</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2018 and December 31, 2017, United had $55.2 million and $58.1 million, respectively, in loans with terms that have been modified in TDRs. Included therein were $7.15 million and $5.50 million, respectively, of TDRs that were classified as nonaccrual and were included in nonperforming loans. The remaining TDRs with an aggregate balance of $48.0 million and $52.6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September 30, 2018 and December 31, 2017, there were $57.4 million and $62.3 million, respectively, of loans classified as impaired under the definition outlined in the Accounting Standards Codification, including TDRs which are by definition considered impaired. Included in impaired loans at September 30, 2018 and December 31, 2017 was $21.6 million and $9.37 million, respectively, that did not require specific reserves or had previously been charged down to net realizable value. The remaining balance of impaired loans at September 30, 2018 and December 31, 2017 of $35.8 million and $52.9 million, respectively, had specific reserves that totaled $2.39 million and $3.26 million, respectively. The average recorded investment in impaired loans for the third quarters of 2018 and 2017 was $58.5 million and $84.2 million, respectively. For the nine months ended September 30, 2018 and 2017, the average recorded investment in impaired loans was $61.0 million and $84.2 million, respectively. For the three and nine months ended September 30, 2018, United recognized $802,000 and $2.28 million, respectively, in interest revenue on impaired loans compared to $931,000 and $2.89 million, respectively, for the same periods of the prior year.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12 - Activity in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8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4"/>
              </w:rPr>
              <w:t>Third Quarter 2018</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76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4"/>
              </w:rPr>
              <w:t>Third Quarter 2017</w:t>
            </w:r>
          </w:p>
        </w:tc>
        <w:tc>
          <w:tcPr>
            <w:tcW w:w="100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3"/>
              </w:rPr>
              <w:t>Nonaccrual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Foreclosed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Nonaccrual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Foreclosed</w:t>
            </w:r>
          </w:p>
        </w:tc>
        <w:tc>
          <w:tcPr>
            <w:tcW w:w="26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Loans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Loans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NPAs</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825</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placed on non-accrual</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7,964</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Payments received</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(5,192)</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charge-offs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Foreclosures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sales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Write downs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on sales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22,530</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23,866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25,657</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205740</wp:posOffset>
            </wp:positionV>
            <wp:extent cx="5137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1"/>
              </w:rPr>
              <w:t>First Nine Months of 2018</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91"/>
              </w:rPr>
              <w:t>First Nine Months of 2017</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Nonaccrual</w:t>
            </w: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Foreclosed</w:t>
            </w:r>
          </w:p>
        </w:tc>
        <w:tc>
          <w:tcPr>
            <w:tcW w:w="34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Nonaccrual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Foreclosed</w:t>
            </w:r>
          </w:p>
        </w:tc>
        <w:tc>
          <w:tcPr>
            <w:tcW w:w="36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Loans</w:t>
            </w:r>
          </w:p>
        </w:tc>
        <w:tc>
          <w:tcPr>
            <w:tcW w:w="18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3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NPAs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Loans</w:t>
            </w:r>
          </w:p>
        </w:tc>
        <w:tc>
          <w:tcPr>
            <w:tcW w:w="1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Properties</w:t>
            </w:r>
          </w:p>
        </w:tc>
        <w:tc>
          <w:tcPr>
            <w:tcW w:w="36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w w:val="95"/>
              </w:rPr>
              <w:t>NPAs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3,234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26,892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21,539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7,949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29,488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Loans placed on non-accrual</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19,246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received</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Loan charge-offs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Foreclosures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Property sales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downs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gains on sales</w:t>
            </w:r>
          </w:p>
        </w:tc>
        <w:tc>
          <w:tcPr>
            <w:tcW w:w="1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23,866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25,657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During the third quarter of 2018, United transferred $454,000 of loans into foreclosed property through foreclosures. During the same period, proceeds from sales of foreclosed property were $1.66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2018 and December 31, 2017, United had securities held-to-maturity with a carrying amount of $286 million and $321 million, respectively, and securities available-for-sale totaling $2.59 billion and $2.62 billion, respectively. At September 30, 2018 and December 31, 2017, the securities portfolio represented approximately 23% and 25%, respectively, of total assets.</w:t>
      </w:r>
    </w:p>
    <w:p>
      <w:pPr>
        <w:sectPr>
          <w:pgSz w:w="11900" w:h="16838" w:orient="portrait"/>
          <w:cols w:equalWidth="0" w:num="1">
            <w:col w:w="11420"/>
          </w:cols>
          <w:pgMar w:left="240" w:top="80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800" w:right="239" w:bottom="1440" w:gutter="0" w:footer="0" w:header="0"/>
          <w:type w:val="continuous"/>
        </w:sectPr>
      </w:pPr>
    </w:p>
    <w:bookmarkStart w:id="73" w:name="page74"/>
    <w:bookmarkEnd w:id="73"/>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September 30, 2018 primarily reflect the effect of changes in interest rates. United did not recognize any other than temporary impairment losses on its investment securities during the three and nine months ended September 30, 2018 or 2017.</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and December 31, 2017, 13% and 15%,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September 30, 2018 were $9.68 billion, compared to $9.44 billion at December 31, 2017. Total core transaction deposits (demand, NOW, money market and savings deposits, excluding public funds deposits) of $7.01 billion at September 30, 2018 increased $245 million since December 31, 2017. United’s high level of service, as evidenced by its strong customer satisfaction scores, has been instrumental in attracting and retaining core transaction deposit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$300 million and $505 million, respectively, as of September 30, 2018 and December 31, 2017. United anticipates continued use of this short and long-term source of funds. Additional information regarding FHLB advances is provided in Note 13 to the consolidated financial statements included in United’s Annual Report on Form 10-K for the year ended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800" w:right="239" w:bottom="1440" w:gutter="0" w:footer="0" w:header="0"/>
        </w:sectPr>
      </w:pPr>
    </w:p>
    <w:bookmarkStart w:id="74" w:name="page75"/>
    <w:bookmarkEnd w:id="74"/>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profitability, primarily in United’s core community banking activities of extending loans and accepting deposits.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twelve-month time frame, longer time horizons are also modeled.</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the interest sensitivity position at the dates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Interest Sensitivity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80" w:type="dxa"/>
            <w:vAlign w:val="bottom"/>
            <w:gridSpan w:val="7"/>
          </w:tcPr>
          <w:p>
            <w:pPr>
              <w:ind w:left="320"/>
              <w:spacing w:after="0"/>
              <w:rPr>
                <w:sz w:val="20"/>
                <w:szCs w:val="20"/>
                <w:color w:val="auto"/>
              </w:rPr>
            </w:pPr>
            <w:r>
              <w:rPr>
                <w:rFonts w:ascii="Arial" w:cs="Arial" w:eastAsia="Arial" w:hAnsi="Arial"/>
                <w:sz w:val="18"/>
                <w:szCs w:val="18"/>
                <w:b w:val="1"/>
                <w:bCs w:val="1"/>
                <w:color w:val="auto"/>
                <w:w w:val="93"/>
              </w:rPr>
              <w:t>Increase (Decrease) in Net Interest Revenue from Base Scenario at</w:t>
            </w: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 2018</w:t>
            </w:r>
          </w:p>
        </w:tc>
        <w:tc>
          <w:tcPr>
            <w:tcW w:w="2780" w:type="dxa"/>
            <w:vAlign w:val="bottom"/>
            <w:gridSpan w:val="3"/>
          </w:tcPr>
          <w:p>
            <w:pPr>
              <w:ind w:left="68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2200"/>
              <w:spacing w:after="0"/>
              <w:rPr>
                <w:sz w:val="20"/>
                <w:szCs w:val="20"/>
                <w:color w:val="auto"/>
              </w:rPr>
            </w:pPr>
            <w:r>
              <w:rPr>
                <w:rFonts w:ascii="Arial" w:cs="Arial" w:eastAsia="Arial" w:hAnsi="Arial"/>
                <w:sz w:val="18"/>
                <w:szCs w:val="18"/>
                <w:b w:val="1"/>
                <w:bCs w:val="1"/>
                <w:color w:val="auto"/>
              </w:rPr>
              <w:t>Change in Rates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440"/>
              <w:spacing w:after="0"/>
              <w:rPr>
                <w:sz w:val="20"/>
                <w:szCs w:val="20"/>
                <w:color w:val="auto"/>
              </w:rPr>
            </w:pPr>
            <w:r>
              <w:rPr>
                <w:rFonts w:ascii="Arial" w:cs="Arial" w:eastAsia="Arial" w:hAnsi="Arial"/>
                <w:sz w:val="18"/>
                <w:szCs w:val="18"/>
                <w:b w:val="1"/>
                <w:bCs w:val="1"/>
                <w:color w:val="auto"/>
              </w:rPr>
              <w:t>Shock</w:t>
            </w:r>
          </w:p>
        </w:tc>
        <w:tc>
          <w:tcPr>
            <w:tcW w:w="1440" w:type="dxa"/>
            <w:vAlign w:val="bottom"/>
            <w:gridSpan w:val="2"/>
          </w:tcPr>
          <w:p>
            <w:pPr>
              <w:ind w:left="420"/>
              <w:spacing w:after="0"/>
              <w:rPr>
                <w:sz w:val="20"/>
                <w:szCs w:val="20"/>
                <w:color w:val="auto"/>
              </w:rPr>
            </w:pPr>
            <w:r>
              <w:rPr>
                <w:rFonts w:ascii="Arial" w:cs="Arial" w:eastAsia="Arial" w:hAnsi="Arial"/>
                <w:sz w:val="18"/>
                <w:szCs w:val="18"/>
                <w:b w:val="1"/>
                <w:bCs w:val="1"/>
                <w:color w:val="auto"/>
              </w:rPr>
              <w:t>Ramp</w:t>
            </w:r>
          </w:p>
        </w:tc>
        <w:tc>
          <w:tcPr>
            <w:tcW w:w="1420" w:type="dxa"/>
            <w:vAlign w:val="bottom"/>
            <w:gridSpan w:val="2"/>
          </w:tcPr>
          <w:p>
            <w:pPr>
              <w:ind w:left="420"/>
              <w:spacing w:after="0"/>
              <w:rPr>
                <w:sz w:val="20"/>
                <w:szCs w:val="20"/>
                <w:color w:val="auto"/>
              </w:rPr>
            </w:pPr>
            <w:r>
              <w:rPr>
                <w:rFonts w:ascii="Arial" w:cs="Arial" w:eastAsia="Arial" w:hAnsi="Arial"/>
                <w:sz w:val="18"/>
                <w:szCs w:val="18"/>
                <w:b w:val="1"/>
                <w:bCs w:val="1"/>
                <w:color w:val="auto"/>
              </w:rPr>
              <w:t>Shock</w:t>
            </w:r>
          </w:p>
        </w:tc>
        <w:tc>
          <w:tcPr>
            <w:tcW w:w="1360" w:type="dxa"/>
            <w:vAlign w:val="bottom"/>
          </w:tcPr>
          <w:p>
            <w:pPr>
              <w:ind w:left="440"/>
              <w:spacing w:after="0"/>
              <w:rPr>
                <w:sz w:val="20"/>
                <w:szCs w:val="20"/>
                <w:color w:val="auto"/>
              </w:rPr>
            </w:pPr>
            <w:r>
              <w:rPr>
                <w:rFonts w:ascii="Arial" w:cs="Arial" w:eastAsia="Arial" w:hAnsi="Arial"/>
                <w:sz w:val="18"/>
                <w:szCs w:val="18"/>
                <w:b w:val="1"/>
                <w:bCs w:val="1"/>
                <w:color w:val="auto"/>
              </w:rPr>
              <w:t>Ramp</w:t>
            </w:r>
          </w:p>
        </w:tc>
      </w:tr>
      <w:tr>
        <w:trPr>
          <w:trHeight w:val="27"/>
        </w:trPr>
        <w:tc>
          <w:tcPr>
            <w:tcW w:w="4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100 basis point increase</w:t>
            </w:r>
          </w:p>
        </w:tc>
        <w:tc>
          <w:tcPr>
            <w:tcW w:w="2540" w:type="dxa"/>
            <w:vAlign w:val="bottom"/>
            <w:tcBorders>
              <w:bottom w:val="single" w:sz="8" w:color="CCEEFF"/>
            </w:tcBorders>
            <w:gridSpan w:val="3"/>
            <w:shd w:val="clear" w:color="auto" w:fill="CCEEFF"/>
          </w:tcPr>
          <w:p>
            <w:pPr>
              <w:ind w:left="1920"/>
              <w:spacing w:after="0"/>
              <w:rPr>
                <w:sz w:val="20"/>
                <w:szCs w:val="20"/>
                <w:color w:val="auto"/>
              </w:rPr>
            </w:pPr>
            <w:r>
              <w:rPr>
                <w:rFonts w:ascii="Arial" w:cs="Arial" w:eastAsia="Arial" w:hAnsi="Arial"/>
                <w:sz w:val="18"/>
                <w:szCs w:val="18"/>
                <w:color w:val="auto"/>
                <w:w w:val="95"/>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1"/>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5"/>
              </w:rPr>
              <w:t>(0.33)%</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100 basis point decrease</w:t>
            </w:r>
          </w:p>
        </w:tc>
        <w:tc>
          <w:tcPr>
            <w:tcW w:w="2540" w:type="dxa"/>
            <w:vAlign w:val="bottom"/>
            <w:gridSpan w:val="3"/>
          </w:tcPr>
          <w:p>
            <w:pPr>
              <w:ind w:left="19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320" w:type="dxa"/>
            <w:vAlign w:val="bottom"/>
          </w:tcPr>
          <w:p>
            <w:pPr>
              <w:ind w:left="72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360" w:type="dxa"/>
            <w:vAlign w:val="bottom"/>
          </w:tcPr>
          <w:p>
            <w:pPr>
              <w:ind w:left="740"/>
              <w:spacing w:after="0"/>
              <w:rPr>
                <w:sz w:val="20"/>
                <w:szCs w:val="20"/>
                <w:color w:val="auto"/>
              </w:rPr>
            </w:pPr>
            <w:r>
              <w:rPr>
                <w:rFonts w:ascii="Arial" w:cs="Arial" w:eastAsia="Arial" w:hAnsi="Arial"/>
                <w:sz w:val="18"/>
                <w:szCs w:val="18"/>
                <w:color w:val="auto"/>
              </w:rPr>
              <w:t>(6.24)</w:t>
            </w:r>
          </w:p>
        </w:tc>
      </w:tr>
      <w:tr>
        <w:trPr>
          <w:trHeight w:val="702"/>
        </w:trPr>
        <w:tc>
          <w:tcPr>
            <w:tcW w:w="4540" w:type="dxa"/>
            <w:vAlign w:val="bottom"/>
          </w:tcPr>
          <w:p>
            <w:pPr>
              <w:spacing w:after="0"/>
              <w:rPr>
                <w:sz w:val="24"/>
                <w:szCs w:val="24"/>
                <w:color w:val="auto"/>
              </w:rPr>
            </w:pPr>
          </w:p>
        </w:tc>
        <w:tc>
          <w:tcPr>
            <w:tcW w:w="2540" w:type="dxa"/>
            <w:vAlign w:val="bottom"/>
            <w:gridSpan w:val="3"/>
          </w:tcPr>
          <w:p>
            <w:pPr>
              <w:jc w:val="right"/>
              <w:ind w:right="11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5" w:name="page76"/>
    <w:bookmarkEnd w:id="75"/>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United pays a variable rate (or fixed rate, as the case may be) and receives a fixed rate (or variable rate, as the case may be). In addition, investment securities and wholesale funding strategies are used to manage interest rate risk.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$279,000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United maintains an unencumbered liquid asset reserve to help ensure its ability to meet its obligations under normal conditions for at least a 12-month period and under severely adverse liquidity conditions for a minimum of 30 days.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2018, United had cash and cash equivalent balances of $312 million and had sufficient qualifying collateral to increase FHLB advances by $929 million and Federal Reserve discount window borrowing capacity of $1.40 billion. United also has the ability to raise substantial funds through brokered deposits. In addition to these wholesale sources, United has the ability to attract retail deposits by competing more aggressively on pricing.</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the consolidated statement of cash flows, net cash provided by operating activities was $200 million for the nine months ended September 30, 2018. Net income of $121 million for the nine-month period included non-cash expenses for the following: deferred income tax expense of $36.3 million, depreciation, amortization and accretion of $24.5 million, provision expense of $7.40 million and stock-based compensation expense of $4.08 million. Other sources of cash from operating activities included an increase in accrued expenses and other liabilities of $17.6 million and a decrease in mortgage loans held for sale of $8.00 million, partially offset by an increase in other assets and accrued interest receivable of $13.5 million. Net cash used in investing activities of $170 million consisted primarily of $425 million in purchases of securities available for sale, cash paid for acquisitions of $56.8 million and a net increase in loans of $123 million. These uses of cash were partially offset by maturities and calls and proceeds from the sale of investment securities available for sale of $250 million and $157 million, respectively. Net cash used in financing activities of $32.3 million consisted primarily of a net decrease in short-term borrowings of $265 million, a net decrease in FHLB advances of $204 million, cash dividends of $29.6 million and repayments of long-term debt of $53.5 million. These uses of cash were partially offset by a net increase in deposits of $423 million and issuance of subordinated debt of $98.2 million. In the opinion of management, United’s liquidity position at September 30, 2018, was sufficient to meet its expected cash flow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September 30, 2018 was $1.40 billion, an increase of $98.5 million from December 31, 2017 due to shares issued for the NLFC acquisition plus year-to-date earnings less dividends declared, partially offset by a decrease in the value of available-for-sale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United’s capital ratios, as calculated under applicable regulatory guidelines, at September 30, 2018 and December 31, 2017. As of September 30, 2018, capital levels remained characterized as “well-capitalized” under the Basel III Capital Rules in effect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91"/>
              </w:rPr>
              <w:t>United Community Banks, Inc.</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2680" w:type="dxa"/>
            <w:vAlign w:val="bottom"/>
          </w:tcPr>
          <w:p>
            <w:pPr>
              <w:spacing w:after="0"/>
              <w:rPr>
                <w:sz w:val="19"/>
                <w:szCs w:val="19"/>
                <w:color w:val="auto"/>
              </w:rPr>
            </w:pPr>
          </w:p>
        </w:tc>
        <w:tc>
          <w:tcPr>
            <w:tcW w:w="2800" w:type="dxa"/>
            <w:vAlign w:val="bottom"/>
            <w:gridSpan w:val="4"/>
          </w:tcPr>
          <w:p>
            <w:pPr>
              <w:ind w:left="640"/>
              <w:spacing w:after="0"/>
              <w:rPr>
                <w:sz w:val="20"/>
                <w:szCs w:val="20"/>
                <w:color w:val="auto"/>
              </w:rPr>
            </w:pPr>
            <w:r>
              <w:rPr>
                <w:rFonts w:ascii="Arial" w:cs="Arial" w:eastAsia="Arial" w:hAnsi="Arial"/>
                <w:sz w:val="17"/>
                <w:szCs w:val="17"/>
                <w:b w:val="1"/>
                <w:bCs w:val="1"/>
                <w:color w:val="auto"/>
              </w:rPr>
              <w:t>Basel III Guidelines</w:t>
            </w:r>
          </w:p>
        </w:tc>
        <w:tc>
          <w:tcPr>
            <w:tcW w:w="140" w:type="dxa"/>
            <w:vAlign w:val="bottom"/>
          </w:tcPr>
          <w:p>
            <w:pPr>
              <w:spacing w:after="0"/>
              <w:rPr>
                <w:sz w:val="19"/>
                <w:szCs w:val="19"/>
                <w:color w:val="auto"/>
              </w:rPr>
            </w:pPr>
          </w:p>
        </w:tc>
        <w:tc>
          <w:tcPr>
            <w:tcW w:w="288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89"/>
              </w:rPr>
              <w:t>(Consolidated)</w:t>
            </w:r>
          </w:p>
        </w:tc>
        <w:tc>
          <w:tcPr>
            <w:tcW w:w="140" w:type="dxa"/>
            <w:vAlign w:val="bottom"/>
          </w:tcPr>
          <w:p>
            <w:pPr>
              <w:spacing w:after="0"/>
              <w:rPr>
                <w:sz w:val="19"/>
                <w:szCs w:val="19"/>
                <w:color w:val="auto"/>
              </w:rPr>
            </w:pPr>
          </w:p>
        </w:tc>
        <w:tc>
          <w:tcPr>
            <w:tcW w:w="2780" w:type="dxa"/>
            <w:vAlign w:val="bottom"/>
            <w:gridSpan w:val="4"/>
          </w:tcPr>
          <w:p>
            <w:pPr>
              <w:jc w:val="right"/>
              <w:ind w:right="435"/>
              <w:spacing w:after="0"/>
              <w:rPr>
                <w:sz w:val="20"/>
                <w:szCs w:val="20"/>
                <w:color w:val="auto"/>
              </w:rPr>
            </w:pPr>
            <w:r>
              <w:rPr>
                <w:rFonts w:ascii="Arial" w:cs="Arial" w:eastAsia="Arial" w:hAnsi="Arial"/>
                <w:sz w:val="17"/>
                <w:szCs w:val="17"/>
                <w:b w:val="1"/>
                <w:bCs w:val="1"/>
                <w:color w:val="auto"/>
              </w:rPr>
              <w:t>United Community Bank</w:t>
            </w:r>
          </w:p>
        </w:tc>
      </w:tr>
      <w:tr>
        <w:trPr>
          <w:trHeight w:val="31"/>
        </w:trPr>
        <w:tc>
          <w:tcPr>
            <w:tcW w:w="26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2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Well</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7"/>
                <w:szCs w:val="17"/>
                <w:color w:val="auto"/>
              </w:rPr>
            </w:pPr>
          </w:p>
        </w:tc>
        <w:tc>
          <w:tcPr>
            <w:tcW w:w="136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7"/>
                <w:szCs w:val="17"/>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b w:val="1"/>
                <w:bCs w:val="1"/>
                <w:color w:val="auto"/>
                <w:w w:val="92"/>
              </w:rPr>
              <w:t>December 31,</w:t>
            </w:r>
          </w:p>
        </w:tc>
      </w:tr>
      <w:tr>
        <w:trPr>
          <w:trHeight w:val="222"/>
        </w:trPr>
        <w:tc>
          <w:tcPr>
            <w:tcW w:w="2680" w:type="dxa"/>
            <w:vAlign w:val="bottom"/>
          </w:tcPr>
          <w:p>
            <w:pPr>
              <w:spacing w:after="0"/>
              <w:rPr>
                <w:sz w:val="19"/>
                <w:szCs w:val="19"/>
                <w:color w:val="auto"/>
              </w:rPr>
            </w:pPr>
          </w:p>
        </w:tc>
        <w:tc>
          <w:tcPr>
            <w:tcW w:w="1400" w:type="dxa"/>
            <w:vAlign w:val="bottom"/>
            <w:gridSpan w:val="2"/>
          </w:tcPr>
          <w:p>
            <w:pPr>
              <w:ind w:left="280"/>
              <w:spacing w:after="0"/>
              <w:rPr>
                <w:sz w:val="20"/>
                <w:szCs w:val="20"/>
                <w:color w:val="auto"/>
              </w:rPr>
            </w:pPr>
            <w:r>
              <w:rPr>
                <w:rFonts w:ascii="Arial" w:cs="Arial" w:eastAsia="Arial" w:hAnsi="Arial"/>
                <w:sz w:val="17"/>
                <w:szCs w:val="17"/>
                <w:b w:val="1"/>
                <w:bCs w:val="1"/>
                <w:color w:val="auto"/>
              </w:rPr>
              <w:t>Minimum</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Capitalized</w:t>
            </w:r>
          </w:p>
        </w:tc>
        <w:tc>
          <w:tcPr>
            <w:tcW w:w="140" w:type="dxa"/>
            <w:vAlign w:val="bottom"/>
          </w:tcPr>
          <w:p>
            <w:pPr>
              <w:spacing w:after="0"/>
              <w:rPr>
                <w:sz w:val="19"/>
                <w:szCs w:val="19"/>
                <w:color w:val="auto"/>
              </w:rPr>
            </w:pPr>
          </w:p>
        </w:tc>
        <w:tc>
          <w:tcPr>
            <w:tcW w:w="12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55"/>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2017</w:t>
            </w:r>
          </w:p>
        </w:tc>
      </w:tr>
      <w:tr>
        <w:trPr>
          <w:trHeight w:val="31"/>
        </w:trPr>
        <w:tc>
          <w:tcPr>
            <w:tcW w:w="2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Risk-based ratios:</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2680" w:type="dxa"/>
            <w:vAlign w:val="bottom"/>
          </w:tcPr>
          <w:p>
            <w:pPr>
              <w:ind w:left="180"/>
              <w:spacing w:after="0"/>
              <w:rPr>
                <w:sz w:val="20"/>
                <w:szCs w:val="20"/>
                <w:color w:val="auto"/>
              </w:rPr>
            </w:pPr>
            <w:r>
              <w:rPr>
                <w:rFonts w:ascii="Arial" w:cs="Arial" w:eastAsia="Arial" w:hAnsi="Arial"/>
                <w:sz w:val="17"/>
                <w:szCs w:val="17"/>
                <w:color w:val="auto"/>
              </w:rPr>
              <w:t>Common equity tier 1 capital</w:t>
            </w:r>
          </w:p>
        </w:tc>
        <w:tc>
          <w:tcPr>
            <w:tcW w:w="1280" w:type="dxa"/>
            <w:vAlign w:val="bottom"/>
          </w:tcPr>
          <w:p>
            <w:pPr>
              <w:ind w:left="900"/>
              <w:spacing w:after="0"/>
              <w:rPr>
                <w:sz w:val="20"/>
                <w:szCs w:val="20"/>
                <w:color w:val="auto"/>
              </w:rPr>
            </w:pPr>
            <w:r>
              <w:rPr>
                <w:rFonts w:ascii="Arial" w:cs="Arial" w:eastAsia="Arial" w:hAnsi="Arial"/>
                <w:sz w:val="17"/>
                <w:szCs w:val="17"/>
                <w:color w:val="auto"/>
                <w:w w:val="92"/>
              </w:rPr>
              <w:t>4.5%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12.93%</w:t>
            </w:r>
          </w:p>
        </w:tc>
      </w:tr>
      <w:tr>
        <w:trPr>
          <w:trHeight w:val="31"/>
        </w:trPr>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Tier 1 capital</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12.93</w:t>
            </w:r>
          </w:p>
        </w:tc>
      </w:tr>
      <w:tr>
        <w:trPr>
          <w:trHeight w:val="239"/>
        </w:trPr>
        <w:tc>
          <w:tcPr>
            <w:tcW w:w="2680" w:type="dxa"/>
            <w:vAlign w:val="bottom"/>
          </w:tcPr>
          <w:p>
            <w:pPr>
              <w:ind w:left="180"/>
              <w:spacing w:after="0"/>
              <w:rPr>
                <w:sz w:val="20"/>
                <w:szCs w:val="20"/>
                <w:color w:val="auto"/>
              </w:rPr>
            </w:pPr>
            <w:r>
              <w:rPr>
                <w:rFonts w:ascii="Arial" w:cs="Arial" w:eastAsia="Arial" w:hAnsi="Arial"/>
                <w:sz w:val="17"/>
                <w:szCs w:val="17"/>
                <w:color w:val="auto"/>
              </w:rPr>
              <w:t>Total capital</w:t>
            </w:r>
          </w:p>
        </w:tc>
        <w:tc>
          <w:tcPr>
            <w:tcW w:w="1280" w:type="dxa"/>
            <w:vAlign w:val="bottom"/>
          </w:tcPr>
          <w:p>
            <w:pPr>
              <w:ind w:left="900"/>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0"/>
                <w:szCs w:val="20"/>
                <w:color w:val="auto"/>
              </w:rPr>
            </w:pPr>
          </w:p>
        </w:tc>
        <w:tc>
          <w:tcPr>
            <w:tcW w:w="1280" w:type="dxa"/>
            <w:vAlign w:val="bottom"/>
          </w:tcPr>
          <w:p>
            <w:pPr>
              <w:jc w:val="right"/>
              <w:ind w:right="75"/>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14.15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13.06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14.43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13.63</w:t>
            </w:r>
          </w:p>
        </w:tc>
      </w:tr>
      <w:tr>
        <w:trPr>
          <w:trHeight w:val="31"/>
        </w:trPr>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Leverage ratio</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9.98</w:t>
            </w:r>
          </w:p>
        </w:tc>
      </w:tr>
      <w:tr>
        <w:trPr>
          <w:trHeight w:val="324"/>
        </w:trPr>
        <w:tc>
          <w:tcPr>
            <w:tcW w:w="2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equity tier 1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1,111,256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1,053,983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1,269,814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1,135,728</w:t>
            </w:r>
          </w:p>
        </w:tc>
      </w:tr>
      <w:tr>
        <w:trPr>
          <w:trHeight w:val="239"/>
        </w:trPr>
        <w:tc>
          <w:tcPr>
            <w:tcW w:w="2680" w:type="dxa"/>
            <w:vAlign w:val="bottom"/>
          </w:tcPr>
          <w:p>
            <w:pPr>
              <w:ind w:left="40"/>
              <w:spacing w:after="0"/>
              <w:rPr>
                <w:sz w:val="20"/>
                <w:szCs w:val="20"/>
                <w:color w:val="auto"/>
              </w:rPr>
            </w:pPr>
            <w:r>
              <w:rPr>
                <w:rFonts w:ascii="Arial" w:cs="Arial" w:eastAsia="Arial" w:hAnsi="Arial"/>
                <w:sz w:val="17"/>
                <w:szCs w:val="17"/>
                <w:color w:val="auto"/>
              </w:rPr>
              <w:t>Tier 1 capital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1,135,506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1,076,465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1,269,814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1,135,728</w:t>
            </w:r>
          </w:p>
        </w:tc>
      </w:tr>
      <w:tr>
        <w:trPr>
          <w:trHeight w:val="31"/>
        </w:trPr>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1,311,434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1,149,191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1,334,114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1,196,954</w:t>
            </w:r>
          </w:p>
        </w:tc>
      </w:tr>
      <w:tr>
        <w:trPr>
          <w:trHeight w:val="239"/>
        </w:trPr>
        <w:tc>
          <w:tcPr>
            <w:tcW w:w="2680" w:type="dxa"/>
            <w:vAlign w:val="bottom"/>
          </w:tcPr>
          <w:p>
            <w:pPr>
              <w:ind w:left="40"/>
              <w:spacing w:after="0"/>
              <w:rPr>
                <w:sz w:val="20"/>
                <w:szCs w:val="20"/>
                <w:color w:val="auto"/>
              </w:rPr>
            </w:pPr>
            <w:r>
              <w:rPr>
                <w:rFonts w:ascii="Arial" w:cs="Arial" w:eastAsia="Arial" w:hAnsi="Arial"/>
                <w:sz w:val="17"/>
                <w:szCs w:val="17"/>
                <w:color w:val="auto"/>
              </w:rPr>
              <w:t>Risk-weighted assets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9,266,389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Arial" w:cs="Arial" w:eastAsia="Arial" w:hAnsi="Arial"/>
                <w:sz w:val="17"/>
                <w:szCs w:val="17"/>
                <w:color w:val="auto"/>
              </w:rPr>
              <w:t>8,797,387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color w:val="auto"/>
              </w:rPr>
              <w:t>9,244,072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8,781,177</w:t>
            </w:r>
          </w:p>
        </w:tc>
      </w:tr>
      <w:tr>
        <w:trPr>
          <w:trHeight w:val="31"/>
        </w:trPr>
        <w:tc>
          <w:tcPr>
            <w:tcW w:w="2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9"/>
        </w:trPr>
        <w:tc>
          <w:tcPr>
            <w:tcW w:w="2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Average total assets</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12,003,855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11,403,248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11,978,337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11,385,716</w:t>
            </w:r>
          </w:p>
        </w:tc>
      </w:tr>
      <w:tr>
        <w:trPr>
          <w:trHeight w:val="31"/>
        </w:trPr>
        <w:tc>
          <w:tcPr>
            <w:tcW w:w="26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4"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Table 15 - Stock Price Information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9"/>
                <w:szCs w:val="19"/>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Low</w:t>
            </w:r>
          </w:p>
        </w:tc>
        <w:tc>
          <w:tcPr>
            <w:tcW w:w="10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Avg Daily</w:t>
            </w:r>
          </w:p>
        </w:tc>
        <w:tc>
          <w:tcPr>
            <w:tcW w:w="10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High</w:t>
            </w:r>
          </w:p>
        </w:tc>
        <w:tc>
          <w:tcPr>
            <w:tcW w:w="10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9"/>
                <w:szCs w:val="1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Close</w:t>
            </w:r>
          </w:p>
        </w:tc>
        <w:tc>
          <w:tcPr>
            <w:tcW w:w="900" w:type="dxa"/>
            <w:vAlign w:val="bottom"/>
          </w:tcPr>
          <w:p>
            <w:pPr>
              <w:jc w:val="right"/>
              <w:spacing w:after="0"/>
              <w:rPr>
                <w:sz w:val="20"/>
                <w:szCs w:val="20"/>
                <w:color w:val="auto"/>
              </w:rPr>
            </w:pPr>
            <w:r>
              <w:rPr>
                <w:rFonts w:ascii="Arial" w:cs="Arial" w:eastAsia="Arial" w:hAnsi="Arial"/>
                <w:sz w:val="18"/>
                <w:szCs w:val="18"/>
                <w:color w:val="auto"/>
              </w:rPr>
              <w:t>Avg Daily</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00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Volume</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31.65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30.47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25.29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402,230</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402,802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31.93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27.82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88"/>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365,102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29.60</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365,725</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market risk as of September 30, 2018 from that presented in the Annual Report on Form 10-K for the year ended December 31, 2017. The interest rate sensitivity position at September 30, 2018 is included in Table 13 in management’s discussion and analysis of this report.</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September 30, 2018.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8" w:name="page79"/>
    <w:bookmarkEnd w:id="78"/>
    <w:p>
      <w:pPr>
        <w:spacing w:after="0"/>
        <w:tabs>
          <w:tab w:leader="none" w:pos="7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third quarter of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Total Number of</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 Purchased</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2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0"/>
              </w:rPr>
              <w:t>as Part of Publicly</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Price Paid</w:t>
            </w:r>
          </w:p>
        </w:tc>
        <w:tc>
          <w:tcPr>
            <w:tcW w:w="230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Announced Plans</w:t>
            </w: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Yet Be Purchased Under</w:t>
            </w:r>
          </w:p>
        </w:tc>
      </w:tr>
      <w:tr>
        <w:trPr>
          <w:trHeight w:val="255"/>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w w:val="91"/>
              </w:rPr>
              <w:t>(Dollars in thousands, except for per share amounts)</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Share</w:t>
            </w:r>
          </w:p>
        </w:tc>
        <w:tc>
          <w:tcPr>
            <w:tcW w:w="12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 xml:space="preserve">the Plans or Programs </w:t>
            </w:r>
            <w:r>
              <w:rPr>
                <w:rFonts w:ascii="Arial" w:cs="Arial" w:eastAsia="Arial" w:hAnsi="Arial"/>
                <w:sz w:val="18"/>
                <w:szCs w:val="18"/>
                <w:b w:val="1"/>
                <w:bCs w:val="1"/>
                <w:color w:val="auto"/>
                <w:w w:val="88"/>
                <w:vertAlign w:val="superscript"/>
              </w:rPr>
              <w:t>(1)</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 July 31, 2018</w:t>
            </w:r>
          </w:p>
        </w:tc>
        <w:tc>
          <w:tcPr>
            <w:tcW w:w="14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August 1, 2018 - August 31, 2018</w:t>
            </w: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640"/>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36,342</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 September 30, 2018</w:t>
            </w:r>
          </w:p>
        </w:tc>
        <w:tc>
          <w:tcPr>
            <w:tcW w:w="142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36,342</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5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420" w:type="dxa"/>
            <w:vAlign w:val="bottom"/>
            <w:gridSpan w:val="3"/>
          </w:tcPr>
          <w:p>
            <w:pPr>
              <w:ind w:left="86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300" w:type="dxa"/>
            <w:vAlign w:val="bottom"/>
            <w:gridSpan w:val="3"/>
          </w:tcPr>
          <w:p>
            <w:pPr>
              <w:ind w:left="1640"/>
              <w:spacing w:after="0"/>
              <w:rPr>
                <w:sz w:val="20"/>
                <w:szCs w:val="20"/>
                <w:color w:val="auto"/>
              </w:rPr>
            </w:pPr>
            <w:r>
              <w:rPr>
                <w:rFonts w:ascii="Arial" w:cs="Arial" w:eastAsia="Arial" w:hAnsi="Arial"/>
                <w:sz w:val="18"/>
                <w:szCs w:val="18"/>
                <w:color w:val="auto"/>
              </w:rPr>
              <w:t>—   $</w:t>
            </w: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36,342</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2" w:lineRule="auto"/>
        <w:tabs>
          <w:tab w:leader="none" w:pos="150" w:val="left"/>
        </w:tabs>
        <w:numPr>
          <w:ilvl w:val="0"/>
          <w:numId w:val="10"/>
        </w:numPr>
        <w:rPr>
          <w:rFonts w:ascii="Arial" w:cs="Arial" w:eastAsia="Arial" w:hAnsi="Arial"/>
          <w:sz w:val="17"/>
          <w:szCs w:val="17"/>
          <w:color w:val="auto"/>
          <w:vertAlign w:val="superscript"/>
        </w:rPr>
      </w:pPr>
      <w:r>
        <w:rPr>
          <w:rFonts w:ascii="Arial" w:cs="Arial" w:eastAsia="Arial" w:hAnsi="Arial"/>
          <w:sz w:val="17"/>
          <w:szCs w:val="17"/>
          <w:color w:val="auto"/>
        </w:rPr>
        <w:t>On March 22, 2016, United announced that its Board of Directors had authorized a program to repurchase up to $50 million of United’s outstanding common stock through December 31, 2017. In November 2017, the Board of Directors extended this program through December 31, 2018.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September 30, 2018, the remaining authorization was $36.3 million. In November of 2018, the Board of Directors authorized an increase in the repurchase program to $50 million, as well as an extension through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 –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 – None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8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Item 6. Exhibits</w:t>
            </w:r>
          </w:p>
        </w:tc>
        <w:tc>
          <w:tcPr>
            <w:tcW w:w="5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94"/>
        </w:trPr>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No.</w:t>
            </w:r>
          </w:p>
        </w:tc>
        <w:tc>
          <w:tcPr>
            <w:tcW w:w="520" w:type="dxa"/>
            <w:vAlign w:val="bottom"/>
          </w:tcPr>
          <w:p>
            <w:pPr>
              <w:spacing w:after="0"/>
              <w:rPr>
                <w:sz w:val="24"/>
                <w:szCs w:val="24"/>
                <w:color w:val="auto"/>
              </w:rPr>
            </w:pPr>
          </w:p>
        </w:tc>
        <w:tc>
          <w:tcPr>
            <w:tcW w:w="9500" w:type="dxa"/>
            <w:vAlign w:val="bottom"/>
            <w:gridSpan w:val="4"/>
          </w:tcPr>
          <w:p>
            <w:pPr>
              <w:ind w:left="4300"/>
              <w:spacing w:after="0"/>
              <w:rPr>
                <w:sz w:val="20"/>
                <w:szCs w:val="20"/>
                <w:color w:val="auto"/>
              </w:rPr>
            </w:pPr>
            <w:r>
              <w:rPr>
                <w:rFonts w:ascii="Arial" w:cs="Arial" w:eastAsia="Arial" w:hAnsi="Arial"/>
                <w:sz w:val="18"/>
                <w:szCs w:val="18"/>
                <w:b w:val="1"/>
                <w:bCs w:val="1"/>
                <w:color w:val="auto"/>
              </w:rPr>
              <w:t>Description</w:t>
            </w:r>
          </w:p>
        </w:tc>
      </w:tr>
      <w:tr>
        <w:trPr>
          <w:trHeight w:val="554"/>
        </w:trPr>
        <w:tc>
          <w:tcPr>
            <w:tcW w:w="1040" w:type="dxa"/>
            <w:vAlign w:val="bottom"/>
          </w:tcPr>
          <w:p>
            <w:pPr>
              <w:spacing w:after="0"/>
              <w:rPr>
                <w:sz w:val="24"/>
                <w:szCs w:val="24"/>
                <w:color w:val="auto"/>
              </w:rPr>
            </w:pPr>
          </w:p>
        </w:tc>
        <w:tc>
          <w:tcPr>
            <w:tcW w:w="320" w:type="dxa"/>
            <w:vAlign w:val="bottom"/>
            <w:gridSpan w:val="2"/>
          </w:tcPr>
          <w:p>
            <w:pPr>
              <w:jc w:val="right"/>
              <w:spacing w:after="0"/>
              <w:rPr>
                <w:rFonts w:ascii="Arial" w:cs="Arial" w:eastAsia="Arial" w:hAnsi="Arial"/>
                <w:sz w:val="18"/>
                <w:szCs w:val="18"/>
                <w:color w:val="0000FF"/>
                <w:w w:val="85"/>
              </w:rPr>
            </w:pPr>
            <w:hyperlink w:anchor="page8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52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Form of Restricted Stock Unit Award Agreement subject to Performance-Based Vesting for Key Employees</w:t>
              </w:r>
            </w:hyperlink>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76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20"/>
        </w:trPr>
        <w:tc>
          <w:tcPr>
            <w:tcW w:w="1040" w:type="dxa"/>
            <w:vAlign w:val="bottom"/>
          </w:tcPr>
          <w:p>
            <w:pPr>
              <w:spacing w:after="0"/>
              <w:rPr>
                <w:sz w:val="24"/>
                <w:szCs w:val="24"/>
                <w:color w:val="auto"/>
              </w:rPr>
            </w:pPr>
          </w:p>
        </w:tc>
        <w:tc>
          <w:tcPr>
            <w:tcW w:w="320" w:type="dxa"/>
            <w:vAlign w:val="bottom"/>
            <w:tcBorders>
              <w:bottom w:val="single" w:sz="8" w:color="0000FF"/>
            </w:tcBorders>
            <w:gridSpan w:val="2"/>
          </w:tcPr>
          <w:p>
            <w:pPr>
              <w:jc w:val="right"/>
              <w:spacing w:after="0"/>
              <w:rPr>
                <w:rFonts w:ascii="Arial" w:cs="Arial" w:eastAsia="Arial" w:hAnsi="Arial"/>
                <w:sz w:val="18"/>
                <w:szCs w:val="18"/>
                <w:color w:val="0000FF"/>
                <w:w w:val="85"/>
              </w:rPr>
            </w:pPr>
            <w:hyperlink w:anchor="page9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20" w:type="dxa"/>
            <w:vAlign w:val="bottom"/>
          </w:tcPr>
          <w:p>
            <w:pPr>
              <w:spacing w:after="0"/>
              <w:rPr>
                <w:sz w:val="24"/>
                <w:szCs w:val="24"/>
                <w:color w:val="auto"/>
              </w:rPr>
            </w:pPr>
          </w:p>
        </w:tc>
        <w:tc>
          <w:tcPr>
            <w:tcW w:w="9500" w:type="dxa"/>
            <w:vAlign w:val="bottom"/>
            <w:tcBorders>
              <w:bottom w:val="single" w:sz="8" w:color="0000FF"/>
            </w:tcBorders>
            <w:gridSpan w:val="4"/>
          </w:tcPr>
          <w:p>
            <w:pPr>
              <w:spacing w:after="0"/>
              <w:rPr>
                <w:rFonts w:ascii="Arial" w:cs="Arial" w:eastAsia="Arial" w:hAnsi="Arial"/>
                <w:sz w:val="18"/>
                <w:szCs w:val="18"/>
                <w:color w:val="0000FF"/>
                <w:w w:val="94"/>
              </w:rPr>
            </w:pPr>
            <w:hyperlink w:anchor="page90">
              <w:r>
                <w:rPr>
                  <w:rFonts w:ascii="Arial" w:cs="Arial" w:eastAsia="Arial" w:hAnsi="Arial"/>
                  <w:sz w:val="18"/>
                  <w:szCs w:val="18"/>
                  <w:color w:val="0000FF"/>
                  <w:w w:val="94"/>
                </w:rPr>
                <w:t>Certification by H. Lynn Harton, President and Chief Executive Officer of United Community Banks, Inc., pursuant to Exchange</w:t>
              </w:r>
            </w:hyperlink>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6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90">
              <w:r>
                <w:rPr>
                  <w:rFonts w:ascii="Arial" w:cs="Arial" w:eastAsia="Arial" w:hAnsi="Arial"/>
                  <w:sz w:val="18"/>
                  <w:szCs w:val="18"/>
                  <w:color w:val="0000FF"/>
                  <w:w w:val="90"/>
                </w:rPr>
                <w:t>Act Rules 13a-14(a) and 15d-14(a), as adopted pursuant to Section 302 of the Sarbanes-Oxley Act of 2002.</w:t>
              </w:r>
            </w:hyperlink>
          </w:p>
        </w:tc>
        <w:tc>
          <w:tcPr>
            <w:tcW w:w="1740" w:type="dxa"/>
            <w:vAlign w:val="bottom"/>
            <w:gridSpan w:val="3"/>
          </w:tcPr>
          <w:p>
            <w:pPr>
              <w:spacing w:after="0"/>
              <w:rPr>
                <w:sz w:val="17"/>
                <w:szCs w:val="17"/>
                <w:color w:val="auto"/>
              </w:rPr>
            </w:pPr>
          </w:p>
        </w:tc>
      </w:tr>
      <w:tr>
        <w:trPr>
          <w:trHeight w:val="520"/>
        </w:trPr>
        <w:tc>
          <w:tcPr>
            <w:tcW w:w="1360" w:type="dxa"/>
            <w:vAlign w:val="bottom"/>
            <w:gridSpan w:val="3"/>
          </w:tcPr>
          <w:p>
            <w:pPr>
              <w:jc w:val="right"/>
              <w:spacing w:after="0"/>
              <w:rPr>
                <w:rFonts w:ascii="Arial" w:cs="Arial" w:eastAsia="Arial" w:hAnsi="Arial"/>
                <w:sz w:val="18"/>
                <w:szCs w:val="18"/>
                <w:color w:val="0000FF"/>
              </w:rPr>
            </w:pPr>
            <w:hyperlink w:anchor="page91">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20" w:type="dxa"/>
            <w:vAlign w:val="bottom"/>
          </w:tcPr>
          <w:p>
            <w:pPr>
              <w:spacing w:after="0"/>
              <w:rPr>
                <w:sz w:val="24"/>
                <w:szCs w:val="24"/>
                <w:color w:val="auto"/>
              </w:rPr>
            </w:pPr>
          </w:p>
        </w:tc>
        <w:tc>
          <w:tcPr>
            <w:tcW w:w="9500" w:type="dxa"/>
            <w:vAlign w:val="bottom"/>
            <w:gridSpan w:val="4"/>
          </w:tcPr>
          <w:p>
            <w:pPr>
              <w:spacing w:after="0"/>
              <w:rPr>
                <w:rFonts w:ascii="Arial" w:cs="Arial" w:eastAsia="Arial" w:hAnsi="Arial"/>
                <w:sz w:val="18"/>
                <w:szCs w:val="18"/>
                <w:color w:val="0000FF"/>
                <w:w w:val="94"/>
              </w:rPr>
            </w:pPr>
            <w:hyperlink w:anchor="page91">
              <w:r>
                <w:rPr>
                  <w:rFonts w:ascii="Arial" w:cs="Arial" w:eastAsia="Arial" w:hAnsi="Arial"/>
                  <w:sz w:val="18"/>
                  <w:szCs w:val="18"/>
                  <w:color w:val="0000FF"/>
                  <w:w w:val="94"/>
                </w:rPr>
                <w:t>Certification by Jefferson L. Harralson, Executive Vice President and Chief Financial Officer of United Community Banks, Inc.,</w:t>
              </w:r>
            </w:hyperlink>
          </w:p>
        </w:tc>
      </w:tr>
      <w:tr>
        <w:trPr>
          <w:trHeight w:val="196"/>
        </w:trPr>
        <w:tc>
          <w:tcPr>
            <w:tcW w:w="104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top w:val="single" w:sz="8" w:color="0000FF"/>
            </w:tcBorders>
            <w:gridSpan w:val="4"/>
          </w:tcPr>
          <w:p>
            <w:pPr>
              <w:spacing w:after="0" w:line="196" w:lineRule="exact"/>
              <w:rPr>
                <w:rFonts w:ascii="Arial" w:cs="Arial" w:eastAsia="Arial" w:hAnsi="Arial"/>
                <w:sz w:val="18"/>
                <w:szCs w:val="18"/>
                <w:color w:val="0000FF"/>
                <w:w w:val="91"/>
              </w:rPr>
            </w:pPr>
            <w:hyperlink w:anchor="page91">
              <w:r>
                <w:rPr>
                  <w:rFonts w:ascii="Arial" w:cs="Arial" w:eastAsia="Arial" w:hAnsi="Arial"/>
                  <w:sz w:val="18"/>
                  <w:szCs w:val="18"/>
                  <w:color w:val="0000FF"/>
                  <w:w w:val="91"/>
                </w:rPr>
                <w:t>pursuant to Exchange Act Rules 13a-14(a) and 15d-14(a), as adopted pursuant to Section 302 of the Sarbanes-Oxley Act of 2002.</w:t>
              </w:r>
            </w:hyperlink>
          </w:p>
        </w:tc>
      </w:tr>
      <w:tr>
        <w:trPr>
          <w:trHeight w:val="520"/>
        </w:trPr>
        <w:tc>
          <w:tcPr>
            <w:tcW w:w="136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32</w:t>
              </w:r>
            </w:hyperlink>
          </w:p>
        </w:tc>
        <w:tc>
          <w:tcPr>
            <w:tcW w:w="520" w:type="dxa"/>
            <w:vAlign w:val="bottom"/>
          </w:tcPr>
          <w:p>
            <w:pPr>
              <w:spacing w:after="0"/>
              <w:rPr>
                <w:sz w:val="24"/>
                <w:szCs w:val="24"/>
                <w:color w:val="auto"/>
              </w:rPr>
            </w:pPr>
          </w:p>
        </w:tc>
        <w:tc>
          <w:tcPr>
            <w:tcW w:w="9320" w:type="dxa"/>
            <w:vAlign w:val="bottom"/>
            <w:tcBorders>
              <w:top w:val="single" w:sz="8" w:color="0000FF"/>
            </w:tcBorders>
            <w:gridSpan w:val="3"/>
          </w:tcPr>
          <w:p>
            <w:pPr>
              <w:spacing w:after="0"/>
              <w:rPr>
                <w:rFonts w:ascii="Arial" w:cs="Arial" w:eastAsia="Arial" w:hAnsi="Arial"/>
                <w:sz w:val="18"/>
                <w:szCs w:val="18"/>
                <w:color w:val="0000FF"/>
                <w:w w:val="96"/>
              </w:rPr>
            </w:pPr>
            <w:hyperlink w:anchor="page92">
              <w:r>
                <w:rPr>
                  <w:rFonts w:ascii="Arial" w:cs="Arial" w:eastAsia="Arial" w:hAnsi="Arial"/>
                  <w:sz w:val="18"/>
                  <w:szCs w:val="18"/>
                  <w:color w:val="0000FF"/>
                  <w:w w:val="96"/>
                </w:rPr>
                <w:t>Certification pursuant to 18 U.S.C. Section 1350, as adopted pursuant to Section 906 of the Sarbanes-Oxley Act of 2002.</w:t>
              </w:r>
            </w:hyperlink>
          </w:p>
        </w:tc>
        <w:tc>
          <w:tcPr>
            <w:tcW w:w="180" w:type="dxa"/>
            <w:vAlign w:val="bottom"/>
          </w:tcPr>
          <w:p>
            <w:pPr>
              <w:spacing w:after="0"/>
              <w:rPr>
                <w:sz w:val="24"/>
                <w:szCs w:val="24"/>
                <w:color w:val="auto"/>
              </w:rPr>
            </w:pPr>
          </w:p>
        </w:tc>
      </w:tr>
      <w:tr>
        <w:trPr>
          <w:trHeight w:val="20"/>
        </w:trPr>
        <w:tc>
          <w:tcPr>
            <w:tcW w:w="11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70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561"/>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101.INS</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101.SCH</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101.CAL</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101.DEF</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101.LAB</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101.PRE</w:t>
            </w: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80" w:type="dxa"/>
            <w:vAlign w:val="bottom"/>
            <w:gridSpan w:val="2"/>
          </w:tcPr>
          <w:p>
            <w:pPr>
              <w:jc w:val="right"/>
              <w:ind w:right="3750"/>
              <w:spacing w:after="0"/>
              <w:rPr>
                <w:sz w:val="20"/>
                <w:szCs w:val="20"/>
                <w:color w:val="auto"/>
              </w:rPr>
            </w:pPr>
            <w:r>
              <w:rPr>
                <w:rFonts w:ascii="Arial" w:cs="Arial" w:eastAsia="Arial" w:hAnsi="Arial"/>
                <w:sz w:val="18"/>
                <w:szCs w:val="18"/>
                <w:color w:val="auto"/>
              </w:rPr>
              <w:t>74</w:t>
            </w: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34302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November 8, 2018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KEY EMPLOYEE STOCK OPTION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Employee)</w:t>
      </w:r>
    </w:p>
    <w:p>
      <w:pPr>
        <w:spacing w:after="0" w:line="369" w:lineRule="exact"/>
        <w:rPr>
          <w:sz w:val="20"/>
          <w:szCs w:val="20"/>
          <w:color w:val="auto"/>
        </w:rPr>
      </w:pPr>
    </w:p>
    <w:p>
      <w:pPr>
        <w:ind w:left="40"/>
        <w:spacing w:after="0"/>
        <w:tabs>
          <w:tab w:leader="none" w:pos="6140" w:val="left"/>
        </w:tabs>
        <w:rPr>
          <w:sz w:val="20"/>
          <w:szCs w:val="20"/>
          <w:color w:val="auto"/>
        </w:rPr>
      </w:pPr>
      <w:r>
        <w:rPr>
          <w:rFonts w:ascii="Arial" w:cs="Arial" w:eastAsia="Arial" w:hAnsi="Arial"/>
          <w:sz w:val="18"/>
          <w:szCs w:val="18"/>
          <w:b w:val="1"/>
          <w:bCs w:val="1"/>
          <w:color w:val="auto"/>
        </w:rPr>
        <w:t>Grantee:</w:t>
      </w:r>
      <w:r>
        <w:rPr>
          <w:sz w:val="20"/>
          <w:szCs w:val="20"/>
          <w:color w:val="auto"/>
        </w:rPr>
        <w:tab/>
      </w: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-7620</wp:posOffset>
            </wp:positionV>
            <wp:extent cx="1000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0012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Number of RSUs Granted:</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______________ RSUs subject to Performance-Based Vesting, subject to</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increase in accordance with this Agreement</w:t>
      </w:r>
    </w:p>
    <w:p>
      <w:pPr>
        <w:spacing w:after="0" w:line="200" w:lineRule="exact"/>
        <w:rPr>
          <w:sz w:val="20"/>
          <w:szCs w:val="20"/>
          <w:color w:val="auto"/>
        </w:rPr>
      </w:pPr>
    </w:p>
    <w:p>
      <w:pPr>
        <w:spacing w:after="0" w:line="3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-7620</wp:posOffset>
            </wp:positionV>
            <wp:extent cx="342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b w:val="1"/>
          <w:bCs w:val="1"/>
          <w:color w:val="auto"/>
        </w:rPr>
        <w:t>Vesting Schedule for Performance-Based RSUs:</w:t>
      </w:r>
      <w:r>
        <w:rPr>
          <w:sz w:val="20"/>
          <w:szCs w:val="20"/>
          <w:color w:val="auto"/>
        </w:rPr>
        <w:tab/>
      </w:r>
      <w:r>
        <w:rPr>
          <w:rFonts w:ascii="Arial" w:cs="Arial" w:eastAsia="Arial" w:hAnsi="Arial"/>
          <w:sz w:val="15"/>
          <w:szCs w:val="15"/>
          <w:u w:val="single" w:color="auto"/>
          <w:color w:val="auto"/>
        </w:rPr>
        <w:t>See Schedule A</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THIS AGREEMENT </w:t>
      </w:r>
      <w:r>
        <w:rPr>
          <w:rFonts w:ascii="Arial" w:cs="Arial" w:eastAsia="Arial" w:hAnsi="Arial"/>
          <w:sz w:val="17"/>
          <w:szCs w:val="17"/>
          <w:color w:val="auto"/>
        </w:rPr>
        <w:t>(the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the _____day of ______, _________, by and between</w:t>
      </w:r>
      <w:r>
        <w:rPr>
          <w:rFonts w:ascii="Arial" w:cs="Arial" w:eastAsia="Arial" w:hAnsi="Arial"/>
          <w:sz w:val="17"/>
          <w:szCs w:val="17"/>
          <w:b w:val="1"/>
          <w:bCs w:val="1"/>
          <w:color w:val="auto"/>
        </w:rPr>
        <w:t xml:space="preserve"> UNITED COMMUNITY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designated above (the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w:t>
      </w:r>
    </w:p>
    <w:p>
      <w:pPr>
        <w:spacing w:after="0" w:line="31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maintains the United Community Banks, Inc. Amended and Restated 2000 Key Employee Stock Option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Grantee has been selected by the Committee to receive a Restricted Stock Unit Award, vesting upon either the specified passage of time as specified above or fulfillment of the performance criteria as set forth in Schedule A attached hereto, under the Plan;</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performance objectives, if any, shall be established as reasonable and achievable goals consistent with the safe and sound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 IT IS AGREED</w:t>
      </w:r>
      <w:r>
        <w:rPr>
          <w:rFonts w:ascii="Arial" w:cs="Arial" w:eastAsia="Arial" w:hAnsi="Arial"/>
          <w:sz w:val="18"/>
          <w:szCs w:val="18"/>
          <w:color w:val="auto"/>
        </w:rPr>
        <w:t>, by and between the Company and the Grantee, as follows:</w:t>
      </w:r>
    </w:p>
    <w:p>
      <w:pPr>
        <w:spacing w:after="0" w:line="252" w:lineRule="exact"/>
        <w:rPr>
          <w:sz w:val="20"/>
          <w:szCs w:val="20"/>
          <w:color w:val="auto"/>
        </w:rPr>
      </w:pPr>
    </w:p>
    <w:p>
      <w:pPr>
        <w:ind w:left="1440" w:hanging="784"/>
        <w:spacing w:after="0"/>
        <w:tabs>
          <w:tab w:leader="none" w:pos="1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Award of Restricted Stock Units</w:t>
      </w:r>
    </w:p>
    <w:p>
      <w:pPr>
        <w:spacing w:after="0" w:line="24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Grant</w:t>
      </w:r>
      <w:r>
        <w:rPr>
          <w:rFonts w:ascii="Arial" w:cs="Arial" w:eastAsia="Arial" w:hAnsi="Arial"/>
          <w:sz w:val="18"/>
          <w:szCs w:val="18"/>
          <w:color w:val="auto"/>
        </w:rPr>
        <w:t>. The Company hereby grants to the Grantee an award of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the amount set forth above, subject to, and in accordance with, the restrictions, terms, and conditions set forth in this Agreement and the Plan. The grant date of this award of RSUs is set forth above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(including Schedule A attached hereto, if applicable) shall be construed in accordance and consistent with, and subject to, the provisions of the Plan (the provisions of which are incorporated herein by reference) and, except as otherwise expressly set forth herein, the capitalized terms used in this Agreement shall have the same definitions as set forth in the Plan.</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Execution of the Agreement</w:t>
      </w:r>
      <w:r>
        <w:rPr>
          <w:rFonts w:ascii="Arial" w:cs="Arial" w:eastAsia="Arial" w:hAnsi="Arial"/>
          <w:sz w:val="18"/>
          <w:szCs w:val="18"/>
          <w:color w:val="auto"/>
        </w:rPr>
        <w:t>. This Award is conditioned on the Grantee’s execution of this Agreement. By executing this Agreement, the Grantee agrees to the terms set forth in this Agreement (and the provisions of the Plan incorporated herein). If this Agreement is not executed by the Grantee and returned to the Company within</w:t>
      </w:r>
    </w:p>
    <w:p>
      <w:pPr>
        <w:sectPr>
          <w:pgSz w:w="11900" w:h="16838" w:orient="portrait"/>
          <w:cols w:equalWidth="0" w:num="1">
            <w:col w:w="11420"/>
          </w:cols>
          <w:pgMar w:left="240" w:top="115"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seven (7) days of the Date of Grant, it may be canceled by the Committee resulting in the immediate forfeiture of all RSUs granted hereunder.</w:t>
      </w:r>
    </w:p>
    <w:p>
      <w:pPr>
        <w:spacing w:after="0" w:line="221"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Vesting and Termination of Employment</w:t>
      </w:r>
    </w:p>
    <w:p>
      <w:pPr>
        <w:spacing w:after="0" w:line="229"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Vesting.</w:t>
      </w:r>
      <w:r>
        <w:rPr>
          <w:rFonts w:ascii="Arial" w:cs="Arial" w:eastAsia="Arial" w:hAnsi="Arial"/>
          <w:sz w:val="16"/>
          <w:szCs w:val="16"/>
          <w:color w:val="auto"/>
        </w:rPr>
        <w:t xml:space="preserve"> Subject to this Section 2 and Section 7, if the Grantee remains employed by the Company, the RSUs shall vest in accordance with the vesting schedule set forth above, if the RSUs vest upon the passage of time, or the schedule attached hereto as Schedule A, if applicable, if the RSUs vest upon the fulfillment of performance criteria set forth herein. Each date on which the RSUs vest, either by the specified passage of time or fulfillment of the performance criteria in accordance with Schedule A, if applicable, is hereinafter referred to as a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Notwithstanding the foregoing, no Vesting Date can be any earlier than the day immediately after the day which is twelve (12) months and thirty (30) days following the Date of Grant (the period from the Date of Grant until the day which is twelve (12) months and thirty (30) days following the Date of Grant being hereinafter referred to as the “</w:t>
      </w:r>
      <w:r>
        <w:rPr>
          <w:rFonts w:ascii="Arial" w:cs="Arial" w:eastAsia="Arial" w:hAnsi="Arial"/>
          <w:sz w:val="16"/>
          <w:szCs w:val="16"/>
          <w:b w:val="1"/>
          <w:bCs w:val="1"/>
          <w:i w:val="1"/>
          <w:iCs w:val="1"/>
          <w:color w:val="auto"/>
        </w:rPr>
        <w:t>Initial Restriction Period</w:t>
      </w:r>
      <w:r>
        <w:rPr>
          <w:rFonts w:ascii="Arial" w:cs="Arial" w:eastAsia="Arial" w:hAnsi="Arial"/>
          <w:sz w:val="16"/>
          <w:szCs w:val="16"/>
          <w:color w:val="auto"/>
        </w:rPr>
        <w:t>”). Except as otherwise provided herein, on the Vesting Date, a number of Shares equal to the number of vested RSUs shall be issued to the Grantee free and clear of all restrictions imposed by this Agreement (except those imposed by Sections 3.3 and 7 below). As soon as practicable (and no later than thirty (30) days) after the Vesting Date, the Company shall transfer such Shares to an unrestricted account in the name of the Grantee (or, if the Grantee has died, to his or her surviving spouse or, if none, to the Grantee’s estate). For purposes of this Agreement, employment with a Subsidiary of the Company or service as a member of the Board of Directors of the Company or a Subsidiary shall be considered employment with the Company.</w:t>
      </w:r>
    </w:p>
    <w:p>
      <w:pPr>
        <w:spacing w:after="0" w:line="17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Termination of Employment Due to Death or Disability</w:t>
      </w:r>
      <w:r>
        <w:rPr>
          <w:rFonts w:ascii="Arial" w:cs="Arial" w:eastAsia="Arial" w:hAnsi="Arial"/>
          <w:sz w:val="17"/>
          <w:szCs w:val="17"/>
          <w:color w:val="auto"/>
        </w:rPr>
        <w:t>. If the Grantee’s employment is terminated by the Company as a result of death or Disability (as defined in the Plan), any unvested portion of the grant that would have vested, either by the specified passage of time or the fulfillment of the performance criteria in accordance with Schedule A, if applicable, with respect to the year in which the termination occurred had the Grantee remained employed and any earlier year, and any unvested portion of the grant that would have vested in the subsequent year following termination had the Grantee remained employed, shall remain outstanding and all remaining unvested RSUs shall be immediately forfeited. A number of Shares equal to the number of unvested RSUs described in the preceding sentence shall become vested and shall be transferred to the Grantee (or the Grantee’s surviving spouse or estate) in the manner provided in Section 2.1 upon attainment of the original Vesting Date(s) (just as if the Grantee had remained employed) and/or the applicable performance criteria set forth on Schedule A, if applicable.</w:t>
      </w:r>
    </w:p>
    <w:p>
      <w:pPr>
        <w:spacing w:after="0" w:line="17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Termination of Employment by the Company for Cause</w:t>
      </w:r>
      <w:r>
        <w:rPr>
          <w:rFonts w:ascii="Arial" w:cs="Arial" w:eastAsia="Arial" w:hAnsi="Arial"/>
          <w:sz w:val="18"/>
          <w:szCs w:val="18"/>
          <w:color w:val="auto"/>
        </w:rPr>
        <w:t>. If the Grantee’s employment is terminated by the Company for Cause (as defined in the Plan), the unvested RSUs shall be forfeited immediately as of the Date of Termination.</w:t>
      </w:r>
    </w:p>
    <w:p>
      <w:pPr>
        <w:spacing w:after="0" w:line="170"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Termination of Employment by the Company Without Cause or by the Grantee For Good Reason after the Initial Restriction Period</w:t>
      </w:r>
      <w:r>
        <w:rPr>
          <w:rFonts w:ascii="Arial" w:cs="Arial" w:eastAsia="Arial" w:hAnsi="Arial"/>
          <w:sz w:val="16"/>
          <w:szCs w:val="16"/>
          <w:color w:val="auto"/>
        </w:rPr>
        <w:t>.</w:t>
      </w:r>
    </w:p>
    <w:p>
      <w:pPr>
        <w:spacing w:after="0" w:line="225"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2.4.1 If the Grantee’s employment with the Company is terminated after the expiration of the Initial Restriction Period either (i) by the Company without Cause (as defined in the Plan) or (ii) by the Grantee for Good Reason (as defined in Section 2.4.2 below), the unvested RSUs shall become vested on a pro-rata basis, as set forth in Schedule A.</w:t>
      </w:r>
    </w:p>
    <w:p>
      <w:pPr>
        <w:spacing w:after="0" w:line="19" w:lineRule="exact"/>
        <w:rPr>
          <w:sz w:val="20"/>
          <w:szCs w:val="20"/>
          <w:color w:val="auto"/>
        </w:rPr>
      </w:pPr>
    </w:p>
    <w:p>
      <w:pPr>
        <w:jc w:val="both"/>
        <w:ind w:firstLine="1945"/>
        <w:spacing w:after="0" w:line="277" w:lineRule="auto"/>
        <w:rPr>
          <w:sz w:val="20"/>
          <w:szCs w:val="20"/>
          <w:color w:val="auto"/>
        </w:rPr>
      </w:pPr>
      <w:r>
        <w:rPr>
          <w:rFonts w:ascii="Arial" w:cs="Arial" w:eastAsia="Arial" w:hAnsi="Arial"/>
          <w:sz w:val="18"/>
          <w:szCs w:val="18"/>
          <w:color w:val="auto"/>
        </w:rPr>
        <w:t>2.4.2 For purposes of this Agreement, “</w:t>
      </w:r>
      <w:r>
        <w:rPr>
          <w:rFonts w:ascii="Arial" w:cs="Arial" w:eastAsia="Arial" w:hAnsi="Arial"/>
          <w:sz w:val="18"/>
          <w:szCs w:val="18"/>
          <w:b w:val="1"/>
          <w:bCs w:val="1"/>
          <w:i w:val="1"/>
          <w:iCs w:val="1"/>
          <w:u w:val="single" w:color="auto"/>
          <w:color w:val="auto"/>
        </w:rPr>
        <w:t>Good Reason</w:t>
      </w:r>
      <w:r>
        <w:rPr>
          <w:rFonts w:ascii="Arial" w:cs="Arial" w:eastAsia="Arial" w:hAnsi="Arial"/>
          <w:sz w:val="18"/>
          <w:szCs w:val="18"/>
          <w:color w:val="auto"/>
        </w:rPr>
        <w:t>” for termination by the Grantee of the Grantee’s employment shall mean the occurrence (without the Grantee’s express written consent) of:</w:t>
      </w:r>
    </w:p>
    <w:p>
      <w:pPr>
        <w:spacing w:after="0" w:line="8" w:lineRule="exact"/>
        <w:rPr>
          <w:sz w:val="20"/>
          <w:szCs w:val="20"/>
          <w:color w:val="auto"/>
        </w:rPr>
      </w:pPr>
    </w:p>
    <w:p>
      <w:pPr>
        <w:ind w:left="2960" w:hanging="359"/>
        <w:spacing w:after="0"/>
        <w:tabs>
          <w:tab w:leader="none" w:pos="2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material reduction in the Grantee’s responsibilities at the Company;</w:t>
      </w:r>
    </w:p>
    <w:p>
      <w:pPr>
        <w:spacing w:after="0" w:line="225" w:lineRule="exact"/>
        <w:rPr>
          <w:rFonts w:ascii="Arial" w:cs="Arial" w:eastAsia="Arial" w:hAnsi="Arial"/>
          <w:sz w:val="18"/>
          <w:szCs w:val="18"/>
          <w:color w:val="auto"/>
        </w:rPr>
      </w:pPr>
    </w:p>
    <w:p>
      <w:pPr>
        <w:ind w:left="3000" w:hanging="399"/>
        <w:spacing w:after="0"/>
        <w:tabs>
          <w:tab w:leader="none" w:pos="3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required relocation of the Grantee’s employment to a location outside of the market area of the Company;</w:t>
      </w:r>
    </w:p>
    <w:p>
      <w:pPr>
        <w:spacing w:after="0" w:line="236" w:lineRule="exact"/>
        <w:rPr>
          <w:rFonts w:ascii="Arial" w:cs="Arial" w:eastAsia="Arial" w:hAnsi="Arial"/>
          <w:sz w:val="17"/>
          <w:szCs w:val="17"/>
          <w:color w:val="auto"/>
        </w:rPr>
      </w:pPr>
    </w:p>
    <w:p>
      <w:pPr>
        <w:ind w:left="1300" w:right="20" w:firstLine="1301"/>
        <w:spacing w:after="0" w:line="277" w:lineRule="auto"/>
        <w:tabs>
          <w:tab w:leader="none" w:pos="31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material reduction in the levels of coverage of the Grantee under the Company’s director and officer liability insurance policy or indemnification commitments; or</w:t>
      </w:r>
    </w:p>
    <w:p>
      <w:pPr>
        <w:sectPr>
          <w:pgSz w:w="11900" w:h="16838" w:orient="portrait"/>
          <w:cols w:equalWidth="0" w:num="1">
            <w:col w:w="11420"/>
          </w:cols>
          <w:pgMar w:left="240" w:top="368" w:right="239" w:bottom="1440" w:gutter="0" w:footer="0" w:header="0"/>
        </w:sectPr>
      </w:pPr>
    </w:p>
    <w:bookmarkStart w:id="83" w:name="page84"/>
    <w:bookmarkEnd w:id="83"/>
    <w:p>
      <w:pPr>
        <w:jc w:val="both"/>
        <w:ind w:left="1300" w:firstLine="1301"/>
        <w:spacing w:after="0" w:line="259" w:lineRule="auto"/>
        <w:tabs>
          <w:tab w:leader="none" w:pos="30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substantial reduction in the Grantee’s base salary, a material reduction in his or her incentive compensation or the taking of any action by the Company which would, directly or indirectly, materially reduce any of the benefits provided to the Grantee under any of the Company’s pension, 401(k), deferred compensation, life insurance, medical, accident or disability plans in which the Grantee is participating.</w:t>
      </w:r>
    </w:p>
    <w:p>
      <w:pPr>
        <w:spacing w:after="0" w:line="187" w:lineRule="exact"/>
        <w:rPr>
          <w:sz w:val="20"/>
          <w:szCs w:val="20"/>
          <w:color w:val="auto"/>
        </w:rPr>
      </w:pPr>
    </w:p>
    <w:p>
      <w:pPr>
        <w:jc w:val="right"/>
        <w:spacing w:after="0"/>
        <w:tabs>
          <w:tab w:leader="none" w:pos="888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The Grantee must give the Company notice of any event or condition that would constitute “Good Reason” within ninety</w:t>
      </w:r>
    </w:p>
    <w:p>
      <w:pPr>
        <w:spacing w:after="0" w:line="23" w:lineRule="exact"/>
        <w:rPr>
          <w:sz w:val="20"/>
          <w:szCs w:val="20"/>
          <w:color w:val="auto"/>
        </w:rPr>
      </w:pPr>
    </w:p>
    <w:p>
      <w:pPr>
        <w:jc w:val="both"/>
        <w:ind w:right="20" w:firstLine="8"/>
        <w:spacing w:after="0" w:line="255" w:lineRule="auto"/>
        <w:tabs>
          <w:tab w:leader="none" w:pos="3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days of its initial existence and upon receipt of such notice, the Company shall have thirty (30) days to remedy the event or condition. If the event or condition is not remedied within such thirty (30) day period, any termination of employment by the Grantee for “Good Reason” must occur within six (6) months of the Grantee learning of the initial existence of the condition or event.</w:t>
      </w:r>
    </w:p>
    <w:p>
      <w:pPr>
        <w:spacing w:after="0" w:line="244" w:lineRule="exact"/>
        <w:rPr>
          <w:sz w:val="20"/>
          <w:szCs w:val="20"/>
          <w:color w:val="auto"/>
        </w:rPr>
      </w:pPr>
    </w:p>
    <w:p>
      <w:pPr>
        <w:jc w:val="both"/>
        <w:ind w:firstLine="1945"/>
        <w:spacing w:after="0" w:line="264" w:lineRule="auto"/>
        <w:rPr>
          <w:sz w:val="20"/>
          <w:szCs w:val="20"/>
          <w:color w:val="auto"/>
        </w:rPr>
      </w:pPr>
      <w:r>
        <w:rPr>
          <w:rFonts w:ascii="Arial" w:cs="Arial" w:eastAsia="Arial" w:hAnsi="Arial"/>
          <w:sz w:val="18"/>
          <w:szCs w:val="18"/>
          <w:color w:val="auto"/>
        </w:rPr>
        <w:t>2.4.4 The Grantee’s right to terminate employment for Good Reason shall not be affected by the Grantee’s incapacity due to physical or mental illness, except for a Disability. The Grantee’s continued employment shall not constitute consent to, or a waiver of rights with respect to, any act or failure to act constituting Good Reason hereunder.</w:t>
      </w:r>
    </w:p>
    <w:p>
      <w:pPr>
        <w:spacing w:after="0" w:line="181"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Termination During the Initial Restriction Period</w:t>
      </w:r>
      <w:r>
        <w:rPr>
          <w:rFonts w:ascii="Arial" w:cs="Arial" w:eastAsia="Arial" w:hAnsi="Arial"/>
          <w:sz w:val="17"/>
          <w:szCs w:val="17"/>
          <w:color w:val="auto"/>
        </w:rPr>
        <w:t>. If the Grantee’s employment is terminated by the Company without Cause prior to the expiration of the Initial Restriction Period by the Company, any unvested RSUs shall be forfeited immediately as of the Date of Termination.</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Termination of Employment by the Grantee for Other Reasons</w:t>
      </w:r>
      <w:r>
        <w:rPr>
          <w:rFonts w:ascii="Arial" w:cs="Arial" w:eastAsia="Arial" w:hAnsi="Arial"/>
          <w:sz w:val="18"/>
          <w:szCs w:val="18"/>
          <w:color w:val="auto"/>
        </w:rPr>
        <w:t>. If the Grantee retires or voluntarily terminates his or her employment for any reason other than for Good Reason (as defined above) after the expiration of the Initial Restriction Period, the outstanding unvested RSUs shall immediately be forfeited as of the Date of Termination.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RSUs may not be sold, assigned, transferred, pledged, or otherwise encumbered prior to the date the Grantee becomes vested in the RSUs and the Shares are issued.</w:t>
      </w:r>
    </w:p>
    <w:p>
      <w:pPr>
        <w:spacing w:after="0" w:line="17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this Agreement shall at all times be interpreted and operated in compliance with the requirements of Section 409A of the Internal Revenue Code of 1986, as amended and the standards, regulations or other guidance promulgated thereunder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Any action that may be taken (and, to the extent possible, any action actually taken) by the Company shall not be taken (or shall be void and without effect), if such action violates the requirements of Section 409A. Any provision in this Agreement that is determined to violate the requirements of Section 409A shall be void and without effect. In addition, any provision that is required to appear in this Agreement in accordance with Section 409A that is not expressly set forth herein shall be deemed to be set forth herein, and the Agreement shall be administered in all respects as if such provision were expressly set forth. The Company shall delay the commencement of any delivery of Shares that are payable to the Grantee upon his separation from service if the Grantee is a “key employee” of the Company (as determined by the Company in accordance with procedures established by the Company that are consistent with Section 409A) to the date which is immediately following the earlier of (i) six (6) months after the date of the Grantee’s separation from service or (ii) the Grantee’s death, to the extent such delay is required under the provisions of Section 409A to avoid imposition of additional income and other taxes, provided that the Company and the Grantee agree to take into account any exemptions available under Section 409A. For purposes of this Agreement, termination of employment shall be construed consistent with the meaning of a separation from service within the meaning of Section 409A.</w:t>
      </w:r>
    </w:p>
    <w:p>
      <w:pPr>
        <w:spacing w:after="0" w:line="16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Change in Capitalization; Deferral Rights</w:t>
      </w:r>
    </w:p>
    <w:p>
      <w:pPr>
        <w:spacing w:after="0" w:line="22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 Following the Grant Date of the RSUs through the date that is the earlier of (i) the date that the RSUs are vested and transferred to the Grantee pursuant to Section 2.1 or (ii) the date that the RSUs are forfeited, the Grantee shall be credited with dividend equivalents or other distributions declared on the Shares represented by the RSUs in the manner determined by the Committee. Within thirty (30) days after a Vesting Date, Grantee shall be paid in cash the dividend equivalents or other distributions with respect to the vested RSUs to which the dividend equivalents or other distributions relate, less applicable withholdings.</w:t>
      </w:r>
    </w:p>
    <w:p>
      <w:pPr>
        <w:sectPr>
          <w:pgSz w:w="11900" w:h="16838" w:orient="portrait"/>
          <w:cols w:equalWidth="0" w:num="1">
            <w:col w:w="11420"/>
          </w:cols>
          <w:pgMar w:left="240" w:top="368" w:right="239" w:bottom="1440" w:gutter="0" w:footer="0" w:header="0"/>
        </w:sectPr>
      </w:pPr>
    </w:p>
    <w:bookmarkStart w:id="84" w:name="page85"/>
    <w:bookmarkEnd w:id="84"/>
    <w:p>
      <w:pPr>
        <w:jc w:val="both"/>
        <w:ind w:firstLine="1297"/>
        <w:spacing w:after="0" w:line="264" w:lineRule="auto"/>
        <w:rPr>
          <w:sz w:val="20"/>
          <w:szCs w:val="20"/>
          <w:color w:val="auto"/>
        </w:rPr>
      </w:pPr>
      <w:r>
        <w:rPr>
          <w:rFonts w:ascii="Arial" w:cs="Arial" w:eastAsia="Arial" w:hAnsi="Arial"/>
          <w:sz w:val="18"/>
          <w:szCs w:val="18"/>
          <w:color w:val="auto"/>
        </w:rPr>
        <w:t>3.2 In the event of a change in capitalization, the Committee shall make appropriate adjustments in accordance with Section 4.3 of the Plan to reflect the change in capitalization, provided that any such additional Shares or additional or different shares or securities reflected in any such adjustment shall remain subject to the restrictions in this Agreement.</w:t>
      </w:r>
    </w:p>
    <w:p>
      <w:pPr>
        <w:spacing w:after="0" w:line="181"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3.3 The Grantee represents and warrants that he is acquiring the Shares under this Agreement for investment purposes only, and not with a view to distribution thereof. The Grantee is aware that the Shares may not be registered under the federal or any state securities laws and that for that reason, in addition to the other restrictions on the Shares, they will not be able to be transferred unless an exemption from registration is available or the Shares are registered. By making this award of RSUs, the Company is not undertaking any obligation to register the RSUs under any federal or state securities laws.</w:t>
      </w:r>
    </w:p>
    <w:p>
      <w:pPr>
        <w:spacing w:after="0" w:line="15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3.4 To the extent the Grantee is eligible to participate in a deferred compensation plan established for such purpose, the Grantee may elect to defer delivery of the Shares that would otherwise be due by virtue of the lapse or waiver of the vesting requirements as set forth in Section 2. If such deferral election is made, the Committee shall, in its sole discretion, establish the rules and procedures for such deferrals which shall be in compliance with Section 409A.</w:t>
      </w:r>
    </w:p>
    <w:p>
      <w:pPr>
        <w:spacing w:after="0" w:line="18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No Right to Continued Employment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Nothing in this Agreement or the Plan shall be interpreted or construed to confer upon the Grantee any right with respect to continuance of employment by the Company, nor shall this Agreement or the Plan interfere in any way with the right of the Company to terminate the Grantee’s employment at any time. The Grantee is employed by the Company “at will,” which means that either the Grantee or the Company may terminate the Grantee’s employment at any time, for any reason.</w:t>
      </w:r>
    </w:p>
    <w:p>
      <w:pPr>
        <w:spacing w:after="0" w:line="183"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Taxes and Withholding</w:t>
      </w:r>
    </w:p>
    <w:p>
      <w:pPr>
        <w:spacing w:after="0" w:line="22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Grantee shall be responsible for all federal, state, and local income taxes payable with respect to this award of RSUs and any dividends or dividend equivalents paid on such RSUs. The Company and the Grantee agree to report the value of the RSUs in a consistent manner for federal income tax purposes. The Company shall have the right to retain and withhold from any payment of Shares (for the minimum required withholdings or such other amounts as will not result in adverse accounting treatment to the Company) or cash the amount of taxes required by any government to be withheld or otherwise deducted and paid with respect to such payment. At its discretion, the Company may require the Grantee to reimburse the Company for any such taxes required to be withheld and may withhold any distribution in whole or in part until the Company is so reimbursed. In lieu thereof, the Company shall have the right to withhold from any other cash amounts due to the Grantee an amount equal to such taxes required to be withheld or withhold and cancel (for the minimum required withholdings or such other amounts as will not result in adverse accounting treatment to the Company) (in whole or in part) a number of Shares having a market value not less than the amount of such taxes.</w:t>
      </w:r>
    </w:p>
    <w:p>
      <w:pPr>
        <w:spacing w:after="0" w:line="17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The Grantee Bound By The Plan</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Grantee hereby acknowledges receipt of a copy of the Plan and the prospectus for the Plan, and agrees to be bound by all the terms and provisions thereof.</w:t>
      </w:r>
    </w:p>
    <w:p>
      <w:pPr>
        <w:spacing w:after="0" w:line="166"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Restrictive Covenants</w:t>
      </w:r>
    </w:p>
    <w:p>
      <w:pPr>
        <w:spacing w:after="0" w:line="229"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In consideration for the grant of the RSUs, continued employment with the Company, and other good and valuable consideration,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Grantee agrees to the following:</w:t>
      </w:r>
    </w:p>
    <w:p>
      <w:pPr>
        <w:spacing w:after="0" w:line="211" w:lineRule="exact"/>
        <w:rPr>
          <w:sz w:val="20"/>
          <w:szCs w:val="20"/>
          <w:color w:val="auto"/>
        </w:rPr>
      </w:pPr>
    </w:p>
    <w:p>
      <w:pPr>
        <w:ind w:left="660" w:firstLine="645"/>
        <w:spacing w:after="0" w:line="277" w:lineRule="auto"/>
        <w:tabs>
          <w:tab w:leader="none" w:pos="168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Grantee’s employment with the Company and for a one (1) year period after the Date of Termination, the Grantee will not directly or indirectly, individually, or on behalf of any Person other than the Company or a Subsidiary:</w:t>
      </w:r>
    </w:p>
    <w:p>
      <w:pPr>
        <w:sectPr>
          <w:pgSz w:w="11900" w:h="16838" w:orient="portrait"/>
          <w:cols w:equalWidth="0" w:num="1">
            <w:col w:w="11420"/>
          </w:cols>
          <w:pgMar w:left="240" w:top="368" w:right="239" w:bottom="1440" w:gutter="0" w:footer="0" w:header="0"/>
        </w:sectPr>
      </w:pPr>
    </w:p>
    <w:bookmarkStart w:id="85" w:name="page86"/>
    <w:bookmarkEnd w:id="85"/>
    <w:p>
      <w:pPr>
        <w:ind w:left="1260"/>
        <w:spacing w:after="0"/>
        <w:tabs>
          <w:tab w:leader="none" w:pos="17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solicit any Customers for the purpose of providing services identical to or reasonably substitutable for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65" w:lineRule="exact"/>
        <w:rPr>
          <w:sz w:val="20"/>
          <w:szCs w:val="20"/>
          <w:color w:val="auto"/>
        </w:rPr>
      </w:pPr>
    </w:p>
    <w:p>
      <w:pPr>
        <w:ind w:right="20" w:firstLine="1252"/>
        <w:spacing w:after="0" w:line="298" w:lineRule="auto"/>
        <w:tabs>
          <w:tab w:leader="none" w:pos="1779" w:val="left"/>
        </w:tabs>
        <w:numPr>
          <w:ilvl w:val="1"/>
          <w:numId w:val="16"/>
        </w:numPr>
        <w:rPr>
          <w:rFonts w:ascii="Arial" w:cs="Arial" w:eastAsia="Arial" w:hAnsi="Arial"/>
          <w:sz w:val="17"/>
          <w:szCs w:val="17"/>
          <w:color w:val="auto"/>
        </w:rPr>
      </w:pPr>
      <w:r>
        <w:rPr>
          <w:rFonts w:ascii="Arial" w:cs="Arial" w:eastAsia="Arial" w:hAnsi="Arial"/>
          <w:sz w:val="17"/>
          <w:szCs w:val="17"/>
          <w:color w:val="auto"/>
        </w:rPr>
        <w:t>solicit or induce, or in any manner attempt to solicit or induce, any Person employed by the Company to leave such employment, whether or not such employment is pursuant to a written contract with the Company or any Subsidiary or is at will; or</w:t>
      </w:r>
    </w:p>
    <w:p>
      <w:pPr>
        <w:jc w:val="both"/>
        <w:ind w:firstLine="1293"/>
        <w:spacing w:after="0" w:line="264" w:lineRule="auto"/>
        <w:tabs>
          <w:tab w:leader="none" w:pos="1768" w:val="left"/>
        </w:tabs>
        <w:numPr>
          <w:ilvl w:val="2"/>
          <w:numId w:val="16"/>
        </w:numPr>
        <w:rPr>
          <w:rFonts w:ascii="Arial" w:cs="Arial" w:eastAsia="Arial" w:hAnsi="Arial"/>
          <w:sz w:val="18"/>
          <w:szCs w:val="18"/>
          <w:color w:val="auto"/>
        </w:rPr>
      </w:pPr>
      <w:r>
        <w:rPr>
          <w:rFonts w:ascii="Arial" w:cs="Arial" w:eastAsia="Arial" w:hAnsi="Arial"/>
          <w:sz w:val="18"/>
          <w:szCs w:val="18"/>
          <w:color w:val="auto"/>
        </w:rPr>
        <w:t>knowingly or intentionally damage or destroy the goodwill and esteem of the Company, any Subsidiary, the Company’s Business or the Company’s or any Subsidiary’s suppliers, employees, patrons, customers , and others who may at any time have or have had relations with the Company or any Subsidiary.</w:t>
      </w:r>
    </w:p>
    <w:p>
      <w:pPr>
        <w:spacing w:after="0" w:line="181" w:lineRule="exact"/>
        <w:rPr>
          <w:rFonts w:ascii="Arial" w:cs="Arial" w:eastAsia="Arial" w:hAnsi="Arial"/>
          <w:sz w:val="18"/>
          <w:szCs w:val="18"/>
          <w:color w:val="auto"/>
        </w:rPr>
      </w:pPr>
    </w:p>
    <w:p>
      <w:pPr>
        <w:ind w:right="20" w:firstLine="645"/>
        <w:spacing w:after="0" w:line="277" w:lineRule="auto"/>
        <w:tabs>
          <w:tab w:leader="none" w:pos="11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Grantee’s employment with the Company and at all times thereafter, the Grantee will not disclose or use Confidential Information, except as necessary to carry out his or her duties as an employee of the Company.</w:t>
      </w:r>
    </w:p>
    <w:p>
      <w:pPr>
        <w:spacing w:after="0" w:line="170" w:lineRule="exact"/>
        <w:rPr>
          <w:rFonts w:ascii="Arial" w:cs="Arial" w:eastAsia="Arial" w:hAnsi="Arial"/>
          <w:sz w:val="18"/>
          <w:szCs w:val="18"/>
          <w:color w:val="auto"/>
        </w:rPr>
      </w:pPr>
    </w:p>
    <w:p>
      <w:pPr>
        <w:jc w:val="both"/>
        <w:ind w:firstLine="645"/>
        <w:spacing w:after="0" w:line="259" w:lineRule="auto"/>
        <w:tabs>
          <w:tab w:leader="none" w:pos="10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termination or expiration of the Grantee’s employment with the Company for any reason whatsoever or at any time, the Grantee will upon request by the Company deliver promptly to the Company all materials (including electronically-stored materials), documents, plans, records, notes, or other papers, and any copies in the Grantee’s possession or control, relating in any way to the Company’s Business, which at all times shall be the property of the Company.</w:t>
      </w:r>
    </w:p>
    <w:p>
      <w:pPr>
        <w:spacing w:after="0" w:line="187"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For purposes of this Agreement, the following terms shall have the meanings specified below:</w:t>
      </w:r>
    </w:p>
    <w:p>
      <w:pPr>
        <w:spacing w:after="0" w:line="225" w:lineRule="exact"/>
        <w:rPr>
          <w:sz w:val="20"/>
          <w:szCs w:val="20"/>
          <w:color w:val="auto"/>
        </w:rPr>
      </w:pPr>
    </w:p>
    <w:p>
      <w:pPr>
        <w:ind w:firstLine="1252"/>
        <w:spacing w:after="0" w:line="277" w:lineRule="auto"/>
        <w:tabs>
          <w:tab w:leader="none" w:pos="16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Company’s Business</w:t>
      </w:r>
      <w:r>
        <w:rPr>
          <w:rFonts w:ascii="Arial" w:cs="Arial" w:eastAsia="Arial" w:hAnsi="Arial"/>
          <w:sz w:val="18"/>
          <w:szCs w:val="18"/>
          <w:color w:val="auto"/>
        </w:rPr>
        <w:t>” means the business of operating a commercial or retail bank, savings association, mutual thrift, credit union, trust company, securities brokerage or insurance agency.</w:t>
      </w:r>
    </w:p>
    <w:p>
      <w:pPr>
        <w:spacing w:after="0" w:line="170" w:lineRule="exact"/>
        <w:rPr>
          <w:rFonts w:ascii="Arial" w:cs="Arial" w:eastAsia="Arial" w:hAnsi="Arial"/>
          <w:sz w:val="18"/>
          <w:szCs w:val="18"/>
          <w:color w:val="auto"/>
        </w:rPr>
      </w:pPr>
    </w:p>
    <w:p>
      <w:pPr>
        <w:jc w:val="both"/>
        <w:ind w:firstLine="1252"/>
        <w:spacing w:after="0" w:line="270" w:lineRule="auto"/>
        <w:tabs>
          <w:tab w:leader="none" w:pos="1778"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information, without regard to form, relating to the Company’s or any Subsidiary’s customers, operation, finances, and business that has value to the Company or any Subsidiary, is not generally known to competitors of the Company or a Subsidiary and that the Grantee became aware of due to his or her employment with the Company. Confidential Information includes, but is not limited to, technical or non-technical data (including personnel data), formulas, patterns, compilations (including compilations of customer information), programs, devices, methods, techniques, processes, financial data or lists of actual or potential customers (including identifying information about customers), whether or not in writing. Confidential Information includes information disclosed to the Company or any Subsidiary by third parties that the Company or any Subsidiary is obligated to maintain as confidential. Confidential Information subject to this Agreement may include information that is not a trade secret under applicable law, but information not constituting a trade secret only shall be treated as Confidential Information under this Agreement for a five (5) year period after the Date of Termination.</w:t>
      </w:r>
    </w:p>
    <w:p>
      <w:pPr>
        <w:spacing w:after="0" w:line="181" w:lineRule="exact"/>
        <w:rPr>
          <w:rFonts w:ascii="Arial" w:cs="Arial" w:eastAsia="Arial" w:hAnsi="Arial"/>
          <w:sz w:val="17"/>
          <w:szCs w:val="17"/>
          <w:color w:val="auto"/>
        </w:rPr>
      </w:pPr>
    </w:p>
    <w:p>
      <w:pPr>
        <w:jc w:val="both"/>
        <w:ind w:firstLine="1252"/>
        <w:spacing w:after="0" w:line="257" w:lineRule="auto"/>
        <w:tabs>
          <w:tab w:leader="none" w:pos="1706"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Customers</w:t>
      </w:r>
      <w:r>
        <w:rPr>
          <w:rFonts w:ascii="Arial" w:cs="Arial" w:eastAsia="Arial" w:hAnsi="Arial"/>
          <w:sz w:val="18"/>
          <w:szCs w:val="18"/>
          <w:color w:val="auto"/>
        </w:rPr>
        <w:t>” means all Persons that (1) the Grantee serviced or solicited on behalf of the Company or any Subsidiary during the twenty-four (24) months prior to the Date of Termination, (2) whose dealings with the Company or any Subsidiary were coordinated or supervised, in whole or in part, by the Grantee during the twenty-four (24) months prior to the Date of Termination, or (3) about whom the Grantee obtained Confidential Information during the twenty-four (24) months prior to the Date of Termination, as a result of the Grantee’s association with the Company.</w:t>
      </w:r>
    </w:p>
    <w:p>
      <w:pPr>
        <w:spacing w:after="0" w:line="188" w:lineRule="exact"/>
        <w:rPr>
          <w:rFonts w:ascii="Arial" w:cs="Arial" w:eastAsia="Arial" w:hAnsi="Arial"/>
          <w:sz w:val="18"/>
          <w:szCs w:val="18"/>
          <w:color w:val="auto"/>
        </w:rPr>
      </w:pPr>
    </w:p>
    <w:p>
      <w:pPr>
        <w:ind w:left="1700" w:hanging="448"/>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Date of Termination</w:t>
      </w:r>
      <w:r>
        <w:rPr>
          <w:rFonts w:ascii="Arial" w:cs="Arial" w:eastAsia="Arial" w:hAnsi="Arial"/>
          <w:sz w:val="17"/>
          <w:szCs w:val="17"/>
          <w:color w:val="auto"/>
        </w:rPr>
        <w:t>” means the date upon which the Grantee’s employment with the Company ceases for any reason.</w:t>
      </w:r>
    </w:p>
    <w:p>
      <w:pPr>
        <w:spacing w:after="0" w:line="236" w:lineRule="exact"/>
        <w:rPr>
          <w:rFonts w:ascii="Arial" w:cs="Arial" w:eastAsia="Arial" w:hAnsi="Arial"/>
          <w:sz w:val="17"/>
          <w:szCs w:val="17"/>
          <w:color w:val="auto"/>
        </w:rPr>
      </w:pPr>
    </w:p>
    <w:p>
      <w:pPr>
        <w:ind w:firstLine="1252"/>
        <w:spacing w:after="0" w:line="277" w:lineRule="auto"/>
        <w:tabs>
          <w:tab w:leader="none" w:pos="18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bank, partnership, joint venture, association, joint-stock company, trust, unincorporated organization or other entity.</w:t>
      </w:r>
    </w:p>
    <w:p>
      <w:pPr>
        <w:sectPr>
          <w:pgSz w:w="11900" w:h="16838" w:orient="portrait"/>
          <w:cols w:equalWidth="0" w:num="1">
            <w:col w:w="10760"/>
          </w:cols>
          <w:pgMar w:left="900" w:top="368" w:right="239" w:bottom="1440" w:gutter="0" w:footer="0" w:header="0"/>
        </w:sectPr>
      </w:pPr>
    </w:p>
    <w:bookmarkStart w:id="86" w:name="page87"/>
    <w:bookmarkEnd w:id="86"/>
    <w:p>
      <w:pPr>
        <w:jc w:val="both"/>
        <w:ind w:firstLine="1297"/>
        <w:spacing w:after="0" w:line="273" w:lineRule="auto"/>
        <w:rPr>
          <w:sz w:val="20"/>
          <w:szCs w:val="20"/>
          <w:color w:val="auto"/>
        </w:rPr>
      </w:pPr>
      <w:r>
        <w:rPr>
          <w:rFonts w:ascii="Arial" w:cs="Arial" w:eastAsia="Arial" w:hAnsi="Arial"/>
          <w:sz w:val="17"/>
          <w:szCs w:val="17"/>
          <w:color w:val="auto"/>
        </w:rPr>
        <w:t>7.3 If the Grantee violates the restrictive covenants set forth in Section 7.1, then the Company shall be entitled to all remedies available in law or equity. In addition (and without limiting the foregoing), if the Grantee violates the restrictive covenants set forth in Section 7.1, the Committee shall, notwithstanding any other provision in this Agreement to the contrary, (i) cancel the outstanding RSUs that are not yet vested or with respect to which Shares have not yet been issued to the Grantee, and (ii) require the Grantee to return to the Company any Shares issued to the Grantee pursuant to vesting of the RSUs (or to pay to the Company the greater of the then current value of any such Shares or the value of the shares as of the applicable Vesting Date) that occurred (or will occur) during the period six (6) months prior to and one (1) year after the Date of Termination.</w:t>
      </w:r>
    </w:p>
    <w:p>
      <w:pPr>
        <w:spacing w:after="0" w:line="1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7.4 The Grantee acknowledges and agrees that the provisions of Section 7.1 are reasonable as to time, scope and territory given the Company’s need to protect its Confidential Information and its relationships and goodwill with its customers, suppliers, employees and contractors, all of which have been developed at great time and expense to the Company. The Grantee represents that he or she has the skills and abilities to obtain alternative employment after the Date of Termination that would not violate the covenants in Section 7.1 and that these covenants do not pose an undue hardship on the Grantee. The Grantee further acknowledges that his or her breach of any of the covenants in Section 7.1 would likely cause irreparable injury to the Company, and therefore entitles the Company to injunctive relief, in addition to any other remedies available in law or equity.</w:t>
      </w:r>
    </w:p>
    <w:p>
      <w:pPr>
        <w:spacing w:after="0" w:line="17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7.5 The Defend Trade Secrets Act (18 U.S.C. § 1833(b)) states: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Grantee shall have the right to disclose in confidence trade secrets to federal, state, and local government officials, or to an attorney, for the sole purpose of reporting or investigating a suspected violation of law. Grantee shall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spacing w:after="0" w:line="188" w:lineRule="exact"/>
        <w:rPr>
          <w:sz w:val="20"/>
          <w:szCs w:val="20"/>
          <w:color w:val="auto"/>
        </w:rPr>
      </w:pPr>
    </w:p>
    <w:p>
      <w:pPr>
        <w:ind w:left="1300"/>
        <w:spacing w:after="0"/>
        <w:tabs>
          <w:tab w:leader="none" w:pos="16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Modification of Agreement; Severability</w:t>
      </w:r>
    </w:p>
    <w:p>
      <w:pPr>
        <w:spacing w:after="0" w:line="229" w:lineRule="exact"/>
        <w:rPr>
          <w:sz w:val="20"/>
          <w:szCs w:val="20"/>
          <w:color w:val="auto"/>
        </w:rPr>
      </w:pPr>
    </w:p>
    <w:p>
      <w:pPr>
        <w:jc w:val="both"/>
        <w:ind w:left="660" w:firstLine="1945"/>
        <w:spacing w:after="0" w:line="297" w:lineRule="auto"/>
        <w:rPr>
          <w:sz w:val="20"/>
          <w:szCs w:val="20"/>
          <w:color w:val="auto"/>
        </w:rPr>
      </w:pPr>
      <w:r>
        <w:rPr>
          <w:rFonts w:ascii="Arial" w:cs="Arial" w:eastAsia="Arial" w:hAnsi="Arial"/>
          <w:sz w:val="16"/>
          <w:szCs w:val="16"/>
          <w:color w:val="auto"/>
        </w:rPr>
        <w:t>If any provision of this Agreement is held by a court of competent jurisdiction to be overly broad or unenforceable for any reason, the parties authorize such court to modify and enforce such provision to the extent the court deems reasonable. If any provision of this Agreement is found by a court to be overbroad or otherwise unenforceable and not capable of modification, it shall be severed and the remaining covenants and clauses enforced in accordance with the tenor of this Agreement. The parties may modify, amend, suspend or terminate this Agreement or may waive any terms or conditions of this Agreement but only by a written instrument executed by the parties hereto.</w:t>
      </w:r>
    </w:p>
    <w:p>
      <w:pPr>
        <w:spacing w:after="0" w:line="15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Governing Law and Forum</w:t>
      </w:r>
    </w:p>
    <w:p>
      <w:pPr>
        <w:spacing w:after="0" w:line="229"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The validity, interpretation, construction, and performance of this Agreement shall be governed by the laws of the state of Georgia without giving effect to the conflicts of laws principles thereof. The parties agree that they will not file any action arising out of or relating in any way to this Agreement other than in the United States District Court for the Northern District of Georgia or the Superior Court of Union County, Georgia. The parties consent to personal jurisdiction and venue solely within these forums and waive all possible objections thereto.</w:t>
      </w:r>
    </w:p>
    <w:p>
      <w:pPr>
        <w:spacing w:after="0" w:line="167"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Successors in Interest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inure to the benefit of, and be binding upon, the Company and its successors and assigns, whether by merger, consolidation, reorganization, sale of assets, or otherwise. This Agreement shall inure to the benefit of the Grantee’s legal representatives. All obligations imposed upon the Grantee and all rights granted to the Company under this Agreement shall be final, binding, and conclusive upon the Grantee’s heirs, executors, administrators, and successors.</w:t>
      </w:r>
    </w:p>
    <w:p>
      <w:pPr>
        <w:sectPr>
          <w:pgSz w:w="11900" w:h="16838" w:orient="portrait"/>
          <w:cols w:equalWidth="0" w:num="1">
            <w:col w:w="11420"/>
          </w:cols>
          <w:pgMar w:left="240" w:top="368" w:right="239" w:bottom="1440" w:gutter="0" w:footer="0" w:header="0"/>
        </w:sectPr>
      </w:pPr>
    </w:p>
    <w:bookmarkStart w:id="87" w:name="page88"/>
    <w:bookmarkEnd w:id="87"/>
    <w:p>
      <w:pPr>
        <w:ind w:left="1300"/>
        <w:spacing w:after="0"/>
        <w:tabs>
          <w:tab w:leader="none" w:pos="16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and the Plan contain the entire agreement and understanding of the parties hereto with respect to the subject matter contained herein and supersede all prior communications, representations and negotiations in respect thereto. Wherever appropriate in this Agreement, personal pronouns shall be deemed to include the other genders and the singular to include the plural. Wherever used in this Agreement, the term “including” means “including, without limitation.”</w:t>
      </w:r>
    </w:p>
    <w:p>
      <w:pPr>
        <w:spacing w:after="0" w:line="183"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Resolution of Disputes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dispute or disagreement which may arise under, or as a result of, or in any way relate to, the interpretation, construction or application of this Agreement and the Plan shall be determined by the Committee. Any determination made by the Committee shall be final, binding and conclusive on the Grantee and the Company and their successors, assigns, heirs, executors, administrators and legal representatives for all purposes.</w:t>
      </w:r>
    </w:p>
    <w:p>
      <w:pPr>
        <w:spacing w:after="0" w:line="16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[EXECUTION PAGE FOLLOWS]</w:t>
      </w:r>
    </w:p>
    <w:p>
      <w:pPr>
        <w:sectPr>
          <w:pgSz w:w="11900" w:h="16838" w:orient="portrait"/>
          <w:cols w:equalWidth="0" w:num="1">
            <w:col w:w="11420"/>
          </w:cols>
          <w:pgMar w:left="240" w:top="364"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date first above written.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accepting this Agreement, the Grantee hereby accepts the RSU grant subject to all its terms and provisions and agrees to be bound by the terms and provisions of this Agreement, including Section 7, the Plan and Schedule A attached hereto, if applicable. The Grantee hereby agrees to accept as binding, conclusive and final all decisions or interpretations of the Board of Directors of the Company, or the Compensation Committee or other Committee responsible for the administration of the Plan, upon any questions arising under the Plan.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accepting this Agreement, the Grantee hereby acknowledges that notwithstanding any other provision herein, and in addition to other restrictions stated herein, any award, or any payment related thereto paid to the Grantee, shall be limited to the extent required by the federal or state regulatory agency having authority over the Company. The Grantee agrees that compliance by the Company with such regulatory restrictions, even to the extent that payments are limited, shall not be a breach of this Agreement by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By accepting this Agreement, the Grantee hereby consents to the holding and processing of personal data provided by him to the Company for all purposes necessary for the operation of the Plan. These include, but are not limited to:</w:t>
      </w:r>
    </w:p>
    <w:p>
      <w:pPr>
        <w:spacing w:after="0" w:line="170" w:lineRule="exact"/>
        <w:rPr>
          <w:sz w:val="20"/>
          <w:szCs w:val="20"/>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administering and maintaining Plan records;</w:t>
      </w:r>
    </w:p>
    <w:p>
      <w:pPr>
        <w:spacing w:after="0" w:line="23"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information to any registrars, brokers or third party administrators of the Plan; and</w:t>
      </w:r>
    </w:p>
    <w:p>
      <w:pPr>
        <w:spacing w:after="0" w:line="9" w:lineRule="exact"/>
        <w:rPr>
          <w:rFonts w:ascii="Arial" w:cs="Arial" w:eastAsia="Arial" w:hAnsi="Arial"/>
          <w:sz w:val="18"/>
          <w:szCs w:val="18"/>
          <w:color w:val="auto"/>
        </w:rPr>
      </w:pPr>
    </w:p>
    <w:p>
      <w:pPr>
        <w:ind w:left="1040" w:hanging="384"/>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information to future purchasers of the Company or the business in which the Grantee works.</w:t>
      </w:r>
    </w:p>
    <w:p>
      <w:pPr>
        <w:sectPr>
          <w:pgSz w:w="11900" w:h="16838" w:orient="portrait"/>
          <w:cols w:equalWidth="0" w:num="1">
            <w:col w:w="11420"/>
          </w:cols>
          <w:pgMar w:left="240" w:top="36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 of the Registrant</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right="20" w:firstLine="656"/>
        <w:spacing w:after="0" w:line="277" w:lineRule="auto"/>
        <w:tabs>
          <w:tab w:leader="none" w:pos="8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 of the</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Registrant</w:t>
      </w:r>
    </w:p>
    <w:p>
      <w:pPr>
        <w:spacing w:after="0" w:line="31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November 8, 2018</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2018 filed with the Securities and Exchange Commission on the date hereof (the “Report”), I, H. Lynn Harton, President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 of operations of United.</w:t>
      </w:r>
    </w:p>
    <w:p>
      <w:pPr>
        <w:spacing w:after="0" w:line="157"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Vice President and Chief Financial Officer</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November 8,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Roman"/>
      <w:start w:val="4"/>
    </w:lvl>
  </w:abstractNum>
  <w:abstractNum w:abstractNumId="13">
    <w:nsid w:val="519B500D"/>
    <w:multiLevelType w:val="hybridMultilevel"/>
    <w:lvl w:ilvl="0">
      <w:lvlJc w:val="left"/>
      <w:lvlText w:val="(%1)"/>
      <w:numFmt w:val="decimal"/>
      <w:start w:val="90"/>
    </w:lvl>
  </w:abstractNum>
  <w:abstractNum w:abstractNumId="14">
    <w:nsid w:val="431BD7B7"/>
    <w:multiLevelType w:val="hybridMultilevel"/>
    <w:lvl w:ilvl="0">
      <w:lvlJc w:val="left"/>
      <w:lvlText w:val="(%1)"/>
      <w:numFmt w:val="lowerRoman"/>
      <w:start w:val="1"/>
    </w:lvl>
  </w:abstractNum>
  <w:abstractNum w:abstractNumId="15">
    <w:nsid w:val="3F2DBA31"/>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3"/>
    </w:lvl>
  </w:abstractNum>
  <w:abstractNum w:abstractNumId="16">
    <w:nsid w:val="7C83E458"/>
    <w:multiLevelType w:val="hybridMultilevel"/>
    <w:lvl w:ilvl="0">
      <w:lvlJc w:val="left"/>
      <w:lvlText w:val="(%1)"/>
      <w:numFmt w:val="lowerRoman"/>
      <w:start w:val="2"/>
    </w:lvl>
    <w:lvl w:ilvl="1">
      <w:lvlJc w:val="left"/>
      <w:lvlText w:val="%2"/>
      <w:numFmt w:val="lowerLetter"/>
      <w:start w:val="1"/>
    </w:lvl>
    <w:lvl w:ilvl="2">
      <w:lvlJc w:val="left"/>
      <w:lvlText w:val="%3"/>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2019-12-28T18:19:17Z</dcterms:created>
  <dcterms:modified xsi:type="dcterms:W3CDTF">2019-12-28T18:19:17Z</dcterms:modified>
</cp:coreProperties>
</file>