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Blairsville, Georgia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30512</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UCBI</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UCBIO</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5"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106,169,829 shares of the registrant’s common stock, par value $1 per share, outstanding as of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8"/>
              </w:rPr>
              <w:t>Glossary of Defined Terms</w:t>
            </w:r>
          </w:p>
        </w:tc>
        <w:tc>
          <w:tcPr>
            <w:tcW w:w="7420" w:type="dxa"/>
            <w:vAlign w:val="bottom"/>
            <w:gridSpan w:val="14"/>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560" w:type="dxa"/>
            <w:vAlign w:val="bottom"/>
            <w:tcBorders>
              <w:top w:val="single" w:sz="8" w:color="CCEEFF"/>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4"/>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shd w:val="clear" w:color="auto" w:fill="CCEEFF"/>
          </w:tcPr>
          <w:p>
            <w:pPr>
              <w:spacing w:after="0"/>
              <w:rPr>
                <w:sz w:val="16"/>
                <w:szCs w:val="16"/>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60" w:type="dxa"/>
            <w:vAlign w:val="bottom"/>
            <w:gridSpan w:val="4"/>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4"/>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b w:val="1"/>
                <w:bCs w:val="1"/>
                <w:color w:val="0000FF"/>
              </w:rPr>
              <w:t>Item 6.</w:t>
            </w: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shd w:val="clear" w:color="auto" w:fill="CCEEFF"/>
          </w:tcPr>
          <w:p>
            <w:pPr>
              <w:spacing w:after="0"/>
              <w:rPr>
                <w:sz w:val="16"/>
                <w:szCs w:val="16"/>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2021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2021 filed with the SEC on February 25,</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Aquesta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Aquesta Financial Holdings, Inc. and its wholly-owned subsidiary, Aquesta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model</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175"/>
        </w:trPr>
        <w:tc>
          <w:tcPr>
            <w:tcW w:w="2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FinTrust Capital Partners, LLC, and its operating subsidiaries, FinTrust Capital Advisors, LLC, FinTrust Capital</w:t>
            </w:r>
          </w:p>
        </w:tc>
      </w:tr>
      <w:tr>
        <w:trPr>
          <w:trHeight w:val="239"/>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Group, LLC and FinTrust Brokerage Services, LLC</w:t>
            </w:r>
          </w:p>
        </w:tc>
      </w:tr>
      <w:tr>
        <w:trPr>
          <w:trHeight w:val="234"/>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HELOC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Reliant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Reliant Bancorp, Inc. and its wholly-owned subsidiary, Reliant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TDR</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Troubled debt restructuring</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bl>
    <w:p>
      <w:pPr>
        <w:spacing w:after="0" w:line="200" w:lineRule="exact"/>
        <w:rPr>
          <w:sz w:val="20"/>
          <w:szCs w:val="20"/>
          <w:color w:val="auto"/>
        </w:rPr>
      </w:pP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(including the expected completion date of the Progress transaction), and statements about our future performance, operations, products and services, and should be viewed with caution.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COVID-19’s continuing effects on the economic and business environments in which we operate;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interest rate environment, including interest rate changes made by the Federal Reserve, the discontinuation of LIBOR as an interest rate benchmark, and cash flow reassessments, may reduce net interest margin and/or the volumes and values of loans made or held as well as the value of other financial assets;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anticipated adverse conditions greater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recent, pending or potential future mergers or acquisitions, including our ability to successfully complete acquisitions and therefore, to integrate or expand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(e.g., tax),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arising out of the COVID-19 pandemic, inflation, changing interest rates or other factors;</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development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the ability to pay dividends to shareholders or undertake other capital initiatives, such as share repurchases;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2021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2,147,266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and other short-term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0" w:type="dxa"/>
            <w:vAlign w:val="bottom"/>
          </w:tcPr>
          <w:p>
            <w:pPr>
              <w:spacing w:after="0"/>
              <w:rPr>
                <w:sz w:val="1"/>
                <w:szCs w:val="1"/>
                <w:color w:val="auto"/>
              </w:rPr>
            </w:pPr>
          </w:p>
        </w:tc>
      </w:tr>
      <w:tr>
        <w:trPr>
          <w:trHeight w:val="207"/>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2,318,510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$2,241,160 and $1,148,804, respectively)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0" w:type="dxa"/>
            <w:vAlign w:val="bottom"/>
          </w:tcPr>
          <w:p>
            <w:pPr>
              <w:spacing w:after="0"/>
              <w:rPr>
                <w:sz w:val="1"/>
                <w:szCs w:val="1"/>
                <w:color w:val="auto"/>
              </w:rPr>
            </w:pPr>
          </w:p>
        </w:tc>
      </w:tr>
      <w:tr>
        <w:trPr>
          <w:trHeight w:val="207"/>
        </w:trPr>
        <w:tc>
          <w:tcPr>
            <w:tcW w:w="8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14,733,982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217,713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538,765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338,000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23,687,855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12,123,013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11,284,198</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20,321,142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235,987</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21,053,145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18,724,526</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$1 par value: 10,000,000 shares authorized;</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4,000 shares Series I issued and outstanding; $25,000 per share liquidation preference</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106,162,861 and 89,349,826 shares issued and outstanding, respectively</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issuable: 596,365 and 595,705 shares, respectively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2,304,514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2,634,710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23,687,855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340" w:type="dxa"/>
            <w:vAlign w:val="bottom"/>
            <w:gridSpan w:val="4"/>
          </w:tcPr>
          <w:p>
            <w:pPr>
              <w:jc w:val="right"/>
              <w:ind w:right="58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10"/>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02"/>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7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
        </w:trPr>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174,065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382,261</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 including tax exempt of $2,568, $2,280, $7,762 and $6,685, respectively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51,530</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r>
      <w:tr>
        <w:trPr>
          <w:trHeight w:val="189"/>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213,887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147,675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435,026</w:t>
            </w:r>
          </w:p>
        </w:tc>
      </w:tr>
      <w:tr>
        <w:trPr>
          <w:trHeight w:val="189"/>
        </w:trPr>
        <w:tc>
          <w:tcPr>
            <w:tcW w:w="5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11,981</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w:t>
            </w:r>
          </w:p>
        </w:tc>
      </w:tr>
      <w:tr>
        <w:trPr>
          <w:trHeight w:val="189"/>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23,547</w:t>
            </w:r>
          </w:p>
        </w:tc>
      </w:tr>
      <w:tr>
        <w:trPr>
          <w:trHeight w:val="20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199,774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542,469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411,479</w:t>
            </w:r>
          </w:p>
        </w:tc>
      </w:tr>
      <w:tr>
        <w:trPr>
          <w:trHeight w:val="196"/>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44,082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(36,903)</w:t>
            </w:r>
          </w:p>
        </w:tc>
      </w:tr>
      <w:tr>
        <w:trPr>
          <w:trHeight w:val="19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184,382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498,387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448,382</w:t>
            </w:r>
          </w:p>
        </w:tc>
      </w:tr>
      <w:tr>
        <w:trPr>
          <w:trHeight w:val="189"/>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25,255</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47,536</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12,881</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Gains from sales of other loans,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gains (losses), net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6"/>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20,352</w:t>
            </w:r>
          </w:p>
        </w:tc>
      </w:tr>
      <w:tr>
        <w:trPr>
          <w:trHeight w:val="20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104,353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120,641</w:t>
            </w:r>
          </w:p>
        </w:tc>
      </w:tr>
      <w:tr>
        <w:trPr>
          <w:trHeight w:val="190"/>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216,304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602,740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569,023</w:t>
            </w:r>
          </w:p>
        </w:tc>
      </w:tr>
      <w:tr>
        <w:trPr>
          <w:trHeight w:val="189"/>
        </w:trPr>
        <w:tc>
          <w:tcPr>
            <w:tcW w:w="5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6"/>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180,457</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21,979</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14,509</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8,508</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6,811</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r>
      <w:tr>
        <w:trPr>
          <w:trHeight w:val="196"/>
        </w:trPr>
        <w:tc>
          <w:tcPr>
            <w:tcW w:w="5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12,248</w:t>
            </w:r>
          </w:p>
        </w:tc>
      </w:tr>
      <w:tr>
        <w:trPr>
          <w:trHeight w:val="203"/>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352,820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287,483</w:t>
            </w:r>
          </w:p>
        </w:tc>
      </w:tr>
      <w:tr>
        <w:trPr>
          <w:trHeight w:val="189"/>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103,549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281,540</w:t>
            </w:r>
          </w:p>
        </w:tc>
      </w:tr>
      <w:tr>
        <w:trPr>
          <w:trHeight w:val="20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22,388</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63,758</w:t>
            </w:r>
          </w:p>
        </w:tc>
      </w:tr>
      <w:tr>
        <w:trPr>
          <w:trHeight w:val="203"/>
        </w:trPr>
        <w:tc>
          <w:tcPr>
            <w:tcW w:w="5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196,022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217,782</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0"/>
        </w:trPr>
        <w:tc>
          <w:tcPr>
            <w:tcW w:w="5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3"/>
        </w:trPr>
        <w:tc>
          <w:tcPr>
            <w:tcW w:w="5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79,035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189,858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211,283</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5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5"/>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106,687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87,274</w:t>
            </w:r>
          </w:p>
        </w:tc>
      </w:tr>
      <w:tr>
        <w:trPr>
          <w:trHeight w:val="21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87,413</w:t>
            </w:r>
          </w:p>
        </w:tc>
      </w:tr>
    </w:tbl>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(Loss) </w:t>
      </w: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9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5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103,549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196,022</w:t>
            </w:r>
          </w:p>
        </w:tc>
        <w:tc>
          <w:tcPr>
            <w:tcW w:w="0" w:type="dxa"/>
            <w:vAlign w:val="bottom"/>
          </w:tcPr>
          <w:p>
            <w:pPr>
              <w:spacing w:after="0"/>
              <w:rPr>
                <w:sz w:val="1"/>
                <w:szCs w:val="1"/>
                <w:color w:val="auto"/>
              </w:rPr>
            </w:pPr>
          </w:p>
        </w:tc>
      </w:tr>
      <w:tr>
        <w:trPr>
          <w:trHeight w:val="21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Unrealized holding losses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(328,338)</w:t>
            </w: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of securities from available-for-sale to held-to-maturity</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0" w:type="dxa"/>
            <w:vAlign w:val="bottom"/>
          </w:tcPr>
          <w:p>
            <w:pPr>
              <w:spacing w:after="0"/>
              <w:rPr>
                <w:sz w:val="1"/>
                <w:szCs w:val="1"/>
                <w:color w:val="auto"/>
              </w:rPr>
            </w:pPr>
          </w:p>
        </w:tc>
      </w:tr>
      <w:tr>
        <w:trPr>
          <w:trHeight w:val="211"/>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losses included in net income</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79,520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(258,955)</w:t>
            </w:r>
          </w:p>
        </w:tc>
        <w:tc>
          <w:tcPr>
            <w:tcW w:w="0" w:type="dxa"/>
            <w:vAlign w:val="bottom"/>
          </w:tcPr>
          <w:p>
            <w:pPr>
              <w:spacing w:after="0"/>
              <w:rPr>
                <w:sz w:val="1"/>
                <w:szCs w:val="1"/>
                <w:color w:val="auto"/>
              </w:rPr>
            </w:pPr>
          </w:p>
        </w:tc>
      </w:tr>
      <w:tr>
        <w:trPr>
          <w:trHeight w:val="211"/>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Unrealized losses on held-to-maturity securities transferred from available-for-sale: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Reclassification of unrealized losses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Amortization of unrealized losses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4,473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activity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(61,927)</w:t>
            </w:r>
          </w:p>
        </w:tc>
        <w:tc>
          <w:tcPr>
            <w:tcW w:w="0" w:type="dxa"/>
            <w:vAlign w:val="bottom"/>
          </w:tcPr>
          <w:p>
            <w:pPr>
              <w:spacing w:after="0"/>
              <w:rPr>
                <w:sz w:val="1"/>
                <w:szCs w:val="1"/>
                <w:color w:val="auto"/>
              </w:rPr>
            </w:pPr>
          </w:p>
        </w:tc>
      </w:tr>
      <w:tr>
        <w:trPr>
          <w:trHeight w:val="211"/>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9,615</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Losses on derivative instruments realized in net income</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9,835</w:t>
            </w:r>
          </w:p>
        </w:tc>
        <w:tc>
          <w:tcPr>
            <w:tcW w:w="0" w:type="dxa"/>
            <w:vAlign w:val="bottom"/>
          </w:tcPr>
          <w:p>
            <w:pPr>
              <w:spacing w:after="0"/>
              <w:rPr>
                <w:sz w:val="1"/>
                <w:szCs w:val="1"/>
                <w:color w:val="auto"/>
              </w:rPr>
            </w:pPr>
          </w:p>
        </w:tc>
      </w:tr>
      <w:tr>
        <w:trPr>
          <w:trHeight w:val="211"/>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9"/>
        </w:trPr>
        <w:tc>
          <w:tcPr>
            <w:tcW w:w="5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95,291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(310,667)</w:t>
            </w:r>
          </w:p>
        </w:tc>
        <w:tc>
          <w:tcPr>
            <w:tcW w:w="0" w:type="dxa"/>
            <w:vAlign w:val="bottom"/>
          </w:tcPr>
          <w:p>
            <w:pPr>
              <w:spacing w:after="0"/>
              <w:rPr>
                <w:sz w:val="1"/>
                <w:szCs w:val="1"/>
                <w:color w:val="auto"/>
              </w:rPr>
            </w:pPr>
          </w:p>
        </w:tc>
      </w:tr>
      <w:tr>
        <w:trPr>
          <w:trHeight w:val="214"/>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8,519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41,393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(114,645)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95,419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217,782</w:t>
            </w:r>
          </w:p>
        </w:tc>
        <w:tc>
          <w:tcPr>
            <w:tcW w:w="0" w:type="dxa"/>
            <w:vAlign w:val="bottom"/>
          </w:tcPr>
          <w:p>
            <w:pPr>
              <w:spacing w:after="0"/>
              <w:rPr>
                <w:sz w:val="1"/>
                <w:szCs w:val="1"/>
                <w:color w:val="auto"/>
              </w:rPr>
            </w:pPr>
          </w:p>
        </w:tc>
      </w:tr>
      <w:tr>
        <w:trPr>
          <w:trHeight w:val="21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Unrealized holding losses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(43,116)</w:t>
            </w: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 gains included in net income</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5"/>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unrealized losses</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15,780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(43,143)</w:t>
            </w: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Losses on derivative instruments realized in net income</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5"/>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05"/>
        </w:trPr>
        <w:tc>
          <w:tcPr>
            <w:tcW w:w="56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14,579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(39,643)</w:t>
            </w:r>
          </w:p>
        </w:tc>
        <w:tc>
          <w:tcPr>
            <w:tcW w:w="0" w:type="dxa"/>
            <w:vAlign w:val="bottom"/>
          </w:tcPr>
          <w:p>
            <w:pPr>
              <w:spacing w:after="0"/>
              <w:rPr>
                <w:sz w:val="1"/>
                <w:szCs w:val="1"/>
                <w:color w:val="auto"/>
              </w:rPr>
            </w:pPr>
          </w:p>
        </w:tc>
      </w:tr>
      <w:tr>
        <w:trPr>
          <w:trHeight w:val="239"/>
        </w:trPr>
        <w:tc>
          <w:tcPr>
            <w:tcW w:w="5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77,348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178,139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86,664,894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1,636,875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2,086,286</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73,816</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for acquisitions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($0.20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86,558,647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86,559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1,631,709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298,503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2,122,358</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106,033,960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106,034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2,304,608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396,970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(264,194)</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2,651,288</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(72,949)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(72,949)</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($0.22 per share)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(23,624)</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106,162,861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2,304,514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452,788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(337,143)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2,634,710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86,675,279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2,007,530</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217,782</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(39,643)</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for acquisitions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($0.58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86,558,647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86,559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1,631,709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298,503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2,122,358</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89,349,826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1,721,007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(26,476)</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2,222,245</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196,022</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(310,667)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(310,667)</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acquisitions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596,376</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($0.64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106,162,861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106,163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2,304,514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452,788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(337,143)</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2,634,710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0"/>
        </w:trPr>
        <w:tc>
          <w:tcPr>
            <w:tcW w:w="8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196,022</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217,782</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accretion,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(8,082)</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(release of) credit losses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(36,903)</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4,814</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21,290</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Securities losses (gains),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from sales of other loans,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(7,506)</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32,952</w:t>
            </w:r>
          </w:p>
        </w:tc>
      </w:tr>
      <w:tr>
        <w:trPr>
          <w:trHeight w:val="200"/>
        </w:trPr>
        <w:tc>
          <w:tcPr>
            <w:tcW w:w="83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92,084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21,597</w:t>
            </w: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Loans held for sale</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136,405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37,009</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508,402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282,912</w:t>
            </w:r>
          </w:p>
        </w:tc>
      </w:tr>
      <w:tr>
        <w:trPr>
          <w:trHeight w:val="185"/>
        </w:trPr>
        <w:tc>
          <w:tcPr>
            <w:tcW w:w="8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securities held-to-maturity: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140,253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51,770</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(326,494)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(716,399)</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securities available-for-sale: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103,012</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493,848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709,435</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(1,665,466)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(1,909,879)</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(increase) decrease in loans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(772,740)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234,855</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investments, outflows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(12,664)</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investments, inflows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7,007</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sales of premises and equipment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2,272</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premises and equipment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(19,733)</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received in (paid for) acquisition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(9,484)</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sale of other real estate and repossessed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2,404</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investing outflows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20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investing inflows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767</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(1,843,641)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(1,556,847)</w:t>
            </w:r>
          </w:p>
        </w:tc>
      </w:tr>
      <w:tr>
        <w:trPr>
          <w:trHeight w:val="185"/>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(decrease) increase in deposits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(423,750)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1,634,947</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(80,632)</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FHLB advances</w:t>
            </w: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10,000</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(15,101)</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dividends on common stock</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(49,313)</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dividends on preferred stock</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(5,157)</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financing inflows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406</w:t>
            </w:r>
          </w:p>
        </w:tc>
      </w:tr>
      <w:tr>
        <w:trPr>
          <w:trHeight w:val="20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financing outflows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(2,041)</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(499,251)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1,483,109</w:t>
            </w:r>
          </w:p>
        </w:tc>
      </w:tr>
      <w:tr>
        <w:trPr>
          <w:trHeight w:val="185"/>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(1,834,490)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209,174</w:t>
            </w: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2,318,510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1,608,619</w:t>
            </w:r>
          </w:p>
        </w:tc>
      </w:tr>
      <w:tr>
        <w:trPr>
          <w:trHeight w:val="183"/>
        </w:trPr>
        <w:tc>
          <w:tcPr>
            <w:tcW w:w="8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484,020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1,817,793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2021 10-K.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2021 10-K.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Standards Updates and Recently Adopted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United adopted this update as of January 1, 2022, with no material impact on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Standards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For public entities, this guidance is effective for fiscal years beginning after December 15, 2022. United does not expect the new guidance to have a material impact on the consolidated financial statements.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update eliminates the previous accounting guidance for TDRs by creditors, while enhancing disclosure requirements for certain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refinancings and restructurings when a borrower is experiencing financial difficulty. The update also requires that an entity disclose current-period gross charge-offs by year of origination. For public entities, this guidance is effective for fiscal years beginning after December 15, 2022. United does not expect the new guidance to have a material impact on the consolidated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update clarifies that a contractual restriction on the sale of an equity security is not considered part of the unit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therefore, is not considered in measuring fair value. For public entities, this guidance is effective for fiscal years beginning after December 15, 2023. United does not expect the new guidance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Cash Flow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supplemental schedule of significant non-cash investing and financing activities for the nine months ended September 30, 2022 and 2021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Transfers of loans to repossessed and foreclosed properties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Unsettled securities purchases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Transfers of AFS securities to HTM securities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22,823</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and options converted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purchase price and contingent consideration</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Reliant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2022, United acquired all of the outstanding common stock of Reliant in a stock transaction. Reliant operated a 25-branch network primarily located in Middle Tennessee. United’s operating results for the three and nine months ended September 30, 2022 include the operating results of the acquired business for the period subsequent to the acquisition date of January 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purchased assets and assumed liabilities were recorded at their acquisition date fair values and are summarized in the table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6"/>
                <w:szCs w:val="16"/>
                <w:b w:val="1"/>
                <w:bCs w:val="1"/>
                <w:color w:val="auto"/>
              </w:rPr>
              <w:t>Reliant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Fair Value Recorded by United </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960" w:type="dxa"/>
            <w:vAlign w:val="bottom"/>
            <w:tcBorders>
              <w:bottom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2,320,737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35,631</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96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59,768</w:t>
            </w:r>
          </w:p>
        </w:tc>
        <w:tc>
          <w:tcPr>
            <w:tcW w:w="1960" w:type="dxa"/>
            <w:vAlign w:val="bottom"/>
            <w:shd w:val="clear" w:color="auto" w:fill="CCEEFF"/>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2,955,006</w:t>
            </w:r>
          </w:p>
        </w:tc>
        <w:tc>
          <w:tcPr>
            <w:tcW w:w="1960" w:type="dxa"/>
            <w:vAlign w:val="bottom"/>
          </w:tcPr>
          <w:p>
            <w:pPr>
              <w:spacing w:after="0"/>
              <w:rPr>
                <w:sz w:val="18"/>
                <w:szCs w:val="18"/>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r>
      <w:tr>
        <w:trPr>
          <w:trHeight w:val="183"/>
        </w:trPr>
        <w:tc>
          <w:tcPr>
            <w:tcW w:w="1940" w:type="dxa"/>
            <w:vAlign w:val="bottom"/>
            <w:shd w:val="clear" w:color="auto" w:fill="CCEEFF"/>
          </w:tcPr>
          <w:p>
            <w:pPr>
              <w:spacing w:after="0"/>
              <w:rPr>
                <w:sz w:val="15"/>
                <w:szCs w:val="15"/>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2,504,823</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1960" w:type="dxa"/>
            <w:vAlign w:val="bottom"/>
            <w:tcBorders>
              <w:bottom w:val="single" w:sz="8" w:color="CCEEFF"/>
            </w:tcBorders>
          </w:tcPr>
          <w:p>
            <w:pPr>
              <w:spacing w:after="0"/>
              <w:rPr>
                <w:sz w:val="17"/>
                <w:szCs w:val="17"/>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297,833</w:t>
            </w:r>
          </w:p>
        </w:tc>
        <w:tc>
          <w:tcPr>
            <w:tcW w:w="1960" w:type="dxa"/>
            <w:vAlign w:val="bottom"/>
            <w:shd w:val="clear" w:color="auto" w:fill="CCEEFF"/>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8"/>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960" w:type="dxa"/>
            <w:vAlign w:val="bottom"/>
            <w:shd w:val="clear" w:color="auto" w:fill="CCEEFF"/>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(16,571,545 shares)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595,581</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converted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1960" w:type="dxa"/>
            <w:vAlign w:val="bottom"/>
            <w:tcBorders>
              <w:bottom w:val="single" w:sz="8" w:color="CCEEFF"/>
            </w:tcBorders>
          </w:tcPr>
          <w:p>
            <w:pPr>
              <w:spacing w:after="0"/>
              <w:rPr>
                <w:sz w:val="17"/>
                <w:szCs w:val="17"/>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299,167</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firstLine="8"/>
        <w:spacing w:after="0" w:line="254" w:lineRule="auto"/>
        <w:tabs>
          <w:tab w:leader="none" w:pos="16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intangible value of Reliant’s business and reputation within the markets it served and is not expected to be deductible for income tax purposes. The Reliant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additional information related to the acquired Reliant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Par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258,462</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ACL at acquisition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Purchase price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242,431</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2,078,306</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2,355,205</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25,990</w:t>
            </w:r>
          </w:p>
        </w:tc>
        <w:tc>
          <w:tcPr>
            <w:tcW w:w="2300" w:type="dxa"/>
            <w:vAlign w:val="bottom"/>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discloses the impact of the Reliant acquisition since the date of acquisition. The table also presents certain pro forma information as if Reliant had been acquired on January 1, 2021 and FinTrust had been acquired January 1, 2020.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earlier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Merger-related costs from the Reliant acquisition of $760,000 and $14.8 million have been excluded from the three and nine months ended September 30, 2022 pro forma information presented below and included in the three and nine months ended September 30, 2021 pro forma information presented below. Merger-related costs from the FinTrust acquisition of $262,000 and $515,000, respectively, have been excluded from the three and nine months ended September 30, 2021 pro forma information presented below. The actual results and pro forma information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44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Reliant results included in statement of income since acquisition date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32,931</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219,010</w:t>
            </w:r>
          </w:p>
        </w:tc>
        <w:tc>
          <w:tcPr>
            <w:tcW w:w="0" w:type="dxa"/>
            <w:vAlign w:val="bottom"/>
          </w:tcPr>
          <w:p>
            <w:pPr>
              <w:spacing w:after="0"/>
              <w:rPr>
                <w:sz w:val="1"/>
                <w:szCs w:val="1"/>
                <w:color w:val="auto"/>
              </w:rPr>
            </w:pPr>
          </w:p>
        </w:tc>
      </w:tr>
      <w:tr>
        <w:trPr>
          <w:trHeight w:val="273"/>
        </w:trPr>
        <w:tc>
          <w:tcPr>
            <w:tcW w:w="5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FinTrust results included in statement of income since acquisition date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62"/>
        </w:trPr>
        <w:tc>
          <w:tcPr>
            <w:tcW w:w="5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232,667</w:t>
            </w: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86,576</w:t>
            </w:r>
          </w:p>
        </w:tc>
        <w:tc>
          <w:tcPr>
            <w:tcW w:w="14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672,405</w:t>
            </w: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233,053</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FinTrust had been acquired January 1, 2020</w:t>
            </w:r>
          </w:p>
        </w:tc>
        <w:tc>
          <w:tcPr>
            <w:tcW w:w="3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Announced Acquisition of Progress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4, 2022, United announced an agreement to acquire Progress Financial Corporation and its wholly-owned subsidiary, Progress Bank &amp; Trust, collectively referred to as “Progress”. Progress is headquartered in Huntsville, Alabama, and operates 14 offices in high-growth southeastern markets, including Huntsville, Birmingham, Daphne and Tuscaloosa in Alabama and the Florida Panhandle. As of September 30, 2022, Progress had total assets of $1.74 billion, total loans of $1.41 billion, and total deposits of $1.50 billion. The merger, which is subject to regulatory approval and other customary conditions, is expected to close in the first quarter of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2022, United transferred AFS debt securities to HTM with a fair value on the transfer date of $1.29 billion, which included unrealized losses recorded in AOCI totaling $87.4 million. No securities were transferred from AFS to HTM during the third quarter of 2022. Transfer date unrealized losses are amortized and reclassified out of AOCI as a yield adjustment, which is offset by discount accretion of the transferred HTM securities. Amortization of transfer date unrealized losses and discount accretion are recognized over the remaining life of the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HTM debt securities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17,253</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81,345</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231,385</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1,291,801</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606,985</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w:t>
            </w: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2,676,405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435,304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2,241,160</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69,059</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257,949</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379,975</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406,977</w:t>
            </w:r>
          </w:p>
        </w:tc>
      </w:tr>
      <w:tr>
        <w:trPr>
          <w:trHeight w:val="213"/>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15,021</w:t>
            </w: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AFS debt securities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194,301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178,473</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256,026</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315,502</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1,497,648</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359,242</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673,071</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30,532</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225,910</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326,482</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4,221,066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3,862,886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217,520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187,032</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2,060,964</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84,170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857,381</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193,166</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603,824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604,277</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$1.96 billion and $1.46 billion were pledged, primarily to secure public deposits, at September 30, 2022 and December 31, 2021, respectively.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HTM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227,307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1,142,555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1,089,533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240,343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2,232,088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435,304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AFS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86,051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178,473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1,213,430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26,635</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3,719,473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359,494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195,164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2,787,798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164,323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2,952,121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there were 755 AFS debt securities and 326 HTM debt securities that were in an unrealized loss position. United does not intend to sell nor does it believe it will be required to sell securities in an unrealized loss position prior to the recovery of their amortized cost basis. Unrealized losses at September 30, 2022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and December 31, 2021,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September 30, 2022 or December 31, 2021. In addition, based on the assessments performed at September 30, 2022 and December 31, 2021, there was no ACL required related to the AFS portfolio.</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accrued interest receivable for the periods indicated on HTM and AFS debt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which was excluded from the estimate of credit losses.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1"/>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amortized cost and fair value of AFS and HTM debt securities at September 30, 2022, by contractual maturity, are presented in the following table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14,067</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349,011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14,067</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17,253</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45,109</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26,712</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264,886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101,465</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36,236</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185,405</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319,647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296,625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221,641</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1,291,801</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606,985</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4,221,066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3,862,886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2,676,405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2,241,160</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AFS securities sales activity for the three and nine months ended September 30, 2022 and 2021 </w:t>
      </w:r>
      <w:r>
        <w:rPr>
          <w:rFonts w:ascii="Times New Roman" w:cs="Times New Roman" w:eastAsia="Times New Roman" w:hAnsi="Times New Roman"/>
          <w:sz w:val="18"/>
          <w:szCs w:val="18"/>
          <w:i w:val="1"/>
          <w:i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74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3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8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10"/>
        </w:trPr>
        <w:tc>
          <w:tcPr>
            <w:tcW w:w="58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36"/>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103,012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8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37"/>
        </w:trPr>
        <w:tc>
          <w:tcPr>
            <w:tcW w:w="5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attributable to sales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Major classifications of the loan and lease portfolio (collectively referred to as the “loan portfolio” or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2,700,345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2,321,685</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2,600,858</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Times New Roman" w:cs="Times New Roman" w:eastAsia="Times New Roman" w:hAnsi="Times New Roman"/>
                <w:sz w:val="16"/>
                <w:szCs w:val="16"/>
                <w:color w:val="auto"/>
              </w:rPr>
              <w:t xml:space="preserve">Commercial &amp; industrial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2,237,591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1,910,162</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Commercial construction</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1,514,145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1,014,830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Equipment financing</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1,083,021</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11,031,784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8,930,556</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1,637,885</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HELOC</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694,034</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359,815</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Manufactured housing</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jc w:val="right"/>
              <w:ind w:right="17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loans</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14,882,484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Less allowance for credit losses - loans</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1680" w:type="dxa"/>
            <w:vAlign w:val="bottom"/>
            <w:shd w:val="clear" w:color="auto" w:fill="CCEEFF"/>
          </w:tcPr>
          <w:p>
            <w:pPr>
              <w:spacing w:after="0"/>
              <w:rPr>
                <w:sz w:val="19"/>
                <w:szCs w:val="19"/>
                <w:color w:val="auto"/>
              </w:rPr>
            </w:pPr>
          </w:p>
        </w:tc>
      </w:tr>
      <w:tr>
        <w:trPr>
          <w:trHeight w:val="209"/>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Loans,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14,733,982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680" w:type="dxa"/>
            <w:vAlign w:val="bottom"/>
          </w:tcPr>
          <w:p>
            <w:pPr>
              <w:spacing w:after="0"/>
              <w:rPr>
                <w:sz w:val="18"/>
                <w:szCs w:val="18"/>
                <w:color w:val="auto"/>
              </w:rPr>
            </w:pPr>
          </w:p>
        </w:tc>
      </w:tr>
      <w:tr>
        <w:trPr>
          <w:trHeight w:val="21"/>
        </w:trPr>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Commercial and industrial loans as of September 30, 2022 and December 31, 2021 included $2.44 million and $88.3 million of PPP loans, respectively.</w:t>
      </w: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$43.1 million and $28.5 million at September 30, 2022 and December 31, 2021,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the loan portfolio was subject to blanket pledges on certain qualifying loan types with the FHLB and FRB to secure contingent funding sources.</w:t>
      </w:r>
    </w:p>
    <w:p>
      <w:pPr>
        <w:spacing w:after="0" w:line="1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the amortized cost of loans held for investment that were sold in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The gains on these loan sales were included in noninterest income on the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57,132</w:t>
            </w: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39,240</w:t>
            </w:r>
          </w:p>
        </w:tc>
      </w:tr>
      <w:tr>
        <w:trPr>
          <w:trHeight w:val="237"/>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96,372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2022 and December 31, 2021, equipment financing receivables included leases of $44.0 million and $37.7 million, respectively. The components of the net investment in leases, which included both sales-type and direct financing,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39,962</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37,728</w:t>
            </w:r>
          </w:p>
        </w:tc>
        <w:tc>
          <w:tcPr>
            <w:tcW w:w="16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Minimum future lease payments expected to be received from equipment financing lease contracts as of September 30, 2022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Remainder of 2022</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16,041</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11,714</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47,177</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 HFI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aging of the amortized cost basis in loans by aging category and accrual status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due status is based on contractual terms of the loan. The accrual of interest is generally discontinued when a loan becomes 90 days past due.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2,696,495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2,700,345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3,298,847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2,237,591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1,513,544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1,514,145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1,280,856</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11,002,210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9,519</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11,031,784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2,149,490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832,140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422,737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300,874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145,459</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14,828,421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16,519</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14,882,484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2,321,685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2,600,858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1,910,162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1,014,830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1,083,021</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8,909,189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8,930,556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1,637,885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694,034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11,720,062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nonaccrual loans held for investment by loan class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Equipment Financing Receivables and Consumer Purpose Loans. </w:t>
      </w:r>
      <w:r>
        <w:rPr>
          <w:rFonts w:ascii="Times New Roman" w:cs="Times New Roman" w:eastAsia="Times New Roman" w:hAnsi="Times New Roman"/>
          <w:sz w:val="18"/>
          <w:szCs w:val="18"/>
          <w:color w:val="auto"/>
        </w:rPr>
        <w:t>United applies a pass / fail grading system to all equipment financing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purpose loans. Under this system, loans that are on nonaccrual 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risk category of term loans by vintage year, which is the year of origination or most recent renewal, as of the date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537,628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690,355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630,238</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217,689</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132,341</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297,665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107,380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2,619,244</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770,008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301,271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3,075,237</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2,094,594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1,481,070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1,276,735</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2,621,763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2,832,709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2,071,838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10,546,880</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762,959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2,135,913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830,467</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422,557</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295,538</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145,367</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3,637,701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3,831,285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2,486,035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1,021,245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575,987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1,014,813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1,748,209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14,376,722</w:t>
            </w:r>
          </w:p>
        </w:tc>
        <w:tc>
          <w:tcPr>
            <w:tcW w:w="0" w:type="dxa"/>
            <w:vAlign w:val="bottom"/>
          </w:tcPr>
          <w:p>
            <w:pPr>
              <w:spacing w:after="0"/>
              <w:rPr>
                <w:sz w:val="1"/>
                <w:szCs w:val="1"/>
                <w:color w:val="auto"/>
              </w:rPr>
            </w:pPr>
          </w:p>
        </w:tc>
      </w:tr>
      <w:tr>
        <w:trPr>
          <w:trHeight w:val="176"/>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44,460</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157,224</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91,212</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18,892</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56,653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43,857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311,788</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56,653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43,857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311,788</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36,641</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66,386</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51,785</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173,116</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13,577</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193,974</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3,756,156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3,896,776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2,553,622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1,087,346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1,076,504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14,882,484</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643,151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674,124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278,702</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153,233</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139,584</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267,460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68,354</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2,241,758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2,339,947</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1,866,524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922,704</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1,080,737</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2,892,353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2,197,828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1,109,201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8,451,670</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1,620,143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691,539</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359,021</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137,859</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4,056,001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2,613,439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1,230,851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686,372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805,770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1,345,755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11,260,232</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40,946</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176,476</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77,966</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38,981</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84,435</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174,475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17,742</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195,703</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4,181,120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2,679,991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1,302,346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785,543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1,352,903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11,760,346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 w:right="4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Troubled Debt Restructurings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September 30, 2022 and December 31, 2021, United had TDRs totaling $42.9 million and $52.4 million, respectively. Loans modified under the terms of a TDR during the three and nine months ended September 30, 2022 and 2021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New TDRs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TDRs Modified Within the Previous</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3"/>
            <w:vMerge w:val="restart"/>
          </w:tcPr>
          <w:p>
            <w:pPr>
              <w:jc w:val="center"/>
              <w:ind w:left="253"/>
              <w:spacing w:after="0" w:line="135" w:lineRule="exact"/>
              <w:rPr>
                <w:sz w:val="20"/>
                <w:szCs w:val="20"/>
                <w:color w:val="auto"/>
              </w:rPr>
            </w:pPr>
            <w:r>
              <w:rPr>
                <w:rFonts w:ascii="Times New Roman" w:cs="Times New Roman" w:eastAsia="Times New Roman" w:hAnsi="Times New Roman"/>
                <w:sz w:val="13"/>
                <w:szCs w:val="13"/>
                <w:b w:val="1"/>
                <w:bCs w:val="1"/>
                <w:color w:val="auto"/>
              </w:rPr>
              <w:t>Twelve Months That Have</w:t>
            </w: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580" w:type="dxa"/>
            <w:vAlign w:val="bottom"/>
            <w:gridSpan w:val="11"/>
            <w:vMerge w:val="restart"/>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Post-Modification Amortized Cost by Type of Modification</w:t>
            </w:r>
          </w:p>
        </w:tc>
        <w:tc>
          <w:tcPr>
            <w:tcW w:w="100" w:type="dxa"/>
            <w:vAlign w:val="bottom"/>
            <w:vMerge w:val="restart"/>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auto"/>
            </w:tcBorders>
            <w:gridSpan w:val="1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20" w:type="dxa"/>
            <w:vAlign w:val="bottom"/>
            <w:tcBorders>
              <w:bottom w:val="single" w:sz="8" w:color="auto"/>
            </w:tcBorders>
            <w:gridSpan w:val="3"/>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Subsequently Defaulted</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left="133"/>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53"/>
              <w:spacing w:after="0" w:line="135" w:lineRule="exact"/>
              <w:rPr>
                <w:sz w:val="20"/>
                <w:szCs w:val="20"/>
                <w:color w:val="auto"/>
              </w:rPr>
            </w:pPr>
            <w:r>
              <w:rPr>
                <w:rFonts w:ascii="Times New Roman" w:cs="Times New Roman" w:eastAsia="Times New Roman" w:hAnsi="Times New Roman"/>
                <w:sz w:val="13"/>
                <w:szCs w:val="13"/>
                <w:b w:val="1"/>
                <w:bCs w:val="1"/>
                <w:color w:val="auto"/>
              </w:rPr>
              <w:t>Rate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Structure</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2022</w:t>
            </w:r>
          </w:p>
        </w:tc>
        <w:tc>
          <w:tcPr>
            <w:tcW w:w="1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11</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Manufactured housing</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2022</w:t>
            </w:r>
          </w:p>
        </w:tc>
        <w:tc>
          <w:tcPr>
            <w:tcW w:w="96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38</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41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Manufactured housing</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56</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10,301</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2021</w:t>
            </w:r>
          </w:p>
        </w:tc>
        <w:tc>
          <w:tcPr>
            <w:tcW w:w="96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11</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4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20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2021</w:t>
            </w:r>
          </w:p>
        </w:tc>
        <w:tc>
          <w:tcPr>
            <w:tcW w:w="96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47</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59</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6,044</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71</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5,284</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both September 30, 2022 and December 31, 2021,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default experience, with the results subject to a floor. At September 30, 2022, United applied qualitative adjustments to the model output for the income producing commercial real estate, commercial construction, HELOCs, residential mortgage and residential construction portfolios. With regard to income producing commercial real estate, the qualitative adjustments reflected continued credit concerns related to the senior care portfolio, elevated criticized loans relative to the pre-pandemic period and inflationary concerns related to the impact of rising rates on commercial real estate values. Qualitative adjustments for the other categories lowered the amount of required allowance due to management’s expectation with respect to the timing of deteriorating economic conditions in the forecast.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all collateral types excluding residential mortgage and manufactured housing, United reverted to through-the-cycle average default rates using peer data from 2000 to 2017. For loans secured by residential mortgages and manufactured housing, the peer data was adjusted to account for the changes in lending practices designed to prevent the magnitude of losses observed during the mortgage crisis.</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were considered low risk assets due to the related 100% guarantee by the SBA and were therefore excluded from the calculation.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19"/>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center"/>
              <w:ind w:right="80"/>
              <w:spacing w:after="0" w:line="146"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2"/>
                <w:szCs w:val="12"/>
                <w:color w:val="auto"/>
              </w:rPr>
            </w:pPr>
          </w:p>
        </w:tc>
        <w:tc>
          <w:tcPr>
            <w:tcW w:w="62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w w:val="96"/>
              </w:rPr>
              <w:t>Charge-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72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(Release)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5"/>
          </w:tcPr>
          <w:p>
            <w:pPr>
              <w:jc w:val="right"/>
              <w:ind w:right="61"/>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80" w:type="dxa"/>
            <w:vAlign w:val="bottom"/>
          </w:tcPr>
          <w:p>
            <w:pPr>
              <w:spacing w:after="0"/>
              <w:rPr>
                <w:sz w:val="12"/>
                <w:szCs w:val="12"/>
                <w:color w:val="auto"/>
              </w:rPr>
            </w:pPr>
          </w:p>
        </w:tc>
        <w:tc>
          <w:tcPr>
            <w:tcW w:w="76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4"/>
              <w:spacing w:after="0" w:line="146" w:lineRule="exact"/>
              <w:rPr>
                <w:sz w:val="20"/>
                <w:szCs w:val="20"/>
                <w:color w:val="auto"/>
              </w:rPr>
            </w:pPr>
            <w:r>
              <w:rPr>
                <w:rFonts w:ascii="Times New Roman" w:cs="Times New Roman" w:eastAsia="Times New Roman" w:hAnsi="Times New Roman"/>
                <w:sz w:val="16"/>
                <w:szCs w:val="16"/>
                <w:b w:val="1"/>
                <w:bCs w:val="1"/>
                <w:color w:val="auto"/>
              </w:rPr>
              <w:t>Charge-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jc w:val="right"/>
              <w:ind w:right="180"/>
              <w:spacing w:after="0" w:line="146" w:lineRule="exact"/>
              <w:rPr>
                <w:sz w:val="20"/>
                <w:szCs w:val="20"/>
                <w:color w:val="auto"/>
              </w:rPr>
            </w:pPr>
            <w:r>
              <w:rPr>
                <w:rFonts w:ascii="Times New Roman" w:cs="Times New Roman" w:eastAsia="Times New Roman" w:hAnsi="Times New Roman"/>
                <w:sz w:val="16"/>
                <w:szCs w:val="16"/>
                <w:b w:val="1"/>
                <w:bCs w:val="1"/>
                <w:color w:val="auto"/>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1"/>
              <w:spacing w:after="0" w:line="146"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vMerge w:val="continue"/>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8"/>
                <w:szCs w:val="18"/>
                <w:color w:val="auto"/>
              </w:rPr>
            </w:pPr>
          </w:p>
        </w:tc>
        <w:tc>
          <w:tcPr>
            <w:tcW w:w="760" w:type="dxa"/>
            <w:vAlign w:val="bottom"/>
            <w:gridSpan w:val="4"/>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w w:val="95"/>
              </w:rPr>
              <w:t>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13"/>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16,774</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19,056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14,144</w:t>
            </w:r>
          </w:p>
        </w:tc>
        <w:tc>
          <w:tcPr>
            <w:tcW w:w="0" w:type="dxa"/>
            <w:vAlign w:val="bottom"/>
          </w:tcPr>
          <w:p>
            <w:pPr>
              <w:spacing w:after="0"/>
              <w:rPr>
                <w:sz w:val="1"/>
                <w:szCs w:val="1"/>
                <w:color w:val="auto"/>
              </w:rPr>
            </w:pPr>
          </w:p>
        </w:tc>
      </w:tr>
      <w:tr>
        <w:trPr>
          <w:trHeight w:val="21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Income producing commercial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33,284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31,610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23,391</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18,267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20,918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16,243</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16,062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17,954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18,409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17,300</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17,035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19,335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2,086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6,614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99"/>
              </w:rPr>
              <w:t>907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292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14"/>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136,925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111,616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(11,445)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99,620</w:t>
            </w:r>
          </w:p>
        </w:tc>
        <w:tc>
          <w:tcPr>
            <w:tcW w:w="0" w:type="dxa"/>
            <w:vAlign w:val="bottom"/>
          </w:tcPr>
          <w:p>
            <w:pPr>
              <w:spacing w:after="0"/>
              <w:rPr>
                <w:sz w:val="1"/>
                <w:szCs w:val="1"/>
                <w:color w:val="auto"/>
              </w:rPr>
            </w:pPr>
          </w:p>
        </w:tc>
      </w:tr>
      <w:tr>
        <w:trPr>
          <w:trHeight w:val="211"/>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16,117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18,798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0" w:type="dxa"/>
            <w:vAlign w:val="bottom"/>
          </w:tcPr>
          <w:p>
            <w:pPr>
              <w:spacing w:after="0"/>
              <w:rPr>
                <w:sz w:val="1"/>
                <w:szCs w:val="1"/>
                <w:color w:val="auto"/>
              </w:rPr>
            </w:pPr>
          </w:p>
        </w:tc>
      </w:tr>
      <w:tr>
        <w:trPr>
          <w:trHeight w:val="239"/>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153,042</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167,300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122,460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(11,034)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110,875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8"/>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4800" w:type="dxa"/>
            <w:vAlign w:val="bottom"/>
            <w:tcBorders>
              <w:bottom w:val="single" w:sz="8" w:color="auto"/>
            </w:tcBorders>
            <w:gridSpan w:val="33"/>
          </w:tcPr>
          <w:p>
            <w:pPr>
              <w:jc w:val="right"/>
              <w:ind w:right="47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3880" w:type="dxa"/>
            <w:vAlign w:val="bottom"/>
            <w:tcBorders>
              <w:bottom w:val="single" w:sz="8" w:color="auto"/>
            </w:tcBorders>
            <w:gridSpan w:val="23"/>
          </w:tcPr>
          <w:p>
            <w:pPr>
              <w:jc w:val="right"/>
              <w:ind w:right="38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2"/>
                <w:szCs w:val="12"/>
                <w:color w:val="auto"/>
              </w:rPr>
            </w:pPr>
          </w:p>
        </w:tc>
        <w:tc>
          <w:tcPr>
            <w:tcW w:w="840" w:type="dxa"/>
            <w:vAlign w:val="bottom"/>
            <w:gridSpan w:val="4"/>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w w:val="97"/>
              </w:rPr>
              <w:t>Initial ACL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7"/>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80" w:type="dxa"/>
            <w:vAlign w:val="bottom"/>
          </w:tcPr>
          <w:p>
            <w:pPr>
              <w:spacing w:after="0"/>
              <w:rPr>
                <w:sz w:val="12"/>
                <w:szCs w:val="12"/>
                <w:color w:val="auto"/>
              </w:rPr>
            </w:pPr>
          </w:p>
        </w:tc>
        <w:tc>
          <w:tcPr>
            <w:tcW w:w="76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Charge-</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0" w:type="dxa"/>
            <w:vAlign w:val="bottom"/>
          </w:tcPr>
          <w:p>
            <w:pPr>
              <w:spacing w:after="0"/>
              <w:rPr>
                <w:sz w:val="1"/>
                <w:szCs w:val="1"/>
                <w:color w:val="auto"/>
              </w:rPr>
            </w:pPr>
          </w:p>
        </w:tc>
      </w:tr>
      <w:tr>
        <w:trPr>
          <w:trHeight w:val="115"/>
        </w:trPr>
        <w:tc>
          <w:tcPr>
            <w:tcW w:w="2480" w:type="dxa"/>
            <w:vAlign w:val="bottom"/>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4"/>
          </w:tcPr>
          <w:p>
            <w:pPr>
              <w:ind w:left="40"/>
              <w:spacing w:after="0" w:line="114" w:lineRule="exact"/>
              <w:rPr>
                <w:sz w:val="20"/>
                <w:szCs w:val="20"/>
                <w:color w:val="auto"/>
              </w:rPr>
            </w:pPr>
            <w:r>
              <w:rPr>
                <w:rFonts w:ascii="Times New Roman" w:cs="Times New Roman" w:eastAsia="Times New Roman" w:hAnsi="Times New Roman"/>
                <w:sz w:val="13"/>
                <w:szCs w:val="13"/>
                <w:b w:val="1"/>
                <w:bCs w:val="1"/>
                <w:color w:val="auto"/>
              </w:rPr>
              <w:t>- PCD loans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Recoveries</w:t>
            </w:r>
          </w:p>
        </w:tc>
        <w:tc>
          <w:tcPr>
            <w:tcW w:w="80" w:type="dxa"/>
            <w:vAlign w:val="bottom"/>
          </w:tcPr>
          <w:p>
            <w:pPr>
              <w:spacing w:after="0"/>
              <w:rPr>
                <w:sz w:val="9"/>
                <w:szCs w:val="9"/>
                <w:color w:val="auto"/>
              </w:rPr>
            </w:pPr>
          </w:p>
        </w:tc>
        <w:tc>
          <w:tcPr>
            <w:tcW w:w="880" w:type="dxa"/>
            <w:vAlign w:val="bottom"/>
            <w:gridSpan w:val="7"/>
            <w:vMerge w:val="continue"/>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5"/>
            <w:vMerge w:val="continue"/>
          </w:tcPr>
          <w:p>
            <w:pPr>
              <w:spacing w:after="0"/>
              <w:rPr>
                <w:sz w:val="9"/>
                <w:szCs w:val="9"/>
                <w:color w:val="auto"/>
              </w:rPr>
            </w:pPr>
          </w:p>
        </w:tc>
        <w:tc>
          <w:tcPr>
            <w:tcW w:w="84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6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480" w:type="dxa"/>
            <w:vAlign w:val="bottom"/>
          </w:tcPr>
          <w:p>
            <w:pPr>
              <w:spacing w:after="0"/>
              <w:rPr>
                <w:sz w:val="8"/>
                <w:szCs w:val="8"/>
                <w:color w:val="auto"/>
              </w:rPr>
            </w:pPr>
          </w:p>
        </w:tc>
        <w:tc>
          <w:tcPr>
            <w:tcW w:w="720" w:type="dxa"/>
            <w:vAlign w:val="bottom"/>
            <w:gridSpan w:val="4"/>
          </w:tcPr>
          <w:p>
            <w:pPr>
              <w:jc w:val="right"/>
              <w:ind w:right="21"/>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tcPr>
          <w:p>
            <w:pPr>
              <w:jc w:val="right"/>
              <w:ind w:right="121"/>
              <w:spacing w:after="0" w:line="100" w:lineRule="exact"/>
              <w:rPr>
                <w:sz w:val="20"/>
                <w:szCs w:val="20"/>
                <w:color w:val="auto"/>
              </w:rPr>
            </w:pPr>
            <w:r>
              <w:rPr>
                <w:rFonts w:ascii="Times New Roman" w:cs="Times New Roman" w:eastAsia="Times New Roman" w:hAnsi="Times New Roman"/>
                <w:sz w:val="11"/>
                <w:szCs w:val="11"/>
                <w:b w:val="1"/>
                <w:bCs w:val="1"/>
                <w:color w:val="auto"/>
              </w:rPr>
              <w:t>Offs</w:t>
            </w:r>
          </w:p>
        </w:tc>
        <w:tc>
          <w:tcPr>
            <w:tcW w:w="8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10"/>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Provision  Balance</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tcPr>
          <w:p>
            <w:pPr>
              <w:jc w:val="right"/>
              <w:ind w:right="21"/>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80" w:type="dxa"/>
            <w:vAlign w:val="bottom"/>
          </w:tcPr>
          <w:p>
            <w:pPr>
              <w:spacing w:after="0"/>
              <w:rPr>
                <w:sz w:val="8"/>
                <w:szCs w:val="8"/>
                <w:color w:val="auto"/>
              </w:rPr>
            </w:pPr>
          </w:p>
        </w:tc>
        <w:tc>
          <w:tcPr>
            <w:tcW w:w="760" w:type="dxa"/>
            <w:vAlign w:val="bottom"/>
            <w:gridSpan w:val="5"/>
          </w:tcPr>
          <w:p>
            <w:pPr>
              <w:ind w:left="180"/>
              <w:spacing w:after="0" w:line="100" w:lineRule="exact"/>
              <w:rPr>
                <w:sz w:val="20"/>
                <w:szCs w:val="20"/>
                <w:color w:val="auto"/>
              </w:rPr>
            </w:pPr>
            <w:r>
              <w:rPr>
                <w:rFonts w:ascii="Times New Roman" w:cs="Times New Roman" w:eastAsia="Times New Roman" w:hAnsi="Times New Roman"/>
                <w:sz w:val="11"/>
                <w:szCs w:val="11"/>
                <w:b w:val="1"/>
                <w:bCs w:val="1"/>
                <w:color w:val="auto"/>
              </w:rPr>
              <w:t>Offs</w:t>
            </w:r>
          </w:p>
        </w:tc>
        <w:tc>
          <w:tcPr>
            <w:tcW w:w="840" w:type="dxa"/>
            <w:vAlign w:val="bottom"/>
            <w:gridSpan w:val="6"/>
            <w:vMerge w:val="continue"/>
          </w:tcPr>
          <w:p>
            <w:pPr>
              <w:spacing w:after="0"/>
              <w:rPr>
                <w:sz w:val="8"/>
                <w:szCs w:val="8"/>
                <w:color w:val="auto"/>
              </w:rPr>
            </w:pPr>
          </w:p>
        </w:tc>
        <w:tc>
          <w:tcPr>
            <w:tcW w:w="680" w:type="dxa"/>
            <w:vAlign w:val="bottom"/>
            <w:gridSpan w:val="3"/>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Provision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1"/>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0" w:type="dxa"/>
            <w:vAlign w:val="bottom"/>
          </w:tcPr>
          <w:p>
            <w:pPr>
              <w:spacing w:after="0"/>
              <w:rPr>
                <w:sz w:val="1"/>
                <w:szCs w:val="1"/>
                <w:color w:val="auto"/>
              </w:rPr>
            </w:pPr>
          </w:p>
        </w:tc>
      </w:tr>
      <w:tr>
        <w:trPr>
          <w:trHeight w:val="33"/>
        </w:trPr>
        <w:tc>
          <w:tcPr>
            <w:tcW w:w="3620" w:type="dxa"/>
            <w:vAlign w:val="bottom"/>
            <w:gridSpan w:val="8"/>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7120" w:type="dxa"/>
            <w:vAlign w:val="bottom"/>
            <w:gridSpan w:val="4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gridSpan w:val="4"/>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4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Owner occupied commercial real</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3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1,631</w:t>
            </w:r>
          </w:p>
        </w:tc>
        <w:tc>
          <w:tcPr>
            <w:tcW w:w="280" w:type="dxa"/>
            <w:vAlign w:val="bottom"/>
            <w:gridSpan w:val="2"/>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19,056</w:t>
            </w:r>
          </w:p>
        </w:tc>
        <w:tc>
          <w:tcPr>
            <w:tcW w:w="880" w:type="dxa"/>
            <w:vAlign w:val="bottom"/>
            <w:gridSpan w:val="6"/>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20,673</w:t>
            </w:r>
          </w:p>
        </w:tc>
        <w:tc>
          <w:tcPr>
            <w:tcW w:w="76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(1,503)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8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(5,958)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14,144</w:t>
            </w: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estate</w:t>
            </w:r>
          </w:p>
        </w:tc>
        <w:tc>
          <w:tcPr>
            <w:tcW w:w="140" w:type="dxa"/>
            <w:vAlign w:val="bottom"/>
            <w:vMerge w:val="continue"/>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260" w:type="dxa"/>
            <w:vAlign w:val="bottom"/>
            <w:gridSpan w:val="3"/>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880" w:type="dxa"/>
            <w:vAlign w:val="bottom"/>
            <w:gridSpan w:val="6"/>
            <w:vMerge w:val="continue"/>
            <w:shd w:val="clear" w:color="auto" w:fill="CCEEFF"/>
          </w:tcPr>
          <w:p>
            <w:pPr>
              <w:spacing w:after="0"/>
              <w:rPr>
                <w:sz w:val="18"/>
                <w:szCs w:val="18"/>
                <w:color w:val="auto"/>
              </w:rPr>
            </w:pPr>
          </w:p>
        </w:tc>
        <w:tc>
          <w:tcPr>
            <w:tcW w:w="76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Income producing commercial real</w:t>
            </w:r>
          </w:p>
        </w:tc>
        <w:tc>
          <w:tcPr>
            <w:tcW w:w="140" w:type="dxa"/>
            <w:vAlign w:val="bottom"/>
          </w:tcPr>
          <w:p>
            <w:pPr>
              <w:spacing w:after="0"/>
              <w:rPr>
                <w:sz w:val="13"/>
                <w:szCs w:val="13"/>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24,156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4,366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31,610</w:t>
            </w:r>
          </w:p>
        </w:tc>
        <w:tc>
          <w:tcPr>
            <w:tcW w:w="880" w:type="dxa"/>
            <w:vAlign w:val="bottom"/>
            <w:gridSpan w:val="6"/>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41,737</w:t>
            </w:r>
          </w:p>
        </w:tc>
        <w:tc>
          <w:tcPr>
            <w:tcW w:w="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13"/>
                <w:szCs w:val="13"/>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(18,476)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23,391</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w:t>
            </w:r>
          </w:p>
        </w:tc>
        <w:tc>
          <w:tcPr>
            <w:tcW w:w="14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880" w:type="dxa"/>
            <w:vAlign w:val="bottom"/>
            <w:gridSpan w:val="6"/>
            <w:vMerge w:val="continue"/>
          </w:tcPr>
          <w:p>
            <w:pPr>
              <w:spacing w:after="0"/>
              <w:rPr>
                <w:sz w:val="18"/>
                <w:szCs w:val="18"/>
                <w:color w:val="auto"/>
              </w:rPr>
            </w:pPr>
          </w:p>
        </w:tc>
        <w:tc>
          <w:tcPr>
            <w:tcW w:w="76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20,918</w:t>
            </w:r>
          </w:p>
        </w:tc>
        <w:tc>
          <w:tcPr>
            <w:tcW w:w="880" w:type="dxa"/>
            <w:vAlign w:val="bottom"/>
            <w:gridSpan w:val="6"/>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22,019</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w:t>
            </w: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16,243</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17,954</w:t>
            </w:r>
          </w:p>
        </w:tc>
        <w:tc>
          <w:tcPr>
            <w:tcW w:w="880" w:type="dxa"/>
            <w:vAlign w:val="bottom"/>
            <w:gridSpan w:val="6"/>
          </w:tcPr>
          <w:p>
            <w:pPr>
              <w:jc w:val="right"/>
              <w:ind w:right="1"/>
              <w:spacing w:after="0"/>
              <w:rPr>
                <w:sz w:val="20"/>
                <w:szCs w:val="20"/>
                <w:color w:val="auto"/>
              </w:rPr>
            </w:pPr>
            <w:r>
              <w:rPr>
                <w:rFonts w:ascii="Times New Roman" w:cs="Times New Roman" w:eastAsia="Times New Roman" w:hAnsi="Times New Roman"/>
                <w:sz w:val="16"/>
                <w:szCs w:val="16"/>
                <w:color w:val="auto"/>
              </w:rPr>
              <w:t>10,952</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20,565</w:t>
            </w:r>
          </w:p>
        </w:tc>
        <w:tc>
          <w:tcPr>
            <w:tcW w:w="880" w:type="dxa"/>
            <w:vAlign w:val="bottom"/>
            <w:gridSpan w:val="6"/>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16,820</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17,300</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19,335</w:t>
            </w:r>
          </w:p>
        </w:tc>
        <w:tc>
          <w:tcPr>
            <w:tcW w:w="880" w:type="dxa"/>
            <w:vAlign w:val="bottom"/>
            <w:gridSpan w:val="6"/>
          </w:tcPr>
          <w:p>
            <w:pPr>
              <w:jc w:val="right"/>
              <w:ind w:right="1"/>
              <w:spacing w:after="0"/>
              <w:rPr>
                <w:sz w:val="20"/>
                <w:szCs w:val="20"/>
                <w:color w:val="auto"/>
              </w:rPr>
            </w:pPr>
            <w:r>
              <w:rPr>
                <w:rFonts w:ascii="Times New Roman" w:cs="Times New Roman" w:eastAsia="Times New Roman" w:hAnsi="Times New Roman"/>
                <w:sz w:val="16"/>
                <w:szCs w:val="16"/>
                <w:color w:val="auto"/>
              </w:rPr>
              <w:t>15,341</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880" w:type="dxa"/>
            <w:vAlign w:val="bottom"/>
            <w:gridSpan w:val="6"/>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8,417</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w w:val="91"/>
              </w:rPr>
              <w:t>764</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w w:val="91"/>
              </w:rPr>
              <w:t>287</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14"/>
        </w:trPr>
        <w:tc>
          <w:tcPr>
            <w:tcW w:w="2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102,532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12,737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(13,031)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36,276</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148,502</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137,010</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(37,600)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99,620</w:t>
            </w:r>
          </w:p>
        </w:tc>
        <w:tc>
          <w:tcPr>
            <w:tcW w:w="0" w:type="dxa"/>
            <w:vAlign w:val="bottom"/>
          </w:tcPr>
          <w:p>
            <w:pPr>
              <w:spacing w:after="0"/>
              <w:rPr>
                <w:sz w:val="1"/>
                <w:szCs w:val="1"/>
                <w:color w:val="auto"/>
              </w:rPr>
            </w:pPr>
          </w:p>
        </w:tc>
      </w:tr>
      <w:tr>
        <w:trPr>
          <w:trHeight w:val="211"/>
        </w:trPr>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18,798</w:t>
            </w:r>
          </w:p>
        </w:tc>
        <w:tc>
          <w:tcPr>
            <w:tcW w:w="880" w:type="dxa"/>
            <w:vAlign w:val="bottom"/>
            <w:gridSpan w:val="6"/>
          </w:tcPr>
          <w:p>
            <w:pPr>
              <w:jc w:val="right"/>
              <w:ind w:right="1"/>
              <w:spacing w:after="0"/>
              <w:rPr>
                <w:sz w:val="20"/>
                <w:szCs w:val="20"/>
                <w:color w:val="auto"/>
              </w:rPr>
            </w:pPr>
            <w:r>
              <w:rPr>
                <w:rFonts w:ascii="Times New Roman" w:cs="Times New Roman" w:eastAsia="Times New Roman" w:hAnsi="Times New Roman"/>
                <w:sz w:val="16"/>
                <w:szCs w:val="16"/>
                <w:color w:val="auto"/>
              </w:rPr>
              <w:t>10,558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0" w:type="dxa"/>
            <w:vAlign w:val="bottom"/>
          </w:tcPr>
          <w:p>
            <w:pPr>
              <w:spacing w:after="0"/>
              <w:rPr>
                <w:sz w:val="1"/>
                <w:szCs w:val="1"/>
                <w:color w:val="auto"/>
              </w:rPr>
            </w:pPr>
          </w:p>
        </w:tc>
      </w:tr>
      <w:tr>
        <w:trPr>
          <w:trHeight w:val="239"/>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$ 113,524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$(13,031)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44,082</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167,300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$ 147,568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$(12,215)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5"/>
              </w:rPr>
              <w:t>$ (36,903)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110,875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Reliant transaction.</w:t>
      </w:r>
    </w:p>
    <w:p>
      <w:pPr>
        <w:spacing w:after="0" w:line="200" w:lineRule="exact"/>
        <w:rPr>
          <w:rFonts w:ascii="Times New Roman" w:cs="Times New Roman" w:eastAsia="Times New Roman" w:hAnsi="Times New Roman"/>
          <w:sz w:val="19"/>
          <w:szCs w:val="19"/>
          <w:color w:val="auto"/>
          <w:vertAlign w:val="superscript"/>
        </w:rPr>
      </w:pPr>
    </w:p>
    <w:p>
      <w:pPr>
        <w:spacing w:after="0" w:line="38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which are included in other assets and other liabilities on the consolidated balance sheet,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2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 of brokered time deposits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1,090,067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09"/>
        </w:trPr>
        <w:tc>
          <w:tcPr>
            <w:tcW w:w="40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2,485,096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2,922,601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2,605,096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3,052,601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w:t>
            </w: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United enters into cash flow hedges to mitigate exposure to the variability of future cash flows or other forecasted transactions. As of September 30, 2022 and December 31, 2021,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$2.34 million of gains from AOCI into earnings related to these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2021, United had an interest rate swap that was designated as a fair value hedge of fixed-rate brokered time deposits. During the first quarter of 2022, the hedged brokered deposit and the associated swap matured. The swap involved the receipt of fixed-rate amounts from a counterparty in exchange for United making variable rate payments over the life of the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hedging relationships, all of which are interest rate contracts,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2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7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 presented in the consolidated statements of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(23,547)</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hedging relationships on 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recognized on fair value hedges</w:t>
            </w:r>
          </w:p>
        </w:tc>
        <w:tc>
          <w:tcPr>
            <w:tcW w:w="2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9"/>
        </w:trPr>
        <w:tc>
          <w:tcPr>
            <w:tcW w:w="5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expense recognized on cash flow hedges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bl>
    <w:p>
      <w:pPr>
        <w:spacing w:after="0" w:line="67" w:lineRule="exact"/>
        <w:rPr>
          <w:sz w:val="20"/>
          <w:szCs w:val="20"/>
          <w:color w:val="auto"/>
        </w:rPr>
      </w:pPr>
    </w:p>
    <w:p>
      <w:pPr>
        <w:ind w:firstLine="37"/>
        <w:spacing w:after="0" w:line="254" w:lineRule="auto"/>
        <w:tabs>
          <w:tab w:leader="none" w:pos="193"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$119,000 for both the three months ended September 30, 2022 and 2021, and $353,000 for both the nine months ended September 30,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10"/>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 Derivatives</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w:t>
            </w:r>
          </w:p>
        </w:tc>
        <w:tc>
          <w:tcPr>
            <w:tcW w:w="120" w:type="dxa"/>
            <w:vAlign w:val="bottom"/>
          </w:tcPr>
          <w:p>
            <w:pPr>
              <w:spacing w:after="0"/>
              <w:rPr>
                <w:sz w:val="18"/>
                <w:szCs w:val="18"/>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2800" w:type="dxa"/>
            <w:vAlign w:val="bottom"/>
            <w:gridSpan w:val="2"/>
            <w:vMerge w:val="continue"/>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line="20" w:lineRule="exact"/>
              <w:rPr>
                <w:sz w:val="1"/>
                <w:szCs w:val="1"/>
                <w:color w:val="auto"/>
              </w:rPr>
            </w:pPr>
          </w:p>
        </w:tc>
      </w:tr>
      <w:tr>
        <w:trPr>
          <w:trHeight w:val="214"/>
        </w:trPr>
        <w:tc>
          <w:tcPr>
            <w:tcW w:w="3900" w:type="dxa"/>
            <w:vAlign w:val="bottom"/>
          </w:tcPr>
          <w:p>
            <w:pPr>
              <w:spacing w:after="0"/>
              <w:rPr>
                <w:sz w:val="18"/>
                <w:szCs w:val="18"/>
                <w:color w:val="auto"/>
              </w:rPr>
            </w:pPr>
          </w:p>
        </w:tc>
        <w:tc>
          <w:tcPr>
            <w:tcW w:w="280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Income on Derivatives</w:t>
            </w: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revenue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as of the dates indicated is summarized below </w:t>
      </w:r>
      <w:r>
        <w:rPr>
          <w:rFonts w:ascii="Times New Roman" w:cs="Times New Roman" w:eastAsia="Times New Roman" w:hAnsi="Times New Roman"/>
          <w:sz w:val="18"/>
          <w:szCs w:val="18"/>
          <w:i w:val="1"/>
          <w:i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38,192</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(25,870)</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line="213" w:lineRule="exact"/>
              <w:rPr>
                <w:sz w:val="20"/>
                <w:szCs w:val="20"/>
                <w:color w:val="auto"/>
              </w:rPr>
            </w:pPr>
            <w:r>
              <w:rPr>
                <w:rFonts w:ascii="Times New Roman" w:cs="Times New Roman" w:eastAsia="Times New Roman" w:hAnsi="Times New Roman"/>
                <w:sz w:val="16"/>
                <w:szCs w:val="16"/>
                <w:color w:val="auto"/>
              </w:rPr>
              <w:t xml:space="preserve">Total intangibles subject to amortization, net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20,400</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as a result of the Reliant acquisition, United recorded a core deposit intangible of $14.5 million. See Note 4 for further detail.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59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Balance, beginning of period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r>
      <w:tr>
        <w:trPr>
          <w:trHeight w:val="237"/>
        </w:trPr>
        <w:tc>
          <w:tcPr>
            <w:tcW w:w="590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381,972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Goodwill balances are shown net of accumulated impairment losses of $306 million incurred prior to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aggregate amortization expense for future periods for finite lived intangibles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Remainder of 2022</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Pr>
          <w:p>
            <w:pPr>
              <w:ind w:left="35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350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tcBorders>
              <w:bottom w:val="single" w:sz="8" w:color="CCEEFF"/>
            </w:tcBorders>
          </w:tcPr>
          <w:p>
            <w:pPr>
              <w:ind w:left="350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9,799</w:t>
            </w:r>
          </w:p>
        </w:tc>
        <w:tc>
          <w:tcPr>
            <w:tcW w:w="3500" w:type="dxa"/>
            <w:vAlign w:val="bottom"/>
            <w:tcBorders>
              <w:bottom w:val="single" w:sz="8" w:color="CCEEFF"/>
            </w:tcBorders>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Long-term debt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Earliest</w:t>
            </w: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Call</w:t>
            </w:r>
          </w:p>
        </w:tc>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senior debentures</w:t>
            </w:r>
          </w:p>
        </w:tc>
        <w:tc>
          <w:tcPr>
            <w:tcW w:w="1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5.500% through August 2025, 3-month</w:t>
            </w:r>
          </w:p>
        </w:tc>
        <w:tc>
          <w:tcPr>
            <w:tcW w:w="0" w:type="dxa"/>
            <w:vAlign w:val="bottom"/>
          </w:tcPr>
          <w:p>
            <w:pPr>
              <w:spacing w:after="0"/>
              <w:rPr>
                <w:sz w:val="1"/>
                <w:szCs w:val="1"/>
                <w:color w:val="auto"/>
              </w:rPr>
            </w:pPr>
          </w:p>
        </w:tc>
      </w:tr>
      <w:tr>
        <w:trPr>
          <w:trHeight w:val="216"/>
        </w:trPr>
        <w:tc>
          <w:tcPr>
            <w:tcW w:w="26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2025  LIBOR plus 3.71% thereafter</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2030 senior debentures</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80" w:type="dxa"/>
            <w:vAlign w:val="bottom"/>
          </w:tcPr>
          <w:p>
            <w:pPr>
              <w:spacing w:after="0"/>
              <w:rPr>
                <w:sz w:val="14"/>
                <w:szCs w:val="14"/>
                <w:color w:val="auto"/>
              </w:rPr>
            </w:pPr>
          </w:p>
        </w:tc>
        <w:tc>
          <w:tcPr>
            <w:tcW w:w="8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2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5.00% through June 2025, 3-month SOFR</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plus 4.87% thereafter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senior debentures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subordinated debentures</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4.500% through January 2023, 3-month</w:t>
            </w:r>
          </w:p>
        </w:tc>
        <w:tc>
          <w:tcPr>
            <w:tcW w:w="0" w:type="dxa"/>
            <w:vAlign w:val="bottom"/>
          </w:tcPr>
          <w:p>
            <w:pPr>
              <w:spacing w:after="0"/>
              <w:rPr>
                <w:sz w:val="1"/>
                <w:szCs w:val="1"/>
                <w:color w:val="auto"/>
              </w:rPr>
            </w:pPr>
          </w:p>
        </w:tc>
      </w:tr>
      <w:tr>
        <w:trPr>
          <w:trHeight w:val="216"/>
        </w:trPr>
        <w:tc>
          <w:tcPr>
            <w:tcW w:w="26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  LIBOR plus 2.12% thereafter</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2029 subordinated debentures</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5.125% until December 2024, 3-month</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6"/>
                <w:szCs w:val="16"/>
                <w:color w:val="auto"/>
              </w:rPr>
              <w:t>2024  SOFR plus 3.765% thereafter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subordinated debentures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Tidelands Statutory Trust I</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3-month LIBOR plus 1.38%</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 Oaks Statutory Trust I</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3-month LIBOR plus 1.35%</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 plus 0.50%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3-month LIBOR plus 1.50%</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III</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3-month LIBOR plus 3.00%</w:t>
            </w:r>
          </w:p>
        </w:tc>
        <w:tc>
          <w:tcPr>
            <w:tcW w:w="0" w:type="dxa"/>
            <w:vAlign w:val="bottom"/>
          </w:tcPr>
          <w:p>
            <w:pPr>
              <w:spacing w:after="0"/>
              <w:rPr>
                <w:sz w:val="1"/>
                <w:szCs w:val="1"/>
                <w:color w:val="auto"/>
              </w:rPr>
            </w:pPr>
          </w:p>
        </w:tc>
      </w:tr>
      <w:tr>
        <w:trPr>
          <w:trHeight w:val="207"/>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trust preferred securities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20,620</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discount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324,515</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Indicates currently redeemable.</w:t>
      </w: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is currently paid at least semiannually for all senior and subordinated debentures and trust preferred securities. All debt instruments reported above are obligations of the Holding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United assumed subordinated debentures and trust preferred securities with an acquisition date fair value of $76.7 million as part of the Reliant acquisition. See Note 4 for further detail.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to the fair value measurement in its entirety. The assessment of the significance of a particular input to the fair value measurement in its entirety requires judgment and considers factors specific to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In connection with the Reliant acquisition, United acquired certain mortgage loans held for sale for which the fair value option was not elected; these loans are carried at the lower of aggregate cost or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Residential and SBA/USDA Loans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178,473</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256,026</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315,502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315,502</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1,856,890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1,856,890</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703,603</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223,684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225,910</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326,482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326,482</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19,888</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37,154</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54,344</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202,311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3,745,469</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57,476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4,005,256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92,474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106,135</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117,064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217,520</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187,032</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2,145,134</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873,851</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193,166</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604,277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604,277</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44,109</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42,480</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229,289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4,358,042</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40,827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4,628,158</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25,145</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Bonds</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29"/>
        </w:trPr>
        <w:tc>
          <w:tcPr>
            <w:tcW w:w="148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37,154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from Level 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48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1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significant Level 3 inputs for fair value on a recurring basis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44"/>
        </w:trPr>
        <w:tc>
          <w:tcPr>
            <w:tcW w:w="24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- 45.4%</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0.0 - 35.1</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3.2 - 31.3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Residential mortgage servicing</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9.5 - 11.5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9.5 - 10.5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7.0 - 32.3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7.0 - 77.6</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65"/>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5.9 - 6.1</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3.6 - 3.8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assets - customer</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Estimated loss rate</w:t>
            </w:r>
          </w:p>
        </w:tc>
        <w:tc>
          <w:tcPr>
            <w:tcW w:w="15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33.4 - 44.0</w:t>
            </w:r>
          </w:p>
        </w:tc>
        <w:tc>
          <w:tcPr>
            <w:tcW w:w="10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12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positions</w:t>
            </w:r>
          </w:p>
        </w:tc>
        <w:tc>
          <w:tcPr>
            <w:tcW w:w="1320" w:type="dxa"/>
            <w:vAlign w:val="bottom"/>
            <w:gridSpan w:val="2"/>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4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assets and liabilities -</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Dealer priced</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5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gridSpan w:val="2"/>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generally records mortgage loans held for sale at fair value under the fair value option. Interest income on these loans is calculated based on the note rate of the loan and is recorded in interest revenue. In connection with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4"/>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340" w:type="dxa"/>
            <w:vAlign w:val="bottom"/>
            <w:tcBorders>
              <w:top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20,180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42,581</w:t>
            </w:r>
          </w:p>
        </w:tc>
        <w:tc>
          <w:tcPr>
            <w:tcW w:w="4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19,888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1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13"/>
          </w:tcPr>
          <w:p>
            <w:pPr>
              <w:ind w:left="140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6"/>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3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(3,330)</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September 30, 2022 and December 31, 2021,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720" w:type="dxa"/>
            <w:vAlign w:val="bottom"/>
            <w:shd w:val="clear" w:color="auto" w:fill="CCEEFF"/>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4"/>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720" w:type="dxa"/>
            <w:vAlign w:val="bottom"/>
          </w:tcPr>
          <w:p>
            <w:pPr>
              <w:spacing w:after="0"/>
              <w:rPr>
                <w:sz w:val="17"/>
                <w:szCs w:val="17"/>
                <w:color w:val="auto"/>
              </w:rPr>
            </w:pP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held for sale that were acquired from Reliant were subject to a nonrecurring fair value adjustment resulting from the application of the lower of the amortized cost or fair value accounting. As of September 30, 2022, these loans were classified as nonrecurring Level 3 because the valuation of these loans was based on indicative bids provided by a broker, not corroborated by market transactions.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2,241,160</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14,733,982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14,250,071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14,250,071</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20,321,142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20,315,750</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313,944</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share-based compensation. The general terms of the plan include a vesting period (usually four years) with an exercisable period not to exceed ten years. Certain options and restricted stock unit awards provide for accelerated vesting if there is a change in control (as defined in the plan document). As of September 30, 2022, 2.80 million additional awards could be granted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 and option activity for the nine months ended September 30,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392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($000)</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Outstanding at December</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808,474</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31, 2021</w:t>
            </w: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 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Outstanding at September</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27,293</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30, 2022</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Vested / Exercisable at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granted in 2022 reflect options assumed in the Reliant acquisition, with the weighted average exercise price of Reliant’s fully vested converted options determined pursuant to the purchase agreement. The value of the Reliant options was determined using a Black-Scholes model and was included in the purchase price for the acquisition. No compensation expense relating to options was included in earnings for the nine months ended September 30, 2022 and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and 2021, expense of $6.24 million and $4.42 million, respectively, was recognized related to restricted stock unit and performance stock unit awards granted to United employees, which was included in salaries and employee benefits expense. In addition, for the nine months ended September 30, 2022 and 2021, $412,000 and $397,000, respectively, was recognized in other expense for restricted stock unit awards granted to members of United’s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$1.70 million and $1.23 million was included in the determination of income tax expense for the nine months ended September 30, 2022 and 2021, respectively. As of September 30, 2022, there was $19.1 million of unrecognized expense related to non-vested restricted stock unit and performance stock unit awards granted under the plan. That cost is expected to be recognized over a weighted-average period of 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Reclassifications Out of AOCI</w:t>
      </w:r>
    </w:p>
    <w:p>
      <w:pPr>
        <w:spacing w:after="0" w:line="25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AOCI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jc w:val="center"/>
              <w:ind w:right="3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1740" w:type="dxa"/>
            <w:vAlign w:val="bottom"/>
            <w:gridSpan w:val="3"/>
          </w:tcPr>
          <w:p>
            <w:pPr>
              <w:jc w:val="right"/>
              <w:ind w:right="1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74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3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3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gains (losses) on AFS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213"/>
        </w:trPr>
        <w:tc>
          <w:tcPr>
            <w:tcW w:w="30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2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gains (losses), net</w:t>
            </w:r>
          </w:p>
        </w:tc>
      </w:tr>
      <w:tr>
        <w:trPr>
          <w:trHeight w:val="219"/>
        </w:trPr>
        <w:tc>
          <w:tcPr>
            <w:tcW w:w="3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r>
      <w:tr>
        <w:trPr>
          <w:trHeight w:val="209"/>
        </w:trPr>
        <w:tc>
          <w:tcPr>
            <w:tcW w:w="30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213"/>
        </w:trPr>
        <w:tc>
          <w:tcPr>
            <w:tcW w:w="55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9"/>
        </w:trPr>
        <w:tc>
          <w:tcPr>
            <w:tcW w:w="30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18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340" w:type="dxa"/>
            <w:vAlign w:val="bottom"/>
          </w:tcPr>
          <w:p>
            <w:pPr>
              <w:spacing w:after="0"/>
              <w:rPr>
                <w:sz w:val="14"/>
                <w:szCs w:val="14"/>
                <w:color w:val="auto"/>
              </w:rPr>
            </w:pPr>
          </w:p>
        </w:tc>
      </w:tr>
      <w:tr>
        <w:trPr>
          <w:trHeight w:val="216"/>
        </w:trPr>
        <w:tc>
          <w:tcPr>
            <w:tcW w:w="4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derivative instruments accounted for as cash flow hedges: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213"/>
        </w:trPr>
        <w:tc>
          <w:tcPr>
            <w:tcW w:w="3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(444)</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3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12"/>
        </w:trPr>
        <w:tc>
          <w:tcPr>
            <w:tcW w:w="30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(331)</w:t>
            </w:r>
          </w:p>
        </w:tc>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213"/>
        </w:trPr>
        <w:tc>
          <w:tcPr>
            <w:tcW w:w="55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9"/>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(351)</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3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Actuarial losses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(431)</w:t>
            </w:r>
          </w:p>
        </w:tc>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12"/>
        </w:trPr>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(782)</w:t>
            </w:r>
          </w:p>
        </w:tc>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3"/>
        </w:trPr>
        <w:tc>
          <w:tcPr>
            <w:tcW w:w="3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3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(582)</w:t>
            </w: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4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(886)</w:t>
            </w:r>
          </w:p>
        </w:tc>
        <w:tc>
          <w:tcPr>
            <w:tcW w:w="3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0"/>
        </w:trPr>
        <w:tc>
          <w:tcPr>
            <w:tcW w:w="5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217,782</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79,035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189,858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211,283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87,274</w:t>
            </w: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37"/>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106,732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5"/>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2021, United had no potentially dilutive instruments outstanding that were not included in the above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September 30, 2022,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Regulatory capital ratios at September 30, 2022 and December 31, 2021, along with the minimum amounts required for capital adequacy purposes and to be well-capitalized under regulatory requirements in effect at such times, are presented below for United and the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140" w:type="dxa"/>
            <w:vAlign w:val="bottom"/>
          </w:tcPr>
          <w:p>
            <w:pPr>
              <w:spacing w:after="0"/>
              <w:rPr>
                <w:sz w:val="16"/>
                <w:szCs w:val="16"/>
                <w:color w:val="auto"/>
              </w:rPr>
            </w:pPr>
          </w:p>
        </w:tc>
        <w:tc>
          <w:tcPr>
            <w:tcW w:w="26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14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2,101,819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1,688,176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2,234,151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2,198,241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1,784,598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2,234,151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2,534,810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1,984,376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2,374,603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1,818,335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17,332,391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13,548,534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17,269,896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13,512,405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23,359,608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20,402,842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23,308,849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20,377,319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September 30, 2022 and December 31, 2021 the additional capital conservation buffer in effect was 2.50%</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4,592,092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3,591,975</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29,312</w:t>
            </w: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holds minor investments in certain entities for tax credit and Community Reinvestment Act purposes. As of September 30, 2022 and December 31, 2021, the Bank had a recorded investment of $79.8 million and $52.7 million, respectively, in such investments, which is included in other assets on the consolidated balance sheet. As of September 30, 2022, United had committed to fund an additional $6.96 million related to future capital calls that are not reflected in the consolidated balance sheet.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the Holding Company also had $18.1 million in commitments for future capital calls to fintech fund limited partnerships that have not been reflected in the consolidated balance sheet.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September 30, 2022 and December 31, 2021 and our results of operations for the three and nine months ended September 30, 2022 and 2021.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2021 10-K, and the other reports we have filed with the SEC after we filed the 2021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primarily through a 193 branch network throughout Georgia, South Carolina, North Carolina, Tennessee and Florida. We have grown organically as well as through strategic acquisitions. At September 30, 2022, we had consolidated total assets of $23.7 billion and 2,826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Mergers and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September 30, 2021, we have continued to expand through acquisitions as follows:</w:t>
      </w:r>
    </w:p>
    <w:p>
      <w:pPr>
        <w:spacing w:after="0" w:line="144" w:lineRule="exact"/>
        <w:rPr>
          <w:sz w:val="20"/>
          <w:szCs w:val="20"/>
          <w:color w:val="auto"/>
        </w:rPr>
      </w:pPr>
    </w:p>
    <w:p>
      <w:pPr>
        <w:jc w:val="both"/>
        <w:ind w:left="660" w:hanging="328"/>
        <w:spacing w:after="0" w:line="266" w:lineRule="auto"/>
        <w:tabs>
          <w:tab w:leader="none" w:pos="656"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January 1, 2022, we acquired Reliant, a bank which operated a 25-branch network primarily located in Middle Tennessee. We acquired $2.96 billion of assets and assumed $2.66 billion of liabilities in the acquisition, which included $2.32 billion in loans and $2.50 billion in deposits as of the acquisition date.</w:t>
      </w:r>
    </w:p>
    <w:p>
      <w:pPr>
        <w:spacing w:after="0" w:line="10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2021, we acquired Aquesta, a bank which operated a network of branches primarily located in the Charlotte, North Carolina metropolitan area. We acquired total assets of $756 million, including $498 million in loans, and we assumed $658 million in deposits as of the acquisition date.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2022, we announced an agreement to acquire Progress, which we plan to complete in the first quarter of 2023. Progress is headquartered in Huntsville, Alabama, and operates 14 offices in high-growth southeastern markets, including Huntsville, Birmingham, Daphne and Tuscaloosa in Alabama and the Florida Panhandle. As of September 30, 2022, Progress had total assets of $1.74 billion, total loans of $1.41 billion, and total deposits of $1.50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$81.2 million and $0.74, respectively, for the third quarter of 2022 compared to $73.8 million and $0.82, respectively, for the same period in 2021. Operating net income (non-GAAP), which excludes merger-related and other charges, was $82.5 million for the third quarter of 2022, compared to $74.9 million for the same period in 2021.</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revenue increased to $200 million for the third quarter of 2022, compared to $141 million for the third quarter of 2021. The increase in interest revenue was provided by loan growth, including loans acquired from Aquesta and Reliant, continued investment in our securities portfolio and the impact of the current rising interest rate environment. These factors more than offset the increase in interest expense resulting from deposit growth and increased long-term debt, both of which also included increases resulting from acquisitions. In addition, while interest rates on interest-bearing deposits also increased, they did so at a slower rate than that of our interest-earning assets. Our net interest margin and net interest spread for the third quarter of 2022 increased compared to the same period of last year due to the rising interest rate environment, but was partially offset by the impact of tapering accelerated</w:t>
      </w:r>
    </w:p>
    <w:p>
      <w:pPr>
        <w:spacing w:after="0" w:line="5" w:lineRule="exact"/>
        <w:rPr>
          <w:sz w:val="20"/>
          <w:szCs w:val="20"/>
          <w:color w:val="auto"/>
        </w:rPr>
      </w:pPr>
    </w:p>
    <w:p>
      <w:pPr>
        <w:ind w:right="20" w:firstLine="8"/>
        <w:spacing w:after="0" w:line="260" w:lineRule="auto"/>
        <w:tabs>
          <w:tab w:leader="none" w:pos="3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fee accretion and interest revenue and less purchased loan accretion compared to the same period of last year. The net interest margin for the three months ended September 30, 2022 and 2021 was 3.57% and 3.12%, respectively.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provision for credit losses of $15.4 million for the third quarter of 2022, compared to a release of provision of $11.0 million for the third quarter of 2021. The provision expense in the third quarter of 2022 resulted from loan growth and a less favorable current economic outlook compared to that as of the prior quarter-end. The negative provision in 2021 resulted from an improved economic forecast at that time as the outlook of the COVID-19 pandemic had improved. We recorded net charge-offs for the third quarters of 2022 and 2021 totaling $1.13 million and $551,000,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of $31.9 million for the third quarter of 2022 was down $8.17 million, or 20%, from the third quarter of 2021. Lower gains on sales of mortgage loans and related fees, which were down $7.53 million compared to the same period of 2021, drove most of the decrease. The decrease reflects lower demand in the residential real estate mortgage market as interest rates have risen significantly since the third quarter of 2021. We also recorded unrealized losses on other investments during the third quarter of 2022 compared to unrealized gains in the same period of 2021, reflective of market conditions. These decreases were partially offset by an increase in BOLI income resulting from policies acquired with Reliant and Aquesta and death benefits received in 2022.</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expense of $113 million for the third quarter of 2022 increased $16.0 million compared to the same period of 2021. Most notably, salaries and employee benefits expense increased $7.37 million, which was primarily driven by the increase in employees resulting from acquisitions since September 30, 2021 and our annual salary merit-based increase effective in April of 2022. Occupancy and communications and equipment expense increased $2.04 million and $1.43 million, respectively, which was also primarily driven by the acquisitions of Aquesta and Reliant as our footprint continues to grow.</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2022 and 2021, we reported net income of $196 million and $218 million, respectively, and diluted earnings per common share of $1.78 and $2.42, respectively. Operating net income (non-GAAP) for the nine months ended September 30, 2022 and 2021 of $210 million and $221 million, respectively, excluded merger-related charges for both periods. Net interest revenue and net interest margin for the nine months ended September 30, 2022 were $542 million and 3.25%, respectively, compared to $411 million and 3.17%, respectively, for the same period in 2021. In addition to the factors affecting the third quarter of 2022, results of operations for the nine months ended September 30, 2022 were also more heavily affected by the Reliant acquisition. Most notably, we incurred more significant merger-related and other charges and provision expense during the first nine months of 2022 compared to the same period of 2021. Merger-related and other charges increased $13.8 million, which is mostly reflective of Reliant merger-related costs and the second quarter Reliant systems conversion. Provision expense for the nine months ended September 30, 2022 was $44.1 million compared to a release of provision of $36.9 million during the comparable period of 2021. $18.3 million of the provision expense for the nine months ended September 30, 2022 was related to the establishment of the ACL for the acquired Reliant non-PCD loans and unfunded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third quarter and first nine months of 2022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2021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68"/>
              <w:spacing w:after="0" w:line="141"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Fourth</w:t>
            </w:r>
          </w:p>
        </w:tc>
        <w:tc>
          <w:tcPr>
            <w:tcW w:w="140" w:type="dxa"/>
            <w:vAlign w:val="bottom"/>
          </w:tcPr>
          <w:p>
            <w:pPr>
              <w:spacing w:after="0"/>
              <w:rPr>
                <w:sz w:val="11"/>
                <w:szCs w:val="11"/>
                <w:color w:val="auto"/>
              </w:rPr>
            </w:pPr>
          </w:p>
        </w:tc>
        <w:tc>
          <w:tcPr>
            <w:tcW w:w="780" w:type="dxa"/>
            <w:vAlign w:val="bottom"/>
          </w:tcPr>
          <w:p>
            <w:pPr>
              <w:jc w:val="right"/>
              <w:ind w:right="208"/>
              <w:spacing w:after="0" w:line="129" w:lineRule="exact"/>
              <w:rPr>
                <w:sz w:val="20"/>
                <w:szCs w:val="20"/>
                <w:color w:val="auto"/>
              </w:rPr>
            </w:pPr>
            <w:r>
              <w:rPr>
                <w:rFonts w:ascii="Times New Roman" w:cs="Times New Roman" w:eastAsia="Times New Roman" w:hAnsi="Times New Roman"/>
                <w:sz w:val="14"/>
                <w:szCs w:val="14"/>
                <w:b w:val="1"/>
                <w:bCs w:val="1"/>
                <w:color w:val="auto"/>
              </w:rPr>
              <w:t>Third</w:t>
            </w:r>
          </w:p>
        </w:tc>
        <w:tc>
          <w:tcPr>
            <w:tcW w:w="1020" w:type="dxa"/>
            <w:vAlign w:val="bottom"/>
            <w:gridSpan w:val="2"/>
          </w:tcPr>
          <w:p>
            <w:pPr>
              <w:jc w:val="center"/>
              <w:ind w:left="48"/>
              <w:spacing w:after="0" w:line="129" w:lineRule="exact"/>
              <w:rPr>
                <w:sz w:val="20"/>
                <w:szCs w:val="20"/>
                <w:color w:val="auto"/>
              </w:rPr>
            </w:pPr>
            <w:r>
              <w:rPr>
                <w:rFonts w:ascii="Times New Roman" w:cs="Times New Roman" w:eastAsia="Times New Roman" w:hAnsi="Times New Roman"/>
                <w:sz w:val="14"/>
                <w:szCs w:val="14"/>
                <w:b w:val="1"/>
                <w:bCs w:val="1"/>
                <w:color w:val="auto"/>
              </w:rPr>
              <w:t>2022 - 2021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76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213,887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187,378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171,059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147,675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572,324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435,026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14,113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8,475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7,267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6,213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6,636</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29,855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23,547</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199,774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178,903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163,792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137,555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141,039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542,469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411,479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Provision for (release of) credit</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15,392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5,604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23,086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(11,034)</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44,082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(36,903)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31,922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33,458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38,973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40,095</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104,353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120,641</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216,304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206,757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179,679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175,379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192,168</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602,740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569,023</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112,755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120,790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119,275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109,156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96,749</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352,820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287,483</w:t>
            </w: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19"/>
        </w:trPr>
        <w:tc>
          <w:tcPr>
            <w:tcW w:w="2160" w:type="dxa"/>
            <w:vAlign w:val="bottom"/>
          </w:tcPr>
          <w:p>
            <w:pPr>
              <w:ind w:left="140"/>
              <w:spacing w:after="0" w:line="119" w:lineRule="exact"/>
              <w:rPr>
                <w:sz w:val="20"/>
                <w:szCs w:val="20"/>
                <w:color w:val="auto"/>
              </w:rPr>
            </w:pPr>
            <w:r>
              <w:rPr>
                <w:rFonts w:ascii="Times New Roman" w:cs="Times New Roman" w:eastAsia="Times New Roman" w:hAnsi="Times New Roman"/>
                <w:sz w:val="13"/>
                <w:szCs w:val="13"/>
                <w:color w:val="auto"/>
              </w:rPr>
              <w:t>Income before income tax</w:t>
            </w:r>
          </w:p>
        </w:tc>
        <w:tc>
          <w:tcPr>
            <w:tcW w:w="14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103,549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85,967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60,404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66,223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95,419</w:t>
            </w:r>
          </w:p>
        </w:tc>
        <w:tc>
          <w:tcPr>
            <w:tcW w:w="10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249,920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281,540</w:t>
            </w:r>
          </w:p>
        </w:tc>
        <w:tc>
          <w:tcPr>
            <w:tcW w:w="8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21,603</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53,898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63,758</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81,161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73,816</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196,022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217,782</w:t>
            </w: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benefit of merger-</w:t>
            </w: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(1,575)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(3,923)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related and other charges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160" w:type="dxa"/>
            <w:vAlign w:val="bottom"/>
            <w:tcBorders>
              <w:bottom w:val="single" w:sz="8" w:color="CCEEFF"/>
            </w:tcBorders>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82,522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72,410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55,072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59,666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74,925</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210,004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220,931</w:t>
            </w:r>
          </w:p>
        </w:tc>
        <w:tc>
          <w:tcPr>
            <w:tcW w:w="8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35"/>
        </w:trPr>
        <w:tc>
          <w:tcPr>
            <w:tcW w:w="216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Diluted net income - operating</w:t>
            </w: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c>
          <w:tcPr>
            <w:tcW w:w="10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2.45</w:t>
            </w:r>
          </w:p>
        </w:tc>
        <w:tc>
          <w:tcPr>
            <w:tcW w:w="8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39"/>
        </w:trPr>
        <w:tc>
          <w:tcPr>
            <w:tcW w:w="21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0.58</w:t>
            </w: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2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auto"/>
              </w:rPr>
              <w:t>Return on common equity -</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14.26 %</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14.55 %</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16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23"/>
                <w:szCs w:val="23"/>
                <w:color w:val="auto"/>
                <w:vertAlign w:val="subscript"/>
              </w:rPr>
              <w:t>GAAP</w:t>
            </w:r>
            <w:r>
              <w:rPr>
                <w:rFonts w:ascii="Times New Roman" w:cs="Times New Roman" w:eastAsia="Times New Roman" w:hAnsi="Times New Roman"/>
                <w:sz w:val="8"/>
                <w:szCs w:val="8"/>
                <w:color w:val="auto"/>
              </w:rPr>
              <w:t xml:space="preserve"> (2)(4)</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16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Return on common equity -</w:t>
            </w: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160" w:type="dxa"/>
            <w:vAlign w:val="bottom"/>
          </w:tcPr>
          <w:p>
            <w:pPr>
              <w:ind w:left="220"/>
              <w:spacing w:after="0" w:line="201" w:lineRule="exact"/>
              <w:rPr>
                <w:sz w:val="20"/>
                <w:szCs w:val="20"/>
                <w:color w:val="auto"/>
              </w:rPr>
            </w:pPr>
            <w:r>
              <w:rPr>
                <w:rFonts w:ascii="Times New Roman" w:cs="Times New Roman" w:eastAsia="Times New Roman" w:hAnsi="Times New Roman"/>
                <w:sz w:val="14"/>
                <w:szCs w:val="14"/>
                <w:color w:val="auto"/>
              </w:rPr>
              <w:t xml:space="preserve">operating </w:t>
            </w:r>
            <w:r>
              <w:rPr>
                <w:rFonts w:ascii="Times New Roman" w:cs="Times New Roman" w:eastAsia="Times New Roman" w:hAnsi="Times New Roman"/>
                <w:sz w:val="18"/>
                <w:szCs w:val="18"/>
                <w:color w:val="auto"/>
                <w:vertAlign w:val="superscript"/>
              </w:rPr>
              <w:t>(1)(2)(4)</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16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Return on tangible common</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18.23</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16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4"/>
                <w:szCs w:val="14"/>
                <w:color w:val="auto"/>
              </w:rPr>
              <w:t xml:space="preserve">equity - operating </w:t>
            </w:r>
            <w:r>
              <w:rPr>
                <w:rFonts w:ascii="Times New Roman" w:cs="Times New Roman" w:eastAsia="Times New Roman" w:hAnsi="Times New Roman"/>
                <w:sz w:val="18"/>
                <w:szCs w:val="18"/>
                <w:color w:val="auto"/>
                <w:vertAlign w:val="superscript"/>
              </w:rPr>
              <w:t>(1)(2)(3)(4)</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 xml:space="preserve">Return on assets - operating </w:t>
            </w:r>
            <w:r>
              <w:rPr>
                <w:rFonts w:ascii="Times New Roman" w:cs="Times New Roman" w:eastAsia="Times New Roman" w:hAnsi="Times New Roman"/>
                <w:sz w:val="15"/>
                <w:szCs w:val="15"/>
                <w:color w:val="auto"/>
                <w:vertAlign w:val="superscript"/>
              </w:rPr>
              <w:t>(1)</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53.11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53.72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52.33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52.97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10.89</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16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Tangible common equity to</w:t>
            </w: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160" w:type="dxa"/>
            <w:vAlign w:val="bottom"/>
          </w:tcPr>
          <w:p>
            <w:pPr>
              <w:ind w:left="220"/>
              <w:spacing w:after="0" w:line="201" w:lineRule="exact"/>
              <w:rPr>
                <w:sz w:val="20"/>
                <w:szCs w:val="20"/>
                <w:color w:val="auto"/>
              </w:rPr>
            </w:pPr>
            <w:r>
              <w:rPr>
                <w:rFonts w:ascii="Times New Roman" w:cs="Times New Roman" w:eastAsia="Times New Roman" w:hAnsi="Times New Roman"/>
                <w:sz w:val="14"/>
                <w:szCs w:val="14"/>
                <w:color w:val="auto"/>
              </w:rPr>
              <w:t xml:space="preserve">tangible assets </w:t>
            </w:r>
            <w:r>
              <w:rPr>
                <w:rFonts w:ascii="Times New Roman" w:cs="Times New Roman" w:eastAsia="Times New Roman" w:hAnsi="Times New Roman"/>
                <w:sz w:val="18"/>
                <w:szCs w:val="18"/>
                <w:color w:val="auto"/>
                <w:vertAlign w:val="superscript"/>
              </w:rPr>
              <w:t>(3)</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40,816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45,335</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45,335</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148,502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136,925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132,805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99,620</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148,502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99,620</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charge-offs to average loans</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9"/>
                <w:szCs w:val="9"/>
                <w:color w:val="auto"/>
              </w:rPr>
              <w:t>(4)</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11,191</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11,191</w:t>
            </w: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5,335</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5,335</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19,481</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19,481</w:t>
            </w: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16,865</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16,865</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2,122</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2,122</w:t>
            </w: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39"/>
        </w:trPr>
        <w:tc>
          <w:tcPr>
            <w:tcW w:w="21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shares outstanding</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106,163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106,034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106,025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89,350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86,559</w:t>
            </w:r>
          </w:p>
        </w:tc>
        <w:tc>
          <w:tcPr>
            <w:tcW w:w="10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106,163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86,559</w:t>
            </w:r>
          </w:p>
        </w:tc>
        <w:tc>
          <w:tcPr>
            <w:tcW w:w="8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firstLine="8"/>
        <w:spacing w:after="0" w:line="250" w:lineRule="auto"/>
        <w:tabs>
          <w:tab w:leader="none" w:pos="138"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Excludes merger-related and other charges.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Net income less preferred stock dividends, divided by average realized common equity, which excludes AOCI.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Excludes effect of acquisition related intangibles and associated amortization.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Annualized.</w:t>
      </w:r>
    </w:p>
    <w:p>
      <w:pPr>
        <w:sectPr>
          <w:pgSz w:w="11900" w:h="16838" w:orient="portrait"/>
          <w:cols w:equalWidth="0" w:num="1">
            <w:col w:w="11240"/>
          </w:cols>
          <w:pgMar w:left="320" w:top="722"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type w:val="continuous"/>
        </w:sectPr>
      </w:pPr>
    </w:p>
    <w:bookmarkStart w:id="41" w:name="page42"/>
    <w:bookmarkEnd w:id="41"/>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1"/>
                <w:szCs w:val="11"/>
                <w:color w:val="auto"/>
              </w:rPr>
            </w:pPr>
          </w:p>
        </w:tc>
        <w:tc>
          <w:tcPr>
            <w:tcW w:w="8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 reconciliation</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 (GAAP)</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112,755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120,790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109,156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352,820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287,483</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(17,905)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expenses - operating</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111,009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113,647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99,244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95,312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334,915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283,425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81,161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66,842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48,019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52,019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73,816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196,022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217,782</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17,905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 operating</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82,522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72,410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55,072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59,666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74,925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210,004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220,931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14.55 %</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8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18.55 %</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assets (GAAP)</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53.72 %</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53.23 %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56.48 %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51.20 %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52.97 %</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10.89 %</w:t>
            </w: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 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additional details on the average balances and net interest revenue for the periods presented. The tables that follow indicate the relationship between interest revenue and expense and the average amounts of assets and liabilities, which provides further insight into net interest spread and net interest margin for the periods indicated.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net interest revenue was primarily driven by the $3.45 billion increase in average loans provided by the addition of the Aquesta and Reliant loan portfolios, as well as organic growth. As a result of this increase and the rising rate environment, loan interest revenue (FTE) increased $46.0 million compared to the third quarter of 2021, which was partially offset by $13.4 million less in PPP interest and fee income and $3.37 million less in purchased loan accretion. Additionally, the increase in average securities of $1.91 billion combined with rising rates provided $18.5 million more in interest revenue (FTE) compared to the same period of last year as we have continued to deploy surplus liquidity into the securities portfolio. Compared to the third quarter of 2021, average interest-bearing deposits increased $2.13 billion and deposit interest expense increased $6.74 million. Growth in deposits includes deposits received in the acquisitions of Aquesta and Reliant. The increase in deposit interest expense was driven both by the deposit growth and the 20 basis point increase in the average rate paid on interest-bearing deposits resulting from the rising interest rate environment.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interest spread and net interest margin for the third quarter of 2022 increased 37 and 45 basis points, respectively, compared to the third quarter of 2021, which was primarily a result of the impact of the rising rate environment on our asset-sensitive balance sheet as rates on interest-earning assets increased more quickly than rates paid on interest-bearing deposits. As discussed above, we had significantly less accelerated PPP interest and fees and purchased loan accretion compared to the third quarter of 2021. As a result, the average rate earned on loans, net interest spread and net interest margin for the third quarter of 2021 were more positively impacted by these sources of interest revenue compared to the same period of 2022, which partially offset the impact of the increase in interest rates since the third quarter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revenue for the first nine months of 2022 was $542 million, representing a 32% increase from the first nine months of 2021, which was primarily driven by the same factors impacting the quarter. During the first nine months of 2022, our net interest spread and net interest margin both increased by 8 basis points compared to the same period of 2021. As with the quarter, the positive impact of the rising interest rate environment on our average rate earned on loans, net interest spread and net interest margin was partially offset by the significant decreases in accelerated PPP deferred fee accretion and interest income and purchased loan accretion of $36.1 million and $7.99 million, respectively, compared to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September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14,658,397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11,204,653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128,185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1,751,222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22,305,882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215,108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18,077,931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148,691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1,261,236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1,002,810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23,950,355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19,321,705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0.37</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1,120,843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12,387,784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10,256,971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12,715,670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10,514,164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308,551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21,242,304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17,202,684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2,708,051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23,950,355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19,321,705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200,995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142,055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40" w:right="140" w:hanging="332"/>
        <w:spacing w:after="0" w:line="271" w:lineRule="auto"/>
        <w:tabs>
          <w:tab w:leader="none" w:pos="327"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92" w:lineRule="auto"/>
        <w:tabs>
          <w:tab w:leader="none" w:pos="3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51" w:lineRule="auto"/>
        <w:tabs>
          <w:tab w:leader="none" w:pos="336" w:val="left"/>
        </w:tabs>
        <w:numPr>
          <w:ilvl w:val="0"/>
          <w:numId w:val="15"/>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gains and losses on securities, including those related to the transfer from AFS to HTM, have been reclassified to other assets. Pretax unrealized losses of $318 million and pretax unrealized gains of $39.6 million in 2022 and 2021, respectively, are included in other assets for purposes of this presentation.</w:t>
      </w:r>
    </w:p>
    <w:p>
      <w:pPr>
        <w:ind w:left="320" w:hanging="312"/>
        <w:spacing w:after="0"/>
        <w:tabs>
          <w:tab w:leader="none" w:pos="32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4" w:name="page45"/>
    <w:bookmarkEnd w:id="44"/>
    <w:p>
      <w:pPr>
        <w:ind w:left="12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fully taxable equivalent (FTE))</w:t>
            </w: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4"/>
        </w:trPr>
        <w:tc>
          <w:tcPr>
            <w:tcW w:w="4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14,426,470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475,989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11,417,285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380,765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8,979</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1,271,287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22,470,164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575,887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17,473,194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438,051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1,308,647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1,007,669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24,134,846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18,717,064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65,133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12,748,988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9,989,886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286,347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13,072,971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10,277,391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375,182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21,406,545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16,648,820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2,728,301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2,068,244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24,134,846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18,717,064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546,032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414,504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80" w:right="280" w:hanging="280"/>
        <w:spacing w:after="0" w:line="271" w:lineRule="auto"/>
        <w:tabs>
          <w:tab w:leader="none" w:pos="267"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line="192" w:lineRule="auto"/>
        <w:tabs>
          <w:tab w:leader="none" w:pos="2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280" w:right="440" w:hanging="280"/>
        <w:spacing w:after="0" w:line="213" w:lineRule="auto"/>
        <w:tabs>
          <w:tab w:leader="none" w:pos="267"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Unrealized gains and losses, including those related to the transfer from AFS to HTM, have been reclassified to other assets. Pretax unrealized losses of $221 million in 2022 and pretax unrealized gains of $40.3 million in 2021, respectively, are included in other assets for purposes of this presentation.</w:t>
      </w:r>
    </w:p>
    <w:p>
      <w:pPr>
        <w:ind w:left="260" w:hanging="260"/>
        <w:spacing w:after="0"/>
        <w:tabs>
          <w:tab w:leader="none" w:pos="26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ectPr>
          <w:pgSz w:w="11900" w:h="16838" w:orient="portrait"/>
          <w:cols w:equalWidth="0" w:num="1">
            <w:col w:w="11320"/>
          </w:cols>
          <w:pgMar w:left="2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968" w:right="359" w:bottom="1440" w:gutter="0" w:footer="0" w:header="0"/>
          <w:type w:val="continuous"/>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07" w:lineRule="exact"/>
        <w:rPr>
          <w:sz w:val="20"/>
          <w:szCs w:val="20"/>
          <w:color w:val="auto"/>
        </w:rPr>
      </w:pPr>
    </w:p>
    <w:p>
      <w:pPr>
        <w:ind w:left="20" w:right="500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Table 4 -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r>
      <w:tr>
        <w:trPr>
          <w:trHeight w:val="211"/>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Compared to 2021 Increase (Decrease) Due to Changes in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8"/>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95,224</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38,436</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w:t>
            </w:r>
          </w:p>
        </w:tc>
      </w:tr>
      <w:tr>
        <w:trPr>
          <w:trHeight w:val="21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126,987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137,836</w:t>
            </w:r>
          </w:p>
        </w:tc>
      </w:tr>
      <w:tr>
        <w:trPr>
          <w:trHeight w:val="199"/>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w:t>
            </w:r>
          </w:p>
        </w:tc>
      </w:tr>
      <w:tr>
        <w:trPr>
          <w:trHeight w:val="199"/>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&amp; other borrowings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07"/>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r>
      <w:tr>
        <w:trPr>
          <w:trHeight w:val="20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w:t>
            </w:r>
          </w:p>
        </w:tc>
      </w:tr>
      <w:tr>
        <w:trPr>
          <w:trHeight w:val="199"/>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1"/>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 in net interest revenue (FTE)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131,528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a provision for credit losses of $15.4 million and $44.1 million for the three and nine months ended September 30, 2022, respectively, compared to a release of provision of $11.0 million and $36.9 million, respectively, for the same periods of 2021. The amount of provision recorded in each period was the amount required such that the total ACL reflected the appropriate balance as determined by management reflecting expected life of loan losses. The provision recorded during the third quarter of 2022 reflected a less favorable economic outlook as of September 30, 2022 compared to that of the prior quarter and prior year. The provision for credit losses during the nine months ended September 30, 2022 included the initial provision for credit losses on Reliant’s non-PCD loans and unfunded commitments of $15.2 million and $3.12 million, respectively. The negative provision expense for the three and nine months ended September 30, 2021 was primarily a result of an improved economic forecast combined with low net charge-offs for the third quarter of 2021 and net recoveries for the nine months ended September 30,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5 -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900" w:type="dxa"/>
            <w:vAlign w:val="bottom"/>
            <w:gridSpan w:val="4"/>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1820" w:type="dxa"/>
            <w:vAlign w:val="bottom"/>
            <w:gridSpan w:val="3"/>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9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Overdraft fees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ATM and debit card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(7,531)</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derivatives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investment gains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8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0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service charges and fees was primarily driven by the acquisitions of Aquesta and Reliant since the third quarter of 2021, in addition to increases in organic transaction volume. However, the impact of the acquisitions on overdraft fees for the three and nine months ended September 30, 2022 was offset by the impact of updates to our consumer overdraft policy implemented in the fourth quarter of 2021. The policy updates included the addition of a fee forgiveness feature, an increase to the overdraft threshold and a lower daily fee item limit.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 gains and related fees consist primarily of fees earned on originations, secondary market gains on sales, derivative hedging gains and losses and fair value adjustments to our mortgage loans held for sale and mortgage servicing rights asset. The change in mortgage income is strongly tied to the interest rate environment and industry conditions. We recognize the majority of income on mortgages when customers enter into mortgage rate lock commitments, making our rate lock volume a significant driver of mortgage gains in any given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mortgage loan gains and related fees was primarily a result of tapering mortgage refinance and mortgage rate lock demand compared to the same periods of 2021, as reflected in the following table. In addition, we held more of our mortgage production in portfolio in comparison to 2021, which contributed to the decrease in volume of loans sold. During the three and nine months ended September 30, 2022, we recorded $2.45 million and $10.9 million in positive fair value adjustments to the mortgage servicing rights asset, which partially offset the decrease in mortgage loan gains. In comparison, we recorded a negative fair value adjustment to the mortgage servicing rights asset of $146,000 and a positive adjustment of $1.33 million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8"/>
          <w:szCs w:val="18"/>
          <w:b w:val="1"/>
          <w:bCs w:val="1"/>
          <w:color w:val="auto"/>
        </w:rPr>
        <w:t>Table 6 - Selected Mortgage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38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rate locks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730,566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2,425,571</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rate locks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3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 sold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93,183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319,232</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460,232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1,062,373</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mortgage loans sold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3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269,743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354,378</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977,562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1,053,849</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Refinances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214,018</w:t>
            </w: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300,128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849,421</w:t>
            </w:r>
          </w:p>
        </w:tc>
        <w:tc>
          <w:tcPr>
            <w:tcW w:w="13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r>
      <w:tr>
        <w:trPr>
          <w:trHeight w:val="212"/>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317,276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568,396</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1,277,690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1,903,270</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3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r>
    </w:tbl>
    <w:p>
      <w:pPr>
        <w:spacing w:after="0" w:line="3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wealth management fees for the first nine months of 2022 compared to the same period of 2021 resulted primarily from inclusion of FinTrust’s wealth management business for the full year of 2022. Assets under administration totaled $4.00 billion as of September 30,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sold certain lower-yielding securities with the strategic intent of reinvesting in higher-yielding securities, which resulted in securities losses for the nine months ended September 30,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and balance sheet management activities. During the third quarter and first nine months of 2022, we sold more SBA/USDA loans compared to the same period of last year. From time to time, we also sell certain equipment financing receivables. The following table presents loans sold and the corresponding gains or losses recognized on the sale for the periods indicated.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7 - Other Loan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40" w:type="dxa"/>
            <w:vAlign w:val="bottom"/>
            <w:tcBorders>
              <w:top w:val="single" w:sz="8" w:color="auto"/>
              <w:bottom w:val="single" w:sz="8" w:color="auto"/>
            </w:tcBorders>
          </w:tcPr>
          <w:p>
            <w:pPr>
              <w:spacing w:after="0"/>
              <w:rPr>
                <w:sz w:val="18"/>
                <w:szCs w:val="18"/>
                <w:color w:val="auto"/>
              </w:rPr>
            </w:pPr>
          </w:p>
        </w:tc>
      </w:tr>
      <w:tr>
        <w:trPr>
          <w:trHeight w:val="208"/>
        </w:trPr>
        <w:tc>
          <w:tcPr>
            <w:tcW w:w="3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r>
      <w:tr>
        <w:trPr>
          <w:trHeight w:val="210"/>
        </w:trPr>
        <w:tc>
          <w:tcPr>
            <w:tcW w:w="302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4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w:t>
            </w: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w:t>
            </w:r>
          </w:p>
        </w:tc>
      </w:tr>
      <w:tr>
        <w:trPr>
          <w:trHeight w:val="237"/>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other noninterest income for the three and nine months ended September 30, 2022 compared to the same periods of 2021 was primarily driven by the following factors:</w:t>
      </w:r>
    </w:p>
    <w:p>
      <w:pPr>
        <w:spacing w:after="0" w:line="81" w:lineRule="exact"/>
        <w:rPr>
          <w:sz w:val="20"/>
          <w:szCs w:val="20"/>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derivative income for the nine months ended September 30, 2022 decreased due to rising interest rates negatively impacting the demand for customer derivative products. This was partially offset by improvements in the CVA on customer derivatives. The CVA improved due to rising interest rates, which lowered our overall credit exposure on customer derivative positions, and credit upgrades to underlying loans associated with customer derivative positions.</w:t>
      </w:r>
    </w:p>
    <w:p>
      <w:pPr>
        <w:spacing w:after="0" w:line="8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unrealized losses on our other investments, which includes deferred compensation plan assets, CRA and tax credit investments and other equity securities, compared to unrealized gains during the same periods of 2021.</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BOLI income reflects income earned on BOLI policies acquired with Reliant as well as death benefit gains recognized in the second and third quarters of 2022 totaling $1.37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8 - Noninterest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9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6"/>
                <w:szCs w:val="16"/>
                <w:color w:val="auto"/>
              </w:rPr>
            </w:pPr>
          </w:p>
        </w:tc>
        <w:tc>
          <w:tcPr>
            <w:tcW w:w="1820" w:type="dxa"/>
            <w:vAlign w:val="bottom"/>
            <w:gridSpan w:val="3"/>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FDIC assessments and other regulatory</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0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42"/>
        </w:trPr>
        <w:tc>
          <w:tcPr>
            <w:tcW w:w="276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Total excluding merger-related and</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111,009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10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334,915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283,425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51,490</w:t>
            </w:r>
          </w:p>
        </w:tc>
        <w:tc>
          <w:tcPr>
            <w:tcW w:w="10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charges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112,755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16,006</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65,337</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salaries and employee benefits for the third quarter and first nine months of 2022 compared to the same periods of 2021 was primarily driven by the addition of Reliant, Aquesta and FinTrust employees since their respective acquisition dates. The increase also reflects our annual merit-based salary increases awarded during the second quarter of 2022. These increases were partially offset by a reduction in deferred compensation expense resulting from unrealized losses on underlying plan assets, compared to unrealized gains in the same periods of 2021. Commissions expense also decreased primarily due to reduced mortgage production volume. Full-time equivalent headcount totaled 2,826 at September 30, 2022, up from 2,480 at September 30, 2021, which represents a 14% increase.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Communications and equipment expense increased primarily due to incremental software contract costs and the growth in our network with the addition of recent acquisitions. The increase in occupancy costs for the third quarter and first nine months of 2022 compared to the same periods of 2021 was mostly attributable to the additional operating lease costs associated with Reliant, Aquesta and FinTrust. Advertising and public relations expense increased compared to 2021 as a result of charitable contributions made to the United Community Bank Foundation, new marketing campaigns, promotions and sponsorships. In the third quarter of 2022, we made a $650,000 contribution to the United Community Bank Foundation. The increase in outside services - electronic banking primarily related to increased ATM network and internet banking costs. Amortization of intangibles increased with the additional customer deposit and customer relationship intangibles recorded as a result of acquisitions since the third quarter of 2021. The increase in other expense was primarily due to increase in travel and meals expenses, as well as volume-based increases in fraud losses. Increased merger-related charges for the nine months ended September 30, 2022 were primarily related to the acquisition of Reliant and the completion of its system conversion in the second quarter of 2022, as well as branch closure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September 30, 2022 and December 31, 2021 were $23.7 billion and $20.9 billion, respectively. Total liabilities at September 30, 2022 and December 31, 2021 were $21.1 billion and $18.7 billion, respectively. Shareholders’ equity totaled $2.63 billion and $2.22 billion at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The following table presents a summary of the loan portfolio by loan type as of September 30, 2022, of which approximately 73% was secured by real estate. Commercial and industrial loans as of September 30, 2022 included $2.44 million of PPP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Loan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reviews of special mention and substandard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2021 10-K for additional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Table 10 - Allocation of ACL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19,056</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14,282</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20,918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17,954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20,565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110,103</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81,276</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19,335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8,473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148,502</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102,532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18,798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1" w:lineRule="exact"/>
              <w:rPr>
                <w:sz w:val="20"/>
                <w:szCs w:val="20"/>
                <w:color w:val="auto"/>
              </w:rPr>
            </w:pPr>
            <w:r>
              <w:rPr>
                <w:rFonts w:ascii="Times New Roman" w:cs="Times New Roman" w:eastAsia="Times New Roman" w:hAnsi="Times New Roman"/>
                <w:sz w:val="16"/>
                <w:szCs w:val="16"/>
                <w:color w:val="auto"/>
              </w:rPr>
              <w:t>10,992</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167,300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113,524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nonaccrual loans HFI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the ACL since December 31, 2021 was primarily driven by the acquisition of Reliant, which added $31.1 million to the ACL as of the acquisition date. Of this amount, $12.7 million was reclassified from the amortized cost basis of PCD loans, $15.2 million was recorded as provision for loan losses on acquired non-PCD loan balances and $3.12 million was recorded as provision for unfunded commitments on the acquired balance of unfunded commitments. The increase in the ACL was also attributable to a more negative economic forecast as of September 30, 2022 as compared to prior periods. See </w:t>
      </w: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xml:space="preserve"> discussion within this MD&amp;A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5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571</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(2,838)</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2,324</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 (recoveries)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2,680,906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2,132,744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2,650,505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2,119,457</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3,274,246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2,526,727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3,291,809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2,555,933</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2,237,096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2,041,344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2,285,443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2,348,130</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1,508,481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929,760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1,487,598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945,175</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1,241,322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985,271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1,184,201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938,275</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2,065,662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1,491,140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1,930,781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1,411,077</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813,637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656,067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791,673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671,006</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400,680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286,394</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292,648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278,449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143,719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139,134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143,462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141,838</w:t>
            </w:r>
          </w:p>
        </w:tc>
      </w:tr>
      <w:tr>
        <w:trPr>
          <w:trHeight w:val="212"/>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14,658,397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11,204,653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14,426,470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11,417,285</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5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9"/>
              </w:rPr>
              <w:t>(0.01)%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(0.02)%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0.04 %</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(0.16)</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0.33</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0.68</w:t>
            </w:r>
          </w:p>
        </w:tc>
      </w:tr>
      <w:tr>
        <w:trPr>
          <w:trHeight w:val="21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w:t>
      </w: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12 -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40" w:type="dxa"/>
            <w:vAlign w:val="bottom"/>
            <w:tcBorders>
              <w:bottom w:val="single" w:sz="8" w:color="CCEEFF"/>
            </w:tcBorders>
          </w:tcPr>
          <w:p>
            <w:pPr>
              <w:spacing w:after="0"/>
              <w:rPr>
                <w:sz w:val="18"/>
                <w:szCs w:val="18"/>
                <w:color w:val="auto"/>
              </w:rPr>
            </w:pPr>
          </w:p>
        </w:tc>
      </w:tr>
      <w:tr>
        <w:trPr>
          <w:trHeight w:val="211"/>
        </w:trPr>
        <w:tc>
          <w:tcPr>
            <w:tcW w:w="66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 HFI</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32,812</w:t>
            </w:r>
          </w:p>
        </w:tc>
        <w:tc>
          <w:tcPr>
            <w:tcW w:w="1340" w:type="dxa"/>
            <w:vAlign w:val="bottom"/>
            <w:shd w:val="clear" w:color="auto" w:fill="CCEEFF"/>
          </w:tcPr>
          <w:p>
            <w:pPr>
              <w:spacing w:after="0"/>
              <w:rPr>
                <w:sz w:val="18"/>
                <w:szCs w:val="18"/>
                <w:color w:val="auto"/>
              </w:rPr>
            </w:pPr>
          </w:p>
        </w:tc>
      </w:tr>
      <w:tr>
        <w:trPr>
          <w:trHeight w:val="213"/>
        </w:trPr>
        <w:tc>
          <w:tcPr>
            <w:tcW w:w="66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Nonaccrual loans held for sale</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right"/>
              <w:ind w:right="15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6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340" w:type="dxa"/>
            <w:vAlign w:val="bottom"/>
            <w:shd w:val="clear" w:color="auto" w:fill="CCEEFF"/>
          </w:tcPr>
          <w:p>
            <w:pPr>
              <w:spacing w:after="0"/>
              <w:rPr>
                <w:sz w:val="18"/>
                <w:szCs w:val="18"/>
                <w:color w:val="auto"/>
              </w:rPr>
            </w:pPr>
          </w:p>
        </w:tc>
      </w:tr>
      <w:tr>
        <w:trPr>
          <w:trHeight w:val="212"/>
        </w:trPr>
        <w:tc>
          <w:tcPr>
            <w:tcW w:w="664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Total NPAs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35,511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32,855</w:t>
            </w:r>
          </w:p>
        </w:tc>
        <w:tc>
          <w:tcPr>
            <w:tcW w:w="1340" w:type="dxa"/>
            <w:vAlign w:val="bottom"/>
          </w:tcPr>
          <w:p>
            <w:pPr>
              <w:spacing w:after="0"/>
              <w:rPr>
                <w:sz w:val="18"/>
                <w:szCs w:val="18"/>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6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Nonaccrual loans HFI as a percentage of total loans HFI</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1340" w:type="dxa"/>
            <w:vAlign w:val="bottom"/>
          </w:tcPr>
          <w:p>
            <w:pPr>
              <w:spacing w:after="0"/>
              <w:rPr>
                <w:sz w:val="18"/>
                <w:szCs w:val="18"/>
                <w:color w:val="auto"/>
              </w:rPr>
            </w:pPr>
          </w:p>
        </w:tc>
      </w:tr>
      <w:tr>
        <w:trPr>
          <w:trHeight w:val="219"/>
        </w:trPr>
        <w:tc>
          <w:tcPr>
            <w:tcW w:w="66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3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to place loans on nonaccrual status when, in the opinion of management, the full principal and interest on a loan is not likely to be collected or when the loan becomes 90 days past due. A loan may continue on accrual after 90 days, however,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and December 31, 2021, we had $42.9 million and $52.4 million, respectively, in loans with terms that have been modified in TDRs. Included therein were $5.13 million and $11.5 million, respectively, of TDRs that were classified as nonaccrual and were included in nonperforming loans. The remaining TDRs with an aggregate balance of $37.8 million and $40.9 million, respectively, were performing according to their modified terms and were therefore not considered to be nonperforming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2022 and December 31, 2021, we had HTM debt securities with a carrying amount of $2.68 billion and $1.16 billion, respectively, and AFS debt securities totaling $3.86 billion and $4.50 billion, respectively. During the first nine months of 2022, United transferred AFS debt securities to HTM with a fair value on the transfer date of $1.29 billion, which included unrealized losses recorded in AOCI totaling $87.4 million. No securities were transferred from AFS to HTM during the third quarter of 2022. Transfer date unrealized losses are amortized and reclassified out of AOCI as a yield adjustment, which is offset by discount accretion of the transferred HTM securities. Amortization of transfer date unrealized losses and discount accretion are recognized over the remaining life of the securities. During the first half of 2022, we continued to deploy liquidity generated through strong deposit growth by purchasing additional investment securities. In the third quarter of 2022, we slowed our securities purchases as we began to see some deposit attrition, which absorbed much of our surplus liquidity. At September 30, 2022 and December 31, 2021, the securities portfolio represented approximately 28% and 27%, respectively, of total assets.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September 30, 2022 and December 31, 2021,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where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September 30, 2022 and December 31, 2021, there was no ACL related to the AFS debt securities portfolio. Unrealized losses on fixed income securities at September 30, 2022 and December 31, 2021 primarily reflected the effect of changes in interest rates.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September 30, 2022 and December 31, 2021, the net carrying amount of goodwill was $751 million and $452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Reliant in the first quarter of 2022, we recorded goodwill and a core deposit intangible of $299 million and $14.5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The increase in deposits since December 31, 2021 is mostly driven by the deposits assumed in the Reliant transaction. More recently, we have seen some anticipated balance attrition, mostly in NOW and money market accounts, as rising interest rates have given customers more attractive returns outside of the banking system. Much of the recent decrease in balances is in public funds deposits.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8,198,129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4,208,731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4,252,209</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5,399,133</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1,622,608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1,442,498</w:t>
            </w:r>
          </w:p>
        </w:tc>
        <w:tc>
          <w:tcPr>
            <w:tcW w:w="1500" w:type="dxa"/>
            <w:vAlign w:val="bottom"/>
            <w:tcBorders>
              <w:bottom w:val="single" w:sz="8" w:color="CCEEFF"/>
            </w:tcBorders>
          </w:tcPr>
          <w:p>
            <w:pPr>
              <w:spacing w:after="0"/>
              <w:rPr>
                <w:sz w:val="18"/>
                <w:szCs w:val="18"/>
                <w:color w:val="auto"/>
              </w:rPr>
            </w:pPr>
          </w:p>
        </w:tc>
      </w:tr>
      <w:tr>
        <w:trPr>
          <w:trHeight w:val="212"/>
        </w:trPr>
        <w:tc>
          <w:tcPr>
            <w:tcW w:w="55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customer deposits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20,176,534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18,050,821</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Brokered deposits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190,358</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20,321,142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we had long-term debt outstanding of $325 million and $247 million, respectively, which includes senior debentures, subordinated debentures, and trust preferred securities. The increase since December 31, 2021 is a result of the subordinated debt and trust preferred securities assumed in the Reliant acquisition totaling $76.7 million. See Note 9 to the consolidated financial statements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since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22 to the consolidated financial statements included in our 2021 10-K and Note 15 to the consolidated financial statements in this Report for additional information on off-balance sheet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b w:val="1"/>
          <w:bCs w:val="1"/>
          <w:color w:val="auto"/>
        </w:rPr>
        <w:t>Table 14 - Interest Sensitivity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4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60" w:type="dxa"/>
            <w:vAlign w:val="bottom"/>
          </w:tcPr>
          <w:p>
            <w:pPr>
              <w:spacing w:after="0"/>
              <w:rPr>
                <w:sz w:val="18"/>
                <w:szCs w:val="18"/>
                <w:color w:val="auto"/>
              </w:rPr>
            </w:pPr>
          </w:p>
        </w:tc>
      </w:tr>
      <w:tr>
        <w:trPr>
          <w:trHeight w:val="211"/>
        </w:trPr>
        <w:tc>
          <w:tcPr>
            <w:tcW w:w="1500" w:type="dxa"/>
            <w:vAlign w:val="bottom"/>
          </w:tcPr>
          <w:p>
            <w:pPr>
              <w:spacing w:after="0"/>
              <w:rPr>
                <w:sz w:val="18"/>
                <w:szCs w:val="18"/>
                <w:color w:val="auto"/>
              </w:rPr>
            </w:pPr>
          </w:p>
        </w:tc>
        <w:tc>
          <w:tcPr>
            <w:tcW w:w="358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0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8.65 %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5.33 %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8.02 %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4.76 %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0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3.07</w:t>
            </w:r>
          </w:p>
        </w:tc>
        <w:tc>
          <w:tcPr>
            <w:tcW w:w="1560" w:type="dxa"/>
            <w:vAlign w:val="bottom"/>
          </w:tcPr>
          <w:p>
            <w:pPr>
              <w:spacing w:after="0"/>
              <w:rPr>
                <w:sz w:val="18"/>
                <w:szCs w:val="18"/>
                <w:color w:val="auto"/>
              </w:rPr>
            </w:pPr>
          </w:p>
        </w:tc>
      </w:tr>
      <w:tr>
        <w:trPr>
          <w:trHeight w:val="219"/>
        </w:trPr>
        <w:tc>
          <w:tcPr>
            <w:tcW w:w="150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56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(4.51)</w:t>
            </w:r>
          </w:p>
        </w:tc>
        <w:tc>
          <w:tcPr>
            <w:tcW w:w="1560" w:type="dxa"/>
            <w:vAlign w:val="bottom"/>
          </w:tcPr>
          <w:p>
            <w:pPr>
              <w:spacing w:after="0"/>
              <w:rPr>
                <w:sz w:val="18"/>
                <w:szCs w:val="18"/>
                <w:color w:val="auto"/>
              </w:rPr>
            </w:pPr>
          </w:p>
        </w:tc>
      </w:tr>
    </w:tbl>
    <w:p>
      <w:pPr>
        <w:spacing w:after="0" w:line="2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sources of liquidity are generally short-term in nature and are used as necessary to fund asset growth and meet other short-term liquidity needs.</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we had sufficient qualifying collateral to provide borrowing capacity for FHLB advances of $1.54 billion and Federal Reserve discount window borrowing capacity of $2.44 billion. We also had unpledged investment securities of $4.58 billion that could be used as collateral for additional borrowings. In addition, we have the ability to attract retail deposits by competing more aggressively on pricing.</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uses and sources of cash during the nine months ended September 30, 2022 are as follows. See the consolidated statement of cash flows for further detail.</w:t>
      </w:r>
    </w:p>
    <w:p>
      <w:pPr>
        <w:spacing w:after="0" w:line="67"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$508 million reflects net income of $196 million adjusted for non-cash transactions, gains and losses on sales of securities and other loans, a decrease in loans held for sale of $136 million and changes in other assets and liabilities. Significant non-cash transactions for the period included a $44.1 million provision for credit losses and net depreciation, amortization, and accretion of $34.7 million.</w:t>
      </w:r>
    </w:p>
    <w:p>
      <w:pPr>
        <w:spacing w:after="0" w:line="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$1.84 billion primarily consisted of purchases of AFS and HTM debt securities of $1.99 billion and a net increase in loans of $773 million, partially offset by proceeds from securities sales, maturities and calls of $916 million.</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financing activities of $499 million was driven by a net decrease in deposits of $424 million, combined with dividends on common and preferred stock of $68.4 million.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our liquidity position at September 30, 2022 was sufficient to meet our expected cash flow requirements for the foreseeable future.</w:t>
      </w: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Shareholders’ equity at September 30, 2022 was $2.63 billion, an increase of $412 million from December 31, 2021 primarily due to equity issued in the Reliant acquisition and year-to-date earnings partially offset by dividends declared and unrealized losses on AFS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September 30, 2022 and December 31, 2021. As of September 30, 2022, capital levels remained characterized as “well-capitalized” under regulatory requirements in effect at the time. Additional information related to capital ratios is provided in Note 14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15 - Capital Ratios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7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7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Well-</w:t>
            </w:r>
          </w:p>
        </w:tc>
        <w:tc>
          <w:tcPr>
            <w:tcW w:w="16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4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September 30, 2022 from that presented in our 2021 10-K. Our interest rate sensitivity position at September 30, 2022 is set forth in Table 14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September 30, 2022.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September 30, 2022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with respect to the additional risk factors related to the proposed Progress acquisition, which are set forth in the final prospectus filed with the SEC pursuant to Rule 424(b)(3) on July 12, 2022 (and incorporated herein by this reference), there have been no material changes to the risk factors previously disclosed in the 2021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 2022, the Talent and Compensation Committee of the Board (the “Committee”) approved the termination of the change in control severance agreements between the Holding Company and its executive officers, including H. Lynn Harton, Jefferson L. Harralson, Richard W. Bradshaw, Robert A. Edwards and Melinda Davis Lux after a review process that determined the agreements were outdated in several respects. The current form of the Holding Company’s change in control agreements, which was originally adopted for the Holding Company’s executive officers in March of 2015, provided severance benefits to the Holding Company’s executive officers in the event of a termination of employment for specified reasons in connection with a change in control of the Holding Company. The review of the agreements was undertaken by the Committee in the ordinary course of reviewing</w:t>
      </w:r>
    </w:p>
    <w:p>
      <w:pPr>
        <w:spacing w:after="0" w:line="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compensation arrangements applicable to the Holding Company’s executive officers. The Committee is in the process of considering the development of new change in control agreements for the Holding Company’s executive officers, which the Committee would anticipate implementing in the coming</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months. In connection with the termination of the change in control agreements, each of the executive officers entered into a letter agreement agreeing thereto.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change in control agreement termination letter agreement is qualified in its entirety by the terms of such letter, the form of which is filed as Exhibit 10.1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right="40" w:hanging="606"/>
        <w:spacing w:after="0" w:line="258"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8"/>
          <w:szCs w:val="18"/>
          <w:u w:val="single" w:color="auto"/>
          <w:color w:val="0000FF"/>
        </w:rPr>
        <w:t>Form of Change in Control Agreement Termination Letter Agreement, dated November 1, 2022, between United Community Banks, Inc. and each of H. Lynn Harton, Jefferson L. Harralson, Richard W. Bradshaw, Robert A. Edwards, Melinda Davis Lux, Mark A. Terry and Holly N. Berry.</w:t>
      </w:r>
    </w:p>
    <w:p>
      <w:pPr>
        <w:spacing w:after="0" w:line="169" w:lineRule="exact"/>
        <w:rPr>
          <w:sz w:val="20"/>
          <w:szCs w:val="20"/>
          <w:color w:val="auto"/>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by H. Lynn Harton, President and Chief Executive Officer of United Community Banks, Inc., pursuant to Exchange Act Rule 13a-14(a).</w:t>
      </w:r>
    </w:p>
    <w:p>
      <w:pPr>
        <w:spacing w:after="0" w:line="172" w:lineRule="exact"/>
        <w:rPr>
          <w:sz w:val="20"/>
          <w:szCs w:val="20"/>
          <w:color w:val="auto"/>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by Jefferson L. Harralson, Executive Vice President and Chief Financial Officer of United Community Banks, Inc., pursuant to Exchange Act Rule 13a-14(a).</w:t>
      </w:r>
    </w:p>
    <w:p>
      <w:pPr>
        <w:spacing w:after="0" w:line="17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r>
      <w:r>
        <w:rPr>
          <w:sz w:val="20"/>
          <w:szCs w:val="20"/>
          <w:color w:val="auto"/>
        </w:rPr>
        <w:tab/>
      </w:r>
      <w:r>
        <w:rPr>
          <w:rFonts w:ascii="Times New Roman" w:cs="Times New Roman" w:eastAsia="Times New Roman" w:hAnsi="Times New Roman"/>
          <w:sz w:val="18"/>
          <w:szCs w:val="18"/>
          <w:u w:val="single" w:color="auto"/>
          <w:color w:val="0000FF"/>
        </w:rPr>
        <w:t>Certification of CEO and CFO pursuant to 18 U.S.C. Section 1350.</w:t>
      </w:r>
    </w:p>
    <w:p>
      <w:pPr>
        <w:spacing w:after="0" w:line="185" w:lineRule="exact"/>
        <w:rPr>
          <w:sz w:val="20"/>
          <w:szCs w:val="20"/>
          <w:color w:val="auto"/>
        </w:rPr>
      </w:pPr>
    </w:p>
    <w:p>
      <w:pPr>
        <w:jc w:val="both"/>
        <w:ind w:left="1600" w:hanging="557"/>
        <w:spacing w:after="0" w:line="222"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September 30, 2022,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firstLine="5"/>
        <w:spacing w:after="0" w:line="218" w:lineRule="auto"/>
        <w:tabs>
          <w:tab w:leader="none" w:pos="1930" w:val="left"/>
        </w:tabs>
        <w:numPr>
          <w:ilvl w:val="1"/>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1600" w:hanging="557"/>
        <w:spacing w:after="0" w:line="237" w:lineRule="auto"/>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September 30, 2022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92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November 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By Hand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Executive</w:t>
      </w:r>
    </w:p>
    <w:p>
      <w:pPr>
        <w:spacing w:after="0" w:line="181" w:lineRule="auto"/>
        <w:rPr>
          <w:sz w:val="20"/>
          <w:szCs w:val="20"/>
          <w:color w:val="auto"/>
        </w:rPr>
      </w:pPr>
      <w:r>
        <w:rPr>
          <w:rFonts w:ascii="Times New Roman" w:cs="Times New Roman" w:eastAsia="Times New Roman" w:hAnsi="Times New Roman"/>
          <w:sz w:val="19"/>
          <w:szCs w:val="19"/>
          <w:color w:val="auto"/>
        </w:rPr>
        <w:t>Title of Executive]</w:t>
      </w:r>
      <w:r>
        <w:rPr>
          <w:rFonts w:ascii="Times New Roman" w:cs="Times New Roman" w:eastAsia="Times New Roman" w:hAnsi="Times New Roman"/>
          <w:sz w:val="24"/>
          <w:szCs w:val="24"/>
          <w:color w:val="auto"/>
          <w:vertAlign w:val="superscript"/>
        </w:rPr>
        <w:t>1</w:t>
      </w:r>
    </w:p>
    <w:p>
      <w:pPr>
        <w:spacing w:after="0" w:line="197" w:lineRule="auto"/>
        <w:rPr>
          <w:sz w:val="20"/>
          <w:szCs w:val="20"/>
          <w:color w:val="auto"/>
        </w:rPr>
      </w:pPr>
      <w:r>
        <w:rPr>
          <w:rFonts w:ascii="Times New Roman" w:cs="Times New Roman" w:eastAsia="Times New Roman" w:hAnsi="Times New Roman"/>
          <w:sz w:val="20"/>
          <w:szCs w:val="20"/>
          <w:color w:val="auto"/>
        </w:rPr>
        <w:t>2 W. Washington St. Suite 700</w:t>
      </w:r>
    </w:p>
    <w:p>
      <w:pPr>
        <w:spacing w:after="0"/>
        <w:rPr>
          <w:sz w:val="20"/>
          <w:szCs w:val="20"/>
          <w:color w:val="auto"/>
        </w:rPr>
      </w:pPr>
      <w:r>
        <w:rPr>
          <w:rFonts w:ascii="Times New Roman" w:cs="Times New Roman" w:eastAsia="Times New Roman" w:hAnsi="Times New Roman"/>
          <w:sz w:val="20"/>
          <w:szCs w:val="20"/>
          <w:color w:val="auto"/>
        </w:rPr>
        <w:t>Greenville, South Carolina 29601</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Termination of Change in Control Severance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[Name of Executive]:</w:t>
      </w:r>
    </w:p>
    <w:p>
      <w:pPr>
        <w:spacing w:after="0" w:line="202" w:lineRule="exact"/>
        <w:rPr>
          <w:sz w:val="20"/>
          <w:szCs w:val="20"/>
          <w:color w:val="auto"/>
        </w:rPr>
      </w:pPr>
    </w:p>
    <w:p>
      <w:pPr>
        <w:ind w:right="660" w:firstLine="1296"/>
        <w:spacing w:after="0" w:line="212" w:lineRule="auto"/>
        <w:rPr>
          <w:sz w:val="20"/>
          <w:szCs w:val="20"/>
          <w:color w:val="auto"/>
        </w:rPr>
      </w:pPr>
      <w:r>
        <w:rPr>
          <w:rFonts w:ascii="Times New Roman" w:cs="Times New Roman" w:eastAsia="Times New Roman" w:hAnsi="Times New Roman"/>
          <w:sz w:val="20"/>
          <w:szCs w:val="20"/>
          <w:color w:val="auto"/>
        </w:rPr>
        <w:t>United Community Banks,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undergoing a review of its executive compensation arrangements. In connection therewith, the Company desires to terminate the United Community Banks, Inc. Change in Control</w:t>
      </w:r>
    </w:p>
    <w:p>
      <w:pPr>
        <w:spacing w:after="0" w:line="1" w:lineRule="exact"/>
        <w:rPr>
          <w:sz w:val="20"/>
          <w:szCs w:val="20"/>
          <w:color w:val="auto"/>
        </w:rPr>
      </w:pPr>
    </w:p>
    <w:p>
      <w:pPr>
        <w:jc w:val="both"/>
        <w:ind w:right="640"/>
        <w:spacing w:after="0" w:line="190" w:lineRule="auto"/>
        <w:rPr>
          <w:sz w:val="20"/>
          <w:szCs w:val="20"/>
          <w:color w:val="auto"/>
        </w:rPr>
      </w:pPr>
      <w:r>
        <w:rPr>
          <w:rFonts w:ascii="Times New Roman" w:cs="Times New Roman" w:eastAsia="Times New Roman" w:hAnsi="Times New Roman"/>
          <w:sz w:val="20"/>
          <w:szCs w:val="20"/>
          <w:color w:val="auto"/>
        </w:rPr>
        <w:t>Severance Agreement, dated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CIC Agreement</w:t>
      </w:r>
      <w:r>
        <w:rPr>
          <w:rFonts w:ascii="Times New Roman" w:cs="Times New Roman" w:eastAsia="Times New Roman" w:hAnsi="Times New Roman"/>
          <w:sz w:val="20"/>
          <w:szCs w:val="20"/>
          <w:color w:val="auto"/>
        </w:rPr>
        <w:t>”) by and between you and the Company. Accordingly, pursuant to Section 1 of the CIC Agreement, you and the Company agree that the CIC Agreement shall be terminated effective as of November 1, 2022.</w:t>
      </w:r>
    </w:p>
    <w:p>
      <w:pPr>
        <w:spacing w:after="0" w:line="212" w:lineRule="auto"/>
        <w:rPr>
          <w:sz w:val="20"/>
          <w:szCs w:val="20"/>
          <w:color w:val="auto"/>
        </w:rPr>
      </w:pPr>
      <w:r>
        <w:rPr>
          <w:rFonts w:ascii="Times New Roman" w:cs="Times New Roman" w:eastAsia="Times New Roman" w:hAnsi="Times New Roman"/>
          <w:sz w:val="20"/>
          <w:szCs w:val="20"/>
          <w:color w:val="auto"/>
        </w:rPr>
        <w:t>You acknowledge and further agree that the termination of the CIC Agreement does not constitute a termination of your employment</w:t>
      </w:r>
    </w:p>
    <w:p>
      <w:pPr>
        <w:ind w:right="640"/>
        <w:spacing w:after="0" w:line="204" w:lineRule="auto"/>
        <w:rPr>
          <w:sz w:val="20"/>
          <w:szCs w:val="20"/>
          <w:color w:val="auto"/>
        </w:rPr>
      </w:pPr>
      <w:r>
        <w:rPr>
          <w:rFonts w:ascii="Times New Roman" w:cs="Times New Roman" w:eastAsia="Times New Roman" w:hAnsi="Times New Roman"/>
          <w:sz w:val="20"/>
          <w:szCs w:val="20"/>
          <w:color w:val="auto"/>
        </w:rPr>
        <w:t>or serve as the basis for a claim for termination by you for “good reason” (or any similar term) under any employment or compensation arrangement with the Company, including the CIC Agreement, any equity award (including any restricted stock unit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performance-based restricted stock award or stock option award) or any other employment or compensation arrangement.</w:t>
      </w:r>
    </w:p>
    <w:p>
      <w:pPr>
        <w:spacing w:after="0" w:line="194" w:lineRule="exact"/>
        <w:rPr>
          <w:sz w:val="20"/>
          <w:szCs w:val="20"/>
          <w:color w:val="auto"/>
        </w:rPr>
      </w:pPr>
    </w:p>
    <w:p>
      <w:pPr>
        <w:ind w:right="640" w:firstLine="1296"/>
        <w:spacing w:after="0" w:line="233" w:lineRule="auto"/>
        <w:rPr>
          <w:sz w:val="20"/>
          <w:szCs w:val="20"/>
          <w:color w:val="auto"/>
        </w:rPr>
      </w:pPr>
      <w:r>
        <w:rPr>
          <w:rFonts w:ascii="Times New Roman" w:cs="Times New Roman" w:eastAsia="Times New Roman" w:hAnsi="Times New Roman"/>
          <w:sz w:val="20"/>
          <w:szCs w:val="20"/>
          <w:color w:val="auto"/>
        </w:rPr>
        <w:t>Please read this letter agreement carefully. If you are in agreement with the terms of this letter agreement, please then sign and return this letter agreement to [•].</w:t>
      </w:r>
    </w:p>
    <w:p>
      <w:pPr>
        <w:spacing w:after="0" w:line="1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[Melinda Davis Lux</w:t>
      </w:r>
    </w:p>
    <w:p>
      <w:pPr>
        <w:ind w:left="1400"/>
        <w:spacing w:after="0" w:line="205" w:lineRule="auto"/>
        <w:rPr>
          <w:sz w:val="20"/>
          <w:szCs w:val="20"/>
          <w:color w:val="auto"/>
        </w:rPr>
      </w:pPr>
      <w:r>
        <w:rPr>
          <w:rFonts w:ascii="Times New Roman" w:cs="Times New Roman" w:eastAsia="Times New Roman" w:hAnsi="Times New Roman"/>
          <w:sz w:val="20"/>
          <w:szCs w:val="20"/>
          <w:color w:val="333333"/>
        </w:rPr>
        <w:t>Executive Vice President, General Counsel and</w:t>
      </w:r>
    </w:p>
    <w:p>
      <w:pPr>
        <w:ind w:left="4540"/>
        <w:spacing w:after="0"/>
        <w:rPr>
          <w:sz w:val="20"/>
          <w:szCs w:val="20"/>
          <w:color w:val="auto"/>
        </w:rPr>
      </w:pPr>
      <w:r>
        <w:rPr>
          <w:rFonts w:ascii="Times New Roman" w:cs="Times New Roman" w:eastAsia="Times New Roman" w:hAnsi="Times New Roman"/>
          <w:sz w:val="20"/>
          <w:szCs w:val="20"/>
          <w:color w:val="333333"/>
        </w:rPr>
        <w:t>Corporate Secretary]</w:t>
      </w:r>
      <w:r>
        <w:rPr>
          <w:rFonts w:ascii="Times New Roman" w:cs="Times New Roman" w:eastAsia="Times New Roman" w:hAnsi="Times New Roman"/>
          <w:sz w:val="25"/>
          <w:szCs w:val="25"/>
          <w:color w:val="333333"/>
          <w:vertAlign w:val="superscript"/>
        </w:rPr>
        <w:t>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Executive Acceptance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agree to the termination of the CIC Agreement and the other terms of this letter agreement.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rPr>
          <w:sz w:val="20"/>
          <w:szCs w:val="20"/>
          <w:color w:val="auto"/>
        </w:rPr>
      </w:pPr>
      <w:r>
        <w:rPr>
          <w:rFonts w:ascii="Times New Roman" w:cs="Times New Roman" w:eastAsia="Times New Roman" w:hAnsi="Times New Roman"/>
          <w:sz w:val="20"/>
          <w:szCs w:val="20"/>
          <w:color w:val="auto"/>
        </w:rPr>
        <w:t>[Name of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2" w:lineRule="exact"/>
        <w:rPr>
          <w:sz w:val="20"/>
          <w:szCs w:val="20"/>
          <w:color w:val="auto"/>
        </w:rPr>
      </w:pPr>
    </w:p>
    <w:p>
      <w:pPr>
        <w:ind w:right="60" w:firstLine="8"/>
        <w:spacing w:after="0" w:line="236" w:lineRule="auto"/>
        <w:tabs>
          <w:tab w:leader="none" w:pos="103"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 Lynn Harton, President &amp; Chief Executive Officer; Jefferson L. Harralson, Chief Financial Officer; Richard W. Bradshaw, Executive Vice President &amp; Chief Banking Officer; Robert A. Edwards, Executive Vice President &amp; Chief Risk Officer; Melinda Davis Lux, Executive Vice President, General Counsel and Corporate Secretary; Mark A. Terry, Chief Information Officer; and Holly N. Berry, Chief Human Resources Officer</w:t>
      </w:r>
    </w:p>
    <w:p>
      <w:pPr>
        <w:spacing w:after="0" w:line="18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Insert date of CIC Agreement</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Signature by H. Lynn Harton for letter to Melinda Davis Lux</w:t>
      </w:r>
    </w:p>
    <w:p>
      <w:pPr>
        <w:sectPr>
          <w:pgSz w:w="11900" w:h="16838" w:orient="portrait"/>
          <w:cols w:equalWidth="0" w:num="1">
            <w:col w:w="11240"/>
          </w:cols>
          <w:pgMar w:left="320" w:top="100" w:right="339"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64" w:name="page65"/>
    <w:bookmarkEnd w:id="6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September 30, 2022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upperLetter"/>
      <w:start w:val="68"/>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upperLetter"/>
      <w:start w:val="68"/>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lvl w:ilvl="1">
      <w:lvlJc w:val="left"/>
      <w:lvlText w:val="(%2)"/>
      <w:numFmt w:val="lowerLetter"/>
      <w:start w:val="2"/>
    </w:lvl>
  </w:abstractNum>
  <w:abstractNum w:abstractNumId="19">
    <w:nsid w:val="2D1D5AE9"/>
    <w:multiLevelType w:val="hybridMultilevel"/>
    <w:lvl w:ilvl="0">
      <w:lvlJc w:val="left"/>
      <w:lvlText w:val="(%1)"/>
      <w:numFmt w:val="lowerLetter"/>
      <w:start w:val="4"/>
    </w:lvl>
  </w:abstractNum>
  <w:abstractNum w:abstractNumId="20">
    <w:nsid w:val="6763845E"/>
    <w:multiLevelType w:val="hybridMultilevel"/>
    <w:lvl w:ilvl="0">
      <w:lvlJc w:val="left"/>
      <w:lvlText w:val="%1"/>
      <w:numFmt w:val="decimal"/>
      <w:start w:val="101"/>
    </w:lvl>
    <w:lvl w:ilvl="1">
      <w:lvlJc w:val="left"/>
      <w:lvlText w:val="(%2)"/>
      <w:numFmt w:val="lowerRoman"/>
      <w:start w:val="3"/>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88" Type="http://schemas.openxmlformats.org/officeDocument/2006/relationships/hyperlink" Target="http://www.sec.gov/Archives/edgar/data/857855/000085785521000109/ucbi93021ex31restatedartic.htm" TargetMode="External"/><Relationship Id="rId89"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2022-11-04T13:58:27Z</dcterms:created>
  <dcterms:modified xsi:type="dcterms:W3CDTF">2022-11-04T13:58:27Z</dcterms:modified>
</cp:coreProperties>
</file>