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001-35095</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UNITED COMMUNITY BANKS,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Georgia</w:t>
            </w:r>
          </w:p>
        </w:tc>
        <w:tc>
          <w:tcPr>
            <w:tcW w:w="5600" w:type="dxa"/>
            <w:vAlign w:val="bottom"/>
          </w:tcPr>
          <w:p>
            <w:pPr>
              <w:jc w:val="right"/>
              <w:ind w:right="1910"/>
              <w:spacing w:after="0"/>
              <w:rPr>
                <w:sz w:val="20"/>
                <w:szCs w:val="20"/>
                <w:color w:val="auto"/>
              </w:rPr>
            </w:pPr>
            <w:r>
              <w:rPr>
                <w:rFonts w:ascii="Arial" w:cs="Arial" w:eastAsia="Arial" w:hAnsi="Arial"/>
                <w:sz w:val="18"/>
                <w:szCs w:val="18"/>
                <w:b w:val="1"/>
                <w:bCs w:val="1"/>
                <w:color w:val="auto"/>
              </w:rPr>
              <w:t>58-1807304</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125 Highway 515 East, Blairsville, Georgia</w:t>
            </w:r>
          </w:p>
        </w:tc>
        <w:tc>
          <w:tcPr>
            <w:tcW w:w="5600" w:type="dxa"/>
            <w:vAlign w:val="bottom"/>
          </w:tcPr>
          <w:p>
            <w:pPr>
              <w:jc w:val="right"/>
              <w:ind w:right="2130"/>
              <w:spacing w:after="0"/>
              <w:rPr>
                <w:sz w:val="20"/>
                <w:szCs w:val="20"/>
                <w:color w:val="auto"/>
              </w:rPr>
            </w:pPr>
            <w:r>
              <w:rPr>
                <w:rFonts w:ascii="Arial" w:cs="Arial" w:eastAsia="Arial" w:hAnsi="Arial"/>
                <w:sz w:val="18"/>
                <w:szCs w:val="18"/>
                <w:b w:val="1"/>
                <w:bCs w:val="1"/>
                <w:color w:val="auto"/>
              </w:rPr>
              <w:t>30512</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(706) 781-2265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exchange on which registered: Nasdaq Global Select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$1.00 par value</w:t>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Sections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2660" w:type="dxa"/>
        <w:tblCellMar>
          <w:top w:w="0" w:type="dxa"/>
          <w:left w:w="0" w:type="dxa"/>
          <w:bottom w:w="0" w:type="dxa"/>
          <w:right w:w="0" w:type="dxa"/>
        </w:tblCellMar>
      </w:tblPr>
      <w:tr>
        <w:trPr>
          <w:trHeight w:val="249"/>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2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83"/>
        </w:trPr>
        <w:tc>
          <w:tcPr>
            <w:tcW w:w="1640" w:type="dxa"/>
            <w:vAlign w:val="bottom"/>
            <w:vMerge w:val="restart"/>
          </w:tcPr>
          <w:p>
            <w:pPr>
              <w:spacing w:after="0"/>
              <w:rPr>
                <w:sz w:val="20"/>
                <w:szCs w:val="20"/>
                <w:color w:val="auto"/>
              </w:rPr>
            </w:pPr>
            <w:r>
              <w:rPr>
                <w:rFonts w:ascii="Arial" w:cs="Arial" w:eastAsia="Arial" w:hAnsi="Arial"/>
                <w:sz w:val="18"/>
                <w:szCs w:val="18"/>
                <w:color w:val="auto"/>
                <w:w w:val="97"/>
              </w:rPr>
              <w:t>Non-accelerated filer</w:t>
            </w:r>
          </w:p>
        </w:tc>
        <w:tc>
          <w:tcPr>
            <w:tcW w:w="226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175"/>
        </w:trPr>
        <w:tc>
          <w:tcPr>
            <w:tcW w:w="164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3300" w:type="dxa"/>
            <w:vAlign w:val="bottom"/>
            <w:vMerge w:val="restart"/>
          </w:tcPr>
          <w:p>
            <w:pPr>
              <w:jc w:val="right"/>
              <w:spacing w:after="0"/>
              <w:rPr>
                <w:sz w:val="20"/>
                <w:szCs w:val="20"/>
                <w:color w:val="auto"/>
              </w:rPr>
            </w:pPr>
            <w:r>
              <w:rPr>
                <w:rFonts w:ascii="Arial" w:cs="Arial" w:eastAsia="Arial" w:hAnsi="Arial"/>
                <w:sz w:val="18"/>
                <w:szCs w:val="18"/>
                <w:color w:val="auto"/>
              </w:rPr>
              <w:t>Company</w:t>
            </w:r>
          </w:p>
        </w:tc>
        <w:tc>
          <w:tcPr>
            <w:tcW w:w="20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$970,205,714 (based on shares held by non-affiliates at $16.37 per share, the closing stock price on the Nasdaq stock market on June 30, 2014).</w:t>
      </w:r>
    </w:p>
    <w:p>
      <w:pPr>
        <w:spacing w:after="0" w:line="17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As of January 31, 2015, 60,295,768 shares of common stock were issued and outstanding including 50,214,981 voting shares and 10,080,787 non-voting shares. Also outstanding were presently exercisable options to acquire 296,470 shares, presently exercisable warrants to acquire 219,909 shares and 397,251 shares issuable under United Community Banks, Inc.’s deferred compensation plan.</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the 2015 Annual Meeting of Shareholders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72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005"/>
                    </a:xfrm>
                    <a:prstGeom prst="rect">
                      <a:avLst/>
                    </a:prstGeom>
                    <a:noFill/>
                  </pic:spPr>
                </pic:pic>
              </a:graphicData>
            </a:graphic>
          </wp:anchor>
        </w:drawing>
      </w:r>
    </w:p>
    <w:p>
      <w:pPr>
        <w:sectPr>
          <w:pgSz w:w="11900" w:h="16838" w:orient="portrait"/>
          <w:cols w:equalWidth="0" w:num="1">
            <w:col w:w="11420"/>
          </w:cols>
          <w:pgMar w:left="240" w:top="639"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10731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8"/>
          </w:tcPr>
          <w:p>
            <w:pPr>
              <w:ind w:left="4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r>
      <w:tr>
        <w:trPr>
          <w:trHeight w:val="392"/>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76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460" w:type="dxa"/>
            <w:vAlign w:val="bottom"/>
          </w:tcPr>
          <w:p>
            <w:pPr>
              <w:spacing w:after="0"/>
              <w:rPr>
                <w:sz w:val="24"/>
                <w:szCs w:val="24"/>
                <w:color w:val="auto"/>
              </w:rPr>
            </w:pPr>
          </w:p>
        </w:tc>
        <w:tc>
          <w:tcPr>
            <w:tcW w:w="560" w:type="dxa"/>
            <w:vAlign w:val="bottom"/>
            <w:tcBorders>
              <w:bottom w:val="single" w:sz="8" w:color="0000EE"/>
            </w:tcBorders>
            <w:gridSpan w:val="6"/>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Item 1.</w:t>
              </w:r>
            </w:hyperlink>
          </w:p>
        </w:tc>
        <w:tc>
          <w:tcPr>
            <w:tcW w:w="340" w:type="dxa"/>
            <w:vAlign w:val="bottom"/>
            <w:gridSpan w:val="5"/>
          </w:tcPr>
          <w:p>
            <w:pPr>
              <w:spacing w:after="0"/>
              <w:rPr>
                <w:sz w:val="24"/>
                <w:szCs w:val="24"/>
                <w:color w:val="auto"/>
              </w:rPr>
            </w:pPr>
          </w:p>
        </w:tc>
        <w:tc>
          <w:tcPr>
            <w:tcW w:w="660" w:type="dxa"/>
            <w:vAlign w:val="bottom"/>
            <w:tcBorders>
              <w:bottom w:val="single" w:sz="8" w:color="0000EE"/>
            </w:tcBorders>
          </w:tcPr>
          <w:p>
            <w:pPr>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Business</w:t>
              </w:r>
            </w:hyperlink>
          </w:p>
        </w:tc>
        <w:tc>
          <w:tcPr>
            <w:tcW w:w="8440" w:type="dxa"/>
            <w:vAlign w:val="bottom"/>
            <w:gridSpan w:val="1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196"/>
        </w:trPr>
        <w:tc>
          <w:tcPr>
            <w:tcW w:w="460" w:type="dxa"/>
            <w:vAlign w:val="bottom"/>
          </w:tcPr>
          <w:p>
            <w:pPr>
              <w:spacing w:after="0"/>
              <w:rPr>
                <w:sz w:val="17"/>
                <w:szCs w:val="17"/>
                <w:color w:val="auto"/>
              </w:rPr>
            </w:pPr>
          </w:p>
        </w:tc>
        <w:tc>
          <w:tcPr>
            <w:tcW w:w="6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4"/>
              </w:rPr>
            </w:pPr>
            <w:hyperlink w:anchor="page17">
              <w:r>
                <w:rPr>
                  <w:rFonts w:ascii="Arial" w:cs="Arial" w:eastAsia="Arial" w:hAnsi="Arial"/>
                  <w:sz w:val="18"/>
                  <w:szCs w:val="18"/>
                  <w:b w:val="1"/>
                  <w:bCs w:val="1"/>
                  <w:color w:val="0000EE"/>
                  <w:w w:val="94"/>
                </w:rPr>
                <w:t>Item 1A.</w:t>
              </w:r>
            </w:hyperlink>
          </w:p>
        </w:tc>
        <w:tc>
          <w:tcPr>
            <w:tcW w:w="220" w:type="dxa"/>
            <w:vAlign w:val="bottom"/>
            <w:gridSpan w:val="2"/>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Risk Factors</w:t>
              </w:r>
            </w:hyperlink>
          </w:p>
        </w:tc>
        <w:tc>
          <w:tcPr>
            <w:tcW w:w="8120" w:type="dxa"/>
            <w:vAlign w:val="bottom"/>
            <w:gridSpan w:val="1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460" w:type="dxa"/>
            <w:vAlign w:val="bottom"/>
          </w:tcPr>
          <w:p>
            <w:pPr>
              <w:spacing w:after="0"/>
              <w:rPr>
                <w:sz w:val="17"/>
                <w:szCs w:val="17"/>
                <w:color w:val="auto"/>
              </w:rPr>
            </w:pPr>
          </w:p>
        </w:tc>
        <w:tc>
          <w:tcPr>
            <w:tcW w:w="66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Item 1B.</w:t>
              </w:r>
            </w:hyperlink>
          </w:p>
        </w:tc>
        <w:tc>
          <w:tcPr>
            <w:tcW w:w="240" w:type="dxa"/>
            <w:vAlign w:val="bottom"/>
            <w:gridSpan w:val="3"/>
          </w:tcPr>
          <w:p>
            <w:pPr>
              <w:spacing w:after="0"/>
              <w:rPr>
                <w:sz w:val="17"/>
                <w:szCs w:val="17"/>
                <w:color w:val="auto"/>
              </w:rPr>
            </w:pPr>
          </w:p>
        </w:tc>
        <w:tc>
          <w:tcPr>
            <w:tcW w:w="21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Unresolved Staff Comments</w:t>
              </w:r>
            </w:hyperlink>
          </w:p>
        </w:tc>
        <w:tc>
          <w:tcPr>
            <w:tcW w:w="6940" w:type="dxa"/>
            <w:vAlign w:val="bottom"/>
            <w:gridSpan w:val="1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196"/>
        </w:trPr>
        <w:tc>
          <w:tcPr>
            <w:tcW w:w="460" w:type="dxa"/>
            <w:vAlign w:val="bottom"/>
          </w:tcPr>
          <w:p>
            <w:pPr>
              <w:spacing w:after="0"/>
              <w:rPr>
                <w:sz w:val="17"/>
                <w:szCs w:val="17"/>
                <w:color w:val="auto"/>
              </w:rPr>
            </w:pPr>
          </w:p>
        </w:tc>
        <w:tc>
          <w:tcPr>
            <w:tcW w:w="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4"/>
              </w:rPr>
            </w:pPr>
            <w:hyperlink w:anchor="page23">
              <w:r>
                <w:rPr>
                  <w:rFonts w:ascii="Arial" w:cs="Arial" w:eastAsia="Arial" w:hAnsi="Arial"/>
                  <w:sz w:val="18"/>
                  <w:szCs w:val="18"/>
                  <w:b w:val="1"/>
                  <w:bCs w:val="1"/>
                  <w:color w:val="0000EE"/>
                  <w:w w:val="94"/>
                </w:rPr>
                <w:t>Item 2.</w:t>
              </w:r>
            </w:hyperlink>
          </w:p>
        </w:tc>
        <w:tc>
          <w:tcPr>
            <w:tcW w:w="340" w:type="dxa"/>
            <w:vAlign w:val="bottom"/>
            <w:gridSpan w:val="5"/>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Properties</w:t>
              </w:r>
            </w:hyperlink>
          </w:p>
        </w:tc>
        <w:tc>
          <w:tcPr>
            <w:tcW w:w="8300" w:type="dxa"/>
            <w:vAlign w:val="bottom"/>
            <w:gridSpan w:val="1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196"/>
        </w:trPr>
        <w:tc>
          <w:tcPr>
            <w:tcW w:w="460" w:type="dxa"/>
            <w:vAlign w:val="bottom"/>
          </w:tcPr>
          <w:p>
            <w:pPr>
              <w:spacing w:after="0"/>
              <w:rPr>
                <w:sz w:val="17"/>
                <w:szCs w:val="17"/>
                <w:color w:val="auto"/>
              </w:rPr>
            </w:pPr>
          </w:p>
        </w:tc>
        <w:tc>
          <w:tcPr>
            <w:tcW w:w="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4"/>
              </w:rPr>
            </w:pPr>
            <w:hyperlink w:anchor="page23">
              <w:r>
                <w:rPr>
                  <w:rFonts w:ascii="Arial" w:cs="Arial" w:eastAsia="Arial" w:hAnsi="Arial"/>
                  <w:sz w:val="18"/>
                  <w:szCs w:val="18"/>
                  <w:b w:val="1"/>
                  <w:bCs w:val="1"/>
                  <w:color w:val="0000EE"/>
                  <w:w w:val="94"/>
                </w:rPr>
                <w:t>Item 3.</w:t>
              </w:r>
            </w:hyperlink>
          </w:p>
        </w:tc>
        <w:tc>
          <w:tcPr>
            <w:tcW w:w="340" w:type="dxa"/>
            <w:vAlign w:val="bottom"/>
            <w:gridSpan w:val="5"/>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Legal Proceedings</w:t>
              </w:r>
            </w:hyperlink>
          </w:p>
        </w:tc>
        <w:tc>
          <w:tcPr>
            <w:tcW w:w="7660" w:type="dxa"/>
            <w:vAlign w:val="bottom"/>
            <w:gridSpan w:val="1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210"/>
        </w:trPr>
        <w:tc>
          <w:tcPr>
            <w:tcW w:w="460" w:type="dxa"/>
            <w:vAlign w:val="bottom"/>
          </w:tcPr>
          <w:p>
            <w:pPr>
              <w:spacing w:after="0"/>
              <w:rPr>
                <w:sz w:val="18"/>
                <w:szCs w:val="18"/>
                <w:color w:val="auto"/>
              </w:rPr>
            </w:pPr>
          </w:p>
        </w:tc>
        <w:tc>
          <w:tcPr>
            <w:tcW w:w="54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23">
              <w:r>
                <w:rPr>
                  <w:rFonts w:ascii="Arial" w:cs="Arial" w:eastAsia="Arial" w:hAnsi="Arial"/>
                  <w:sz w:val="18"/>
                  <w:szCs w:val="18"/>
                  <w:b w:val="1"/>
                  <w:bCs w:val="1"/>
                  <w:color w:val="0000EE"/>
                  <w:w w:val="91"/>
                </w:rPr>
                <w:t>Item 4.</w:t>
              </w:r>
            </w:hyperlink>
          </w:p>
        </w:tc>
        <w:tc>
          <w:tcPr>
            <w:tcW w:w="360" w:type="dxa"/>
            <w:vAlign w:val="bottom"/>
            <w:gridSpan w:val="6"/>
          </w:tcPr>
          <w:p>
            <w:pPr>
              <w:spacing w:after="0"/>
              <w:rPr>
                <w:sz w:val="18"/>
                <w:szCs w:val="18"/>
                <w:color w:val="auto"/>
              </w:rPr>
            </w:pPr>
          </w:p>
        </w:tc>
        <w:tc>
          <w:tcPr>
            <w:tcW w:w="1840" w:type="dxa"/>
            <w:vAlign w:val="bottom"/>
            <w:tcBorders>
              <w:bottom w:val="single" w:sz="8" w:color="0000EE"/>
            </w:tcBorders>
            <w:gridSpan w:val="6"/>
          </w:tcPr>
          <w:p>
            <w:pPr>
              <w:spacing w:after="0"/>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Mine Safety Disclosures</w:t>
              </w:r>
            </w:hyperlink>
          </w:p>
        </w:tc>
        <w:tc>
          <w:tcPr>
            <w:tcW w:w="7260" w:type="dxa"/>
            <w:vAlign w:val="bottom"/>
            <w:gridSpan w:val="14"/>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12"/>
        </w:trPr>
        <w:tc>
          <w:tcPr>
            <w:tcW w:w="1360" w:type="dxa"/>
            <w:vAlign w:val="bottom"/>
            <w:gridSpan w:val="1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60" w:type="dxa"/>
            <w:vAlign w:val="bottom"/>
            <w:gridSpan w:val="6"/>
          </w:tcPr>
          <w:p>
            <w:pPr>
              <w:spacing w:after="0"/>
              <w:rPr>
                <w:rFonts w:ascii="Arial" w:cs="Arial" w:eastAsia="Arial" w:hAnsi="Arial"/>
                <w:sz w:val="18"/>
                <w:szCs w:val="18"/>
                <w:b w:val="1"/>
                <w:bCs w:val="1"/>
                <w:color w:val="0000EE"/>
                <w:w w:val="94"/>
              </w:rPr>
            </w:pPr>
            <w:hyperlink w:anchor="page24">
              <w:r>
                <w:rPr>
                  <w:rFonts w:ascii="Arial" w:cs="Arial" w:eastAsia="Arial" w:hAnsi="Arial"/>
                  <w:sz w:val="18"/>
                  <w:szCs w:val="18"/>
                  <w:b w:val="1"/>
                  <w:bCs w:val="1"/>
                  <w:color w:val="0000EE"/>
                  <w:w w:val="94"/>
                </w:rPr>
                <w:t>Item 5.</w:t>
              </w:r>
            </w:hyperlink>
          </w:p>
        </w:tc>
        <w:tc>
          <w:tcPr>
            <w:tcW w:w="340" w:type="dxa"/>
            <w:vAlign w:val="bottom"/>
            <w:gridSpan w:val="5"/>
          </w:tcPr>
          <w:p>
            <w:pPr>
              <w:spacing w:after="0"/>
              <w:rPr>
                <w:sz w:val="24"/>
                <w:szCs w:val="24"/>
                <w:color w:val="auto"/>
              </w:rPr>
            </w:pPr>
          </w:p>
        </w:tc>
        <w:tc>
          <w:tcPr>
            <w:tcW w:w="9100" w:type="dxa"/>
            <w:vAlign w:val="bottom"/>
            <w:gridSpan w:val="20"/>
          </w:tcPr>
          <w:p>
            <w:pPr>
              <w:spacing w:after="0"/>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Market for United’s Common Equity, Related Stockholder Matters and Issuer Purchases of Equity Securities</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196"/>
        </w:trPr>
        <w:tc>
          <w:tcPr>
            <w:tcW w:w="460" w:type="dxa"/>
            <w:vAlign w:val="bottom"/>
          </w:tcPr>
          <w:p>
            <w:pPr>
              <w:spacing w:after="0"/>
              <w:rPr>
                <w:sz w:val="17"/>
                <w:szCs w:val="17"/>
                <w:color w:val="auto"/>
              </w:rPr>
            </w:pPr>
          </w:p>
        </w:tc>
        <w:tc>
          <w:tcPr>
            <w:tcW w:w="560" w:type="dxa"/>
            <w:vAlign w:val="bottom"/>
            <w:tcBorders>
              <w:top w:val="single" w:sz="8" w:color="0000EE"/>
            </w:tcBorders>
            <w:gridSpan w:val="6"/>
          </w:tcPr>
          <w:p>
            <w:pPr>
              <w:spacing w:after="0" w:line="196" w:lineRule="exact"/>
              <w:rPr>
                <w:rFonts w:ascii="Arial" w:cs="Arial" w:eastAsia="Arial" w:hAnsi="Arial"/>
                <w:sz w:val="18"/>
                <w:szCs w:val="18"/>
                <w:b w:val="1"/>
                <w:bCs w:val="1"/>
                <w:color w:val="0000EE"/>
                <w:w w:val="94"/>
              </w:rPr>
            </w:pPr>
            <w:hyperlink w:anchor="page26">
              <w:r>
                <w:rPr>
                  <w:rFonts w:ascii="Arial" w:cs="Arial" w:eastAsia="Arial" w:hAnsi="Arial"/>
                  <w:sz w:val="18"/>
                  <w:szCs w:val="18"/>
                  <w:b w:val="1"/>
                  <w:bCs w:val="1"/>
                  <w:color w:val="0000EE"/>
                  <w:w w:val="94"/>
                </w:rPr>
                <w:t>Item 6.</w:t>
              </w:r>
            </w:hyperlink>
          </w:p>
        </w:tc>
        <w:tc>
          <w:tcPr>
            <w:tcW w:w="340" w:type="dxa"/>
            <w:vAlign w:val="bottom"/>
            <w:gridSpan w:val="5"/>
          </w:tcPr>
          <w:p>
            <w:pPr>
              <w:spacing w:after="0"/>
              <w:rPr>
                <w:sz w:val="17"/>
                <w:szCs w:val="17"/>
                <w:color w:val="auto"/>
              </w:rPr>
            </w:pPr>
          </w:p>
        </w:tc>
        <w:tc>
          <w:tcPr>
            <w:tcW w:w="838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Selected Financial Data</w:t>
              </w:r>
            </w:hyperlink>
          </w:p>
        </w:tc>
        <w:tc>
          <w:tcPr>
            <w:tcW w:w="7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20"/>
        </w:trPr>
        <w:tc>
          <w:tcPr>
            <w:tcW w:w="4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4"/>
              </w:rPr>
            </w:pPr>
            <w:hyperlink w:anchor="page30">
              <w:r>
                <w:rPr>
                  <w:rFonts w:ascii="Arial" w:cs="Arial" w:eastAsia="Arial" w:hAnsi="Arial"/>
                  <w:sz w:val="18"/>
                  <w:szCs w:val="18"/>
                  <w:b w:val="1"/>
                  <w:bCs w:val="1"/>
                  <w:color w:val="0000EE"/>
                  <w:w w:val="94"/>
                </w:rPr>
                <w:t>Item 7.</w:t>
              </w:r>
            </w:hyperlink>
          </w:p>
        </w:tc>
        <w:tc>
          <w:tcPr>
            <w:tcW w:w="340" w:type="dxa"/>
            <w:vAlign w:val="bottom"/>
            <w:gridSpan w:val="5"/>
          </w:tcPr>
          <w:p>
            <w:pPr>
              <w:spacing w:after="0"/>
              <w:rPr>
                <w:sz w:val="17"/>
                <w:szCs w:val="17"/>
                <w:color w:val="auto"/>
              </w:rPr>
            </w:pPr>
          </w:p>
        </w:tc>
        <w:tc>
          <w:tcPr>
            <w:tcW w:w="684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Management’s Discussion and Analysis of Financial Condition and Results of Operations</w:t>
              </w:r>
            </w:hyperlink>
          </w:p>
        </w:tc>
        <w:tc>
          <w:tcPr>
            <w:tcW w:w="2260" w:type="dxa"/>
            <w:vAlign w:val="bottom"/>
            <w:gridSpan w:val="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w:t>
            </w:r>
          </w:p>
        </w:tc>
      </w:tr>
      <w:tr>
        <w:trPr>
          <w:trHeight w:val="196"/>
        </w:trPr>
        <w:tc>
          <w:tcPr>
            <w:tcW w:w="460" w:type="dxa"/>
            <w:vAlign w:val="bottom"/>
          </w:tcPr>
          <w:p>
            <w:pPr>
              <w:spacing w:after="0"/>
              <w:rPr>
                <w:sz w:val="17"/>
                <w:szCs w:val="17"/>
                <w:color w:val="auto"/>
              </w:rPr>
            </w:pPr>
          </w:p>
        </w:tc>
        <w:tc>
          <w:tcPr>
            <w:tcW w:w="680" w:type="dxa"/>
            <w:vAlign w:val="bottom"/>
            <w:gridSpan w:val="9"/>
          </w:tcPr>
          <w:p>
            <w:pPr>
              <w:spacing w:after="0" w:line="196" w:lineRule="exact"/>
              <w:rPr>
                <w:rFonts w:ascii="Arial" w:cs="Arial" w:eastAsia="Arial" w:hAnsi="Arial"/>
                <w:sz w:val="18"/>
                <w:szCs w:val="18"/>
                <w:b w:val="1"/>
                <w:bCs w:val="1"/>
                <w:color w:val="0000EE"/>
                <w:w w:val="94"/>
              </w:rPr>
            </w:pPr>
            <w:hyperlink w:anchor="page59">
              <w:r>
                <w:rPr>
                  <w:rFonts w:ascii="Arial" w:cs="Arial" w:eastAsia="Arial" w:hAnsi="Arial"/>
                  <w:sz w:val="18"/>
                  <w:szCs w:val="18"/>
                  <w:b w:val="1"/>
                  <w:bCs w:val="1"/>
                  <w:color w:val="0000EE"/>
                  <w:w w:val="94"/>
                </w:rPr>
                <w:t>Item 7A.</w:t>
              </w:r>
            </w:hyperlink>
          </w:p>
        </w:tc>
        <w:tc>
          <w:tcPr>
            <w:tcW w:w="220" w:type="dxa"/>
            <w:vAlign w:val="bottom"/>
            <w:gridSpan w:val="2"/>
          </w:tcPr>
          <w:p>
            <w:pPr>
              <w:spacing w:after="0"/>
              <w:rPr>
                <w:sz w:val="17"/>
                <w:szCs w:val="17"/>
                <w:color w:val="auto"/>
              </w:rPr>
            </w:pPr>
          </w:p>
        </w:tc>
        <w:tc>
          <w:tcPr>
            <w:tcW w:w="9100" w:type="dxa"/>
            <w:vAlign w:val="bottom"/>
            <w:gridSpan w:val="20"/>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Quantitative and Qualitative Disclosures About Market Risk</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54</w:t>
            </w:r>
          </w:p>
        </w:tc>
      </w:tr>
      <w:tr>
        <w:trPr>
          <w:trHeight w:val="196"/>
        </w:trPr>
        <w:tc>
          <w:tcPr>
            <w:tcW w:w="460" w:type="dxa"/>
            <w:vAlign w:val="bottom"/>
          </w:tcPr>
          <w:p>
            <w:pPr>
              <w:spacing w:after="0"/>
              <w:rPr>
                <w:sz w:val="17"/>
                <w:szCs w:val="17"/>
                <w:color w:val="auto"/>
              </w:rPr>
            </w:pPr>
          </w:p>
        </w:tc>
        <w:tc>
          <w:tcPr>
            <w:tcW w:w="560" w:type="dxa"/>
            <w:vAlign w:val="bottom"/>
            <w:tcBorders>
              <w:top w:val="single" w:sz="8" w:color="0000EE"/>
            </w:tcBorders>
            <w:gridSpan w:val="6"/>
          </w:tcPr>
          <w:p>
            <w:pPr>
              <w:spacing w:after="0" w:line="196" w:lineRule="exact"/>
              <w:rPr>
                <w:rFonts w:ascii="Arial" w:cs="Arial" w:eastAsia="Arial" w:hAnsi="Arial"/>
                <w:sz w:val="18"/>
                <w:szCs w:val="18"/>
                <w:b w:val="1"/>
                <w:bCs w:val="1"/>
                <w:color w:val="0000EE"/>
                <w:w w:val="94"/>
              </w:rPr>
            </w:pPr>
            <w:hyperlink w:anchor="page60">
              <w:r>
                <w:rPr>
                  <w:rFonts w:ascii="Arial" w:cs="Arial" w:eastAsia="Arial" w:hAnsi="Arial"/>
                  <w:sz w:val="18"/>
                  <w:szCs w:val="18"/>
                  <w:b w:val="1"/>
                  <w:bCs w:val="1"/>
                  <w:color w:val="0000EE"/>
                  <w:w w:val="94"/>
                </w:rPr>
                <w:t>Item 8.</w:t>
              </w:r>
            </w:hyperlink>
          </w:p>
        </w:tc>
        <w:tc>
          <w:tcPr>
            <w:tcW w:w="120" w:type="dxa"/>
            <w:vAlign w:val="bottom"/>
            <w:tcBorders>
              <w:top w:val="single" w:sz="8" w:color="0000EE"/>
            </w:tcBorders>
            <w:gridSpan w:val="3"/>
          </w:tcPr>
          <w:p>
            <w:pPr>
              <w:spacing w:after="0"/>
              <w:rPr>
                <w:sz w:val="17"/>
                <w:szCs w:val="17"/>
                <w:color w:val="auto"/>
              </w:rPr>
            </w:pPr>
          </w:p>
        </w:tc>
        <w:tc>
          <w:tcPr>
            <w:tcW w:w="220" w:type="dxa"/>
            <w:vAlign w:val="bottom"/>
            <w:gridSpan w:val="2"/>
          </w:tcPr>
          <w:p>
            <w:pPr>
              <w:spacing w:after="0"/>
              <w:rPr>
                <w:sz w:val="17"/>
                <w:szCs w:val="17"/>
                <w:color w:val="auto"/>
              </w:rPr>
            </w:pPr>
          </w:p>
        </w:tc>
        <w:tc>
          <w:tcPr>
            <w:tcW w:w="466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Financial Statements and Supplementary Data</w:t>
              </w:r>
            </w:hyperlink>
          </w:p>
        </w:tc>
        <w:tc>
          <w:tcPr>
            <w:tcW w:w="4440" w:type="dxa"/>
            <w:vAlign w:val="bottom"/>
            <w:gridSpan w:val="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55</w:t>
            </w:r>
          </w:p>
        </w:tc>
      </w:tr>
      <w:tr>
        <w:trPr>
          <w:trHeight w:val="20"/>
        </w:trPr>
        <w:tc>
          <w:tcPr>
            <w:tcW w:w="4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4"/>
              </w:rPr>
            </w:pPr>
            <w:hyperlink w:anchor="page122">
              <w:r>
                <w:rPr>
                  <w:rFonts w:ascii="Arial" w:cs="Arial" w:eastAsia="Arial" w:hAnsi="Arial"/>
                  <w:sz w:val="18"/>
                  <w:szCs w:val="18"/>
                  <w:b w:val="1"/>
                  <w:bCs w:val="1"/>
                  <w:color w:val="0000EE"/>
                  <w:w w:val="94"/>
                </w:rPr>
                <w:t>Item 9.</w:t>
              </w:r>
            </w:hyperlink>
          </w:p>
        </w:tc>
        <w:tc>
          <w:tcPr>
            <w:tcW w:w="340" w:type="dxa"/>
            <w:vAlign w:val="bottom"/>
            <w:gridSpan w:val="5"/>
          </w:tcPr>
          <w:p>
            <w:pPr>
              <w:spacing w:after="0"/>
              <w:rPr>
                <w:sz w:val="17"/>
                <w:szCs w:val="17"/>
                <w:color w:val="auto"/>
              </w:rPr>
            </w:pPr>
          </w:p>
        </w:tc>
        <w:tc>
          <w:tcPr>
            <w:tcW w:w="686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8"/>
              </w:rPr>
            </w:pPr>
            <w:hyperlink w:anchor="page122">
              <w:r>
                <w:rPr>
                  <w:rFonts w:ascii="Arial" w:cs="Arial" w:eastAsia="Arial" w:hAnsi="Arial"/>
                  <w:sz w:val="18"/>
                  <w:szCs w:val="18"/>
                  <w:b w:val="1"/>
                  <w:bCs w:val="1"/>
                  <w:color w:val="0000EE"/>
                  <w:w w:val="88"/>
                </w:rPr>
                <w:t>Changes in and Disagreements with Accountants on Accounting and Financial Disclosure</w:t>
              </w:r>
            </w:hyperlink>
          </w:p>
        </w:tc>
        <w:tc>
          <w:tcPr>
            <w:tcW w:w="224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111</w:t>
            </w:r>
          </w:p>
        </w:tc>
      </w:tr>
      <w:tr>
        <w:trPr>
          <w:trHeight w:val="196"/>
        </w:trPr>
        <w:tc>
          <w:tcPr>
            <w:tcW w:w="460" w:type="dxa"/>
            <w:vAlign w:val="bottom"/>
          </w:tcPr>
          <w:p>
            <w:pPr>
              <w:spacing w:after="0"/>
              <w:rPr>
                <w:sz w:val="17"/>
                <w:szCs w:val="17"/>
                <w:color w:val="auto"/>
              </w:rPr>
            </w:pPr>
          </w:p>
        </w:tc>
        <w:tc>
          <w:tcPr>
            <w:tcW w:w="6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4"/>
              </w:rPr>
            </w:pPr>
            <w:hyperlink w:anchor="page122">
              <w:r>
                <w:rPr>
                  <w:rFonts w:ascii="Arial" w:cs="Arial" w:eastAsia="Arial" w:hAnsi="Arial"/>
                  <w:sz w:val="18"/>
                  <w:szCs w:val="18"/>
                  <w:b w:val="1"/>
                  <w:bCs w:val="1"/>
                  <w:color w:val="0000EE"/>
                  <w:w w:val="94"/>
                </w:rPr>
                <w:t>Item 9A.</w:t>
              </w:r>
            </w:hyperlink>
          </w:p>
        </w:tc>
        <w:tc>
          <w:tcPr>
            <w:tcW w:w="220" w:type="dxa"/>
            <w:vAlign w:val="bottom"/>
            <w:gridSpan w:val="2"/>
          </w:tcPr>
          <w:p>
            <w:pPr>
              <w:spacing w:after="0"/>
              <w:rPr>
                <w:sz w:val="17"/>
                <w:szCs w:val="17"/>
                <w:color w:val="auto"/>
              </w:rPr>
            </w:pPr>
          </w:p>
        </w:tc>
        <w:tc>
          <w:tcPr>
            <w:tcW w:w="19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8"/>
              </w:rPr>
            </w:pPr>
            <w:hyperlink w:anchor="page122">
              <w:r>
                <w:rPr>
                  <w:rFonts w:ascii="Arial" w:cs="Arial" w:eastAsia="Arial" w:hAnsi="Arial"/>
                  <w:sz w:val="18"/>
                  <w:szCs w:val="18"/>
                  <w:b w:val="1"/>
                  <w:bCs w:val="1"/>
                  <w:color w:val="0000EE"/>
                  <w:w w:val="88"/>
                </w:rPr>
                <w:t>Controls and Procedures</w:t>
              </w:r>
            </w:hyperlink>
          </w:p>
        </w:tc>
        <w:tc>
          <w:tcPr>
            <w:tcW w:w="7180" w:type="dxa"/>
            <w:vAlign w:val="bottom"/>
            <w:gridSpan w:val="1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111</w:t>
            </w:r>
          </w:p>
        </w:tc>
      </w:tr>
      <w:tr>
        <w:trPr>
          <w:trHeight w:val="196"/>
        </w:trPr>
        <w:tc>
          <w:tcPr>
            <w:tcW w:w="460" w:type="dxa"/>
            <w:vAlign w:val="bottom"/>
          </w:tcPr>
          <w:p>
            <w:pPr>
              <w:spacing w:after="0"/>
              <w:rPr>
                <w:sz w:val="17"/>
                <w:szCs w:val="17"/>
                <w:color w:val="auto"/>
              </w:rPr>
            </w:pPr>
          </w:p>
        </w:tc>
        <w:tc>
          <w:tcPr>
            <w:tcW w:w="660" w:type="dxa"/>
            <w:vAlign w:val="bottom"/>
            <w:gridSpan w:val="8"/>
          </w:tcPr>
          <w:p>
            <w:pPr>
              <w:spacing w:after="0" w:line="196" w:lineRule="exact"/>
              <w:rPr>
                <w:rFonts w:ascii="Arial" w:cs="Arial" w:eastAsia="Arial" w:hAnsi="Arial"/>
                <w:sz w:val="18"/>
                <w:szCs w:val="18"/>
                <w:b w:val="1"/>
                <w:bCs w:val="1"/>
                <w:color w:val="0000EE"/>
                <w:w w:val="88"/>
              </w:rPr>
            </w:pPr>
            <w:hyperlink w:anchor="page122">
              <w:r>
                <w:rPr>
                  <w:rFonts w:ascii="Arial" w:cs="Arial" w:eastAsia="Arial" w:hAnsi="Arial"/>
                  <w:sz w:val="18"/>
                  <w:szCs w:val="18"/>
                  <w:b w:val="1"/>
                  <w:bCs w:val="1"/>
                  <w:color w:val="0000EE"/>
                  <w:w w:val="88"/>
                </w:rPr>
                <w:t>Item 9B.</w:t>
              </w:r>
            </w:hyperlink>
          </w:p>
        </w:tc>
        <w:tc>
          <w:tcPr>
            <w:tcW w:w="240" w:type="dxa"/>
            <w:vAlign w:val="bottom"/>
            <w:gridSpan w:val="3"/>
          </w:tcPr>
          <w:p>
            <w:pPr>
              <w:spacing w:after="0"/>
              <w:rPr>
                <w:sz w:val="17"/>
                <w:szCs w:val="17"/>
                <w:color w:val="auto"/>
              </w:rPr>
            </w:pPr>
          </w:p>
        </w:tc>
        <w:tc>
          <w:tcPr>
            <w:tcW w:w="9100" w:type="dxa"/>
            <w:vAlign w:val="bottom"/>
            <w:gridSpan w:val="20"/>
          </w:tcPr>
          <w:p>
            <w:pPr>
              <w:spacing w:after="0" w:line="196" w:lineRule="exact"/>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Other Information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111</w:t>
            </w:r>
          </w:p>
        </w:tc>
      </w:tr>
      <w:tr>
        <w:trPr>
          <w:trHeight w:val="20"/>
        </w:trPr>
        <w:tc>
          <w:tcPr>
            <w:tcW w:w="4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PART III</w:t>
              </w:r>
            </w:hyperlink>
          </w:p>
        </w:tc>
        <w:tc>
          <w:tcPr>
            <w:tcW w:w="62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460" w:type="dxa"/>
            <w:vAlign w:val="bottom"/>
          </w:tcPr>
          <w:p>
            <w:pPr>
              <w:spacing w:after="0"/>
              <w:rPr>
                <w:sz w:val="24"/>
                <w:szCs w:val="24"/>
                <w:color w:val="auto"/>
              </w:rPr>
            </w:pPr>
          </w:p>
        </w:tc>
        <w:tc>
          <w:tcPr>
            <w:tcW w:w="900" w:type="dxa"/>
            <w:vAlign w:val="bottom"/>
            <w:gridSpan w:val="11"/>
          </w:tcPr>
          <w:p>
            <w:pP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Item 10.</w:t>
              </w:r>
            </w:hyperlink>
          </w:p>
        </w:tc>
        <w:tc>
          <w:tcPr>
            <w:tcW w:w="9100" w:type="dxa"/>
            <w:vAlign w:val="bottom"/>
            <w:gridSpan w:val="20"/>
          </w:tcPr>
          <w:p>
            <w:pP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Directors, Executive Officers and Corporate Governance</w:t>
              </w:r>
            </w:hyperlink>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112</w:t>
            </w:r>
          </w:p>
        </w:tc>
      </w:tr>
      <w:tr>
        <w:trPr>
          <w:trHeight w:val="196"/>
        </w:trPr>
        <w:tc>
          <w:tcPr>
            <w:tcW w:w="460" w:type="dxa"/>
            <w:vAlign w:val="bottom"/>
          </w:tcPr>
          <w:p>
            <w:pPr>
              <w:spacing w:after="0"/>
              <w:rPr>
                <w:sz w:val="17"/>
                <w:szCs w:val="17"/>
                <w:color w:val="auto"/>
              </w:rPr>
            </w:pPr>
          </w:p>
        </w:tc>
        <w:tc>
          <w:tcPr>
            <w:tcW w:w="62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w w:val="89"/>
              </w:rPr>
            </w:pPr>
            <w:hyperlink w:anchor="page123">
              <w:r>
                <w:rPr>
                  <w:rFonts w:ascii="Arial" w:cs="Arial" w:eastAsia="Arial" w:hAnsi="Arial"/>
                  <w:sz w:val="18"/>
                  <w:szCs w:val="18"/>
                  <w:b w:val="1"/>
                  <w:bCs w:val="1"/>
                  <w:color w:val="0000EE"/>
                  <w:w w:val="89"/>
                </w:rPr>
                <w:t>Item 11.</w:t>
              </w:r>
            </w:hyperlink>
          </w:p>
        </w:tc>
        <w:tc>
          <w:tcPr>
            <w:tcW w:w="280" w:type="dxa"/>
            <w:vAlign w:val="bottom"/>
            <w:gridSpan w:val="4"/>
          </w:tcPr>
          <w:p>
            <w:pPr>
              <w:spacing w:after="0"/>
              <w:rPr>
                <w:sz w:val="17"/>
                <w:szCs w:val="17"/>
                <w:color w:val="auto"/>
              </w:rPr>
            </w:pPr>
          </w:p>
        </w:tc>
        <w:tc>
          <w:tcPr>
            <w:tcW w:w="438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Executive Compensation</w:t>
              </w:r>
            </w:hyperlink>
          </w:p>
        </w:tc>
        <w:tc>
          <w:tcPr>
            <w:tcW w:w="4720" w:type="dxa"/>
            <w:vAlign w:val="bottom"/>
            <w:gridSpan w:val="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112</w:t>
            </w:r>
          </w:p>
        </w:tc>
      </w:tr>
      <w:tr>
        <w:trPr>
          <w:trHeight w:val="20"/>
        </w:trPr>
        <w:tc>
          <w:tcPr>
            <w:tcW w:w="4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gridSpan w:val="8"/>
          </w:tcPr>
          <w:p>
            <w:pPr>
              <w:spacing w:after="0" w:line="196" w:lineRule="exact"/>
              <w:rPr>
                <w:rFonts w:ascii="Arial" w:cs="Arial" w:eastAsia="Arial" w:hAnsi="Arial"/>
                <w:sz w:val="18"/>
                <w:szCs w:val="18"/>
                <w:b w:val="1"/>
                <w:bCs w:val="1"/>
                <w:color w:val="0000EE"/>
                <w:w w:val="92"/>
              </w:rPr>
            </w:pPr>
            <w:hyperlink w:anchor="page123">
              <w:r>
                <w:rPr>
                  <w:rFonts w:ascii="Arial" w:cs="Arial" w:eastAsia="Arial" w:hAnsi="Arial"/>
                  <w:sz w:val="18"/>
                  <w:szCs w:val="18"/>
                  <w:b w:val="1"/>
                  <w:bCs w:val="1"/>
                  <w:color w:val="0000EE"/>
                  <w:w w:val="92"/>
                </w:rPr>
                <w:t>Item 12.</w:t>
              </w:r>
            </w:hyperlink>
          </w:p>
        </w:tc>
        <w:tc>
          <w:tcPr>
            <w:tcW w:w="240" w:type="dxa"/>
            <w:vAlign w:val="bottom"/>
            <w:gridSpan w:val="3"/>
          </w:tcPr>
          <w:p>
            <w:pPr>
              <w:spacing w:after="0"/>
              <w:rPr>
                <w:sz w:val="17"/>
                <w:szCs w:val="17"/>
                <w:color w:val="auto"/>
              </w:rPr>
            </w:pPr>
          </w:p>
        </w:tc>
        <w:tc>
          <w:tcPr>
            <w:tcW w:w="9100" w:type="dxa"/>
            <w:vAlign w:val="bottom"/>
            <w:gridSpan w:val="20"/>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Security Ownership of Certain Beneficial Owners and Management and Related Stockholder Matters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112</w:t>
            </w:r>
          </w:p>
        </w:tc>
      </w:tr>
      <w:tr>
        <w:trPr>
          <w:trHeight w:val="196"/>
        </w:trPr>
        <w:tc>
          <w:tcPr>
            <w:tcW w:w="460" w:type="dxa"/>
            <w:vAlign w:val="bottom"/>
          </w:tcPr>
          <w:p>
            <w:pPr>
              <w:spacing w:after="0"/>
              <w:rPr>
                <w:sz w:val="17"/>
                <w:szCs w:val="17"/>
                <w:color w:val="auto"/>
              </w:rPr>
            </w:pPr>
          </w:p>
        </w:tc>
        <w:tc>
          <w:tcPr>
            <w:tcW w:w="66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w w:val="92"/>
              </w:rPr>
            </w:pPr>
            <w:hyperlink w:anchor="page123">
              <w:r>
                <w:rPr>
                  <w:rFonts w:ascii="Arial" w:cs="Arial" w:eastAsia="Arial" w:hAnsi="Arial"/>
                  <w:sz w:val="18"/>
                  <w:szCs w:val="18"/>
                  <w:b w:val="1"/>
                  <w:bCs w:val="1"/>
                  <w:color w:val="0000EE"/>
                  <w:w w:val="92"/>
                </w:rPr>
                <w:t>Item 13.</w:t>
              </w:r>
            </w:hyperlink>
          </w:p>
        </w:tc>
        <w:tc>
          <w:tcPr>
            <w:tcW w:w="240" w:type="dxa"/>
            <w:vAlign w:val="bottom"/>
            <w:gridSpan w:val="3"/>
          </w:tcPr>
          <w:p>
            <w:pPr>
              <w:spacing w:after="0"/>
              <w:rPr>
                <w:sz w:val="17"/>
                <w:szCs w:val="17"/>
                <w:color w:val="auto"/>
              </w:rPr>
            </w:pPr>
          </w:p>
        </w:tc>
        <w:tc>
          <w:tcPr>
            <w:tcW w:w="780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Certain Relationships and Related Transactions, and Director Independence</w:t>
              </w:r>
            </w:hyperlink>
          </w:p>
        </w:tc>
        <w:tc>
          <w:tcPr>
            <w:tcW w:w="130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112</w:t>
            </w:r>
          </w:p>
        </w:tc>
      </w:tr>
      <w:tr>
        <w:trPr>
          <w:trHeight w:val="196"/>
        </w:trPr>
        <w:tc>
          <w:tcPr>
            <w:tcW w:w="460" w:type="dxa"/>
            <w:vAlign w:val="bottom"/>
          </w:tcPr>
          <w:p>
            <w:pPr>
              <w:spacing w:after="0"/>
              <w:rPr>
                <w:sz w:val="17"/>
                <w:szCs w:val="17"/>
                <w:color w:val="auto"/>
              </w:rPr>
            </w:pPr>
          </w:p>
        </w:tc>
        <w:tc>
          <w:tcPr>
            <w:tcW w:w="66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w w:val="92"/>
              </w:rPr>
            </w:pPr>
            <w:hyperlink w:anchor="page123">
              <w:r>
                <w:rPr>
                  <w:rFonts w:ascii="Arial" w:cs="Arial" w:eastAsia="Arial" w:hAnsi="Arial"/>
                  <w:sz w:val="18"/>
                  <w:szCs w:val="18"/>
                  <w:b w:val="1"/>
                  <w:bCs w:val="1"/>
                  <w:color w:val="0000EE"/>
                  <w:w w:val="92"/>
                </w:rPr>
                <w:t>Item 14.</w:t>
              </w:r>
            </w:hyperlink>
          </w:p>
        </w:tc>
        <w:tc>
          <w:tcPr>
            <w:tcW w:w="240" w:type="dxa"/>
            <w:vAlign w:val="bottom"/>
            <w:gridSpan w:val="3"/>
          </w:tcPr>
          <w:p>
            <w:pPr>
              <w:spacing w:after="0"/>
              <w:rPr>
                <w:sz w:val="17"/>
                <w:szCs w:val="17"/>
                <w:color w:val="auto"/>
              </w:rPr>
            </w:pPr>
          </w:p>
        </w:tc>
        <w:tc>
          <w:tcPr>
            <w:tcW w:w="5860" w:type="dxa"/>
            <w:vAlign w:val="bottom"/>
            <w:tcBorders>
              <w:top w:val="single" w:sz="8" w:color="0000EE"/>
            </w:tcBorders>
            <w:gridSpan w:val="15"/>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Principal Accountant Fees and Services</w:t>
              </w:r>
            </w:hyperlink>
          </w:p>
        </w:tc>
        <w:tc>
          <w:tcPr>
            <w:tcW w:w="3240" w:type="dxa"/>
            <w:vAlign w:val="bottom"/>
            <w:gridSpan w:val="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112</w:t>
            </w:r>
          </w:p>
        </w:tc>
      </w:tr>
      <w:tr>
        <w:trPr>
          <w:trHeight w:val="20"/>
        </w:trPr>
        <w:tc>
          <w:tcPr>
            <w:tcW w:w="4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360" w:type="dxa"/>
            <w:vAlign w:val="bottom"/>
            <w:gridSpan w:val="12"/>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PART IV</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gridSpan w:val="11"/>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60" w:type="dxa"/>
            <w:vAlign w:val="bottom"/>
            <w:tcBorders>
              <w:bottom w:val="single" w:sz="8" w:color="0000EE"/>
            </w:tcBorders>
            <w:gridSpan w:val="8"/>
          </w:tcPr>
          <w:p>
            <w:pPr>
              <w:spacing w:after="0"/>
              <w:rPr>
                <w:rFonts w:ascii="Arial" w:cs="Arial" w:eastAsia="Arial" w:hAnsi="Arial"/>
                <w:sz w:val="18"/>
                <w:szCs w:val="18"/>
                <w:b w:val="1"/>
                <w:bCs w:val="1"/>
                <w:color w:val="0000EE"/>
                <w:w w:val="92"/>
              </w:rPr>
            </w:pPr>
            <w:hyperlink w:anchor="page124">
              <w:r>
                <w:rPr>
                  <w:rFonts w:ascii="Arial" w:cs="Arial" w:eastAsia="Arial" w:hAnsi="Arial"/>
                  <w:sz w:val="18"/>
                  <w:szCs w:val="18"/>
                  <w:b w:val="1"/>
                  <w:bCs w:val="1"/>
                  <w:color w:val="0000EE"/>
                  <w:w w:val="92"/>
                </w:rPr>
                <w:t>Item 15.</w:t>
              </w:r>
            </w:hyperlink>
          </w:p>
        </w:tc>
        <w:tc>
          <w:tcPr>
            <w:tcW w:w="240" w:type="dxa"/>
            <w:vAlign w:val="bottom"/>
            <w:gridSpan w:val="3"/>
          </w:tcPr>
          <w:p>
            <w:pPr>
              <w:spacing w:after="0"/>
              <w:rPr>
                <w:sz w:val="24"/>
                <w:szCs w:val="24"/>
                <w:color w:val="auto"/>
              </w:rPr>
            </w:pPr>
          </w:p>
        </w:tc>
        <w:tc>
          <w:tcPr>
            <w:tcW w:w="3080" w:type="dxa"/>
            <w:vAlign w:val="bottom"/>
            <w:tcBorders>
              <w:bottom w:val="single" w:sz="8" w:color="0000EE"/>
            </w:tcBorders>
            <w:gridSpan w:val="11"/>
          </w:tcPr>
          <w:p>
            <w:pPr>
              <w:spacing w:after="0"/>
              <w:rPr>
                <w:rFonts w:ascii="Arial" w:cs="Arial" w:eastAsia="Arial" w:hAnsi="Arial"/>
                <w:sz w:val="18"/>
                <w:szCs w:val="18"/>
                <w:b w:val="1"/>
                <w:bCs w:val="1"/>
                <w:color w:val="0000EE"/>
                <w:w w:val="88"/>
              </w:rPr>
            </w:pPr>
            <w:hyperlink w:anchor="page124">
              <w:r>
                <w:rPr>
                  <w:rFonts w:ascii="Arial" w:cs="Arial" w:eastAsia="Arial" w:hAnsi="Arial"/>
                  <w:sz w:val="18"/>
                  <w:szCs w:val="18"/>
                  <w:b w:val="1"/>
                  <w:bCs w:val="1"/>
                  <w:color w:val="0000EE"/>
                  <w:w w:val="88"/>
                </w:rPr>
                <w:t>Exhibits, Financial Statement Schedules</w:t>
              </w:r>
            </w:hyperlink>
          </w:p>
        </w:tc>
        <w:tc>
          <w:tcPr>
            <w:tcW w:w="602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113</w:t>
            </w:r>
          </w:p>
        </w:tc>
      </w:tr>
      <w:tr>
        <w:trPr>
          <w:trHeight w:val="412"/>
        </w:trPr>
        <w:tc>
          <w:tcPr>
            <w:tcW w:w="1360" w:type="dxa"/>
            <w:vAlign w:val="bottom"/>
            <w:gridSpan w:val="12"/>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SIGNATURES</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453"/>
        </w:trPr>
        <w:tc>
          <w:tcPr>
            <w:tcW w:w="460" w:type="dxa"/>
            <w:vAlign w:val="bottom"/>
            <w:tcBorders>
              <w:top w:val="single" w:sz="8" w:color="0000EE"/>
              <w:bottom w:val="single" w:sz="8" w:color="DCDCDC"/>
            </w:tcBorders>
          </w:tcPr>
          <w:p>
            <w:pPr>
              <w:spacing w:after="0"/>
              <w:rPr>
                <w:sz w:val="24"/>
                <w:szCs w:val="24"/>
                <w:color w:val="auto"/>
              </w:rPr>
            </w:pPr>
          </w:p>
        </w:tc>
        <w:tc>
          <w:tcPr>
            <w:tcW w:w="14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26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4660" w:type="dxa"/>
            <w:vAlign w:val="bottom"/>
            <w:tcBorders>
              <w:bottom w:val="single" w:sz="8" w:color="DCDCDC"/>
            </w:tcBorders>
            <w:gridSpan w:val="14"/>
          </w:tcPr>
          <w:p>
            <w:pPr>
              <w:ind w:left="4300"/>
              <w:spacing w:after="0"/>
              <w:rPr>
                <w:sz w:val="20"/>
                <w:szCs w:val="20"/>
                <w:color w:val="auto"/>
              </w:rPr>
            </w:pPr>
            <w:r>
              <w:rPr>
                <w:rFonts w:ascii="Arial" w:cs="Arial" w:eastAsia="Arial" w:hAnsi="Arial"/>
                <w:sz w:val="18"/>
                <w:szCs w:val="18"/>
                <w:color w:val="auto"/>
              </w:rPr>
              <w:t>2</w:t>
            </w:r>
          </w:p>
        </w:tc>
        <w:tc>
          <w:tcPr>
            <w:tcW w:w="120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Community Banks, Inc. (“United”), a bank holding company registered under the Bank Holding Company Act of 1956, as amended (the “BHC Act”), was incorporated under the laws of Georgia in 1987 and commenced operations in 1988 by acquiring 100% of the outstanding shares of Union County Bank, Blairsville, Georgia, now known as United Community Bank, Blairsville, Georgia (the “Bank”).</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Since the early 1990’s, United has actively expanded its market coverage through organic growth complemented by selective acquisitions, primarily of banks whose managements share United’s community banking and customer service philosophies. Although those acquisitions have directly contributed to United’s growth, their contribution has primarily been to provide United access to new markets with attractive organic growth potential. Organic growth in assets includes growth through existing offices as well as growth at de novo locations and post-acquisition growth at acquired banking offices.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emphasize its commitment to community banking, United conducts substantially all of its operations through a community-focused operating model of separate “community banks”, which as of December 31, 2014, operated at 103 locations throughout north Georgia, the Atlanta-Sandy Springs-Roswell, Georgia metropolitan statistical area, the Gainesville, Georgia metropolitan statistical area, coastal Georgia, western North Carolina, east and central Tennessee and the Greenville-Anderson-Mauldin, South Carolina metropolitan statistical area. In 2012, United expanded into Greenville, South Carolina by opening a loan production office which has subsequently been converted to a full-service branch. The community banks offer a full range of retail and corporate banking services, including checking, savings and time deposit accounts, secured and unsecured loans, wire transfers, brokerage services and other financial services, and are led by local bank presidents (referred to herein as the “Community Bank Presidents”) and management with significant experience in, and ties to, their communities. Each of the Community Bank Presidents has authority, alone or with other local officers, to make most credit decisions.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 through its full-service retail mortgage lending division, United Community Mortgage Services (“UCMS”), is approved as a seller/servicer for the Federal National Mortgage Association (“Fannie Mae”) and the Federal Home Loan Mortgage Corporation (“Freddie Mac”) and provides fixed and adjustable-rate home mortgages. During 2014, the Bank originated $276 million of residential mortgage loans throughout its footprint in Georgia, North Carolina, Tennessee and South Carolina for the purchase of homes and to refinance existing mortgage debt. Substantially all of these mortgages were sold into the secondary market without recourse to the Bank, other than for breaches of warranties.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owns an insurance agency, United Community Insurance Services, Inc. (“UCIS”), known as United Community Advisory Services, which is a subsidiary of the Bank. United also owns a captive insurance subsidiary, United Community Risk Management Services, Inc. (“UCRMSI”) that provides risk management services for United’s subsidiaries. Another Bank subsidiary, United Community Payment Systems, LLC, provides payment processing services for the Bank’s customers.</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United produces fee revenue through its sale of non-deposit investment products. Those products are sold by employees of United that are licensed financial advisors doing business as United Community Advisory Services. United has an affiliation with a third party broker/dealer, Invest Financial, to facilitate this line of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27, 2015, United announced that it had entered into a definitive merger agreement to acquire MoneyTree Corporation (“MoneyTree”) and its wholly-owned bank subsidiary, First National Bank (“FNB”). MoneyTree and FNB are headquartered in Lenoir City, Tennessee and FNB currently operates 10 branches in east Tennessee. At December 31, 2014, FNB had $425 million in assets, $354 million in deposits and $253 million in loans. The resulting combination will enhance both United’s position in key growth markets in east Tennessee and its ability to offer expanded banking products to FNB’s customer base.</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merger agreement, MoneyTree shareholders will receive merger consideration consisting of 80 percent common stock of United and 20 percent cash in the aggregate, with a fixed exchange ratio that is valued at approximately $52 million based on United’s January 27, 2015 closing price of $17.65 per share. Completion of the transaction is subject to customary closing conditions, including the receipt of required regulatory approvals and the approval of MoneyTree’s shareholders. The transaction is expected to close in the second quarter of 2015.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10-K contains forward-looking statements within the meaning of Section 27A of the Securities Act of 1933, as amended, (the “Securities Act’), and Section 21E of the Securities Exchange Act of 1934,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following factors:</w:t>
      </w:r>
    </w:p>
    <w:p>
      <w:pPr>
        <w:spacing w:after="0" w:line="208"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net deferred tax asset in future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w:t>
      </w: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Monetary Policy and Economic Conditions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United’s profitability depends to a substantial extent on the difference between interest revenue received from loans, investments, and other earning assets, and the interest paid on deposits and other liabilities. These rates are highly sensitive to many factors that are beyond the control of United, including national and international economic conditions and the monetary policies of various governmental and regulatory authorities, particularly the Board of Governors of the Federal Reserve System (the “Federal Reserve”). The instruments of monetary policy employed by the Federal Reserve include open market operations in U.S. government securities, changes in the discount rate on bank borrowings and changes in reserve requirements against bank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for banking and bank-related services is highly competitive. United actively competes in its market areas, which include north Georgia, the Atlanta-Sandy Springs-Roswell, Georgia metropolitan statistical area, the Gainesville, Georgia metropolitan statistical area, coastal Georgia, western North Carolina, east and central Tennessee and the Greenville-Anderson-Mauldin, South Carolina metropolitan statistical area, with other providers of deposit and credit services. These competitors include other commercial banks, savings banks, savings and loan associations, credit unions, mortgage companies, and brokerage firms.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on the following page displays the respective percentage of total bank and thrift deposits for the last five years in each county where the Bank has deposit operations. The table also indicates the Bank’s ranking by deposit size in each county. All information in the table was obtained from the Federal Deposit Insurance Corporation Summary of Deposits as of June 30 of each year. The following information only shows market share in deposit gathering, which may not be indicative of market presence in other areas.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120" w:type="dxa"/>
            <w:vAlign w:val="bottom"/>
            <w:gridSpan w:val="10"/>
          </w:tcPr>
          <w:p>
            <w:pPr>
              <w:spacing w:after="0"/>
              <w:rPr>
                <w:sz w:val="20"/>
                <w:szCs w:val="20"/>
                <w:color w:val="auto"/>
              </w:rPr>
            </w:pPr>
            <w:r>
              <w:rPr>
                <w:rFonts w:ascii="Arial" w:cs="Arial" w:eastAsia="Arial" w:hAnsi="Arial"/>
                <w:sz w:val="18"/>
                <w:szCs w:val="18"/>
                <w:b w:val="1"/>
                <w:bCs w:val="1"/>
                <w:color w:val="auto"/>
                <w:w w:val="94"/>
              </w:rPr>
              <w:t>Share of Local Deposit Markets by County - Banks and Savings Institutions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9"/>
              </w:rPr>
              <w:t>Market Share</w:t>
            </w: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w w:val="98"/>
              </w:rPr>
              <w:t>Rank in Market</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2011</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Atlanta, Georgia MSA</w:t>
            </w:r>
          </w:p>
        </w:tc>
        <w:tc>
          <w:tcPr>
            <w:tcW w:w="6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Bartow</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Carroll</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Cherokee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Cobb</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Coweta</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Dawson</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34</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DeKalb</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Douglas</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w:t>
            </w:r>
          </w:p>
        </w:tc>
      </w:tr>
      <w:tr>
        <w:trPr>
          <w:trHeight w:val="243"/>
        </w:trPr>
        <w:tc>
          <w:tcPr>
            <w:tcW w:w="20" w:type="dxa"/>
            <w:vAlign w:val="bottom"/>
          </w:tcPr>
          <w:p>
            <w:pPr>
              <w:spacing w:after="0"/>
              <w:rPr>
                <w:sz w:val="21"/>
                <w:szCs w:val="21"/>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Fayette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Forsyth</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Fulton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Gwinnett</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Henry</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Newton</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Paulding</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Pickens</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Rockdale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Walton</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Gainesville, Georgia MSA</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Hall</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North Georgia</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Chattooga</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44</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39</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Fannin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Floyd</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Gilmer</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Habersham</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Jackson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Lumpkin</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29</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Rabun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Towns</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53</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37</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Union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White</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47</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Tennessee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Blount</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Bradley</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Knox</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Loudon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McMinn</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Monroe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Roane</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Coastal Georgia</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Chatham</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Glynn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Ware</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North Carolina</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Avery</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Cherokee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Clay</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44</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49</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Graham</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Haywood</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Henderson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Jackson</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25</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Macon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Mitchell</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Swain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Transylvania</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16</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Watauga</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Yancey</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South Carolina</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Greenville</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648"/>
        </w:trPr>
        <w:tc>
          <w:tcPr>
            <w:tcW w:w="20" w:type="dxa"/>
            <w:vAlign w:val="bottom"/>
          </w:tcPr>
          <w:p>
            <w:pPr>
              <w:spacing w:after="0"/>
              <w:rPr>
                <w:sz w:val="24"/>
                <w:szCs w:val="24"/>
                <w:color w:val="auto"/>
              </w:rPr>
            </w:pPr>
          </w:p>
        </w:tc>
        <w:tc>
          <w:tcPr>
            <w:tcW w:w="23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jc w:val="right"/>
              <w:ind w:right="1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549"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Loans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Bank makes both secured and unsecured loans to individuals, and businesses. Secured loans include first and second real estate mortgage loans and commercial loans secured by non-real estate assets. The Bank also makes direct installment loans to consumers on both a secured and unsecured basis.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Specific risk elements associated with the Bank’s lending categories include, but are not limited 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Percentage</w:t>
            </w:r>
          </w:p>
        </w:tc>
        <w:tc>
          <w:tcPr>
            <w:tcW w:w="12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540" w:type="dxa"/>
            <w:vAlign w:val="bottom"/>
            <w:gridSpan w:val="2"/>
          </w:tcPr>
          <w:p>
            <w:pPr>
              <w:ind w:left="1320"/>
              <w:spacing w:after="0"/>
              <w:rPr>
                <w:sz w:val="20"/>
                <w:szCs w:val="20"/>
                <w:color w:val="auto"/>
              </w:rPr>
            </w:pPr>
            <w:r>
              <w:rPr>
                <w:rFonts w:ascii="Arial" w:cs="Arial" w:eastAsia="Arial" w:hAnsi="Arial"/>
                <w:sz w:val="18"/>
                <w:szCs w:val="18"/>
                <w:color w:val="auto"/>
              </w:rPr>
              <w:t>Loan Type</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of Portfolio</w:t>
            </w:r>
          </w:p>
        </w:tc>
        <w:tc>
          <w:tcPr>
            <w:tcW w:w="120" w:type="dxa"/>
            <w:vAlign w:val="bottom"/>
          </w:tcPr>
          <w:p>
            <w:pPr>
              <w:spacing w:after="0"/>
              <w:rPr>
                <w:sz w:val="20"/>
                <w:szCs w:val="20"/>
                <w:color w:val="auto"/>
              </w:rPr>
            </w:pPr>
          </w:p>
        </w:tc>
        <w:tc>
          <w:tcPr>
            <w:tcW w:w="6840" w:type="dxa"/>
            <w:vAlign w:val="bottom"/>
          </w:tcPr>
          <w:p>
            <w:pPr>
              <w:ind w:left="2900"/>
              <w:spacing w:after="0"/>
              <w:rPr>
                <w:sz w:val="20"/>
                <w:szCs w:val="20"/>
                <w:color w:val="auto"/>
              </w:rPr>
            </w:pPr>
            <w:r>
              <w:rPr>
                <w:rFonts w:ascii="Arial" w:cs="Arial" w:eastAsia="Arial" w:hAnsi="Arial"/>
                <w:sz w:val="18"/>
                <w:szCs w:val="18"/>
                <w:color w:val="auto"/>
              </w:rPr>
              <w:t>Risk Elements</w:t>
            </w:r>
          </w:p>
        </w:tc>
      </w:tr>
      <w:tr>
        <w:trPr>
          <w:trHeight w:val="202"/>
        </w:trPr>
        <w:tc>
          <w:tcPr>
            <w:tcW w:w="2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Commercial Real Estate - owner occupied</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24.9%</w:t>
            </w:r>
          </w:p>
        </w:tc>
        <w:tc>
          <w:tcPr>
            <w:tcW w:w="120" w:type="dxa"/>
            <w:vAlign w:val="bottom"/>
          </w:tcPr>
          <w:p>
            <w:pPr>
              <w:spacing w:after="0"/>
              <w:rPr>
                <w:sz w:val="17"/>
                <w:szCs w:val="17"/>
                <w:color w:val="auto"/>
              </w:rPr>
            </w:pPr>
          </w:p>
        </w:tc>
        <w:tc>
          <w:tcPr>
            <w:tcW w:w="6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General economic conditions; consumer spending; effect of rising interest rates; market’s</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loosening of credit underwriting standards and structures; and business confidence.</w:t>
            </w: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rPr>
              <w:t>Commercial Real Estate - income producing</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12.8%</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7"/>
              </w:rPr>
              <w:t>Effect of rising interest rates, supply and demand of property type; consumer sentiment;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2"/>
              </w:rPr>
              <w:t>business confidence; effect of financial markets, general economic conditions in the U.S and</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abroad and recovery of operating fundamentals.</w:t>
            </w: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15.2%</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5"/>
              </w:rPr>
              <w:t>Industry concentrations; inability to monitor the condition of collateral (inventory, accounts</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5"/>
              </w:rPr>
              <w:t>receivable and other non-real estate assets); use of specialized or obsolete equipment as</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1"/>
              </w:rPr>
              <w:t>collateral; insufficient cash flow from operations to service debt payments; declines in general</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economic conditions.</w:t>
            </w: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3"/>
              </w:rPr>
              <w:t>Effect of rising interest rates; changes in market demand for property, recovery of operating</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3"/>
              </w:rPr>
              <w:t>fundamentals,  market’s  loosening  of  credit  underwriting  standards  and  structures,  and</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fluctuations in both the debt and equity markets.</w:t>
            </w: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18.5%</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Loan portfolio concentrations; changes in general economic conditions or in the local</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9"/>
              </w:rPr>
              <w:t>economy; loss of borrower’s employment; insufficient collateral value due to decline in</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property value.</w:t>
            </w: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1"/>
              </w:rPr>
              <w:t>Unemployment and underemployment levels; rise in interest rates; household income growth;</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6"/>
              </w:rPr>
              <w:t>declining home values reducing the amount of equity; lines of credit nearing their “end-of-</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draw” period.</w:t>
            </w: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5"/>
              </w:rPr>
              <w:t>Inadequate long-term financing arrangements; inventory levels; cost overruns, changes in</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market demand for property; rising interest rates.</w:t>
            </w: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5"/>
              </w:rPr>
              <w:t>Consumer sentiment; elevated umemployment and underemployment in many of our local</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markets; household income stagnation; and increases in consumer prices.</w:t>
            </w:r>
          </w:p>
        </w:tc>
      </w:tr>
      <w:tr>
        <w:trPr>
          <w:trHeight w:val="418"/>
        </w:trPr>
        <w:tc>
          <w:tcPr>
            <w:tcW w:w="356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7"/>
              </w:rPr>
              <w:t>Consumer sentiment; unemployment and underemployment levels; rise in interest rates;</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1"/>
              </w:rPr>
              <w:t>increases in consumer prices; decline in houseload income and loosening of credit structures.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Policy</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Bank makes loans primarily to persons or businesses that reside, work, own property, or operate in its primary market areas, except for specific specialized lending strategies such as Small Business Administration (“SBA”) and franchise lending. Unsecured loans are generally made only to persons who qualify for such credit based on their credit history, net worth, income and liquidity. Secured loans are made to persons who are well established and have the credit history, net worth, collateral, and cash flow to support the loan. Exceptions to the Bank’s policies are permitted on a case-by-case basis. Major policy exceptions require an approving officer to document the reason for the exception. Loans exceeding a lending officer’s credit limit must be approved through a credit approval process involving Regional Credit Managers. Consumer loans are approved through centralized consumer credit centers.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United’s Credit Administration department provides each lending officer with written guidelines for lending activities as approved by the Bank’s Board of Directors. Limited lending authority is delegated to lending officers by Credit Administration as authorized by the Bank’s Board of Directors. Loans in excess of individual officer credit authority must be approved by a senior officer with sufficient approval authority delegated by Credit Administration as authorized by the Bank’s Board of Directors. The Senior Credit Committee approves loans where the total relationship exposure exceeds $8.5 million. At December 31, 2014, the Bank’s secured legal lending limit was $202 million; however, the Board of Directors has established an internal lending limit of $25 million. All loans to borrowers for any individual real estate project that exceeds $15 million or whose total aggregate borrowing relationship exceed $20 million require the approval of two Bank directors and must be reported quarterly to the Bank’s Board of Directors for ratification.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Commercial Lending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utilizes its Regional Credit Managers to provide credit administration support for commercial loans to the Bank as needed. The Regional Credit Managers have lending authority set by Credit Administration based on characteristics of the markets they serve. The Regional Credit Managers also provide credit underwriting support as needed by the community banks they serve.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Credit Center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has implemented a centralized consumer credit center that provides underwriting, regulatory disclosure and document preparation for all consumer loan requests originated by the bank’s market lenders. Requests are processed through an automated loan origination software platform. Underwriters are involved with credit decisions at certain levels and with certain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Review and Nonperforming Assets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United’s Loan Review Department reviews, or engages an independent third party to review, the Bank’s loan portfolio on an ongoing basis to identify any weaknesses in the portfolio and to assess the general quality of credit underwriting. The results of such reviews are presented to Executive Management, the Community Bank Presidents, Credit Administration Management and the Risk Committee of the Board of Directors. If an individual loan or credit relationship has a material weakness identified during the review process, the risk rating of the loan, or generally all loans comprising that credit relationship, will be downgraded to the classification that most closely matches the current risk level. The review process also provides for the upgrade of loans that show improvement since the last review. Since each loan in a credit relationship may have a different credit structure, source of repayment and guarantors, different loans in a relationship can be assigned different risk ratings. United adopted a dual risk rating system for commercial loans whereby risk is defined at the obligor level and the facility level. The obligor risk rating assigns a rating based on qualitative and quantitative metrics that measure the financial viability of the borrower which is an estimate of the probability that the borrower will default. The facility risk rating considers the loss protection provided by assigned collateral factoring in control and the loan-to-value ratio. This rating estimates the probability of loss once the borrower has defaulted.</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United’s 10-tier loan grading system for commercial loans, grades 1 through 6 are considered “pass” (acceptable) credit risk, grade 7 is a “watch” rating, and grades 8 through 10 are “adversely classified” credits that require management’s attention. The entire 10-grade rating scale provides for a higher numeric rating for increased risk. For example, a risk rating of 1 is the least risky of all credits and would be typical of a loan that is 100% secured by a deposit at the Bank. Risk ratings of 2 through 6 in the pass category each have incrementally more risk. The four watch list credit ratings and rating definitions are: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1440" w:type="dxa"/>
            <w:vAlign w:val="bottom"/>
          </w:tcPr>
          <w:p>
            <w:pPr>
              <w:ind w:left="20"/>
              <w:spacing w:after="0"/>
              <w:rPr>
                <w:sz w:val="20"/>
                <w:szCs w:val="20"/>
                <w:color w:val="auto"/>
              </w:rPr>
            </w:pPr>
            <w:r>
              <w:rPr>
                <w:rFonts w:ascii="Arial" w:cs="Arial" w:eastAsia="Arial" w:hAnsi="Arial"/>
                <w:sz w:val="18"/>
                <w:szCs w:val="18"/>
                <w:color w:val="auto"/>
              </w:rPr>
              <w:t>(Watch)</w:t>
            </w:r>
          </w:p>
        </w:tc>
        <w:tc>
          <w:tcPr>
            <w:tcW w:w="9860" w:type="dxa"/>
            <w:vAlign w:val="bottom"/>
          </w:tcPr>
          <w:p>
            <w:pPr>
              <w:ind w:left="400"/>
              <w:spacing w:after="0"/>
              <w:rPr>
                <w:sz w:val="20"/>
                <w:szCs w:val="20"/>
                <w:color w:val="auto"/>
              </w:rPr>
            </w:pPr>
            <w:r>
              <w:rPr>
                <w:rFonts w:ascii="Arial" w:cs="Arial" w:eastAsia="Arial" w:hAnsi="Arial"/>
                <w:sz w:val="18"/>
                <w:szCs w:val="18"/>
                <w:color w:val="auto"/>
                <w:w w:val="91"/>
              </w:rPr>
              <w:t>Loans in this category are presently protected from apparent loss; however weaknesses exist that could cause future impairment,</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w w:val="90"/>
              </w:rPr>
              <w:t>including the deterioration of financial ratios, past due status and questionable management capabilities. These loans require more</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w w:val="96"/>
              </w:rPr>
              <w:t>than the ordinary amount of supervision. Collateral values generally afford adequate coverage, but may not be immediately</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marketable.</w:t>
            </w:r>
          </w:p>
        </w:tc>
      </w:tr>
      <w:tr>
        <w:trPr>
          <w:trHeight w:val="445"/>
        </w:trPr>
        <w:tc>
          <w:tcPr>
            <w:tcW w:w="120" w:type="dxa"/>
            <w:vAlign w:val="bottom"/>
          </w:tcPr>
          <w:p>
            <w:pPr>
              <w:spacing w:after="0"/>
              <w:rPr>
                <w:sz w:val="20"/>
                <w:szCs w:val="20"/>
                <w:color w:val="auto"/>
              </w:rPr>
            </w:pPr>
            <w:r>
              <w:rPr>
                <w:rFonts w:ascii="Arial" w:cs="Arial" w:eastAsia="Arial" w:hAnsi="Arial"/>
                <w:sz w:val="18"/>
                <w:szCs w:val="18"/>
                <w:color w:val="auto"/>
                <w:w w:val="99"/>
              </w:rPr>
              <w:t>8</w:t>
            </w:r>
          </w:p>
        </w:tc>
        <w:tc>
          <w:tcPr>
            <w:tcW w:w="1440" w:type="dxa"/>
            <w:vAlign w:val="bottom"/>
          </w:tcPr>
          <w:p>
            <w:pPr>
              <w:ind w:left="20"/>
              <w:spacing w:after="0"/>
              <w:rPr>
                <w:sz w:val="20"/>
                <w:szCs w:val="20"/>
                <w:color w:val="auto"/>
              </w:rPr>
            </w:pPr>
            <w:r>
              <w:rPr>
                <w:rFonts w:ascii="Arial" w:cs="Arial" w:eastAsia="Arial" w:hAnsi="Arial"/>
                <w:sz w:val="18"/>
                <w:szCs w:val="18"/>
                <w:color w:val="auto"/>
              </w:rPr>
              <w:t>(Substandard)</w:t>
            </w:r>
          </w:p>
        </w:tc>
        <w:tc>
          <w:tcPr>
            <w:tcW w:w="9860" w:type="dxa"/>
            <w:vAlign w:val="bottom"/>
          </w:tcPr>
          <w:p>
            <w:pPr>
              <w:ind w:left="400"/>
              <w:spacing w:after="0"/>
              <w:rPr>
                <w:sz w:val="20"/>
                <w:szCs w:val="20"/>
                <w:color w:val="auto"/>
              </w:rPr>
            </w:pPr>
            <w:r>
              <w:rPr>
                <w:rFonts w:ascii="Arial" w:cs="Arial" w:eastAsia="Arial" w:hAnsi="Arial"/>
                <w:sz w:val="18"/>
                <w:szCs w:val="18"/>
                <w:color w:val="auto"/>
                <w:w w:val="93"/>
              </w:rPr>
              <w:t>These loans are inadequately protected by the current net worth and paying capacity of the obligor or by the collateral pledged.</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w w:val="93"/>
              </w:rPr>
              <w:t>Specific and well-defined weaknesses exist that may include poor liquidity and deterioration of financial ratios. The loan may be</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w w:val="91"/>
              </w:rPr>
              <w:t>past due and related deposit accounts experiencing overdrafts. There is the distinct possibility that United will sustain some loss if</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deficiencies are not corrected. If possible, immediate corrective action is taken.</w:t>
            </w:r>
          </w:p>
        </w:tc>
      </w:tr>
      <w:tr>
        <w:trPr>
          <w:trHeight w:val="445"/>
        </w:trPr>
        <w:tc>
          <w:tcPr>
            <w:tcW w:w="120" w:type="dxa"/>
            <w:vAlign w:val="bottom"/>
          </w:tcPr>
          <w:p>
            <w:pPr>
              <w:spacing w:after="0"/>
              <w:rPr>
                <w:sz w:val="20"/>
                <w:szCs w:val="20"/>
                <w:color w:val="auto"/>
              </w:rPr>
            </w:pPr>
            <w:r>
              <w:rPr>
                <w:rFonts w:ascii="Arial" w:cs="Arial" w:eastAsia="Arial" w:hAnsi="Arial"/>
                <w:sz w:val="18"/>
                <w:szCs w:val="18"/>
                <w:color w:val="auto"/>
                <w:w w:val="99"/>
              </w:rPr>
              <w:t>9</w:t>
            </w:r>
          </w:p>
        </w:tc>
        <w:tc>
          <w:tcPr>
            <w:tcW w:w="1440" w:type="dxa"/>
            <w:vAlign w:val="bottom"/>
          </w:tcPr>
          <w:p>
            <w:pPr>
              <w:ind w:left="20"/>
              <w:spacing w:after="0"/>
              <w:rPr>
                <w:sz w:val="20"/>
                <w:szCs w:val="20"/>
                <w:color w:val="auto"/>
              </w:rPr>
            </w:pPr>
            <w:r>
              <w:rPr>
                <w:rFonts w:ascii="Arial" w:cs="Arial" w:eastAsia="Arial" w:hAnsi="Arial"/>
                <w:sz w:val="18"/>
                <w:szCs w:val="18"/>
                <w:color w:val="auto"/>
              </w:rPr>
              <w:t>(Doubtful)</w:t>
            </w:r>
          </w:p>
        </w:tc>
        <w:tc>
          <w:tcPr>
            <w:tcW w:w="9860" w:type="dxa"/>
            <w:vAlign w:val="bottom"/>
          </w:tcPr>
          <w:p>
            <w:pPr>
              <w:ind w:left="400"/>
              <w:spacing w:after="0"/>
              <w:rPr>
                <w:sz w:val="20"/>
                <w:szCs w:val="20"/>
                <w:color w:val="auto"/>
              </w:rPr>
            </w:pPr>
            <w:r>
              <w:rPr>
                <w:rFonts w:ascii="Arial" w:cs="Arial" w:eastAsia="Arial" w:hAnsi="Arial"/>
                <w:sz w:val="18"/>
                <w:szCs w:val="18"/>
                <w:color w:val="auto"/>
                <w:w w:val="95"/>
              </w:rPr>
              <w:t>Specific weaknesses characterized as Substandard that are severe enough to make collection in full highly questionable and</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improbable. There is no reliable secondary source of full repayment.</w:t>
            </w:r>
          </w:p>
        </w:tc>
      </w:tr>
      <w:tr>
        <w:trPr>
          <w:trHeight w:val="445"/>
        </w:trPr>
        <w:tc>
          <w:tcPr>
            <w:tcW w:w="1560" w:type="dxa"/>
            <w:vAlign w:val="bottom"/>
            <w:gridSpan w:val="2"/>
          </w:tcPr>
          <w:p>
            <w:pPr>
              <w:spacing w:after="0"/>
              <w:rPr>
                <w:sz w:val="20"/>
                <w:szCs w:val="20"/>
                <w:color w:val="auto"/>
              </w:rPr>
            </w:pPr>
            <w:r>
              <w:rPr>
                <w:rFonts w:ascii="Arial" w:cs="Arial" w:eastAsia="Arial" w:hAnsi="Arial"/>
                <w:sz w:val="18"/>
                <w:szCs w:val="18"/>
                <w:color w:val="auto"/>
              </w:rPr>
              <w:t>10 (Loss)</w:t>
            </w:r>
          </w:p>
        </w:tc>
        <w:tc>
          <w:tcPr>
            <w:tcW w:w="9860" w:type="dxa"/>
            <w:vAlign w:val="bottom"/>
          </w:tcPr>
          <w:p>
            <w:pPr>
              <w:ind w:left="400"/>
              <w:spacing w:after="0"/>
              <w:rPr>
                <w:sz w:val="20"/>
                <w:szCs w:val="20"/>
                <w:color w:val="auto"/>
              </w:rPr>
            </w:pPr>
            <w:r>
              <w:rPr>
                <w:rFonts w:ascii="Arial" w:cs="Arial" w:eastAsia="Arial" w:hAnsi="Arial"/>
                <w:sz w:val="18"/>
                <w:szCs w:val="18"/>
                <w:color w:val="auto"/>
                <w:w w:val="95"/>
              </w:rPr>
              <w:t>Loans categorized as Loss have the same characteristics as Doubtful, however, loss is certain.  Loans classified as Loss are</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charged-off.</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Loans not meeting the criteria above that are analyzed individually as part of the above described process are considered to be pass rated loans. Consumer loans are part of a pass / fail grading system designed to segment loans based upon the risk of default resulting in a loss to the Bank. Specifically, a failed credit will be a loan that has a high probability of default within the next twelve months with the default expected to result in a loss to the Bank.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7"/>
          <w:szCs w:val="17"/>
          <w:color w:val="auto"/>
        </w:rPr>
        <w:t>In addition, Credit Administration, with supervision and input from the Accounting Department, prepares a quarterly analysis to determine the adequacy of the Allowance for Credit Losses (“ACL”). The ACL is comprised of the allowance for loan losses and the allowance for unfunded commitments. The allowance for loan losses analysis starts with total loans and subtracts loans fully secured by deposit accounts at the Bank and the portion of loans guaranteed by the United States Small Business Administration (“SBA”) or United States Department of Agriculture (“USDA”), which effectively have no risk of loss. Next, all loans that are considered individually impaired are reviewed and assigned a specific reserve if one is warranted. Most collateral dependent impaired loans with specific reserves are charged down to net realizable value of the underlying collateral. The remaining loan balance for each major loan category is then multiplied by its respective estimated loss factor that is derived from the weighted average historical loss rate for the preceding two year period, weighted toward the most recent quarters, and adjusted to reflect current economic conditions. Loss factors for these loans are estimated and determined based on historical loss experience by type of loan. United multiplies the annualized loss factor by the calculated loss emergence period in order to quantify the amount of incurred losses in the loan portfolio. The loss emergence period is determined for each category of loans based on the average length of time between when a loan first becomes more than 30 days past due and when that loan is ultimately charged off. Management’s use of the loss emergence period is an estimate of the period of time from the first evidence of loss incurrence through the period of time until such losses are confirmed (or charged-off). Previously, United reported an unallocated portion of the allowance which was maintained due to imprecision in estimating loss factors and loss emergence periods, and economic and other conditions that cannot be entirely quantified in the analysis. With the incorporation of the loss emergence period into United’s allowance methodology in the first quarter of 2014, the previously unallocated balance has been allocated to other components of the allowance for loan losses.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Committee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United’s Asset Liability Management Committee (“ALCO”) is composed of executive and other officers and the Treasurer of United. ALCO is charged with managing the assets and liabilities of United and the Bank. ALCO’s primary role is to balance asset growth and income generation with the prudent management of interest rate risk, market risk and liquidity risk and with the need to maintain appropriate levels of capital. ALCO directs the Bank’s overall balance sheet strategy, including the acquisition and investment of funds. At regular meetings, the committee reviews the interest rate sensitivity and liquidity positions, including stress scenarios, the net interest margin, the investment portfolio, the funding mix and other variables, such as regulatory changes, monetary policy adjustments and the overall state of the economy. A more comprehensive discussion of United’s asset/liability management and interest rate risk is contained in the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(Part II, Item 7) and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(Part II, Item 7A) sections of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United’s investment portfolio policy is to balance income generation with liquidity, interest rate sensitivity, pledging and regulatory needs. The Chief Financial Officer and the Treasurer of United administer the policy, and it is reviewed from time to time by United’s ALCO and the Board of Directors. Portfolio activity, composition, and performance are reviewed and approved periodically by United’s Board of Directors and Risk Committee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2014, United and its subsidiaries had 1,506 full-time equivalent employees. Neither United nor any of its subsidiaries are a party to any collective bargaining agreement and management believes that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United’s Internet website address is www.ucbi.com. United makes available free of charge through its website Annual Reports on Form 10-K, Quarterly Reports on Form 10-Q and Current Reports on Form 8-K, and amendments to those reports, as soon as reasonably practicable after they are filed with, or furnished to,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is an explanation of the supervision and regulation of United and the Bank as financial institutions. This explanation does not purport to describe state, federal or Nasdaq Stock Market supervision and regulation of general business corporations or Nasdaq listed companies.</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United is a registered bank holding company subject to regulation by the Federal Reserve under the BHC Act. United is required to file annual and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financial information with the Federal Reserve and is subject to periodic examination by the Federal Reserve.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The BHC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Some of the activities that the Federal Reserve has determined by regulation or order to be closely related to banking are:</w:t>
      </w:r>
    </w:p>
    <w:p>
      <w:pPr>
        <w:spacing w:after="0" w:line="18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or servicing loans and certain types of leases;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performing certain data processing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acting as fiduciary or investment or financial advisor;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brokerage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underwriting bank eligible securities;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investments in corporations or projects designed primarily to promote community welfare.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Among the activities that are deemed “financial in nature” include:</w:t>
      </w:r>
    </w:p>
    <w:p>
      <w:pPr>
        <w:spacing w:after="0" w:line="2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lending, exchanging, transferring, investing for others or safeguarding money or securities;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insuring, guaranteeing, or indemnifying against loss, harm, damage, illness, disability, or death, or providing and issuing annuities, and acting as principal, agent, or broker with respect thereto;</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financial, investment, or economic advisory services, including advising an investment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issuing or selling instruments representing interests in pools of assets permissible for a bank to hold directly;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underwriting, dealing in or making a market in securities.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bank holding company may become a financial holding company under this statute only if each of its subsidiary banks is well-capitalized, is well managed and has at least a satisfactory rating under the Community Reinvestment Act. A bank holding company that falls out of compliance with such requirement may be required to cease engaging in certain activities. Any bank holding company that does not elect to become a financial holding company remains subject to the bank holding company restrictions of the BHC Act.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legislation, the Federal Reserve serves as the primary “umbrella” regulator of financial holding companies with supervisory authority over each parent company and limited authority over its subsidiaries. The primary regulator of each subsidiary of a financial holding company will depend on the type of activity conducted by the subsidiary. For example, broker-dealer subsidiaries will be regulated largely by securities regulators and insurance subsidiaries will be regulated largely by insurance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United has no current plans to register as a financial holding company.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United must also register with the Georgia Department of Banking and Finance (the “DBF”) and file periodic information with the DBF. As part of such registration, the DBF requires information with respect to the financial condition, operations, management and intercompany relationship of United and the Bank and related matters. The DBF may also require such other information as is necessary to keep itself informed concerning compliance with Georgia law and the regulations and orders issued thereunder by the DBF, and the DBF may examine United and the Bank. Although the Bank operates branches in North Carolina, east and central Tennessee and Greenville, South Carolina; neither the North Carolina Banking Commission, the Tennessee Department of Financial Institutions, nor the South Carolina Commissioner of Banking examines or directly regulates out-of-state holding companies.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United is an “affiliate” of the Bank under the Federal Reserve Act, which imposes certain restrictions on (1) loans by the Bank to United, (2) investments in the stock or securities of United by the Bank, (3) the Bank taking the stock or securities of an “affiliate” as collateral for loans by the Bank to a borrower, and</w:t>
      </w:r>
    </w:p>
    <w:p>
      <w:pPr>
        <w:ind w:firstLine="8"/>
        <w:spacing w:after="0" w:line="261"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purchase of assets from United by the Bank. Further, a bank holding company and its subsidiaries are prohibited from engaging in certain tie-in arrangements in connection with any extension of credit, lease or sale of property or furnishing of services.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 and each of its subsidiaries are regularly examined by the FDIC. The Bank, as a state banking association organized under Georgia law, is subject to the supervision of, and is regularly examined by, the DBF. Both the FDIC and the DBF must grant prior approval of any merger, consolidation or other corporation reorganization involving the Bank.</w:t>
      </w:r>
    </w:p>
    <w:p>
      <w:pPr>
        <w:spacing w:after="0" w:line="20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Payment of Dividends. </w:t>
      </w:r>
      <w:r>
        <w:rPr>
          <w:rFonts w:ascii="Arial" w:cs="Arial" w:eastAsia="Arial" w:hAnsi="Arial"/>
          <w:sz w:val="17"/>
          <w:szCs w:val="17"/>
          <w:color w:val="auto"/>
        </w:rPr>
        <w:t>United is a legal entity separate and distinct from the Bank. Most of the revenue of United results from dividends paid to it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 There are statutory and regulatory requirements applicable to the payment of dividends by the Bank, as well as by United to its shareholders.</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the regulations of the DBF, a state bank with negative retained earnings may declare dividends by first obtaining the written permission of the DBF. If a state bank has positive retained earnings, it may declare a dividend without DBF approval if it meets all the following requirements:</w:t>
      </w:r>
    </w:p>
    <w:p>
      <w:pPr>
        <w:spacing w:after="0" w:line="147" w:lineRule="exact"/>
        <w:rPr>
          <w:sz w:val="20"/>
          <w:szCs w:val="20"/>
          <w:color w:val="auto"/>
        </w:rPr>
      </w:pPr>
    </w:p>
    <w:p>
      <w:pPr>
        <w:ind w:left="5620" w:right="1680" w:hanging="5612"/>
        <w:spacing w:after="0" w:line="528"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classified assets as of the most recent examination of the bank do not exceed 80% of equity capital (as defined by regulation);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800" w:gutter="0" w:footer="0" w:header="0"/>
        </w:sectPr>
      </w:pPr>
    </w:p>
    <w:bookmarkStart w:id="11" w:name="page12"/>
    <w:bookmarkEnd w:id="11"/>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payment of dividends by United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rules adopted by the Federal Reserve in November 2011, known as the Comprehensive Capital Analysis and Review (“CCAR”) Rules, bank holding companies with $50 billion or more of total assets are required to submit annual capital plans to the Federal Reserve and generally may pay dividends and repurchase stock only under a capital plan as to which the Federal Reserve has not objected. The CCAR rules will not apply to United for so long as our total consolidated assets remain below $50 billion. However, it is anticipated that United capital ratios will be important factors considered by the Federal Reserve in evaluating whether proposed payments of dividends or stock repurchases may be an unsafe or unsound practices.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our accumulated deficit (negative retained earnings), the Bank must receive pre-approval from the DBF and FDIC to pay cash dividends to United in 2015. In 2014 and 2013, the Bank paid a cash dividend of $129 million and $50.0 million, respectively, to United as approved the DBF and FDIC. No dividends were paid by the Bank to United in 2012. United declared cash dividends on its common stock in 2014 of eleven cents but did not declare any dividends in its common stock in 2013 or 2012.</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18"/>
          <w:szCs w:val="18"/>
          <w:color w:val="auto"/>
        </w:rPr>
        <w:t>Banks and bank holding companies are subject to various regulatory capital requirements administered by state and federal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Federal Reserve and the FDIC have implemented substantially identical risk-based rules for assessing bank and bank holding company capital adequacy. These regulations establish minimum capital standards in relation to assets and off-balance sheet exposures as adjusted for credit risk. Banks and bank holding companies are required to have (1) a minimum level of total capital to risk-weighted assets of 8%; and (2) a minimum ratio of Tier 1 capital to risk-weighted assets of 4%. In addition, the Federal Reserve and the FDIC have established a minimum 3% leverage ratio of Tier 1 capital to quarterly average total assets for the most highly-rated banks and bank holding companies. “Total capital” is composed of Tier 1 capital and Tier 2 capital. “Tier 1 capital” includes common equity, retained earnings, qualifying non-cumulative perpetual preferred stock, a limited amount of qualifying cumulative perpetual stock at the holding company level, minority interests in equity accounts of consolidated subsidiaries, less goodwill, most intangible assets and certain other assets. “Tier 2 capital” includes, among other things, perpetual preferred stock and related surplus not meeting the Tier 1 capital definition, qualifying mandatorily convertible debt securities, qualifying subordinated debt and allowances for possible loan and lease losses, subject to limitations. The Federal Reserve and the FDIC use the leverage ratio in tandem with the risk-based ratio to assess the capital adequacy of banks and bank holding companies. The Federal Reserve will require a bank holding company to maintain a leverage ratio greater than 4% if it is experiencing or anticipating significant growth or is operating with less than well-diversified risks in the opinion of the Federal Reserve. The FDIC, the Office of the Comptroller of the Currency (the “OCC”) and the Federal Reserve require banks to maintain capital well above minimum levels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The FDIC is required to resolve a bank when its ratio of tangible equity to total assets reaches 2%. Better capitalized institutions are generally subject to less onerous regulation and supervision than banks with lesser amounts of capital.</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FDIC has adopted regulations implementing the prompt corrective action provisions of the 1991 Act, which place financial institutions in the following five categories based upon capitalization ratios: (1) a “well-capitalized” institution has a Total risk-based capital ratio of at least 10%, a Tier 1 risk-based ratio of at least 6% and a leverage ratio of at least 5%; (2) an “adequately capitalized” institution has a Total risk-based capital ratio of at least 8%, a Tier 1 risk-based ratio of at least 4% and a leverage ratio of at least 4%; (3) an “undercapitalized” institution has a Total risk-based capital ratio of under 8%, a Tier 1 risk-based ratio of under 4% or a leverage ratio of under 4%; (4) a “significantly undercapitalized” institution has a Total risk-based capital ratio of under 6%, a Tier 1 risk-based ratio of under 3% or a leverage ratio of under 3%; and (5) a “critically undercapitalized” institution has a ratio of tangible equity to total assets of 2% or less. Institutions in any of the three undercapitalized categories would be prohibited from declaring dividends or making capital distributions. The FDIC regulations also allow it to “downgrade” an institution to a lower capital category based on supervisory factors other than capital.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As of December 31, 2014, the FDIC categorized the Bank as “well-capitalized” under current regulations.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2013, the Federal Reserve published the Basel III Capital Rules establishing a new comprehensive capital framework applicable to all depository institutions, bank holding companies with total consolidated assets of $500 million or more and all and savings and loan holding companies except for those that are substantially engaged in insurance underwriting or commercial activities (collectively, “banking organizations”). The rules implement the December 2010 framework proposed by the Basel Committee on Banking Supervision (the “Basel Committee”), known as “Basel III”, for strengthening international capital standards as well as certain provisions of the Dodd-Frank Act.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Basel III Capital Rules substantially revise the foregoing risk-based capital requirements applicable to bank holding companies and depository institutions, including United and the Bank, compared to the current U.S. risk-based capital rules. The Basel III Capital Rules:</w:t>
      </w:r>
    </w:p>
    <w:p>
      <w:pPr>
        <w:spacing w:after="0" w:line="19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define the components of capital and address other issues affecting the numerator in banking institutions’ regulatory capital ratios;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risk weights and other issues affecting the denominator in banking institutions’ regulatory capital ratios and replace the existing risk-weighting approach, which was derived from the Basel I capital accords of the Basel Committee, with a more risk-sensitive approach based, in part, on the standardized approach in the Basel Committee’s 2004 “Basel II” capital accords;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introduce a new capital measure called “common equity Tier 1” (“CET1”);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specify that Tier 1 capital consists of CET1 and “additional Tier 1 capital” instruments meeting specified requirements;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implement the requirements of Section 939A of the Dodd-Frank Act to remove references to credit ratings from the federal banking agencies’ rules.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Basel III Capital Rules became effective for United and the Bank on January 1, 2015 subject to a phase in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When fully phased in on January 1, 2019, the Basel III Capital Rules will require United and the Bank to maintain;</w:t>
      </w:r>
    </w:p>
    <w:p>
      <w:pPr>
        <w:spacing w:after="0" w:line="252" w:lineRule="exact"/>
        <w:rPr>
          <w:sz w:val="20"/>
          <w:szCs w:val="20"/>
          <w:color w:val="auto"/>
        </w:rPr>
      </w:pPr>
    </w:p>
    <w:p>
      <w:pPr>
        <w:ind w:left="340" w:hanging="332"/>
        <w:spacing w:after="0" w:line="274"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minimum ratio of CET1 to risk-weighted assets of at least 4.5%, plus a 2.5% “capital conservation buffer” (which is added to the 4.5% CET1 ratio as that buffer is phased in, effectively resulting in a minimum ratio of CET1 to risk-weighted assets of at least 7% upon full implementation);</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minimum ratio of Tier 1 capital to risk-weighted assets of at least 6.0%, plus the capital conservation buffer (which is added to the 6.0% Tier 1 capital ratio as that buffer is phased in, effectively resulting in a minimum Tier 1 capital ratio of 8.5% upon full implementation);</w:t>
      </w:r>
    </w:p>
    <w:p>
      <w:pPr>
        <w:ind w:left="340" w:hanging="332"/>
        <w:spacing w:after="0" w:line="28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minimum ratio of total capital (that is, Tier 1 plus Tier 2) to risk-weighted assets of at least 8.0%, plus the capital conservation buffer (which is added to the 8.0% total capital ratio as that buffer is phased in, effectively resulting in a minimum total capital ratio of 10.5% upon full implementation); and</w:t>
      </w:r>
    </w:p>
    <w:p>
      <w:pPr>
        <w:spacing w:after="0" w:line="1" w:lineRule="exact"/>
        <w:rPr>
          <w:rFonts w:ascii="Arial" w:cs="Arial" w:eastAsia="Arial" w:hAnsi="Arial"/>
          <w:sz w:val="16"/>
          <w:szCs w:val="16"/>
          <w:color w:val="auto"/>
        </w:rPr>
      </w:pPr>
    </w:p>
    <w:p>
      <w:pPr>
        <w:jc w:val="both"/>
        <w:ind w:left="340" w:right="2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minimum leverage ratio of 4%, calculated as the ratio of Tier 1 capital to average assets (as compared to a current minimum leverage ratio of 3% for banking organizations that either have the highest supervisory rating or have implemented the appropriate federal regulatory authority’s risk-adjusted measure for market risk).</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initial minimum capital ratios as of January 1, 2015 are as follows: (i) 4.5% CET1 to risk-weighted assets, (ii) 6.0% Tier 1 capital to risk-weighted assets, and (iii) 8.0% total capital to risk-weighted assets.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2015, the Basel III Capital Rules also revised the FDIC’s current “prompt corrective action” regulations by (i) introducing a CET1 ratio requirement at each level (other than critically undercapitalized), with the required CET1 ratio being 6.5% for well-capitalized status; (ii) increasing the minimum Tier 1 capital ratio requirement for each category (other than critically undercapitalized), with the minimum Tier 1 capital ratio for well-capitalized status being 8.0% (as compared to the current 6.0%); and (iii) eliminating the current provision that provides that a bank with a composite supervisory rating of 1 may have a 3% leverage ratio and still be adequately capitalized. The Basel III Capital Rules do not change the total risk-based capital requirement for any prompt corrective action category.</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Basel III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categories in the aggregate exceed 15% of CET1. Under current capital standards, the effects of accumulated other comprehensive income items included in capital are excluded for the purposes of determining regulatory capital ratios. Under the Basel III Capital Rules, the effects of certain accumulated other comprehensive items are not excluded; however, certain banking organizations, including United and the Bank, may make a one-time permanent election to continue to exclude these items. United and the Bank expect to make this election in order to avoid significant variations in the level of capital depending upon the impact of interest rate fluctuations on the fair value of United’s available-for-sale securities portfolio. The Basel III Capital Rules also eliminate the inclusion of certain instruments, such as trust preferred securities, from Tier 1 capital of bank holding companies. Instruments issued prior to May 19, 2010 are grandfathered for bank holding companies with consolidated assets of $15 billion or less (subject to the 25% of Tier 1 capital limit).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7"/>
          <w:szCs w:val="17"/>
          <w:color w:val="auto"/>
        </w:rPr>
        <w:t>The “capital conservation buffer” is designed to absorb losses during periods of economic stress. Banking organizations with a ratio of CET1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Implementation of the deductions and other adjustments to CET1 began on January 1, 2015 and will be phased-in over a four-year period (beginning at 40% on January 1, 2015 and an additional 20% per year thereafter). The implementation of the capital conservation buffer will begin on January 1, 2016 at the 0.625% level and be phased in over a four-year period (increasing by that amount on each subsequent January 1, until it reaches 2.5% on January 1, 2019).</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Basel III Capital Rules prescribe a standardized approach for risk weightings that expand the risk-weighting categories from the current four Basel I-derived categories (0%, 20%, 50% and 100%) to a much larger and more risk-sensitive number of categories, depending on the nature of the assets, generally ranging from 0% for U.S. government and agency securities, to 600% for certain equity exposures, and resulting in higher risk weights for a variety of asset categories. Consistent with the Dodd-Frank Act, the Basel III Capital Rules replace the ratings-based approach to securitization exposures, which is based on external credit ratings, with the simplified supervisory formula approach in order to determine the appropriate risk weights for these exposures. Alternatively, banking organizations may use the existing gross-up approach to assign securitization exposures to a risk weight category or choose to assign such exposures a 1,250% risk weight. In addition, the Basel III Capital Rules provide more advantageous risk weights for derivatives and repurchase-style transactions cleared through a qualifying central counterparty and increase the scope of eligible guarantors and eligible collateral for purposes of credit risk mitigation.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as of December 31, 2014, United and the Bank would meet all capital adequacy requirements under the Basel III Capital Rules on a fully phased-in basis as if such requirements were currently in effect.</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Consumer Protection Laws. </w:t>
      </w:r>
      <w:r>
        <w:rPr>
          <w:rFonts w:ascii="Arial" w:cs="Arial" w:eastAsia="Arial" w:hAnsi="Arial"/>
          <w:sz w:val="18"/>
          <w:szCs w:val="18"/>
          <w:color w:val="auto"/>
        </w:rPr>
        <w:t>The Dodd-Frank Act centralized responsibility for consumer financial protection by creating a new agency, the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Protection Bureau (“CFPB”), and giving it the power to promulgate and enforce federal consumer protection laws. Depository institutions are subject to the CFPB’s rule writing authority, and existing federal bank regulatory agencies retain examination and enforcement authority for such institutions. The CFPB and United’s existing federal regulator, the FDIC, are focused on the following:</w:t>
      </w:r>
    </w:p>
    <w:p>
      <w:pPr>
        <w:spacing w:after="0" w:line="21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to consumers and compliance with the federal consumer financial laws;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markets in which firms operate and risks to consumers posed by activities in those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depository institutions that offer a wide variety of consumer financial products and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depository institutions with a more specialized focus;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non-depository companies that offer one or more consumer financial products or services.</w:t>
      </w:r>
    </w:p>
    <w:p>
      <w:pPr>
        <w:spacing w:after="0" w:line="23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Stress Testing. </w:t>
      </w:r>
      <w:r>
        <w:rPr>
          <w:rFonts w:ascii="Arial" w:cs="Arial" w:eastAsia="Arial" w:hAnsi="Arial"/>
          <w:sz w:val="16"/>
          <w:szCs w:val="16"/>
          <w:color w:val="auto"/>
        </w:rPr>
        <w:t>As required by the Dodd-Frank Act, the federal bank regulatory agencies have implemented stress testing requirements for certain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including bank holding companies and state chartered banks, with more than $10 billion in total consolidated assets. Although these requirements do not apply to institutions with $10 billion or less in total consolidated assets, the federal bank regulatory agencies emphasize that all banking organizations, regardless of size, should have the capacity to analyze the potential impact of adverse market conditions or outcomes on the organization’s financial condition. Based on this regulatory guidance, United and the Bank will be expected to consider the institution’s interest rate risk management, commercial real estate concentrations and other credit-related information, and funding and liquidity management during this analysis of adverse outcomes.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Volcker Rule. </w:t>
      </w:r>
      <w:r>
        <w:rPr>
          <w:rFonts w:ascii="Arial" w:cs="Arial" w:eastAsia="Arial" w:hAnsi="Arial"/>
          <w:sz w:val="18"/>
          <w:szCs w:val="18"/>
          <w:color w:val="auto"/>
        </w:rPr>
        <w:t>The Dodd-Frank Act amended the BHC Act to require the federal bank regulatory agencies to adopt rules that prohibit banks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from engaging in proprietary trading and investing in and sponsoring certain unregistered investment companies (defined as hedge funds and private equity funds). The statutory provision is commonly called the “Volcker Rule”. The Federal Reserve adopted final rules implementing the Volcker Rule on December 10, 2013. Although United continues to evaluate the impact of the Volcker Rule and the final rules adopted by the Federal Reserve thereunder, United does not currently anticipate that the Volcker Rule will have a material effect on its operations and the operations of its subsidiaries, including the Bank, as United does not engage in businesses prohibited by the Volcker Rule. United may incur costs to adopt additional policies and systems to ensure compliance with the Volcker Rule.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7"/>
          <w:szCs w:val="17"/>
          <w:b w:val="1"/>
          <w:bCs w:val="1"/>
          <w:color w:val="auto"/>
        </w:rPr>
        <w:t xml:space="preserve">Durbin Amendment. </w:t>
      </w:r>
      <w:r>
        <w:rPr>
          <w:rFonts w:ascii="Arial" w:cs="Arial" w:eastAsia="Arial" w:hAnsi="Arial"/>
          <w:sz w:val="17"/>
          <w:szCs w:val="17"/>
          <w:color w:val="auto"/>
        </w:rPr>
        <w:t>The Dodd-Frank Act included provisions which restrict interchange fees to those which are “reasonable and proportionate” for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debit card issuers and limits the ability of networks and issuers to restrict debit card transaction routing. This statutory provision is known as the “Durbin Amendment”. The Federal Reserve issued final rules implementing the Durbin Amendment on June 29, 2011. In the final rules, interchange fees for debit card transactions were capped at $0.21 plus five basis points in order to be eligible for a safe harbor such that the fee is conclusively determined to be reasonable and proportionate. Another related rule also permits an additional $0.01 per transaction “fraud prevention adjustment” to the interchange fee if certain Federal Reserve standards are implemented, including an annual review of fraud prevention policies and procedures. With respect to network exclusivity and merchant routing restrictions, it is now required that all debit cards participate in at least two unaffiliated networks so that the transactions initiated using those debit cards will have at least two independent routing channels. The interchange fee restrictions contained in the Durbin Amendment, and the rules promulgated thereunder, only apply to debit card issuers with $10 billion or more in total consolidated assets.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Incentive Compensation. </w:t>
      </w:r>
      <w:r>
        <w:rPr>
          <w:rFonts w:ascii="Arial" w:cs="Arial" w:eastAsia="Arial" w:hAnsi="Arial"/>
          <w:sz w:val="18"/>
          <w:szCs w:val="18"/>
          <w:color w:val="auto"/>
        </w:rPr>
        <w:t>The federal bank regulatory agencies have issued guidance on incentive compensation policies (the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intended to ensure that the incentive compensation policies of financial institutions do not undermine the safety and soundness of such institutions by encouraging excessive risk-taking. The Incentive Compensation Guidance, which covers all employees that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institution’s board of directors.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Federal Reserve will review, as part of the regular, risk-focused examination process, the incentive compensation arrangements of financial institutions, such as United, that are not “large, complex banking organizations.” These reviews will be tailored to each financial institution based on the scope and complexity of the institution’s activities and the prevalence of incentive compensation arrangements. The findings of the supervisory initiatives will be included in reports of examination. Deficiencies will be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federal bank regulatory agencies have proposed rule-making implementing provisions of the Dodd-Frank Act to prohibit incentive-based compensation plans that expose “covered financial institutions” to inappropriate risks. Covered financial institutions are institutions that have over $1 billion in assets and offer incentive-based compensation programs. The proposed rules would:</w:t>
      </w:r>
    </w:p>
    <w:p>
      <w:pPr>
        <w:spacing w:after="0" w:line="20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incentives that do not encourage risk-taking beyond the organization’s ability to effectively identify and manage risks,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compatible with effective internal controls and risk management, and</w:t>
      </w:r>
    </w:p>
    <w:p>
      <w:pPr>
        <w:spacing w:after="0" w:line="9"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supported by strong corporate governance, including active and effective oversight by the organization’s board of directors and appropriate policies, procedures and monitoring.</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scope and content of federal bank regulatory agencies’ policies on executive compensation are continuing to develop and are likely to continue evolving in the near future. It cannot be determined at this time whether compliance with such policies will adversely affect United’s ability to hire, retain and motivate its key employees.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Commercial Real Estate. </w:t>
      </w:r>
      <w:r>
        <w:rPr>
          <w:rFonts w:ascii="Arial" w:cs="Arial" w:eastAsia="Arial" w:hAnsi="Arial"/>
          <w:sz w:val="18"/>
          <w:szCs w:val="18"/>
          <w:color w:val="auto"/>
        </w:rPr>
        <w:t>The federal bank regulatory agencies, including the FDIC, restrict concentrations in commercial real estate lending and have</w:t>
      </w:r>
      <w:r>
        <w:rPr>
          <w:rFonts w:ascii="Arial" w:cs="Arial" w:eastAsia="Arial" w:hAnsi="Arial"/>
          <w:sz w:val="18"/>
          <w:szCs w:val="18"/>
          <w:b w:val="1"/>
          <w:bCs w:val="1"/>
          <w:color w:val="auto"/>
        </w:rPr>
        <w:t xml:space="preserve"> </w:t>
      </w:r>
      <w:r>
        <w:rPr>
          <w:rFonts w:ascii="Arial" w:cs="Arial" w:eastAsia="Arial" w:hAnsi="Arial"/>
          <w:sz w:val="18"/>
          <w:szCs w:val="18"/>
          <w:color w:val="auto"/>
        </w:rPr>
        <w:t>noted that recent increases in banks’ commercial real estate concentrations have created safety and soundness concerns in the current economic downturn. The regulatory guidance mandates certain minimal risk management practices and categorizes banks with defined levels of such concentrations as banks requiring elevated examiner scrutiny. The Bank has concentrations in commercial real estate loans in excess of those defined levels. Although management believes that United’s credit processes and procedures meet the risk management standards dictated by this guidance, regulatory outcomes could effectively limit increases in the real estate concentrations in the Bank’s loan portfolio and require additional credit administration and management costs associated with those portfolios.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Source of Strength Doctrine. </w:t>
      </w:r>
      <w:r>
        <w:rPr>
          <w:rFonts w:ascii="Arial" w:cs="Arial" w:eastAsia="Arial" w:hAnsi="Arial"/>
          <w:sz w:val="18"/>
          <w:szCs w:val="18"/>
          <w:color w:val="auto"/>
        </w:rPr>
        <w:t>Federal Reserve regulations and policy requires bank holding companies to act as a source of financial and managerial</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 to their subsidiary banks. Under this policy, United is expected to commit resources to support the Bank.</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Loans. </w:t>
      </w:r>
      <w:r>
        <w:rPr>
          <w:rFonts w:ascii="Arial" w:cs="Arial" w:eastAsia="Arial" w:hAnsi="Arial"/>
          <w:sz w:val="17"/>
          <w:szCs w:val="17"/>
          <w:color w:val="auto"/>
        </w:rPr>
        <w:t>Inter-agency guidelines adopted by federal bank regulatory agencies mandate that financial institutions establish real estate lending policies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allowable real estate loan-to-value limits, subject to an allowable amount of non-conforming loans as a percentage of capital.</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Transactions with Affiliates. </w:t>
      </w:r>
      <w:r>
        <w:rPr>
          <w:rFonts w:ascii="Arial" w:cs="Arial" w:eastAsia="Arial" w:hAnsi="Arial"/>
          <w:sz w:val="17"/>
          <w:szCs w:val="17"/>
          <w:color w:val="auto"/>
        </w:rPr>
        <w:t>Under federal law, all transactions between and among a state nonmember bank and its affiliates, which include holding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5" w:name="page16"/>
    <w:bookmarkEnd w:id="15"/>
    <w:p>
      <w:pPr>
        <w:jc w:val="both"/>
        <w:spacing w:after="0" w:line="281" w:lineRule="auto"/>
        <w:rPr>
          <w:sz w:val="20"/>
          <w:szCs w:val="20"/>
          <w:color w:val="auto"/>
        </w:rPr>
      </w:pPr>
      <w:r>
        <w:rPr>
          <w:rFonts w:ascii="Arial" w:cs="Arial" w:eastAsia="Arial" w:hAnsi="Arial"/>
          <w:sz w:val="17"/>
          <w:szCs w:val="17"/>
          <w:b w:val="1"/>
          <w:bCs w:val="1"/>
          <w:color w:val="auto"/>
        </w:rPr>
        <w:t xml:space="preserve">Financial Privacy. </w:t>
      </w:r>
      <w:r>
        <w:rPr>
          <w:rFonts w:ascii="Arial" w:cs="Arial" w:eastAsia="Arial" w:hAnsi="Arial"/>
          <w:sz w:val="17"/>
          <w:szCs w:val="17"/>
          <w:color w:val="auto"/>
        </w:rPr>
        <w:t>In accordance with the GLB Act, federal banking regulatory agencies adopted rules that limit the ability of banks and other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9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Anti-Money Laundering Initiatives and the USA Patriot Act. </w:t>
      </w:r>
      <w:r>
        <w:rPr>
          <w:rFonts w:ascii="Arial" w:cs="Arial" w:eastAsia="Arial" w:hAnsi="Arial"/>
          <w:sz w:val="16"/>
          <w:szCs w:val="16"/>
          <w:color w:val="auto"/>
        </w:rPr>
        <w:t>A major focus of governmental policy on financial institutions in recent years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aimed at combating terrorist financing. This has generally been accomplished by amending existing anti-money laundering laws and regulations. Treasury has issued a number of implementing regulations which apply various requirements of the USA Patriot Act of 2001 to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Future Legislation. </w:t>
      </w:r>
      <w:r>
        <w:rPr>
          <w:rFonts w:ascii="Arial" w:cs="Arial" w:eastAsia="Arial" w:hAnsi="Arial"/>
          <w:sz w:val="18"/>
          <w:szCs w:val="18"/>
          <w:color w:val="auto"/>
        </w:rPr>
        <w:t>Various legislation affecting financial institutions and the financial industry is from time to time introduced in Congress.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legislation may change banking statutes and the operating environment of United and its subsidiaries in substantial and unpredictable ways, and could increase or decrease the cost of doing business, limit or expand permissible activities or affect the competitive balance depending upon whether any of this potential legislation will be enacted, and if enacted, the effect that it or any implementing regulations would have on the financial condition or results of operations of United or any of its subsidiaries. With the current economic environment, the nature and extent of future legislative and regulatory changes affecting financial institutions is very unpredictable at this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United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executives of United are elected by the Board of Directors annually and serve at the pleasure of the Board of Directors.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executive officers of United, and their ages, positions with United, past five year employment history and terms of office as of February 1, 2015,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Name (age)</w:t>
            </w:r>
          </w:p>
        </w:tc>
        <w:tc>
          <w:tcPr>
            <w:tcW w:w="100" w:type="dxa"/>
            <w:vAlign w:val="bottom"/>
          </w:tcPr>
          <w:p>
            <w:pPr>
              <w:spacing w:after="0"/>
              <w:rPr>
                <w:sz w:val="20"/>
                <w:szCs w:val="20"/>
                <w:color w:val="auto"/>
              </w:rPr>
            </w:pPr>
          </w:p>
        </w:tc>
        <w:tc>
          <w:tcPr>
            <w:tcW w:w="7580" w:type="dxa"/>
            <w:vAlign w:val="bottom"/>
            <w:tcBorders>
              <w:bottom w:val="single" w:sz="8" w:color="auto"/>
            </w:tcBorders>
          </w:tcPr>
          <w:p>
            <w:pPr>
              <w:ind w:left="2420"/>
              <w:spacing w:after="0"/>
              <w:rPr>
                <w:sz w:val="20"/>
                <w:szCs w:val="20"/>
                <w:color w:val="auto"/>
              </w:rPr>
            </w:pPr>
            <w:r>
              <w:rPr>
                <w:rFonts w:ascii="Arial" w:cs="Arial" w:eastAsia="Arial" w:hAnsi="Arial"/>
                <w:sz w:val="18"/>
                <w:szCs w:val="18"/>
                <w:color w:val="auto"/>
              </w:rPr>
              <w:t>Position with United and Employment History</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Officer of United Since</w:t>
            </w:r>
          </w:p>
        </w:tc>
      </w:tr>
      <w:tr>
        <w:trPr>
          <w:trHeight w:val="418"/>
        </w:trPr>
        <w:tc>
          <w:tcPr>
            <w:tcW w:w="1940" w:type="dxa"/>
            <w:vAlign w:val="bottom"/>
            <w:gridSpan w:val="2"/>
          </w:tcPr>
          <w:p>
            <w:pPr>
              <w:spacing w:after="0"/>
              <w:rPr>
                <w:sz w:val="20"/>
                <w:szCs w:val="20"/>
                <w:color w:val="auto"/>
              </w:rPr>
            </w:pPr>
            <w:r>
              <w:rPr>
                <w:rFonts w:ascii="Arial" w:cs="Arial" w:eastAsia="Arial" w:hAnsi="Arial"/>
                <w:sz w:val="18"/>
                <w:szCs w:val="18"/>
                <w:color w:val="auto"/>
              </w:rPr>
              <w:t>Jimmy C. Tallent (62)</w:t>
            </w: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w w:val="95"/>
              </w:rPr>
              <w:t>Chairman and Chief Executive Officer (2015); President, Chief Executive Officer and Director (1988 -</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230"/>
        </w:trPr>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w w:val="94"/>
              </w:rPr>
              <w:t>H. Lynn Harton</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(53)</w:t>
            </w: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rPr>
              <w:t>President and Chief Operating Officer and Director (2015); Executive Vice President and Chief</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w w:val="99"/>
              </w:rPr>
              <w:t>Operating Officer (2012 - 2015); prior to joining United was Executive Vice President and Special</w:t>
            </w:r>
          </w:p>
        </w:tc>
        <w:tc>
          <w:tcPr>
            <w:tcW w:w="17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w w:val="94"/>
              </w:rPr>
              <w:t>Assistant to the Chief Executive Officer of Toronto-Dominion Bank (2010 - 2012); President and Chief</w:t>
            </w:r>
          </w:p>
        </w:tc>
        <w:tc>
          <w:tcPr>
            <w:tcW w:w="17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w w:val="94"/>
              </w:rPr>
              <w:t>Executive Officer (2009 - 2010), Chief Commercial Banking Officer (2008-2009), Chief Risk and Chief</w:t>
            </w:r>
          </w:p>
        </w:tc>
        <w:tc>
          <w:tcPr>
            <w:tcW w:w="17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rPr>
              <w:t>Credit Officer (2007 - 2009) of South Financial Group</w:t>
            </w:r>
          </w:p>
        </w:tc>
        <w:tc>
          <w:tcPr>
            <w:tcW w:w="170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w w:val="87"/>
              </w:rPr>
              <w:t>Rex S. Schuette</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(65)</w:t>
            </w: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and Chief Financial Officer (2001 - 2015)</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2001</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Bill M. Gilbert</w:t>
            </w:r>
          </w:p>
        </w:tc>
        <w:tc>
          <w:tcPr>
            <w:tcW w:w="780" w:type="dxa"/>
            <w:vAlign w:val="bottom"/>
          </w:tcPr>
          <w:p>
            <w:pPr>
              <w:jc w:val="right"/>
              <w:ind w:right="370"/>
              <w:spacing w:after="0"/>
              <w:rPr>
                <w:sz w:val="20"/>
                <w:szCs w:val="20"/>
                <w:color w:val="auto"/>
              </w:rPr>
            </w:pPr>
            <w:r>
              <w:rPr>
                <w:rFonts w:ascii="Arial" w:cs="Arial" w:eastAsia="Arial" w:hAnsi="Arial"/>
                <w:sz w:val="18"/>
                <w:szCs w:val="18"/>
                <w:color w:val="auto"/>
                <w:w w:val="93"/>
              </w:rPr>
              <w:t>(62)</w:t>
            </w: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w w:val="94"/>
              </w:rPr>
              <w:t>President, Community Banking (2015); Director of Banking (2013 - 2015); Regional President of North</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2000</w:t>
            </w:r>
          </w:p>
        </w:tc>
      </w:tr>
      <w:tr>
        <w:trPr>
          <w:trHeight w:val="230"/>
        </w:trPr>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w w:val="97"/>
              </w:rPr>
              <w:t>Georgia and Coastal Georgia (2011 - 2013); Senior Vice President of Retail Banking (2003 - 2011)</w:t>
            </w:r>
          </w:p>
        </w:tc>
        <w:tc>
          <w:tcPr>
            <w:tcW w:w="1700" w:type="dxa"/>
            <w:vAlign w:val="bottom"/>
          </w:tcPr>
          <w:p>
            <w:pPr>
              <w:spacing w:after="0"/>
              <w:rPr>
                <w:sz w:val="20"/>
                <w:szCs w:val="20"/>
                <w:color w:val="auto"/>
              </w:rPr>
            </w:pPr>
          </w:p>
        </w:tc>
      </w:tr>
      <w:tr>
        <w:trPr>
          <w:trHeight w:val="418"/>
        </w:trPr>
        <w:tc>
          <w:tcPr>
            <w:tcW w:w="1940" w:type="dxa"/>
            <w:vAlign w:val="bottom"/>
            <w:gridSpan w:val="2"/>
          </w:tcPr>
          <w:p>
            <w:pPr>
              <w:spacing w:after="0"/>
              <w:rPr>
                <w:sz w:val="20"/>
                <w:szCs w:val="20"/>
                <w:color w:val="auto"/>
              </w:rPr>
            </w:pPr>
            <w:r>
              <w:rPr>
                <w:rFonts w:ascii="Arial" w:cs="Arial" w:eastAsia="Arial" w:hAnsi="Arial"/>
                <w:sz w:val="18"/>
                <w:szCs w:val="18"/>
                <w:color w:val="auto"/>
              </w:rPr>
              <w:t>Bradley J. Miller (44)</w:t>
            </w: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w w:val="95"/>
              </w:rPr>
              <w:t>Executive Vice President, Chief Risk Officer and General Counsel (2015); Senior Vice President and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230"/>
        </w:trPr>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rPr>
              <w:t>General Counsel (2007 - 2015)</w:t>
            </w:r>
          </w:p>
        </w:tc>
        <w:tc>
          <w:tcPr>
            <w:tcW w:w="1700" w:type="dxa"/>
            <w:vAlign w:val="bottom"/>
          </w:tcPr>
          <w:p>
            <w:pPr>
              <w:spacing w:after="0"/>
              <w:rPr>
                <w:sz w:val="20"/>
                <w:szCs w:val="20"/>
                <w:color w:val="auto"/>
              </w:rPr>
            </w:pPr>
          </w:p>
        </w:tc>
      </w:tr>
      <w:tr>
        <w:trPr>
          <w:trHeight w:val="418"/>
        </w:trPr>
        <w:tc>
          <w:tcPr>
            <w:tcW w:w="1940" w:type="dxa"/>
            <w:vAlign w:val="bottom"/>
            <w:gridSpan w:val="2"/>
          </w:tcPr>
          <w:p>
            <w:pPr>
              <w:spacing w:after="0"/>
              <w:rPr>
                <w:sz w:val="20"/>
                <w:szCs w:val="20"/>
                <w:color w:val="auto"/>
              </w:rPr>
            </w:pPr>
            <w:r>
              <w:rPr>
                <w:rFonts w:ascii="Arial" w:cs="Arial" w:eastAsia="Arial" w:hAnsi="Arial"/>
                <w:sz w:val="18"/>
                <w:szCs w:val="18"/>
                <w:color w:val="auto"/>
              </w:rPr>
              <w:t>Robert A. Edwards (50)</w:t>
            </w: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and Chief Credit Officer (2015); prior to joining United was Senior Vice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rPr>
              <w:t>President and Executive Credit Officer of Toronto-Dominion Bank (2010 - 2015); Executive Vice</w:t>
            </w:r>
          </w:p>
        </w:tc>
        <w:tc>
          <w:tcPr>
            <w:tcW w:w="17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rPr>
              <w:t>President and Chief Credit Officer of South Financial Group (2008 - 2010)</w:t>
            </w:r>
          </w:p>
        </w:tc>
        <w:tc>
          <w:tcPr>
            <w:tcW w:w="1700" w:type="dxa"/>
            <w:vAlign w:val="bottom"/>
          </w:tcPr>
          <w:p>
            <w:pPr>
              <w:spacing w:after="0"/>
              <w:rPr>
                <w:sz w:val="20"/>
                <w:szCs w:val="20"/>
                <w:color w:val="auto"/>
              </w:rPr>
            </w:pPr>
          </w:p>
        </w:tc>
      </w:tr>
      <w:tr>
        <w:trPr>
          <w:trHeight w:val="418"/>
        </w:trPr>
        <w:tc>
          <w:tcPr>
            <w:tcW w:w="1940" w:type="dxa"/>
            <w:vAlign w:val="bottom"/>
            <w:gridSpan w:val="2"/>
          </w:tcPr>
          <w:p>
            <w:pPr>
              <w:spacing w:after="0"/>
              <w:rPr>
                <w:sz w:val="20"/>
                <w:szCs w:val="20"/>
                <w:color w:val="auto"/>
              </w:rPr>
            </w:pPr>
            <w:r>
              <w:rPr>
                <w:rFonts w:ascii="Arial" w:cs="Arial" w:eastAsia="Arial" w:hAnsi="Arial"/>
                <w:sz w:val="18"/>
                <w:szCs w:val="18"/>
                <w:color w:val="auto"/>
                <w:w w:val="90"/>
              </w:rPr>
              <w:t>Richard W. Bradshaw (53)</w:t>
            </w: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w w:val="94"/>
              </w:rPr>
              <w:t>President, Specialized Lending (2014 - 2015); prior to joining United was Senior Vice President, Head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w w:val="96"/>
              </w:rPr>
              <w:t>of United States SBA Programs of Toronto-Dominion Bank (2010 - 2014); Executive Vice President,</w:t>
            </w:r>
          </w:p>
        </w:tc>
        <w:tc>
          <w:tcPr>
            <w:tcW w:w="17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80" w:type="dxa"/>
            <w:vAlign w:val="bottom"/>
            <w:gridSpan w:val="3"/>
          </w:tcPr>
          <w:p>
            <w:pPr>
              <w:ind w:left="100"/>
              <w:spacing w:after="0"/>
              <w:rPr>
                <w:sz w:val="20"/>
                <w:szCs w:val="20"/>
                <w:color w:val="auto"/>
              </w:rPr>
            </w:pPr>
            <w:r>
              <w:rPr>
                <w:rFonts w:ascii="Arial" w:cs="Arial" w:eastAsia="Arial" w:hAnsi="Arial"/>
                <w:sz w:val="18"/>
                <w:szCs w:val="18"/>
                <w:color w:val="auto"/>
              </w:rPr>
              <w:t>Director of Corporate Financial Services of Carolina First Bank (2009 - 2010)</w:t>
            </w:r>
          </w:p>
        </w:tc>
        <w:tc>
          <w:tcPr>
            <w:tcW w:w="17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investment in United’s common stock involves risk. Investors should carefully consider the risks described below and all other information contained in this Form 10-K and the documents incorporated by reference before deciding to purchase common stock. It is possible that risks and uncertainties not listed below may arise or become material in the future and affect United’s business.</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As a financial services company, adverse conditions in the general business or economic environment could have a material adverse effect on our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 changes in business and economic conditions generally or specifically in the markets in which we operate could adversely impact our business, including causing one or more of the following negative developments:</w:t>
      </w:r>
    </w:p>
    <w:p>
      <w:pPr>
        <w:spacing w:after="0" w:line="19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the demand for loans and other products and services offered by us;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the value of our loans secured by residential or commercial real estate;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permanent impairment of our assets, such as our deferred tax assets; or</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nonperforming assets, net charge-offs and provision for loan losses.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we are unable to continue to generate sufficient taxable income in the future, then we may not be able to fully realize the benefits of our deferred tax assets. Such a development or one or more other negative developments resulting from adverse conditions in the general business or economic environment, some of which are described above, could have a material adverse effect on our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results of our most recent internal credit stress test may not accurately predict the impact on our financial condition if the economy were to deteriorate.</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regularly perform an internal analysis of our capital position. Under the stress test, we estimate our loan losses (loan charge-offs), resources available to absorb those losses and any necessary additions to capital that would be required under the “more adverse” stress test scenario.</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results of these stress tests involve many assumptions about the economy and future loan losses and default rates, and may not accurately reflect the impact on our financial condition if the economy were to deteriorate. Any deterioration of the economy could result in credit losses significantly higher, with a corresponding impact on our financial condition and capital, than those predicted by our internal stress test.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business may be adversely affected by conditions in the financial markets and economic conditions generally.</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recent years, we have faced a challenging and uncertain economic environment, including a major recession in the U.S. economy. A return of recessionary conditions and/or a deterioration of national economic conditions could adversely affect the financial condition and operating performance of financial institutions. Specifically, declines in real estate values and sales volumes and increased unemployment levels may result in higher than expected loan delinquencies, increases in levels of non-performing and classified assets and a decline in demand for products and services offered by financial institutions. While economic conditions in the markets in which we operate, the U.S. and worldwide have improved since the recession, there can be no assurance that this improvement will continue. Uncertainty regarding continuing economic improvement may result in changes in consumer and business spending, borrowing and savings habits, which could cause us to incur losses and may adversely affect our results of operations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additional capital may be limited, which could affect our liquidity and be dilutive to existing shareholders.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be required or choose to raise additional capital, including for strategic, regulatory or other reasons. Depending on the capital markets, traditional sources of capital may not be available to us on reasonable terms if we needed to raise additional capital. In such case, there is no guarantee that we will be able to successfully raise additional capital at all or on terms that are favorable or otherwise not dilutive to existing shareholders.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7" w:name="page18"/>
    <w:bookmarkEnd w:id="17"/>
    <w:p>
      <w:pPr>
        <w:ind w:right="140"/>
        <w:spacing w:after="0" w:line="282" w:lineRule="auto"/>
        <w:rPr>
          <w:sz w:val="20"/>
          <w:szCs w:val="20"/>
          <w:color w:val="auto"/>
        </w:rPr>
      </w:pPr>
      <w:r>
        <w:rPr>
          <w:rFonts w:ascii="Arial" w:cs="Arial" w:eastAsia="Arial" w:hAnsi="Arial"/>
          <w:sz w:val="18"/>
          <w:szCs w:val="18"/>
          <w:b w:val="1"/>
          <w:bCs w:val="1"/>
          <w:color w:val="auto"/>
        </w:rPr>
        <w:t>Capital resources and liquidity are essential to our businesses and could be negatively impacted by disruptions in our ability to access other sources of funding.</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Capital resources and liquidity are essential to the Bank. We depend on access to a variety of sources of funding to provide us with sufficient capital resources and liquidity to meet our commitments and business needs, and to accommodate the transaction and cash management needs of our customers. Sources of funding available to us, and upon which we rely as regular components of our liquidity and funding management strategy, include traditional and brokered deposits, inter-bank borrowings, Federal Funds purchased, repurchase agreements and Federal Home Loan Bank advances. We also raise funds from time to time in the form of either short-or long-term borrowings or equity issuances.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capital resources and liquidity could be negatively impacted by disruptions in our ability to access these sources of funding. The cost of brokered and other out-of-market deposits and potential future regulatory limits on the interest rate we pay for brokered deposits could make them unattractive sources of funding. Further, factors that we cannot control, such as disruption of the financial markets or negative views about the financial services industry generally, could impair our ability to access sources of funds. Other financial institutions may be unwilling to extend credit to banks because of concerns about the banking industry and the economy generally and there may not be a viable market for raising short or long-term debt or equity capital. In addition, our ability to raise funding could be impaired if lenders develop a negative perception of our long-term or short-term financial prospects. Such negative perceptions could be developed if we are downgraded or put on (or remain on) negative watch by the rating agencies, we suffer a decline in the level of our business activity or regulatory authorities take significant action against us, among other reasons.</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Among other things, if we fail to remain “well-capitalized” for bank regulatory purposes, because we do not qualify under the minimum capital standards or the FDIC otherwise downgrades our capital category, it could affect customer confidence, our ability to grow, our costs of funds and FDIC insurance costs, our ability to pay dividends on common and preferred stock and trust preferred securities, and our ability to make acquisitions, and we would not be able to accept brokered deposits without prior FDIC approval. To be “well-capitalized” under the Basel III Capital Rules that became effective on January 1, 2015, a bank must generally maintain a common equity Tier 1 capital ratio of 6.5%, Tier 1 leverage capital ratio of 5.0%, Tier 1 risk-based capital ratio of 8.0% and total risk-based capital ratio of 10%. In addition, our regulators may require us to maintain higher capital levels. Our failure to remain “well-capitalized” or to maintain any higher capital requirements imposed on us could negatively affect our business, results of operations and financial condition.</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are unable to raise funds using the methods described above, we would likely need to finance or liquidate unencumbered assets to meet maturing liabilities. We may be unable to sell some of our assets, or we may have to sell assets at a discount from market value, either of which could adversely affect our results of operations and financial condition.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United is a legal entity separate and distinct from the Bank and depends on subsidiary service fees and dividends from the Bank to fund its payment of dividends to its common and preferred shareholders and of interest and principal on its outstanding debt and trust preferred securities. The Bank is also subject to other laws that authorize regulatory authorities to prohibit or reduce the flow of funds from the Bank to United and the Bank’s negative retained earnings position requires written consent of the Bank’s regulators before it can pay a dividend. Any inability of United to pay its obligations, or need to defer the payment of any such obligations, could have a material adverse effect on our business, operations, financial condition, and the value of our common stock.</w:t>
      </w:r>
    </w:p>
    <w:p>
      <w:pPr>
        <w:spacing w:after="0" w:line="21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Changes in the cost and availability of funding due to changes in the deposit market and credit market, or the way in which we are perceived in such markets, may adversely affect financial condition or results of operations.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general, the amount, type and cost of our funding, including from other financial institutions, the capital markets and deposits, directly impacts our operating costs and our assets growth and therefore, can positively or negatively affect our financial condition or results of operations. A number of factors could make funding more difficult, more expensive or unavailable on any terms, including, but not limited to, our operating losses, our ability to remain “well capitalized,” events that adversely impact our reputation, enforcement actions, disruptions in the capital markets, events that adversely impact the financial services industry, changes affecting our assets, interest rate fluctuations, general economic conditions and the legal, regulatory, accounting and tax environments. Also, we compete for funding with other financial institutions, many of which are substantially larger, and have more capital and other resources than we do. In addition, as some of these competitors consolidate with other financial institutions, their competitive advantages may increase. Competition from these institutions may also increase the cost of funds.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the success of the local economies and real estate markets in which we operate.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success significantly depends on the growth in population, income levels, loans and deposits and on stability in real estate values in our markets. If the communities in which we operate do not grow or if prevailing economic conditions locally or nationally do not improve significantly, our business may be adversely affected. If market and economic conditions deteriorate, this may lead to valuation adjustments on our loan portfolio and losses on defaulted loans and on the sale of other real estate owned. Additionally, such adverse economic conditions in our market areas, specifically decreases in real estate property values due to the nature of our loan portfolio, more than 80% of which is secured by real estate, could reduce our growth rate, affect the ability of our customers to repay their loans and generally affect our financial condition and results of operations. We are less able than a larger institution to spread the risks of unfavorable local economic conditions across a large number of more diverse economies.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8" w:name="page19"/>
    <w:bookmarkEnd w:id="18"/>
    <w:p>
      <w:pPr>
        <w:ind w:right="200"/>
        <w:spacing w:after="0" w:line="282" w:lineRule="auto"/>
        <w:rPr>
          <w:sz w:val="20"/>
          <w:szCs w:val="20"/>
          <w:color w:val="auto"/>
        </w:rPr>
      </w:pPr>
      <w:r>
        <w:rPr>
          <w:rFonts w:ascii="Arial" w:cs="Arial" w:eastAsia="Arial" w:hAnsi="Arial"/>
          <w:sz w:val="18"/>
          <w:szCs w:val="18"/>
          <w:b w:val="1"/>
          <w:bCs w:val="1"/>
          <w:color w:val="auto"/>
        </w:rPr>
        <w:t>Our concentration of residential construction and development loans is subject to unique risks that could adversely affect our results of operations and financial condition.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residential construction and development loan portfolio was $299 million at December 31, 2014, comprising 6% of total loans. Of this amount, $147 million is secured by developed lots and $65 million is secured by raw land or land in the process of development. Residential construction and development loans are often riskier than home equity loans or residential mortgage loans to individuals. Poor economic conditions could result in decreased demand for residential housing, which, in turn, would adversely affect the development and construction efforts of residential real estate developer borrowers. Consequently, economic downturns adversely affect the ability of residential real estate developer borrowers to repay these loans and the value of property used as collateral for such loans. A sustained weak economy could also result in higher levels of nonperforming loans in other categories, such as commercial and industrial loans, which may result in additional losses. As a result, these loans could represent higher risk due to slower sales and reduced cash flow that affect the borrowers’ ability to repay on a timely basis which could result in a sharp increase in our total net charge-offs and require us to significantly increase our allowance for loan losses, any of which could have a material adverse effect on our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concentration of commercial real estate loans is subject to risks that could adversely affect our results of operations and financial condition.</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commercial real estate loan portfolio was $1.76 billion at December 31, 2014, comprising 38% of total loans. Commercial real estate loans typically involve larger loan balances than compared to residential mortgage loans. The repayment of loans secured by commercial real estate is dependent upon both the successful operation of the commercial project and the business operated out of that commercial real estate site, as over half of the commercial real estate loans are for owner-occupied properties. If the cash flows from the project are reduced or if the borrower’s business is not successful, a borrower’s ability to repay the loan may be impaired. This cash flow shortage may result in the failure to make loan payments. In such cases, we may be compelled to modify the terms of the loan. In addition, the nature of these loans is such that they are generally less predictable and more difficult to evaluate and monitor. As a result, repayment of these loans may be subject to adverse conditions in the real estate market or economy. In addition, many economists believe that the potential for deterioration in income producing commercial real estate may occur through rising vacancy rates or declining absorption rates of existing square footage and/or units. As a result, these loans could represent higher risk due to slower sales and reduced cash flow that affect the borrowers’ ability to repay on a timely basis, could result in a sharp increase in our total net charge-offs and could require us to significantly increase our allowance for loan losses, any of which could have a material adverse effect on our financial condition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prevailing interest rates may negatively affect net income and the value of our assets.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prevailing interest rates may negatively affect the level of our net interest revenue, the primary component of our net income. Federal Reserve policies, including interest rate policies, determine in large part our cost of funds for lending and investing and the return we earn on those loans and investments, both of which affect our net interest revenue. In a period of changing interest rates, interest expense may increase at different rates than the interest earned on assets. Accordingly, changes in interest rates could decrease net interest revenue. Changes in the interest rates may also negatively affect the value of our assets and our ability to realize gains or avoid losses from the sale of those assets, all of which also ultimately affect earnings. In addition, an increase in interest rates may decrease the demand for loans.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United’s reported financial results depend on the accounting and reporting policies of United, the application of which requires significant assumptions, estimates and judgments.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accounting and reporting policies are fundamental to the methods by which we record and report our financial condition and results of operations. United’s management must make significant assumptions and estimates and exercise significant judgment in selecting and applying many of these accounting and reporting policies so they comply with accounting principles generally accepted in the United States of America (“GAAP”) and reflect management’s judgment of the most appropriate manner to report United’s financial condition and results. In some cases, management must select a policy from two or more alternatives, any of which may be reasonable under the circumstances, which may result in United reporting materially different results than would have been reported under a different alternative.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accounting policies are critical to presenting United’s financial condition and results. They require management to make difficult, subjective and complex assumptions, estimates and judgments about matters that are uncertain. Materially different amounts could be reported under different conditions or using different assumptions and estimates. These critical accounting policies relate to the allowance for loan losses, fair value measurement, and income taxes. Because of the uncertainty of assumptions and estimates involved in these matters, United may be required to do one or more of the following: significantly increase the allowance for loan losses and/or sustain credit losses that are significantly higher than the reserve provided; significantly decrease the carrying value of loans, foreclosed property or other assets or liabilities to reflect a reduction in their fair value; or, significantly increase or decrease accrued taxes and the value of our deferred tax assets.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If our allowance for credit losses is not sufficient to cover actual loan losses, earnings would decrease.</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loan customers may not repay their loans according to their terms and the collateral securing the payment of these loans may be insufficient to assure repayment. We may experience significant loan losses which would have a material adverse effect on our operating results. Our management makes various assumptions and judgments about the collectability of the loan portfolio, including the creditworthiness of borrowers and the value of the real estate and other assets serving as collateral for the repayment of loans. We maintain an allowance for credit losses in an attempt to cover any probable incurred loan losses in the loan portfolio. In determining the size of the allowance, our management relies on an analysis of the loan portfolio based on historical loss experience, volume and types of loans, trends in classification, volume and real estate values, trends in delinquencies and non-accruals, national and local economic conditions and other pertinent information. As a result of these considerations, we have from time to time increased our allowance for credit losses. For the year ended December 31, 2014, we recorded a provision for credit losses of $8.50 million compared to $65.5 million and $62.5 million for the years ended December 31, 2013 and 2012, respectively. If those assumptions are incorrect, the allowance may not be sufficient to cover future loan losses and adjustments may be necessary to allow for different economic conditions or adverse developments in the loan portfolio.</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losses due to fraudulent and negligent conduct of our loan customers, third party service providers and employees.</w:t>
      </w: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our profitability.</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banking business is highly competitive and we experience competition in each of our markets from many other financial institutions. We compete with banks, credit unions, savings and loan associations, mortgage banking firms, securities brokerage firms, insurance companies, money market funds and other mutual funds, as well as community, super-regional, national and international financial institutions that operate offices in our market areas and elsewhere. We compete with these institutions both in attracting deposits and in making loans. Many of our competitors are well-established, larger financial institutions that are able to operate profitably with a narrower net interest margin and have a more diverse revenue base.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 We may also be affected by the marketplace loosening of credit underwriting standards and structures.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risks with respect to future expansion and acquisitions.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engage in de novo branch expansion and, if the appropriate business opportunity becomes available, we may seek to acquire other financial institutions or parts of those institutions, including in FDIC-assisted transactions. These involve a number of risks, including:</w:t>
      </w:r>
    </w:p>
    <w:p>
      <w:pPr>
        <w:spacing w:after="0" w:line="197" w:lineRule="exact"/>
        <w:rPr>
          <w:sz w:val="20"/>
          <w:szCs w:val="20"/>
          <w:color w:val="auto"/>
        </w:rPr>
      </w:pPr>
    </w:p>
    <w:p>
      <w:pPr>
        <w:ind w:left="34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inaccuracy of the estimates and judgments used to evaluate credit, operations, management and market risks with respect to an acquired branch or institution, a new branch office or a new market;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costs of evaluating new markets, hiring or retaining experienced local management and opening new offices and the time lags between these activities and the generation of sufficient assets and deposits to support the costs of the expansion;</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incurrence and possible impairment of goodwill associated with an acquisition and possible adverse effects on results of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key employees and customers of an acquired branch or institution;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difficulty or failure to successfully integrate the acquired financial institution or portion of the institution;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temporary disruption of our business or the business of the acquired institution.</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laws and regulations or failures to comply with such laws and regulations may adversely affect our financial condition and results of operations.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and our subsidiary bank are heavily regulated by federal and state authorities. This regulation is designed primarily to protect depositors, federal deposit insurance funds and the banking system as a whole, but not shareholders. Congress and state legislatures and federal and state regulatory authorities continually review banking laws, regulations and policies for possible changes. Changes to statutes, regulations or regulatory policies, including interpretation and implementation of statutes, regulations or policies could affect us in substantial and unpredictable ways, including limiting the types of financial services and products we may offer or increasing the ability of non-banks to offer competing financial services and products. Any regulatory changes or scrutiny could increase or decrease the cost of doing business, limit or expand our permissible activities, or affect the competitive balance among banks, credit unions, savings and loan associations and other institutions. We cannot predict whether new legislation will be enacted and, if enacted, the effect that it, or any regulations, would have on our business, financial condition, or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0" w:name="page21"/>
    <w:bookmarkEnd w:id="20"/>
    <w:p>
      <w:pPr>
        <w:jc w:val="both"/>
        <w:spacing w:after="0" w:line="269" w:lineRule="auto"/>
        <w:rPr>
          <w:sz w:val="20"/>
          <w:szCs w:val="20"/>
          <w:color w:val="auto"/>
        </w:rPr>
      </w:pPr>
      <w:r>
        <w:rPr>
          <w:rFonts w:ascii="Arial" w:cs="Arial" w:eastAsia="Arial" w:hAnsi="Arial"/>
          <w:sz w:val="17"/>
          <w:szCs w:val="17"/>
          <w:color w:val="auto"/>
        </w:rPr>
        <w:t>Federal and state regulators have the ability to impose or request that we consent to substantial sanctions, restrictions and requirements on our banking and nonbanking subsidiaries if they determine, upon examination or otherwise, violations of laws, rules or regulations with which we or our subsidiaries must comply, or weaknesses or failures with respect to general standards of safety and soundness. Such enforcement may be formal or informal and can include directors’ resolutions, memoranda of understanding, cease and desist or consent orders, civil money penalties and termination of deposit insurance and bank closures. Enforcement actions may be taken regardless of the capital level of the institution. In particular, institutions that are not sufficiently capitalized in accordance with regulatory standards may also face capital directives or prompt corrective action. Enforcement actions may require certain corrective steps (including staff additions or changes), impose limits on activities (such as lending, deposit taking, acquisitions or branching), prescribe lending parameters (such as loan types, volumes and terms) and require additional capital to be raised, any of which could adversely affect our financial condition and results of operations. Enforcement actions, including the imposition of monetary penalties, may have a material impact on our financial condition or results of operations, and damage to our reputation, and loss of our holding company status. In addition, compliance with any such action could distract management’s attention from our operations, cause us to incur significant expenses, restrict us from engaging in potentially profitable activities, and limit our ability to raise capital. Closure of the Bank would result in a total loss of your investment.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short-term and long-term impact of the changing regulatory capital requirements is uncertain.</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2013, the Federal Reserve published the Basel III Capital Rules, which substantially changed the regulatory risk-based capital rules applicable to United and the Bank. The Basel III Capital Rules include new minimum risk-based capital and leverage ratios, which are being phased in beginning January 1, 2015, and modify the capital and asset definitions for purposes of calculating those ratios. Among other things, as of January 1, 2015, the Basel III Capital Rules establish a new common equity Tier 1 minimum capital requirement of 4.5%, a higher minimum Tier 1capital to risk-weighted assets requirement of 6.0% and a higher total capital to risk-weighted assets of 8.0%. In addition, the Basel III Capital Rules provide, to be considered “well-capitalized”, a new common equity Tier 1 capital requirement of 6.5% and a higher Tier 1capital to risk-weighted assets requirement of 8.0% that became fully effective as of January 1, 2015. Moreover, the Basel III Capital Rules limit a banking organization’s capital distributions and certain discretionary bonus payments if the banking organization does not hold a “capital conservation buffer” consisting of an additional 2.5% of common equity Tier 1 capital in addition to the 4.5% minimum common equity Tier 1 requirement and the other amounts necessary to the minimum risk-based capital requirements that will be phased in and fully effective in 2019.</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application of the more stringent capital requirements described above could, among other things, result in lower returns on invested capital, require the raising of additional capital, and result in additional regulatory actions if we were to be unable to comply with such requirements. Furthermore, the imposition of liquidity requirements under the Basel III Capital Rules could result in our having to lengthen the term of our funding, restructure our business models, and/or increase our holdings of liquid assets. Implementation of changes to asset risk weightings for risk based capital calculations, items included or deducted in calculating regulatory capital and/or additional capital conservation buffers could result in us modifying our business strategy and could limit our ability to pay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fully utilize deferred tax assets could be impaired.</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reported a net deferred tax asset of $216 million as of December 31, 2014, which includes approximately $181 million of deferred tax benefits related to federal and state operating loss carry-forwards. Our ability to use such assets, including the reversal or partial release of the valuation allowance, is dependent on our ability to generate future earnings within the operating loss carry-forward periods, which are generally 20 years. If we do not realize taxable earnings within the carry-forward periods, our deferred tax asset would be permanently impaired. Additionally, our ability to use such assets to offset future tax liabilities could be permanently impaired if cumulative common stock transactions over a rolling three-year period resulted in an ownership change under Section 382 of the Internal Revenue Code. There is no guarantee that our tax benefits preservation plan will prevent us from experiencing an ownership change under Section 382. Our inability to utilize these deferred tax assets (benefits) would have a material adverse effect on our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changes in tax laws, regulations and interpretations or challenges to our income tax provision.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 In addition, changes in enacted tax laws, such as adoption of a lower income tax rate in any of the jurisdictions in which we operate, could impact our ability to obtain the future tax benefits represented by our deferred tax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1" w:name="page22"/>
    <w:bookmarkEnd w:id="21"/>
    <w:p>
      <w:pPr>
        <w:jc w:val="both"/>
        <w:spacing w:after="0" w:line="282" w:lineRule="auto"/>
        <w:rPr>
          <w:sz w:val="20"/>
          <w:szCs w:val="20"/>
          <w:color w:val="auto"/>
        </w:rPr>
      </w:pPr>
      <w:r>
        <w:rPr>
          <w:rFonts w:ascii="Arial" w:cs="Arial" w:eastAsia="Arial" w:hAnsi="Arial"/>
          <w:sz w:val="18"/>
          <w:szCs w:val="18"/>
          <w:b w:val="1"/>
          <w:bCs w:val="1"/>
          <w:color w:val="2B2B2B"/>
        </w:rPr>
        <w:t>System failure or cybersecurity breaches of our network security could subject us to increased operating costs as well as litigation and other potential losses.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B2B2B"/>
        </w:rPr>
        <w:t>We rely heavily on communications and information systems to conduct our business. The computer systems and network infrastructure we use could be vulnerable to unforeseen hardware and cybersecurity issues.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financial condition and results of operations. In addition, our operations are dependent upon our ability to protect the computer systems and network infrastructure we use, including our Internet banking activities, against damage from physical break-ins, cybersecurity breaches and other disruptive problems caused by the Internet or users. Such problems could jeopardize the security of our customers personal information and other information stored in and transmitted through our computer systems and network infrastructure, which may result in significant liability to us, subject us to additional regulatory scrutiny, damage our reputation, result in a loss of customers, or inhibit current and potential customers from our Internet banking services, any of all of which could have a material adverse effect on our results of operations and financial condition. Although we have security measures designed to mitigate the possibility of break-ins, breaches and other disruptive problems, including firewalls and penetration testing, there can be no assurance that such security measures will be effective in preventing such problems.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353535"/>
        </w:rPr>
        <w:t>Our lack of geographic diversification increases our risk profile.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53535"/>
        </w:rPr>
        <w:t xml:space="preserve">Our operations are located principally in Georgia, western North Carolina, east Tennessee and western South Carolina. As a result of this geographic concentration, our results depend largely upon economic and business </w:t>
      </w:r>
      <w:r>
        <w:rPr>
          <w:rFonts w:ascii="Arial" w:cs="Arial" w:eastAsia="Arial" w:hAnsi="Arial"/>
          <w:sz w:val="18"/>
          <w:szCs w:val="18"/>
          <w:color w:val="484848"/>
        </w:rPr>
        <w:t>conditions</w:t>
      </w:r>
      <w:r>
        <w:rPr>
          <w:rFonts w:ascii="Arial" w:cs="Arial" w:eastAsia="Arial" w:hAnsi="Arial"/>
          <w:sz w:val="18"/>
          <w:szCs w:val="18"/>
          <w:color w:val="353535"/>
        </w:rPr>
        <w:t xml:space="preserve"> in this area. Deterioration in economic and business conditions in our service area could have a material adverse impact on the quality of our loan portfolio and the demand for our products and services, which in turn may have a material adverse effect on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F2F2F"/>
        </w:rPr>
        <w:t>Our interest-only home equity lines of credit expose us to increased lending risk.</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December 31, 2014, we had $466 million of home equity line of credit loans, which represented 10% of our loan portfolio as of that date. Historically, United’s home equity lines of credit generally had a 35 month or 10 year draw period with interest-only payment requirements for the term of the loan, a balloon payment requirement at the end of the draw period. Since June 2012, new home equity lines of credit generally have a 10 year interest only draw period followed by a 15 year amortized repayment period for any outstanding balance at the 10 year conversion date. United continues to offer a home equity line of credit with a 35 month draw period with interest-only payment requirements for the term of the loan with a balloon payment requirement at the end of the draw period. All home equity line of credit products, historically and currently available, have a maximum 80% combined loan to value ratio. Loan to value ratios are established on a case by case basis considering the borrower’s credit profile and the collateral type – primary or secondary residence. These loans are also secured by a first or second lien on the underlying home.</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the case of interest-only loans, a borrower’s monthly payment is subject to change when the loan converts to fully-amortizing status. Since the borrower’s monthly payment may increase by a substantial amount even without an increase in prevailing market interest rates, the borrower might not be able to afford the increased monthly payment. In addition, interest-only loans have a large, balloon payment at the end of the loan term, which the borrower may be unable to pay. Also, real estate values may decline, dramatically reducing or even eliminating the </w:t>
      </w:r>
      <w:r>
        <w:rPr>
          <w:rFonts w:ascii="Arial" w:cs="Arial" w:eastAsia="Arial" w:hAnsi="Arial"/>
          <w:sz w:val="17"/>
          <w:szCs w:val="17"/>
          <w:color w:val="2F2F2F"/>
        </w:rPr>
        <w:t>borrower’s equity, and credit standards may tighten in concert with</w:t>
      </w:r>
      <w:r>
        <w:rPr>
          <w:rFonts w:ascii="Arial" w:cs="Arial" w:eastAsia="Arial" w:hAnsi="Arial"/>
          <w:sz w:val="17"/>
          <w:szCs w:val="17"/>
          <w:color w:val="auto"/>
        </w:rPr>
        <w:t xml:space="preserve"> </w:t>
      </w:r>
      <w:r>
        <w:rPr>
          <w:rFonts w:ascii="Arial" w:cs="Arial" w:eastAsia="Arial" w:hAnsi="Arial"/>
          <w:sz w:val="17"/>
          <w:szCs w:val="17"/>
          <w:color w:val="2F2F2F"/>
        </w:rPr>
        <w:t>the higher payment requirement, making it difficult for borrowers to sell their homes or refinance their loans to pay off their mortgage obligations. The risks can be magnified by United’s limited ability to monitor the delinquency status of the first lien on the collateral. For these reasons, home equity lines of credit are considered to have an increased risk of delinquency, default and foreclosure than conforming loans and may result in higher levels of losses. The Bank mitigates these risks in its underwriting by calculating the fully amortizing principal and interest payment assuming 100% utilization and using that amount to determine the borrower’s ability to pay.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F2F2F"/>
        </w:rPr>
        <w:t>We rely on third parties to provide key components of our business infrastructure.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Third parties provide key components of our business operations such as data processing, recording and monitoring transactions, online banking interfaces and services, Internet connections and network access. While we have selected these third party vendors carefully, we do not control their actions. Any problems caused by these third parties, including those resulting from disruptions in communication services provided by a vendor, failure of a vendor to handle current or higher volumes, cyber-attacks and security breaches at a vendor, failure of a vendor to provide services for any reason or poor performance of services, could adversely affect our ability to deliver products and services to our customers and otherwise conduct our business. Financial or operational difficulties of a third party vendor could also hurt our operations if those difficulties interfere with the vendor’s ability to serve us. Furthermore, our vendors could also be sources of operational and information security risk to us, including from breakdowns or failures of their own systems or capacity constraints. Replacing these third party vendors could also create significant delay and expense. Accordingly, use of such third parties creates an unavoidable inherent risk to our business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unresolved comments from the SEC staff regarding United’s periodic or current reports under the Exchange Act.</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executive offices of United are located at 125 Highway 515 East, Blairsville, Georgia. United owns this property. The Bank conducts business from facilities primarily owned by the Bank or its subsidiaries, all of which are in a good state of repair and appropriately designed for use as banking facilities. The Bank provides services or performs operational functions at 121 locations, of which 103 are owned and 18 are leased under operating leases. Note 9 to United’s consolidated financial statements includes additional information regarding amounts invested in premises and equipment.</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ordinary course of operations, United and the Bank are defendants in various legal proceedings. Additionally, in the ordinary course of business, United and the Bank are subject to regulatory examinations and investigations. Based on our knowledge and advice of counsel, in the opinion of management, there is no such pending or threatened legal matter in which an adverse decision will result in a material adverse change in the consolidated financial condition or results of operations of United. No material proceedings terminated in the fourth quarter of 2014.</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UNITED’S COMMON EQUITY, RELATED STOCKHOLDER MATTERS AND ISSUER PURCHASES OF EQUITY SECURITIES.</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Stock. </w:t>
      </w:r>
      <w:r>
        <w:rPr>
          <w:rFonts w:ascii="Arial" w:cs="Arial" w:eastAsia="Arial" w:hAnsi="Arial"/>
          <w:sz w:val="17"/>
          <w:szCs w:val="17"/>
          <w:color w:val="auto"/>
        </w:rPr>
        <w:t>United’s common stock trades on the Nasdaq Global Select Market under the Times New Roman “UCBI”. The closing price for the period ended</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2014 was $18.94. Below is a schedule of high, low and closing stock prices and average daily volume for all quarters in 2014 and 2013.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2014</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Avg Daily</w:t>
            </w:r>
          </w:p>
        </w:tc>
        <w:tc>
          <w:tcPr>
            <w:tcW w:w="1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Volume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Close</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Volume</w:t>
            </w: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First quarter</w:t>
            </w: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494,205</w:t>
            </w: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195,803</w:t>
            </w:r>
          </w:p>
        </w:tc>
        <w:tc>
          <w:tcPr>
            <w:tcW w:w="14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308,486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12.94</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12.42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184,922</w:t>
            </w:r>
          </w:p>
        </w:tc>
      </w:tr>
      <w:tr>
        <w:trPr>
          <w:trHeight w:val="216"/>
        </w:trPr>
        <w:tc>
          <w:tcPr>
            <w:tcW w:w="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18.42</w:t>
            </w: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15.42</w:t>
            </w: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16.46</w:t>
            </w: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331,109</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16.04</w:t>
            </w:r>
          </w:p>
        </w:tc>
        <w:tc>
          <w:tcPr>
            <w:tcW w:w="18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12.15</w:t>
            </w:r>
          </w:p>
        </w:tc>
        <w:tc>
          <w:tcPr>
            <w:tcW w:w="20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14.99</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341,270</w:t>
            </w: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262,598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18.56</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17.75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421,948</w:t>
            </w:r>
          </w:p>
        </w:tc>
      </w:tr>
    </w:tbl>
    <w:p>
      <w:pPr>
        <w:spacing w:after="0" w:line="207"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At January 31, 2015, there were 6,636 record shareholders and approximately 15,450 beneficial shareholders of United’s common stock.</w:t>
      </w:r>
    </w:p>
    <w:p>
      <w:pPr>
        <w:spacing w:after="0" w:line="20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United declared cash dividends of $.11 per share on its common stock in 2014. No cash or stock dividends were declared on United’s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during 2013. Federal and state laws and regulations impose restrictions on the ability of the Bank to pay dividends to United without prior approvals.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dividends is included in Note 19 to the consolidated financial statements, under the heading of “Supervision and Regulation” in Part I of this report and in “Management’s Discussion and Analysis of Financial Condition and Results of Operations – Capital Resources and Dividends.”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Share Repurchases. </w:t>
      </w:r>
      <w:r>
        <w:rPr>
          <w:rFonts w:ascii="Arial" w:cs="Arial" w:eastAsia="Arial" w:hAnsi="Arial"/>
          <w:sz w:val="17"/>
          <w:szCs w:val="17"/>
          <w:color w:val="auto"/>
        </w:rPr>
        <w:t>United’s Amended and Restated 2000 Key Employee Stock Option Plan allows option holders to exercise stock options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acquired shares having a fair market value equal to the exercise price provided that the shares delivered must have been held by the option holder for at least six months. In addition, United may withhold a sufficient number of restricted stock shares at the time of vesting to cover payroll tax withholdings at the election of the restricted stock recipient. In 2014 and 2013, 74,644 and 24,374 shares, respectively, were withheld to cover payroll taxes owed at the time of restricted stock vesting. No shares were delivered to exercise stock options in 2014 or 2013.</w:t>
      </w:r>
    </w:p>
    <w:p>
      <w:pPr>
        <w:spacing w:after="0" w:line="19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December 31, 2013, United redeemed all of its outstanding Series A Preferred Stock in the principal amount of $217,000. The redemption price for shares of the Series A Preferred Stock was the stated value of $10 per share, plus any accrued and unpaid dividends that had been earned thereon through the redemption date. Following the redemption, there are no shares of United’s Series A Preferred Stock outstanding.</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27, 2013, United redeemed $75 million of its $180 million in outstanding Series B Preferred Stock. The redemption price for shares of the Series B Preferred Stock called for redemption was the stated liquidation value of $1,000 per share, plus any accrued and unpaid dividends that had been earned thereon to, but not including, the redemption date. The remaining $105 million of Unite’s Series B Preferred Stock was redeemed on January 10, 2014 on comparable terms.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3, 2014, United redeemed all of its outstanding Series D Preferred Stock in the principal amount of $16.6 million. The redemption price for shares of the Series D Preferred Stock was the stated liquidation value of $1,000 per share, plus any accrued and unpaid dividends that had been earned thereon to, but not including, the redemption date. Following the redemption, there are no shares of United’s Series D Preferred Stock outstanding.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2014, United repurchased an outstanding warrant from Fletcher International Ltd for $12.0 million, its estimated fair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24" w:name="page25"/>
    <w:bookmarkEnd w:id="24"/>
    <w:p>
      <w:pPr>
        <w:jc w:val="both"/>
        <w:spacing w:after="0" w:line="266"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United’s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against the cumulative total return on the Nasdaq Stock Market (U.S. Companies) Index and the Nasdaq Bank Stocks Index for the five-year period commencing December 31, 2009 and ending on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123190</wp:posOffset>
            </wp:positionV>
            <wp:extent cx="7186295" cy="5556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295" cy="555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9"/>
              </w:rPr>
              <w:t>Cumulative Total Return *</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F0FFFF"/>
          </w:tcPr>
          <w:p>
            <w:pPr>
              <w:spacing w:after="0"/>
              <w:rPr>
                <w:sz w:val="20"/>
                <w:szCs w:val="20"/>
                <w:color w:val="auto"/>
              </w:rPr>
            </w:pPr>
            <w:r>
              <w:rPr>
                <w:rFonts w:ascii="Arial" w:cs="Arial" w:eastAsia="Arial" w:hAnsi="Arial"/>
                <w:sz w:val="18"/>
                <w:szCs w:val="18"/>
                <w:color w:val="auto"/>
              </w:rPr>
              <w:t>United Community Banks, Inc.</w:t>
            </w:r>
          </w:p>
        </w:tc>
        <w:tc>
          <w:tcPr>
            <w:tcW w:w="1160" w:type="dxa"/>
            <w:vAlign w:val="bottom"/>
            <w:gridSpan w:val="2"/>
            <w:shd w:val="clear" w:color="auto" w:fill="F0FFFF"/>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F0FFFF"/>
          </w:tcPr>
          <w:p>
            <w:pPr>
              <w:spacing w:after="0"/>
              <w:rPr>
                <w:sz w:val="22"/>
                <w:szCs w:val="22"/>
                <w:color w:val="auto"/>
              </w:rPr>
            </w:pP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105</w:t>
            </w: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2800" w:type="dxa"/>
            <w:vAlign w:val="bottom"/>
            <w:shd w:val="clear" w:color="auto" w:fill="F0FFFF"/>
          </w:tcPr>
          <w:p>
            <w:pPr>
              <w:spacing w:after="0"/>
              <w:rPr>
                <w:sz w:val="20"/>
                <w:szCs w:val="20"/>
                <w:color w:val="auto"/>
              </w:rPr>
            </w:pPr>
            <w:r>
              <w:rPr>
                <w:rFonts w:ascii="Arial" w:cs="Arial" w:eastAsia="Arial" w:hAnsi="Arial"/>
                <w:sz w:val="18"/>
                <w:szCs w:val="18"/>
                <w:color w:val="auto"/>
              </w:rPr>
              <w:t>Nasdaq Bank Index</w:t>
            </w: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4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98</w:t>
            </w: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162</w:t>
            </w:r>
          </w:p>
        </w:tc>
      </w:tr>
    </w:tbl>
    <w:p>
      <w:pPr>
        <w:spacing w:after="0" w:line="229" w:lineRule="exact"/>
        <w:rPr>
          <w:sz w:val="20"/>
          <w:szCs w:val="20"/>
          <w:color w:val="auto"/>
        </w:rPr>
      </w:pPr>
    </w:p>
    <w:p>
      <w:pPr>
        <w:ind w:left="240" w:right="60" w:hanging="232"/>
        <w:spacing w:after="0" w:line="342" w:lineRule="auto"/>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Assumes $100 invested on December 31, 2009 in United’s common stock and above noted indexes. Total return includes reinvestment of dividends at the closing stock price of the common stock on the dividend payment date and the closing values of stock and indexes as of December 31 of each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taxable equivalent)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INCOME SUMMARY</w:t>
            </w:r>
          </w:p>
        </w:tc>
        <w:tc>
          <w:tcPr>
            <w:tcW w:w="8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320" w:type="dxa"/>
            <w:vAlign w:val="bottom"/>
            <w:tcBorders>
              <w:right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interest revenue</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224,418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219,641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229,758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238,670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spacing w:after="0" w:line="216" w:lineRule="exact"/>
              <w:rPr>
                <w:sz w:val="20"/>
                <w:szCs w:val="20"/>
                <w:color w:val="auto"/>
              </w:rPr>
            </w:pPr>
            <w:r>
              <w:rPr>
                <w:rFonts w:ascii="Arial" w:cs="Arial" w:eastAsia="Arial" w:hAnsi="Arial"/>
                <w:sz w:val="16"/>
                <w:szCs w:val="16"/>
                <w:color w:val="auto"/>
              </w:rPr>
              <w:t xml:space="preserve">Operating provision for credit losses </w:t>
            </w:r>
            <w:r>
              <w:rPr>
                <w:rFonts w:ascii="Arial" w:cs="Arial" w:eastAsia="Arial" w:hAnsi="Arial"/>
                <w:sz w:val="25"/>
                <w:szCs w:val="25"/>
                <w:color w:val="auto"/>
                <w:vertAlign w:val="superscript"/>
              </w:rPr>
              <w:t>(1)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65,500</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62,500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251,000</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fee revenue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56,598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56,112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44,907</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line="216" w:lineRule="exact"/>
              <w:rPr>
                <w:sz w:val="20"/>
                <w:szCs w:val="20"/>
                <w:color w:val="auto"/>
              </w:rPr>
            </w:pPr>
            <w:r>
              <w:rPr>
                <w:rFonts w:ascii="Arial" w:cs="Arial" w:eastAsia="Arial" w:hAnsi="Arial"/>
                <w:sz w:val="16"/>
                <w:szCs w:val="16"/>
                <w:b w:val="1"/>
                <w:bCs w:val="1"/>
                <w:color w:val="auto"/>
              </w:rPr>
              <w:t xml:space="preserve">Total operating revenue </w:t>
            </w:r>
            <w:r>
              <w:rPr>
                <w:rFonts w:ascii="Arial" w:cs="Arial" w:eastAsia="Arial" w:hAnsi="Arial"/>
                <w:sz w:val="25"/>
                <w:szCs w:val="25"/>
                <w:color w:val="auto"/>
                <w:vertAlign w:val="superscript"/>
              </w:rPr>
              <w:t>(1)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271,472</w:t>
            </w: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210,739</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223,370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32,577</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line="216" w:lineRule="exact"/>
              <w:rPr>
                <w:sz w:val="20"/>
                <w:szCs w:val="20"/>
                <w:color w:val="auto"/>
              </w:rPr>
            </w:pPr>
            <w:r>
              <w:rPr>
                <w:rFonts w:ascii="Arial" w:cs="Arial" w:eastAsia="Arial" w:hAnsi="Arial"/>
                <w:sz w:val="16"/>
                <w:szCs w:val="16"/>
                <w:color w:val="auto"/>
              </w:rPr>
              <w:t xml:space="preserve">Operating expenses </w:t>
            </w:r>
            <w:r>
              <w:rPr>
                <w:rFonts w:ascii="Arial" w:cs="Arial" w:eastAsia="Arial" w:hAnsi="Arial"/>
                <w:sz w:val="25"/>
                <w:szCs w:val="25"/>
                <w:color w:val="auto"/>
                <w:vertAlign w:val="superscript"/>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162,865</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174,304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186,774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261,599</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Loss on sale of nonperforming assets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45,349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w w:val="92"/>
              </w:rPr>
              <w:t>Operating income (loss) from continuing operations before taxes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108,607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36,435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36,596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(229,022)</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taxes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40,987</w:t>
            </w: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(236,705)</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2,740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(2,276)</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73,218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b w:val="1"/>
                <w:bCs w:val="1"/>
                <w:color w:val="auto"/>
                <w:w w:val="99"/>
              </w:rPr>
              <w:t>Net operating income (loss) from continuing 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273,140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33,856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(226,746)</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Noncash goodwill impairment charges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5"/>
              </w:rPr>
              <w:t>Fraud loss provision and subsequent recovery, net of tax benefit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 from discontinued operations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2"/>
              </w:rPr>
              <w:t>Gain from sale of subsidiary, net of income taxes and selling costs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67,620</w:t>
            </w: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273,140</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33,856</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(226,746)</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(502,344)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Preferred dividends and discount accretion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12,078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11,838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F0FFFF"/>
          </w:tcPr>
          <w:p>
            <w:pPr>
              <w:ind w:left="160"/>
              <w:spacing w:after="0"/>
              <w:rPr>
                <w:sz w:val="20"/>
                <w:szCs w:val="20"/>
                <w:color w:val="auto"/>
              </w:rPr>
            </w:pPr>
            <w:r>
              <w:rPr>
                <w:rFonts w:ascii="Arial" w:cs="Arial" w:eastAsia="Arial" w:hAnsi="Arial"/>
                <w:sz w:val="18"/>
                <w:szCs w:val="18"/>
                <w:b w:val="1"/>
                <w:bCs w:val="1"/>
                <w:color w:val="auto"/>
              </w:rPr>
              <w:t>Net income (loss) available to common shareholders</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67,181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261,062</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21,708</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(238,584)</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(512,660)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00" w:type="dxa"/>
            <w:vAlign w:val="bottom"/>
            <w:tcBorders>
              <w:top w:val="single" w:sz="8" w:color="646464"/>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PERFORMANCE MEASURES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3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Per common share: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line="216" w:lineRule="exact"/>
              <w:rPr>
                <w:sz w:val="20"/>
                <w:szCs w:val="20"/>
                <w:color w:val="auto"/>
              </w:rPr>
            </w:pPr>
            <w:r>
              <w:rPr>
                <w:rFonts w:ascii="Arial" w:cs="Arial" w:eastAsia="Arial" w:hAnsi="Arial"/>
                <w:sz w:val="16"/>
                <w:szCs w:val="16"/>
                <w:color w:val="auto"/>
              </w:rPr>
              <w:t xml:space="preserve">Diluted operating earnings (loss) from continuing operations </w:t>
            </w:r>
            <w:r>
              <w:rPr>
                <w:rFonts w:ascii="Arial" w:cs="Arial" w:eastAsia="Arial" w:hAnsi="Arial"/>
                <w:sz w:val="25"/>
                <w:szCs w:val="25"/>
                <w:color w:val="auto"/>
                <w:vertAlign w:val="superscript"/>
              </w:rPr>
              <w:t>(1)(2)</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.38</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Diluted earnings (loss) from continuing 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Diluted earnings (loss)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Cash dividends declared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Book value</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11.30</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Tangible book value </w:t>
            </w:r>
            <w:r>
              <w:rPr>
                <w:rFonts w:ascii="Arial" w:cs="Arial" w:eastAsia="Arial" w:hAnsi="Arial"/>
                <w:sz w:val="25"/>
                <w:szCs w:val="25"/>
                <w:color w:val="auto"/>
                <w:vertAlign w:val="superscript"/>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11.26</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3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Key performance ratios: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line="216" w:lineRule="exact"/>
              <w:rPr>
                <w:sz w:val="20"/>
                <w:szCs w:val="20"/>
                <w:color w:val="auto"/>
              </w:rPr>
            </w:pPr>
            <w:r>
              <w:rPr>
                <w:rFonts w:ascii="Arial" w:cs="Arial" w:eastAsia="Arial" w:hAnsi="Arial"/>
                <w:sz w:val="16"/>
                <w:szCs w:val="16"/>
                <w:color w:val="auto"/>
              </w:rPr>
              <w:t xml:space="preserve">Return on common equity </w:t>
            </w:r>
            <w:r>
              <w:rPr>
                <w:rFonts w:ascii="Arial" w:cs="Arial" w:eastAsia="Arial" w:hAnsi="Arial"/>
                <w:sz w:val="25"/>
                <w:szCs w:val="25"/>
                <w:color w:val="auto"/>
                <w:vertAlign w:val="superscript"/>
              </w:rPr>
              <w:t>(3)</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46.72%</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(93.57)%</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Return on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Dividend payout ratio</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line="216" w:lineRule="exact"/>
              <w:rPr>
                <w:sz w:val="20"/>
                <w:szCs w:val="20"/>
                <w:color w:val="auto"/>
              </w:rPr>
            </w:pPr>
            <w:r>
              <w:rPr>
                <w:rFonts w:ascii="Arial" w:cs="Arial" w:eastAsia="Arial" w:hAnsi="Arial"/>
                <w:sz w:val="16"/>
                <w:szCs w:val="16"/>
                <w:color w:val="auto"/>
              </w:rPr>
              <w:t xml:space="preserve">Operating efficiency ratio from continuing operations </w:t>
            </w:r>
            <w:r>
              <w:rPr>
                <w:rFonts w:ascii="Arial" w:cs="Arial" w:eastAsia="Arial" w:hAnsi="Arial"/>
                <w:sz w:val="25"/>
                <w:szCs w:val="25"/>
                <w:color w:val="auto"/>
                <w:vertAlign w:val="superscript"/>
              </w:rPr>
              <w:t>(2)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58.26</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63.14</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65.43</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92.27</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Average equity to average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line="216" w:lineRule="exact"/>
              <w:rPr>
                <w:sz w:val="20"/>
                <w:szCs w:val="20"/>
                <w:color w:val="auto"/>
              </w:rPr>
            </w:pPr>
            <w:r>
              <w:rPr>
                <w:rFonts w:ascii="Arial" w:cs="Arial" w:eastAsia="Arial" w:hAnsi="Arial"/>
                <w:sz w:val="16"/>
                <w:szCs w:val="16"/>
                <w:color w:val="auto"/>
              </w:rPr>
              <w:t xml:space="preserve">Average tangible equity to average assets </w:t>
            </w:r>
            <w:r>
              <w:rPr>
                <w:rFonts w:ascii="Arial" w:cs="Arial" w:eastAsia="Arial" w:hAnsi="Arial"/>
                <w:sz w:val="25"/>
                <w:szCs w:val="25"/>
                <w:color w:val="auto"/>
                <w:vertAlign w:val="superscript"/>
              </w:rPr>
              <w:t>(4)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Average tangible common equity to average assets </w:t>
            </w:r>
            <w:r>
              <w:rPr>
                <w:rFonts w:ascii="Arial" w:cs="Arial" w:eastAsia="Arial" w:hAnsi="Arial"/>
                <w:sz w:val="25"/>
                <w:szCs w:val="25"/>
                <w:color w:val="auto"/>
                <w:vertAlign w:val="superscript"/>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60"/>
              <w:spacing w:after="0" w:line="216" w:lineRule="exact"/>
              <w:rPr>
                <w:sz w:val="20"/>
                <w:szCs w:val="20"/>
                <w:color w:val="auto"/>
              </w:rPr>
            </w:pPr>
            <w:r>
              <w:rPr>
                <w:rFonts w:ascii="Arial" w:cs="Arial" w:eastAsia="Arial" w:hAnsi="Arial"/>
                <w:sz w:val="16"/>
                <w:szCs w:val="16"/>
                <w:color w:val="auto"/>
              </w:rPr>
              <w:t xml:space="preserve">Tangible common equity to risk-weighted assets </w:t>
            </w:r>
            <w:r>
              <w:rPr>
                <w:rFonts w:ascii="Arial" w:cs="Arial" w:eastAsia="Arial" w:hAnsi="Arial"/>
                <w:sz w:val="25"/>
                <w:szCs w:val="25"/>
                <w:color w:val="auto"/>
                <w:vertAlign w:val="superscript"/>
              </w:rPr>
              <w:t>(4)</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8.26</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ASSET QUALITY *</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3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80"/>
              <w:spacing w:after="0"/>
              <w:rPr>
                <w:sz w:val="20"/>
                <w:szCs w:val="20"/>
                <w:color w:val="auto"/>
              </w:rPr>
            </w:pPr>
            <w:r>
              <w:rPr>
                <w:rFonts w:ascii="Arial" w:cs="Arial" w:eastAsia="Arial" w:hAnsi="Arial"/>
                <w:sz w:val="18"/>
                <w:szCs w:val="18"/>
                <w:color w:val="auto"/>
              </w:rPr>
              <w:t>Non-performing loans</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17,881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26,819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109,894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127,479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179,094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80"/>
              <w:spacing w:after="0"/>
              <w:rPr>
                <w:sz w:val="20"/>
                <w:szCs w:val="20"/>
                <w:color w:val="auto"/>
              </w:rPr>
            </w:pPr>
            <w:r>
              <w:rPr>
                <w:rFonts w:ascii="Arial" w:cs="Arial" w:eastAsia="Arial" w:hAnsi="Arial"/>
                <w:sz w:val="18"/>
                <w:szCs w:val="18"/>
                <w:color w:val="auto"/>
              </w:rPr>
              <w:t>Foreclosed properties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1,726</w:t>
            </w: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4,221</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18,264</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32,859</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142,208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Total non-performing assets (NPAs)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31,040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128,158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160,338</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Allowance for loan losses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71,619</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76,762</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107,137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114,468</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Operating net charge-offs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13,879</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93,710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69,831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311,227</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Allowance for loan losses to loans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Operating net charge-offs to average loans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NPAs to loans and foreclosed properties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NPAs to total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3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 in millions)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Loans</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4,450</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4,254</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4,166</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4,307</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2,190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1,999</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Earning assets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6,880</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6,649</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6,547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6,785</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7,436</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7,074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7,189</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6,228</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6,027</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5,885</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6,275</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 xml:space="preserve">Common shares - Basic </w:t>
            </w:r>
            <w:r>
              <w:rPr>
                <w:rFonts w:ascii="Arial" w:cs="Arial" w:eastAsia="Arial" w:hAnsi="Arial"/>
                <w:sz w:val="18"/>
                <w:szCs w:val="18"/>
                <w:i w:val="1"/>
                <w:iCs w:val="1"/>
                <w:color w:val="auto"/>
              </w:rPr>
              <w:t>(thousands)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60,588</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58,787</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57,857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39,943</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 xml:space="preserve">Common shares - Diluted </w:t>
            </w:r>
            <w:r>
              <w:rPr>
                <w:rFonts w:ascii="Arial" w:cs="Arial" w:eastAsia="Arial" w:hAnsi="Arial"/>
                <w:sz w:val="18"/>
                <w:szCs w:val="18"/>
                <w:i w:val="1"/>
                <w:iCs w:val="1"/>
                <w:color w:val="auto"/>
              </w:rPr>
              <w:t>(thousands)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60,590</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58,845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57,857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39,943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3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 xml:space="preserve">AT YEAR END </w:t>
            </w:r>
            <w:r>
              <w:rPr>
                <w:rFonts w:ascii="Arial" w:cs="Arial" w:eastAsia="Arial" w:hAnsi="Arial"/>
                <w:sz w:val="18"/>
                <w:szCs w:val="18"/>
                <w:i w:val="1"/>
                <w:iCs w:val="1"/>
                <w:color w:val="auto"/>
              </w:rPr>
              <w:t>($ in millions)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Loans *</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4,329</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4,175</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4,110</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2,312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2,120</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7,567</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7,425</w:t>
            </w: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6,802</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6,983</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6,327</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6,202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5,952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6,098</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581</w:t>
            </w:r>
          </w:p>
        </w:tc>
        <w:tc>
          <w:tcPr>
            <w:tcW w:w="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120" w:type="dxa"/>
            <w:vAlign w:val="bottom"/>
            <w:tcBorders>
              <w:right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 xml:space="preserve">Common shares outstanding </w:t>
            </w:r>
            <w:r>
              <w:rPr>
                <w:rFonts w:ascii="Arial" w:cs="Arial" w:eastAsia="Arial" w:hAnsi="Arial"/>
                <w:sz w:val="18"/>
                <w:szCs w:val="18"/>
                <w:i w:val="1"/>
                <w:iCs w:val="1"/>
                <w:color w:val="auto"/>
              </w:rPr>
              <w:t>(thousands)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60,259</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59,432</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57,741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57,561</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18,937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841" w:right="239" w:bottom="0" w:gutter="0" w:footer="0" w:header="0"/>
        </w:sectPr>
      </w:pPr>
    </w:p>
    <w:bookmarkStart w:id="26" w:name="page27"/>
    <w:bookmarkEnd w:id="26"/>
    <w:p>
      <w:pPr>
        <w:ind w:firstLine="8"/>
        <w:spacing w:after="0" w:line="183" w:lineRule="auto"/>
        <w:tabs>
          <w:tab w:leader="none" w:pos="265"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 xml:space="preserve">Excludes the subsequent recovery of $11.8 million in previously recognized fraud related loan losses in 2010. </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Excludes goodwill impairment charge of $211 million in 2010. </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Net income (loss) available to common shareholders, which is net of preferred stock dividends, divided by average realized common equity, which excludes accumulated other comprehensive income (loss). </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Excludes effect of acquisition related intangibles and associated amortization.</w:t>
      </w:r>
    </w:p>
    <w:p>
      <w:pPr>
        <w:spacing w:after="0" w:line="2" w:lineRule="exact"/>
        <w:rPr>
          <w:rFonts w:ascii="Arial" w:cs="Arial" w:eastAsia="Arial" w:hAnsi="Arial"/>
          <w:sz w:val="28"/>
          <w:szCs w:val="28"/>
          <w:color w:val="auto"/>
          <w:vertAlign w:val="superscript"/>
        </w:rPr>
      </w:pPr>
    </w:p>
    <w:p>
      <w:pPr>
        <w:spacing w:after="0"/>
        <w:rPr>
          <w:rFonts w:ascii="Arial" w:cs="Arial" w:eastAsia="Arial" w:hAnsi="Arial"/>
          <w:sz w:val="28"/>
          <w:szCs w:val="28"/>
          <w:color w:val="auto"/>
          <w:vertAlign w:val="superscript"/>
        </w:rPr>
      </w:pPr>
      <w:r>
        <w:rPr>
          <w:rFonts w:ascii="Arial" w:cs="Arial" w:eastAsia="Arial" w:hAnsi="Arial"/>
          <w:sz w:val="18"/>
          <w:szCs w:val="18"/>
          <w:color w:val="auto"/>
        </w:rPr>
        <w:t>* Excludes loans and foreclosed properties covered by loss sharing agreements with the FDIC.</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358" w:right="399" w:bottom="1440" w:gutter="0" w:footer="0" w:header="0"/>
        </w:sectPr>
      </w:pPr>
    </w:p>
    <w:bookmarkStart w:id="27" w:name="page28"/>
    <w:bookmarkEnd w:id="27"/>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20" w:type="dxa"/>
            <w:vAlign w:val="bottom"/>
            <w:gridSpan w:val="2"/>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80" w:type="dxa"/>
            <w:vAlign w:val="bottom"/>
          </w:tcPr>
          <w:p>
            <w:pPr>
              <w:spacing w:after="0"/>
              <w:rPr>
                <w:sz w:val="17"/>
                <w:szCs w:val="17"/>
                <w:color w:val="auto"/>
              </w:rPr>
            </w:pPr>
          </w:p>
        </w:tc>
        <w:tc>
          <w:tcPr>
            <w:tcW w:w="88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1"/>
              </w:rPr>
              <w:t>Fourth</w:t>
            </w:r>
          </w:p>
        </w:tc>
        <w:tc>
          <w:tcPr>
            <w:tcW w:w="120" w:type="dxa"/>
            <w:vAlign w:val="bottom"/>
          </w:tcPr>
          <w:p>
            <w:pPr>
              <w:spacing w:after="0"/>
              <w:rPr>
                <w:sz w:val="17"/>
                <w:szCs w:val="17"/>
                <w:color w:val="auto"/>
              </w:rPr>
            </w:pPr>
          </w:p>
        </w:tc>
        <w:tc>
          <w:tcPr>
            <w:tcW w:w="86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7"/>
                <w:szCs w:val="17"/>
                <w:color w:val="auto"/>
              </w:rPr>
            </w:pPr>
          </w:p>
        </w:tc>
        <w:tc>
          <w:tcPr>
            <w:tcW w:w="9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2"/>
              </w:rPr>
              <w:t>Second</w:t>
            </w:r>
          </w:p>
        </w:tc>
        <w:tc>
          <w:tcPr>
            <w:tcW w:w="160" w:type="dxa"/>
            <w:vAlign w:val="bottom"/>
          </w:tcPr>
          <w:p>
            <w:pPr>
              <w:spacing w:after="0"/>
              <w:rPr>
                <w:sz w:val="17"/>
                <w:szCs w:val="17"/>
                <w:color w:val="auto"/>
              </w:rPr>
            </w:pPr>
          </w:p>
        </w:tc>
        <w:tc>
          <w:tcPr>
            <w:tcW w:w="6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7"/>
              </w:rPr>
              <w:t>First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1"/>
              </w:rPr>
              <w:t>Fourth</w:t>
            </w:r>
          </w:p>
        </w:tc>
        <w:tc>
          <w:tcPr>
            <w:tcW w:w="120" w:type="dxa"/>
            <w:vAlign w:val="bottom"/>
          </w:tcPr>
          <w:p>
            <w:pPr>
              <w:spacing w:after="0"/>
              <w:rPr>
                <w:sz w:val="17"/>
                <w:szCs w:val="17"/>
                <w:color w:val="auto"/>
              </w:rPr>
            </w:pPr>
          </w:p>
        </w:tc>
        <w:tc>
          <w:tcPr>
            <w:tcW w:w="90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7"/>
                <w:szCs w:val="17"/>
                <w:color w:val="auto"/>
              </w:rPr>
            </w:pPr>
          </w:p>
        </w:tc>
        <w:tc>
          <w:tcPr>
            <w:tcW w:w="96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86"/>
              </w:rPr>
              <w:t>Second</w:t>
            </w:r>
          </w:p>
        </w:tc>
        <w:tc>
          <w:tcPr>
            <w:tcW w:w="160" w:type="dxa"/>
            <w:vAlign w:val="bottom"/>
          </w:tcPr>
          <w:p>
            <w:pPr>
              <w:spacing w:after="0"/>
              <w:rPr>
                <w:sz w:val="17"/>
                <w:szCs w:val="17"/>
                <w:color w:val="auto"/>
              </w:rPr>
            </w:pPr>
          </w:p>
        </w:tc>
        <w:tc>
          <w:tcPr>
            <w:tcW w:w="64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20" w:type="dxa"/>
            <w:vAlign w:val="bottom"/>
            <w:gridSpan w:val="2"/>
          </w:tcPr>
          <w:p>
            <w:pPr>
              <w:spacing w:after="0"/>
              <w:rPr>
                <w:sz w:val="20"/>
                <w:szCs w:val="20"/>
                <w:color w:val="auto"/>
              </w:rPr>
            </w:pPr>
            <w:r>
              <w:rPr>
                <w:rFonts w:ascii="Arial" w:cs="Arial" w:eastAsia="Arial" w:hAnsi="Arial"/>
                <w:sz w:val="18"/>
                <w:szCs w:val="18"/>
                <w:i w:val="1"/>
                <w:iCs w:val="1"/>
                <w:color w:val="auto"/>
              </w:rPr>
              <w:t>data; taxable equivalent)</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Quarter</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INCOME SUMMARY</w:t>
            </w:r>
          </w:p>
        </w:tc>
        <w:tc>
          <w:tcPr>
            <w:tcW w:w="8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64,353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63,338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61,783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60,495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61,695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61,426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62,088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6,021</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6,371</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6,833</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6,326</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5,816</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7,169</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7,157</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Net interest revenue</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58,332</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56,967</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54,950</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54,169</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55,879</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54,257</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54,931</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8"/>
                <w:szCs w:val="18"/>
                <w:color w:val="auto"/>
              </w:rPr>
              <w:t>Provision for credit losses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48,500</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Fee revenue</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14,823</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14,412</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14,143</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12,176</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13,519</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14,225</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15,943</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12,911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160"/>
              <w:spacing w:after="0"/>
              <w:rPr>
                <w:sz w:val="20"/>
                <w:szCs w:val="20"/>
                <w:color w:val="auto"/>
              </w:rPr>
            </w:pPr>
            <w:r>
              <w:rPr>
                <w:rFonts w:ascii="Arial" w:cs="Arial" w:eastAsia="Arial" w:hAnsi="Arial"/>
                <w:sz w:val="18"/>
                <w:szCs w:val="18"/>
                <w:b w:val="1"/>
                <w:bCs w:val="1"/>
                <w:color w:val="auto"/>
              </w:rPr>
              <w:t>Total revenue</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71,355</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69,379</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66,893</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63,845</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66,398</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65,482</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22,374</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41,919</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41,364</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40,532</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39,050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41,614</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40,097</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48,823</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29,436</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28,015</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26,361</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24,795</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24,784</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25,385</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(26,449)</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10,004</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9,395</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8,873</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9,885</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(256,413)</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160"/>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18,247</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17,616</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16,357</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15,400</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15,911</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229,964</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9"/>
              </w:rPr>
              <w:t>Preferred dividends and discount accretion</w:t>
            </w: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3,055</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F0FFFF"/>
          </w:tcPr>
          <w:p>
            <w:pPr>
              <w:spacing w:after="0" w:line="198" w:lineRule="exact"/>
              <w:rPr>
                <w:sz w:val="20"/>
                <w:szCs w:val="20"/>
                <w:color w:val="auto"/>
              </w:rPr>
            </w:pPr>
            <w:r>
              <w:rPr>
                <w:rFonts w:ascii="Arial" w:cs="Arial" w:eastAsia="Arial" w:hAnsi="Arial"/>
                <w:sz w:val="18"/>
                <w:szCs w:val="18"/>
                <w:b w:val="1"/>
                <w:bCs w:val="1"/>
                <w:color w:val="auto"/>
              </w:rPr>
              <w:t>Net income available to common</w:t>
            </w:r>
          </w:p>
        </w:tc>
        <w:tc>
          <w:tcPr>
            <w:tcW w:w="80" w:type="dxa"/>
            <w:vAlign w:val="bottom"/>
            <w:tcBorders>
              <w:top w:val="single" w:sz="8" w:color="auto"/>
            </w:tcBorders>
            <w:shd w:val="clear" w:color="auto" w:fill="F0FFFF"/>
          </w:tcPr>
          <w:p>
            <w:pPr>
              <w:spacing w:after="0"/>
              <w:rPr>
                <w:sz w:val="17"/>
                <w:szCs w:val="17"/>
                <w:color w:val="auto"/>
              </w:rPr>
            </w:pPr>
          </w:p>
        </w:tc>
        <w:tc>
          <w:tcPr>
            <w:tcW w:w="64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62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6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66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66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640" w:type="dxa"/>
            <w:vAlign w:val="bottom"/>
            <w:tcBorders>
              <w:top w:val="single" w:sz="8" w:color="auto"/>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400" w:type="dxa"/>
            <w:vAlign w:val="bottom"/>
            <w:shd w:val="clear" w:color="auto" w:fill="F0FFFF"/>
          </w:tcPr>
          <w:p>
            <w:pPr>
              <w:ind w:left="160"/>
              <w:spacing w:after="0"/>
              <w:rPr>
                <w:sz w:val="20"/>
                <w:szCs w:val="20"/>
                <w:color w:val="auto"/>
              </w:rPr>
            </w:pPr>
            <w:r>
              <w:rPr>
                <w:rFonts w:ascii="Arial" w:cs="Arial" w:eastAsia="Arial" w:hAnsi="Arial"/>
                <w:sz w:val="18"/>
                <w:szCs w:val="18"/>
                <w:b w:val="1"/>
                <w:bCs w:val="1"/>
                <w:color w:val="auto"/>
              </w:rPr>
              <w:t>shareholders</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18,247</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17,616</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16,357</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14,961</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12,999</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12,441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226,909</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PERFORMANCE MEASURES</w:t>
            </w:r>
          </w:p>
        </w:tc>
        <w:tc>
          <w:tcPr>
            <w:tcW w:w="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Per common share: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Diluted income</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Cash dividends declared</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Book value</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11.94</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10.90</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Tangible book value </w:t>
            </w:r>
            <w:r>
              <w:rPr>
                <w:rFonts w:ascii="Arial" w:cs="Arial" w:eastAsia="Arial" w:hAnsi="Arial"/>
                <w:sz w:val="25"/>
                <w:szCs w:val="25"/>
                <w:color w:val="auto"/>
                <w:vertAlign w:val="superscript"/>
              </w:rPr>
              <w:t>(2)</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Key performance ratios: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160"/>
              <w:spacing w:after="0" w:line="216" w:lineRule="exact"/>
              <w:rPr>
                <w:sz w:val="20"/>
                <w:szCs w:val="20"/>
                <w:color w:val="auto"/>
              </w:rPr>
            </w:pPr>
            <w:r>
              <w:rPr>
                <w:rFonts w:ascii="Arial" w:cs="Arial" w:eastAsia="Arial" w:hAnsi="Arial"/>
                <w:sz w:val="16"/>
                <w:szCs w:val="16"/>
                <w:color w:val="auto"/>
              </w:rPr>
              <w:t xml:space="preserve">Return on common equity </w:t>
            </w:r>
            <w:r>
              <w:rPr>
                <w:rFonts w:ascii="Arial" w:cs="Arial" w:eastAsia="Arial" w:hAnsi="Arial"/>
                <w:sz w:val="25"/>
                <w:szCs w:val="25"/>
                <w:color w:val="auto"/>
                <w:vertAlign w:val="superscript"/>
              </w:rPr>
              <w:t>(1)(3)</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8.99%</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197.22%</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Return on assets </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13.34</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Dividend payout ratio</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16.67</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Efficiency ratio</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57.96</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58.65</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59.05</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60.02</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68.89</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Average equity to average assets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160"/>
              <w:spacing w:after="0" w:line="216" w:lineRule="exact"/>
              <w:rPr>
                <w:sz w:val="20"/>
                <w:szCs w:val="20"/>
                <w:color w:val="auto"/>
              </w:rPr>
            </w:pPr>
            <w:r>
              <w:rPr>
                <w:rFonts w:ascii="Arial" w:cs="Arial" w:eastAsia="Arial" w:hAnsi="Arial"/>
                <w:sz w:val="16"/>
                <w:szCs w:val="16"/>
                <w:color w:val="auto"/>
                <w:w w:val="99"/>
              </w:rPr>
              <w:t xml:space="preserve">Average tangible equity to average assets </w:t>
            </w:r>
            <w:r>
              <w:rPr>
                <w:rFonts w:ascii="Arial" w:cs="Arial" w:eastAsia="Arial" w:hAnsi="Arial"/>
                <w:sz w:val="25"/>
                <w:szCs w:val="25"/>
                <w:color w:val="auto"/>
                <w:w w:val="99"/>
                <w:vertAlign w:val="superscript"/>
              </w:rPr>
              <w:t>(2)</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11.53</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0" w:type="dxa"/>
            <w:vAlign w:val="bottom"/>
          </w:tcPr>
          <w:p>
            <w:pPr>
              <w:ind w:left="160"/>
              <w:spacing w:after="0" w:line="192" w:lineRule="exact"/>
              <w:rPr>
                <w:sz w:val="20"/>
                <w:szCs w:val="20"/>
                <w:color w:val="auto"/>
              </w:rPr>
            </w:pPr>
            <w:r>
              <w:rPr>
                <w:rFonts w:ascii="Arial" w:cs="Arial" w:eastAsia="Arial" w:hAnsi="Arial"/>
                <w:sz w:val="18"/>
                <w:szCs w:val="18"/>
                <w:color w:val="auto"/>
                <w:w w:val="91"/>
              </w:rPr>
              <w:t>Average tangible common equity to average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400" w:type="dxa"/>
            <w:vAlign w:val="bottom"/>
          </w:tcPr>
          <w:p>
            <w:pPr>
              <w:ind w:left="320"/>
              <w:spacing w:after="0" w:line="240" w:lineRule="exact"/>
              <w:rPr>
                <w:sz w:val="20"/>
                <w:szCs w:val="20"/>
                <w:color w:val="auto"/>
              </w:rPr>
            </w:pPr>
            <w:r>
              <w:rPr>
                <w:rFonts w:ascii="Arial" w:cs="Arial" w:eastAsia="Arial" w:hAnsi="Arial"/>
                <w:sz w:val="17"/>
                <w:szCs w:val="17"/>
                <w:color w:val="auto"/>
              </w:rPr>
              <w:t xml:space="preserve">assets </w:t>
            </w:r>
            <w:r>
              <w:rPr>
                <w:rFonts w:ascii="Arial" w:cs="Arial" w:eastAsia="Arial" w:hAnsi="Arial"/>
                <w:sz w:val="27"/>
                <w:szCs w:val="27"/>
                <w:color w:val="auto"/>
                <w:vertAlign w:val="superscript"/>
              </w:rPr>
              <w:t>(2)</w:t>
            </w: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00" w:type="dxa"/>
            <w:vAlign w:val="bottom"/>
            <w:shd w:val="clear" w:color="auto" w:fill="F0FFFF"/>
          </w:tcPr>
          <w:p>
            <w:pPr>
              <w:ind w:left="160"/>
              <w:spacing w:after="0" w:line="192" w:lineRule="exact"/>
              <w:rPr>
                <w:sz w:val="20"/>
                <w:szCs w:val="20"/>
                <w:color w:val="auto"/>
              </w:rPr>
            </w:pPr>
            <w:r>
              <w:rPr>
                <w:rFonts w:ascii="Arial" w:cs="Arial" w:eastAsia="Arial" w:hAnsi="Arial"/>
                <w:sz w:val="18"/>
                <w:szCs w:val="18"/>
                <w:color w:val="auto"/>
                <w:w w:val="98"/>
              </w:rPr>
              <w:t>Tangible common equity to risk-weighted</w:t>
            </w:r>
          </w:p>
        </w:tc>
        <w:tc>
          <w:tcPr>
            <w:tcW w:w="8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2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6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400" w:type="dxa"/>
            <w:vAlign w:val="bottom"/>
            <w:shd w:val="clear" w:color="auto" w:fill="F0FFFF"/>
          </w:tcPr>
          <w:p>
            <w:pPr>
              <w:ind w:left="320"/>
              <w:spacing w:after="0" w:line="240" w:lineRule="exact"/>
              <w:rPr>
                <w:sz w:val="20"/>
                <w:szCs w:val="20"/>
                <w:color w:val="auto"/>
              </w:rPr>
            </w:pPr>
            <w:r>
              <w:rPr>
                <w:rFonts w:ascii="Arial" w:cs="Arial" w:eastAsia="Arial" w:hAnsi="Arial"/>
                <w:sz w:val="17"/>
                <w:szCs w:val="17"/>
                <w:color w:val="auto"/>
              </w:rPr>
              <w:t xml:space="preserve">assets </w:t>
            </w:r>
            <w:r>
              <w:rPr>
                <w:rFonts w:ascii="Arial" w:cs="Arial" w:eastAsia="Arial" w:hAnsi="Arial"/>
                <w:sz w:val="27"/>
                <w:szCs w:val="27"/>
                <w:color w:val="auto"/>
                <w:vertAlign w:val="superscript"/>
              </w:rPr>
              <w:t>(2)</w:t>
            </w:r>
          </w:p>
        </w:tc>
        <w:tc>
          <w:tcPr>
            <w:tcW w:w="8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F0FFFF"/>
          </w:tcPr>
          <w:p>
            <w:pPr>
              <w:spacing w:after="0"/>
              <w:rPr>
                <w:sz w:val="20"/>
                <w:szCs w:val="20"/>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F0FFFF"/>
          </w:tcPr>
          <w:p>
            <w:pPr>
              <w:spacing w:after="0"/>
              <w:rPr>
                <w:sz w:val="20"/>
                <w:szCs w:val="20"/>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13.92</w:t>
            </w:r>
          </w:p>
        </w:tc>
        <w:tc>
          <w:tcPr>
            <w:tcW w:w="160" w:type="dxa"/>
            <w:vAlign w:val="bottom"/>
            <w:shd w:val="clear" w:color="auto" w:fill="F0FFFF"/>
          </w:tcPr>
          <w:p>
            <w:pPr>
              <w:spacing w:after="0"/>
              <w:rPr>
                <w:sz w:val="20"/>
                <w:szCs w:val="20"/>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F0FFFF"/>
          </w:tcPr>
          <w:p>
            <w:pPr>
              <w:spacing w:after="0"/>
              <w:rPr>
                <w:sz w:val="20"/>
                <w:szCs w:val="20"/>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F0FFFF"/>
          </w:tcPr>
          <w:p>
            <w:pPr>
              <w:spacing w:after="0"/>
              <w:rPr>
                <w:sz w:val="20"/>
                <w:szCs w:val="20"/>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13.16</w:t>
            </w:r>
          </w:p>
        </w:tc>
        <w:tc>
          <w:tcPr>
            <w:tcW w:w="16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ASSET QUALITY *</w:t>
            </w:r>
          </w:p>
        </w:tc>
        <w:tc>
          <w:tcPr>
            <w:tcW w:w="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Non-performing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17,881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18,745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20,724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25,250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26,819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26,088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27,864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80"/>
              <w:spacing w:after="0"/>
              <w:rPr>
                <w:sz w:val="20"/>
                <w:szCs w:val="20"/>
                <w:color w:val="auto"/>
              </w:rPr>
            </w:pPr>
            <w:r>
              <w:rPr>
                <w:rFonts w:ascii="Arial" w:cs="Arial" w:eastAsia="Arial" w:hAnsi="Arial"/>
                <w:sz w:val="18"/>
                <w:szCs w:val="18"/>
                <w:color w:val="auto"/>
              </w:rPr>
              <w:t>Foreclosed properties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2,969</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5,594</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4,221</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3,936</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16,734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Total non-performing assets (NPAs)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19,607</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21,891</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23,693</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30,844</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31,040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30,555</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31,800</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60"/>
              <w:spacing w:after="0"/>
              <w:rPr>
                <w:sz w:val="20"/>
                <w:szCs w:val="20"/>
                <w:color w:val="auto"/>
              </w:rPr>
            </w:pPr>
            <w:r>
              <w:rPr>
                <w:rFonts w:ascii="Arial" w:cs="Arial" w:eastAsia="Arial" w:hAnsi="Arial"/>
                <w:sz w:val="18"/>
                <w:szCs w:val="18"/>
                <w:color w:val="auto"/>
              </w:rPr>
              <w:t>Allowance for loan losses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71,619</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71,928</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73,248</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75,223</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76,762</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80,372</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81,845</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w w:val="95"/>
              </w:rPr>
              <w:t>105,753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Net charge-offs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4,175</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4,039</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72,408</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60"/>
              <w:spacing w:after="0"/>
              <w:rPr>
                <w:sz w:val="20"/>
                <w:szCs w:val="20"/>
                <w:color w:val="auto"/>
              </w:rPr>
            </w:pPr>
            <w:r>
              <w:rPr>
                <w:rFonts w:ascii="Arial" w:cs="Arial" w:eastAsia="Arial" w:hAnsi="Arial"/>
                <w:sz w:val="18"/>
                <w:szCs w:val="18"/>
                <w:color w:val="auto"/>
              </w:rPr>
              <w:t>Allowance for loan losses to loans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line="216" w:lineRule="exact"/>
              <w:rPr>
                <w:sz w:val="20"/>
                <w:szCs w:val="20"/>
                <w:color w:val="auto"/>
              </w:rPr>
            </w:pPr>
            <w:r>
              <w:rPr>
                <w:rFonts w:ascii="Arial" w:cs="Arial" w:eastAsia="Arial" w:hAnsi="Arial"/>
                <w:sz w:val="16"/>
                <w:szCs w:val="16"/>
                <w:color w:val="auto"/>
              </w:rPr>
              <w:t xml:space="preserve">Net charge-offs to average loans </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80"/>
              <w:spacing w:after="0"/>
              <w:rPr>
                <w:sz w:val="20"/>
                <w:szCs w:val="20"/>
                <w:color w:val="auto"/>
              </w:rPr>
            </w:pPr>
            <w:r>
              <w:rPr>
                <w:rFonts w:ascii="Arial" w:cs="Arial" w:eastAsia="Arial" w:hAnsi="Arial"/>
                <w:sz w:val="18"/>
                <w:szCs w:val="18"/>
                <w:color w:val="auto"/>
              </w:rPr>
              <w:t>NPAs to loans and foreclosed properties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NPAs to total assets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 in millions)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80"/>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4,621</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4,376</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4,356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4,315</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4,253</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2,326</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2,161</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80"/>
              <w:spacing w:after="0"/>
              <w:rPr>
                <w:sz w:val="20"/>
                <w:szCs w:val="20"/>
                <w:color w:val="auto"/>
              </w:rPr>
            </w:pPr>
            <w:r>
              <w:rPr>
                <w:rFonts w:ascii="Arial" w:cs="Arial" w:eastAsia="Arial" w:hAnsi="Arial"/>
                <w:sz w:val="18"/>
                <w:szCs w:val="18"/>
                <w:color w:val="auto"/>
              </w:rPr>
              <w:t>Earning assets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7,013</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6,820</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6,861</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6,827</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6,823</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6,615</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6,608</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7,374</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7,418</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7,384</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7,370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6,915</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80"/>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6,383</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6,187</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6,197</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6,190</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5,987</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5,983</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80"/>
              <w:spacing w:after="0"/>
              <w:rPr>
                <w:sz w:val="20"/>
                <w:szCs w:val="20"/>
                <w:color w:val="auto"/>
              </w:rPr>
            </w:pPr>
            <w:r>
              <w:rPr>
                <w:rFonts w:ascii="Arial" w:cs="Arial" w:eastAsia="Arial" w:hAnsi="Arial"/>
                <w:sz w:val="18"/>
                <w:szCs w:val="18"/>
                <w:color w:val="auto"/>
              </w:rPr>
              <w:t xml:space="preserve">Common shares - basic </w:t>
            </w:r>
            <w:r>
              <w:rPr>
                <w:rFonts w:ascii="Arial" w:cs="Arial" w:eastAsia="Arial" w:hAnsi="Arial"/>
                <w:sz w:val="18"/>
                <w:szCs w:val="18"/>
                <w:i w:val="1"/>
                <w:iCs w:val="1"/>
                <w:color w:val="auto"/>
              </w:rPr>
              <w:t>(thousands)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60,830</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60,776</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60,712</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60,059</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59,923</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59,100</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58,141</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58,081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 xml:space="preserve">Common shares - diluted </w:t>
            </w:r>
            <w:r>
              <w:rPr>
                <w:rFonts w:ascii="Arial" w:cs="Arial" w:eastAsia="Arial" w:hAnsi="Arial"/>
                <w:sz w:val="18"/>
                <w:szCs w:val="18"/>
                <w:i w:val="1"/>
                <w:iCs w:val="1"/>
                <w:color w:val="auto"/>
              </w:rPr>
              <w:t>(thousands)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60,833</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60,779</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60,714</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60,061</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59,925</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59,202</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58,141</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8"/>
                <w:szCs w:val="18"/>
                <w:i w:val="1"/>
                <w:iCs w:val="1"/>
                <w:color w:val="auto"/>
              </w:rPr>
              <w:t>($ in millions)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80"/>
              <w:spacing w:after="0"/>
              <w:rPr>
                <w:sz w:val="20"/>
                <w:szCs w:val="20"/>
                <w:color w:val="auto"/>
              </w:rPr>
            </w:pPr>
            <w:r>
              <w:rPr>
                <w:rFonts w:ascii="Arial" w:cs="Arial" w:eastAsia="Arial" w:hAnsi="Arial"/>
                <w:sz w:val="18"/>
                <w:szCs w:val="18"/>
                <w:color w:val="auto"/>
              </w:rPr>
              <w:t>Loans *</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4,672</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4,410</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4,356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4,329</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4,267</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4,189</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2,190</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2,152</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7,567</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7,526</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7,352</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7,398</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7,425</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7,243</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7,163</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6,327</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6,164</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6,248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6,202</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6,012</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F0FFFF"/>
          </w:tcPr>
          <w:p>
            <w:pPr>
              <w:ind w:left="8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F0FFFF"/>
          </w:tcPr>
          <w:p>
            <w:pPr>
              <w:spacing w:after="0"/>
              <w:rPr>
                <w:sz w:val="18"/>
                <w:szCs w:val="18"/>
                <w:color w:val="auto"/>
              </w:rPr>
            </w:pPr>
          </w:p>
        </w:tc>
        <w:tc>
          <w:tcPr>
            <w:tcW w:w="9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80"/>
              <w:spacing w:after="0"/>
              <w:rPr>
                <w:sz w:val="20"/>
                <w:szCs w:val="20"/>
                <w:color w:val="auto"/>
              </w:rPr>
            </w:pPr>
            <w:r>
              <w:rPr>
                <w:rFonts w:ascii="Arial" w:cs="Arial" w:eastAsia="Arial" w:hAnsi="Arial"/>
                <w:sz w:val="18"/>
                <w:szCs w:val="18"/>
                <w:color w:val="auto"/>
                <w:w w:val="99"/>
              </w:rPr>
              <w:t xml:space="preserve">Common shares outstanding </w:t>
            </w:r>
            <w:r>
              <w:rPr>
                <w:rFonts w:ascii="Arial" w:cs="Arial" w:eastAsia="Arial" w:hAnsi="Arial"/>
                <w:sz w:val="18"/>
                <w:szCs w:val="18"/>
                <w:i w:val="1"/>
                <w:iCs w:val="1"/>
                <w:color w:val="auto"/>
                <w:w w:val="99"/>
              </w:rPr>
              <w:t>(thousands)</w:t>
            </w: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60,259</w:t>
            </w: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60,248</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60,139</w:t>
            </w:r>
          </w:p>
        </w:tc>
        <w:tc>
          <w:tcPr>
            <w:tcW w:w="16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60,092</w:t>
            </w: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59,432</w:t>
            </w: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59,412</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57,831</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57,767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40" w:firstLine="8"/>
        <w:spacing w:after="0" w:line="222" w:lineRule="auto"/>
        <w:tabs>
          <w:tab w:leader="none" w:pos="257"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 xml:space="preserve">Net income available to common shareholders, which is net of preferred stock dividends, divided by average realized common equity, which excludes accumulated other comprehensive income (loss). </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Excludes effect of acquisition related intangibles and associated amortization.</w:t>
      </w:r>
    </w:p>
    <w:p>
      <w:pPr>
        <w:sectPr>
          <w:pgSz w:w="11900" w:h="16952" w:orient="portrait"/>
          <w:cols w:equalWidth="0" w:num="1">
            <w:col w:w="11420"/>
          </w:cols>
          <w:pgMar w:left="240" w:top="675" w:right="239" w:bottom="0" w:gutter="0" w:footer="0" w:header="0"/>
        </w:sectPr>
      </w:pPr>
    </w:p>
    <w:bookmarkStart w:id="28" w:name="page29"/>
    <w:bookmarkEnd w:id="28"/>
    <w:p>
      <w:pPr>
        <w:ind w:left="272" w:hanging="272"/>
        <w:spacing w:after="0"/>
        <w:tabs>
          <w:tab w:leader="none" w:pos="272"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Annualized.</w:t>
      </w:r>
    </w:p>
    <w:p>
      <w:pPr>
        <w:spacing w:after="0" w:line="161" w:lineRule="exact"/>
        <w:rPr>
          <w:sz w:val="20"/>
          <w:szCs w:val="20"/>
          <w:color w:val="auto"/>
        </w:rPr>
      </w:pPr>
    </w:p>
    <w:p>
      <w:pPr>
        <w:ind w:left="5612" w:right="3399" w:hanging="5612"/>
        <w:spacing w:after="0" w:line="528" w:lineRule="auto"/>
        <w:tabs>
          <w:tab w:leader="none" w:pos="1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11" w:right="1440"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earnings (loss) and operating earnings (loss) per diluted share are non-GAAP performance measures. United’s management believes that operating performance measures are useful in analyzing the Company’s financial performance trends since they exclude items that are generally non-recurring in nature and therefore most of the discussion in this section will refer to operating performance measures. A reconciliation of these operating performance measures to GAAP performance measures is included in the table on pages 31 through 32.</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reported net income of $67.6 million, or $1.11 per diluted share, in 2014, compared with $273 million, or $4.44 per share in 2013. Earnings for 2013 were significantly impacted by the reversal of a $272 million valuation allowance on United’s net deferred tax asset and a large bulk sale of classified assets, both of which took place in the second quarter of 2013. The effects of these two events on the income statement were significant increases in the provision for loan losses and foreclosed property expense from the classified asset sales and the recognition of a tax benefit in the income tax line from the valuation allowance reversal.</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United’s financial condition improved considerably over the last two years, as several of our strategic goals were achieved. We reduced nonperforming assets to pre-crisis levels, restored our deferred tax asset, and redeemed $75 million of our Series B Preferred Stock which was followed by the redemption of the remaining $105 million in early January 2014 and $16.6 million in Series D Preferred Stock in March 2014. The improvement continued in 2014 with further investment in new businesses and markets. In 2014, United made significant investments in its SBA business, including the acquisition of Business Carolina, Inc., a specialty lending corporation headquartered in Columbia, South Carolina that specializes in SBA and USDA lending, and added management, lenders, underwriters and operations to its specialized lending areas which drove much of the $343 million in loan growth in 2014. Credit quality continued its improving trend leading to much lower levels of nonperforming assets and a lower credit loss provision.</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Taxable equivalent net interest revenue was $224 million for 2014, compared to $220 million in 2013. The $4.78 million increase in 2014 is in contrast to a declining trend in net interest revenue in the previous four years. The increase is a result of strategic initiatives to develop new business lines and expand into new markets as well as balance sheet management and restructuring actions taken in the second quarter of 2014 that are mentioned below.</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margin decreased 4 basis points from 3.30% in 2013 to 3.26% in 2014 due primarily to lower yields on loans. The 30 basis point decrease in the average loan yield was partially offset by the 6 basis point reduction in the average rate paid on interest bearing deposits and a higher yield on the taxable investment securities. United’s average yield on its taxable investment securities portfolio increased 26 basis points from 2013, mostly as a result of balance sheet management activities late in the second quarter of 2014. The balance sheet management activities, which included restructuring interest rate swaps, selling investment securities and repaying high cost wholesale borrowings, had the effect of lowering United’s funding costs and increasing the yield on the investment securities portfolio.</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2014, United’s allowance for loan losses was $71.6 million, or 1.53% of loans, compared with $76.8 million, or 1.77% of loans, at the end of 2013. Nonperforming assets of $19.6 million were .26% of total assets at December 31, 2014 compared to .42% as of December 31, 2013. United’s allowance for loan losses has continued along a declining trend, both in terms of dollars and as a percentage of assets, as credit measures have improved.</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Fee revenue of $55.6 million was down $1.04 million, or 2%, from 2013. The decrease was primarily due to lower mortgage fees reflecting changes in the interest rate environment resulting in lower refinancing activity. Mortgage loan and related fees decreased $2.41 million from 2013. In 2014, United closed $276 million in mortgage loans compared with $297 million in 2013. In 2014, 63%, or $174 million, of the closed loans were for home purchases versus 48%, or $144 million in 2013. Other fee revenue is shown in more detail in Table 4 on page 36. Other fee revenue for 2014 included $2.62 million in gains from sales of SBA loans and there were no gains in 2013. The decrease in other fee revenue of $2.04 million results from an $870,000 decrease in customer derivatives revenue, a $1.45 million in gain on a bank owned life insurance policy in 2013 and $468,000 in gains from the sale of low income housing tax credits in 2013. Deposit service charges and fees were up $1.08 million mostly due to higher interchange fee revenue and an increase in account service fees which were partially offset by lower overdraft fees. Brokerage fees were up $342,000 from 2013.</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2014, operating expenses of $163 million were down $11.4 million, or 7%, from 2013. United’s focus on reducing costs and improving operating efficiency resulted in reductions of communications and equipment, occupancy, and advertising and public relations expenses in 2014. United also had significant decreases in foreclosed property costs, down $7.24 million from 2013, and FDIC assessments and other regulatory charges, down $4.43 million from 2013, both reflecting improving credit measures. Professional fees were down $2.91 million of which $1.20 million was due to the release of a previously disclosed litigation reserve. Salaries and employee benefits expense was up $4.71 million reflecting United’s investment in key personnel in new lines of business and markets as well as an increase in production and performance incentives.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Loans at December 31, 2014 were $4.67 billion, up $343 million from the end of 2013. A significant portion of the loan growth resulted from United’s new specialized lending businesses, including health care, corporate, SBA, asset-based and commercial real estate lending. These new businesses added $290 million in loan growth in 2014 including $24.8 million that resulted from the acquisition of Business Carolina, Inc. In addition, United purchased $169 million of indirect auto loans during 2014, which drove the increase in the consumer category. Deposits were up $125 million to $6.33 billion, as United focused on increasing low cost core transaction deposits which grew $252 million in 2014, excluding public funds deposits. At the end of 2014, total equity capital was $740 million, down $56.1 million from December 31, 2013, reflecting net income of $67.6 million, offset by the redemption of $122 million in preferred stock and the payment of dividends on United’s common stock of $6.66 million. At December 31, 2014, all of United’s regulatory capital ratios were above well capitalized levels.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and its subsidiaries are in accordance with accounting principles generally accepted in the United States of America and conform to general practices within the banking industry. The more critical accounting and reporting policies include United’s accounting for the allowance for loan losses, fair value measurements and income taxes.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most significant accounting policies for United are presented in Note 1 to the consolidated financial statements. These policies, along with the disclosures presented in the other financial statement notes and in this financial review,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effect on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Management considers the following accounting policies to be critical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credit losses is an estimate and represents management’s estimate of probable incurred credit losses in the loan portfolio and unfunded loan commitments. It consists of two components: the allowance for loan losses and the allowance for unfunded commitments. Estimating the amount of the allowance for credit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events and conditions. The loan portfolio also represents the largest asset type on the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allowance for loan losses is an estimate of probable incurred losses in the loan portfolio and is based on analyses developed through specific credit allocations for individual loans and historical loss experience for each loan category. The specific credit allocations are based on impairment analyses of all nonaccrual loans over $500,000, accruing substandard loans in relationships over $2 million and troubled debt restructurings (“TDRs”), which are all considered impaired loans. These analyses involve judgment in estimating the amount of loss associated with specific loans, including estimating the amount and timing of future cash flows and collateral values. The historical loss element is determined using the weighted average of actual losses incurred over the prior eight quarters for each type of loan, multiplied by an estimated loss emergence period. The weighted average is weighted toward the most recent quarters’ loss experience. The historical loss experience is adjusted for known changes in economic trends, events and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quarterly.</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2014, United reported an unallocated portion of the allowance. In 2014, United incorporated a loss emergence period into its allowance analysis which resulted in the full allocation of the previously unallocated allowance. Management’s use of the loss emergence period is an estimate of the period of time from the first evidence of loss incurrence through the period of time until such losses are confirmed (or charged-off).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7"/>
          <w:szCs w:val="17"/>
          <w:color w:val="auto"/>
        </w:rPr>
        <w:t>There are many factors affecting the allowance for credit losses; some are quantitative while others require qualitative judgment. Although management believes its processes for determining the allowance adequately considers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on United’s loan portfolio and allowance for credit losses can be found in the sections of Management’s Discussion and Analysis titled “Asset Quality and Risk Elements” and “Nonperforming Assets” and in the sections of Part I, Item 1 titled “Lending Policy” and “Loan Review and Nonperforming Assets”. Note 1 to the consolidated financial statements includes additional information on United’s accounting policies related to the allowance for loan losses.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impaired loans and foreclosed assets may be measured and carried at fair value, the determination of which requires management to make assumptions, estimates and judgments. At December 31, 2014, the percentage of total assets measured at fair value was 23%. See Note 23 “Fair Value” in the consolidated financial statements herein for additional disclosures regarding the fair value of our assets and liabilities.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a loan is considered individually impaired, a specific valuation allowance is allocated, if necessary, so that the loan is reported net, at the present value of estimated future cash flows using the loan’s existing rate or at the fair value of collateral if repayment is expected solely from the collateral. In addition, foreclosed assets are carried at the lower of cost, fair value, less cost to sell, or listed selling price less cost to sell, following foreclosure. 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Although management believes its processes for determining the value of impaired loans and foreclosed properties are appropriate and allow United to arrive at a fair value, the processes require management judgment and assumptions and the value of such assets at the time they are revalued or divested may be significantly different from management’s determination of fair value. In addition, because of subjectivity in fair value determinations, there may be grounds for differences in opinions, which may result in disagreements between management and the Bank’s regulators, disagreements which could cause the Bank to change its judgments about fair value.</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values for available-for-sale and held-to-maturity securities are generally based upon quoted market prices or observable market prices for similar instruments. United utilizes a third-party pricing service to assist with determining the fair value of its securities portfolio. The pricing service uses observable inputs when available including benchmark yields, reported trades, broker-dealer quotes, issuer spreads, benchmark securities, bids and offers. These values take into account recent market activity as well as other market 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 As of December 31, 2014, United had $750,000 of available-for-sale securities valued using unobservable inputs. This amount represents less than .01% of total assets. United periodically reviews available-for-sale securities that are in an unrealized loss position to determine whether other-than-temporary impairment exists. An unrealized loss exists when the current fair value of an individual security is less than its amortized cost-basis. The primary factors United considers in determining whether impairment is other-than-temporary are long term expectations and recent experience regarding principal and interest payments, and United’s ability and intent to hold the security until the amortized cost basis is recovered.</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derivatives primarily to manage interest rate risk. The fair values of derivative financial instruments are determined based on quoted market prices, dealer quotes and internal pricing models that are primarily sensitive to market observable data. However, United does evaluate the level of these observable inputs and there are some instances, with highly structured transactions, where United has determined that the inputs not directly observable. This is discussed covered in Note 23 to the Financial Statements. United mitigates the credit risk by subjecting counterparties to credit reviews and approvals similar to those used in making loans and other extensions of credit. In addition, certain counterparties are required to provide collateral to United when their unsecured loss positions exceed certain negotiated limits.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United expanded its SBA lending and subsequent loan sales activities, a servicing asset has been recognized (per ASC 860). This asset is recorded at fair value on recognition, and United has elected to carry this asset at fair value for subsequent reporting. Given the nature of the asset, the key valuation inputs are unobservable and United discloses this asset as level 3 item in Note 23.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Income Tax Accounting</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Income tax liabilities or assets are established for the amount of taxes payable or refundable for the current or prior years. Deferred tax liabilities and assets are also established for the future tax consequences of events that have been recognized in the financial statements or tax returns. A deferred tax liability or asset is recognized for the estimated future tax effects attributable to temporary differences and deductions that can be carried forward (used) in future years. The valuation of current and deferred tax liabilities and assets is considered critical as it requires management to make estimates based on provisions of the enacted tax laws. The assessment of tax assets and liabilities involves the use of estimates, assumptions, interpretations, and judgments concerning certain accounting pronouncements and federal and state tax codes. There can be no assurance that future events, such as court decisions or positions of regulatory agencies and federal and state taxing authorities, will not differ from management’s current assessment, the impact of which could be significant to the consolidated results of operations and reported earnings.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At December 31, 2014, United reported a net deferred tax asset totaling $216 million, and a valuation allowance of $4.80 million.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In making such judgments, significant weight is given to evidence that can be objectively verified.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Regulatory risk-based capital rules limit the amount of deferred tax assets that a bank or bank holding company can include in Tier 1 capital. Generally, deferred tax assets that are dependent upon future taxable income are limited to the lesser of: (i) the amount of such deferred tax assets that the bank expects to realize within one year of the calendar quarter-end date, based on its projected future taxable income for that year or (ii) 10% of the amount of the bank’s Tier 1 capital.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selectively engages in the evaluation of strategic partnerships. Mergers and acquisitions present opportunities to enter new markets with an established presence and a capable management team already in place.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markets with excellent opportunities for further organic growth.</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26, 2014, United completed the acquisition of substantially all of the assets of Business Carolina, Inc., a specialty SBA / United States Department of Agriculture (“USDA”) lender headquartered in Columbia, South Carolina. On the closing date, United paid $31.3 million in cash for loans having a fair value on the purchase date of $24.8 million, accrued interest of $83,000, servicing rights with a fair value on the purchase date of $2.13 million, premises and equipment with a fair value on the purchase date of $2.60 million and goodwill in the amount of $1.51 million representing the premium paid over the fair value of the separately identifiable assets and liabilities acquired.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United will continue to evaluate potential transactions as they are presented.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Form 10-K contains non-GAAP financial measures determined by methods other than in accordance with GAAP. Such non-GAAP financial measures include, among others, the following: taxable equivalent interest revenue, taxable equivalent net interest revenue, operating provision for loan losses, operating fee revenue, total operating revenue, operating expense, operating income (loss), operating earnings (loss) per share and operating earnings (loss) per diluted share.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on the tables on pages 31 through 32.</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2010, United recorded a non-cash goodwill impairment charge of $211 million in the third quarter. Also in 2010, United received a partial recovery of $11.8 million, net of recovery costs, in the fourth quarter resulting from fraud losses incurred in 2007 relating to two failed real estate developments near Spruce Pine, North Carolina.</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operating income (loss) excludes the effect of the goodwill impairment charge of $211 million and the $11.8 million fraud loss partial recovery in 2010, because management believes that the circumstances leading to those items were isolated, non-recurring events and do not reflect overall trends in United’s earnings and financial performance. Management believes this non-GAAP net operating loss provides users of United’s financial information with a meaningful measure for assessing United’s financial results and credit trends, as well as comparison to financial results for prior periods.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3" w:name="page34"/>
    <w:bookmarkEnd w:id="33"/>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reconciliation of net operating income to GAAP net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Non-GAAP Performance Measures Reconciliation - Annual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608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For the Twelve Months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4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share</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Ended 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6"/>
                <w:szCs w:val="16"/>
                <w:i w:val="1"/>
                <w:iCs w:val="1"/>
                <w:color w:val="auto"/>
              </w:rPr>
              <w:t>data; taxable equivalent)</w:t>
            </w:r>
          </w:p>
        </w:tc>
        <w:tc>
          <w:tcPr>
            <w:tcW w:w="100" w:type="dxa"/>
            <w:vAlign w:val="bottom"/>
          </w:tcPr>
          <w:p>
            <w:pPr>
              <w:spacing w:after="0"/>
              <w:rPr>
                <w:sz w:val="19"/>
                <w:szCs w:val="19"/>
                <w:color w:val="auto"/>
              </w:rPr>
            </w:pPr>
          </w:p>
        </w:tc>
        <w:tc>
          <w:tcPr>
            <w:tcW w:w="1040" w:type="dxa"/>
            <w:vAlign w:val="bottom"/>
          </w:tcPr>
          <w:p>
            <w:pPr>
              <w:jc w:val="right"/>
              <w:ind w:right="338"/>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38"/>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right="158"/>
              <w:spacing w:after="0"/>
              <w:rPr>
                <w:sz w:val="20"/>
                <w:szCs w:val="20"/>
                <w:color w:val="auto"/>
              </w:rPr>
            </w:pPr>
            <w:r>
              <w:rPr>
                <w:rFonts w:ascii="Arial" w:cs="Arial" w:eastAsia="Arial" w:hAnsi="Arial"/>
                <w:sz w:val="16"/>
                <w:szCs w:val="16"/>
                <w:b w:val="1"/>
                <w:bCs w:val="1"/>
                <w:color w:val="auto"/>
                <w:w w:val="89"/>
              </w:rPr>
              <w:t>2012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2011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100" w:type="dxa"/>
            <w:vAlign w:val="bottom"/>
            <w:tcBorders>
              <w:top w:val="single" w:sz="8" w:color="646464"/>
            </w:tcBorders>
          </w:tcPr>
          <w:p>
            <w:pPr>
              <w:spacing w:after="0"/>
              <w:rPr>
                <w:sz w:val="18"/>
                <w:szCs w:val="18"/>
                <w:color w:val="auto"/>
              </w:rPr>
            </w:pPr>
          </w:p>
        </w:tc>
        <w:tc>
          <w:tcPr>
            <w:tcW w:w="1040" w:type="dxa"/>
            <w:vAlign w:val="bottom"/>
            <w:tcBorders>
              <w:top w:val="single" w:sz="8" w:color="646464"/>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Interest revenue reconciliation</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Interest revenue - taxable equivalent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249,969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59"/>
              <w:spacing w:after="0"/>
              <w:rPr>
                <w:sz w:val="20"/>
                <w:szCs w:val="20"/>
                <w:color w:val="auto"/>
              </w:rPr>
            </w:pPr>
            <w:r>
              <w:rPr>
                <w:rFonts w:ascii="Arial" w:cs="Arial" w:eastAsia="Arial" w:hAnsi="Arial"/>
                <w:sz w:val="16"/>
                <w:szCs w:val="16"/>
                <w:color w:val="auto"/>
              </w:rPr>
              <w:t>247,323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267,667</w:t>
            </w:r>
          </w:p>
        </w:tc>
        <w:tc>
          <w:tcPr>
            <w:tcW w:w="2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304,308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344,493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Taxable equivalent adjustment</w:t>
            </w:r>
          </w:p>
        </w:tc>
        <w:tc>
          <w:tcPr>
            <w:tcW w:w="100" w:type="dxa"/>
            <w:vAlign w:val="bottom"/>
            <w:shd w:val="clear" w:color="auto" w:fill="F0FFFF"/>
          </w:tcPr>
          <w:p>
            <w:pPr>
              <w:spacing w:after="0"/>
              <w:rPr>
                <w:sz w:val="18"/>
                <w:szCs w:val="18"/>
                <w:color w:val="auto"/>
              </w:rPr>
            </w:pPr>
          </w:p>
        </w:tc>
        <w:tc>
          <w:tcPr>
            <w:tcW w:w="128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(1,483)</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(1,690)</w:t>
            </w:r>
          </w:p>
        </w:tc>
        <w:tc>
          <w:tcPr>
            <w:tcW w:w="240" w:type="dxa"/>
            <w:vAlign w:val="bottom"/>
            <w:shd w:val="clear" w:color="auto" w:fill="F0FFFF"/>
          </w:tcPr>
          <w:p>
            <w:pPr>
              <w:spacing w:after="0"/>
              <w:rPr>
                <w:sz w:val="18"/>
                <w:szCs w:val="18"/>
                <w:color w:val="auto"/>
              </w:rPr>
            </w:pPr>
          </w:p>
        </w:tc>
        <w:tc>
          <w:tcPr>
            <w:tcW w:w="11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(1,707)</w:t>
            </w: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shd w:val="clear" w:color="auto" w:fill="F0FFFF"/>
          </w:tcPr>
          <w:p>
            <w:pPr>
              <w:spacing w:after="0"/>
              <w:rPr>
                <w:sz w:val="2"/>
                <w:szCs w:val="2"/>
                <w:color w:val="auto"/>
              </w:rPr>
            </w:pPr>
          </w:p>
        </w:tc>
        <w:tc>
          <w:tcPr>
            <w:tcW w:w="100" w:type="dxa"/>
            <w:vAlign w:val="bottom"/>
            <w:shd w:val="clear" w:color="auto" w:fill="646464"/>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6"/>
                <w:szCs w:val="16"/>
                <w:color w:val="auto"/>
              </w:rPr>
              <w:t>Interest revenue (GAAP)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248,432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59"/>
              <w:spacing w:after="0"/>
              <w:rPr>
                <w:sz w:val="20"/>
                <w:szCs w:val="20"/>
                <w:color w:val="auto"/>
              </w:rPr>
            </w:pPr>
            <w:r>
              <w:rPr>
                <w:rFonts w:ascii="Arial" w:cs="Arial" w:eastAsia="Arial" w:hAnsi="Arial"/>
                <w:sz w:val="16"/>
                <w:szCs w:val="16"/>
                <w:color w:val="auto"/>
              </w:rPr>
              <w:t>245,840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265,977</w:t>
            </w:r>
          </w:p>
        </w:tc>
        <w:tc>
          <w:tcPr>
            <w:tcW w:w="2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302,601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342,492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646464"/>
              <w:bottom w:val="single" w:sz="8" w:color="646464"/>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646464"/>
              <w:bottom w:val="single" w:sz="8" w:color="646464"/>
            </w:tcBorders>
          </w:tcPr>
          <w:p>
            <w:pPr>
              <w:spacing w:after="0"/>
              <w:rPr>
                <w:sz w:val="2"/>
                <w:szCs w:val="2"/>
                <w:color w:val="auto"/>
              </w:rPr>
            </w:pPr>
          </w:p>
        </w:tc>
        <w:tc>
          <w:tcPr>
            <w:tcW w:w="880" w:type="dxa"/>
            <w:vAlign w:val="bottom"/>
            <w:tcBorders>
              <w:top w:val="single" w:sz="8" w:color="646464"/>
              <w:bottom w:val="single" w:sz="8" w:color="646464"/>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Net interest revenue reconciliation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Net interest revenue - taxable equivalent</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224,418</w:t>
            </w:r>
          </w:p>
        </w:tc>
        <w:tc>
          <w:tcPr>
            <w:tcW w:w="240" w:type="dxa"/>
            <w:vAlign w:val="bottom"/>
            <w:tcBorders>
              <w:right w:val="single" w:sz="8" w:color="F0FFFF"/>
            </w:tcBorders>
            <w:shd w:val="clear" w:color="auto" w:fill="F0FFFF"/>
          </w:tcPr>
          <w:p>
            <w:pPr>
              <w:spacing w:after="0"/>
              <w:rPr>
                <w:sz w:val="19"/>
                <w:szCs w:val="19"/>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219,641</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229,758</w:t>
            </w:r>
          </w:p>
        </w:tc>
        <w:tc>
          <w:tcPr>
            <w:tcW w:w="26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238,670</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244,637</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Taxable equivalent adjustment</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(1,483)</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(1,690)</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(1,707)</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646464"/>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646464"/>
          </w:tcPr>
          <w:p>
            <w:pPr>
              <w:spacing w:after="0"/>
              <w:rPr>
                <w:sz w:val="2"/>
                <w:szCs w:val="2"/>
                <w:color w:val="auto"/>
              </w:rPr>
            </w:pPr>
          </w:p>
        </w:tc>
        <w:tc>
          <w:tcPr>
            <w:tcW w:w="1040" w:type="dxa"/>
            <w:vAlign w:val="bottom"/>
            <w:shd w:val="clear" w:color="auto" w:fill="646464"/>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shd w:val="clear" w:color="auto" w:fill="F0FFFF"/>
          </w:tcPr>
          <w:p>
            <w:pPr>
              <w:ind w:left="160"/>
              <w:spacing w:after="0"/>
              <w:rPr>
                <w:sz w:val="20"/>
                <w:szCs w:val="20"/>
                <w:color w:val="auto"/>
              </w:rPr>
            </w:pPr>
            <w:r>
              <w:rPr>
                <w:rFonts w:ascii="Arial" w:cs="Arial" w:eastAsia="Arial" w:hAnsi="Arial"/>
                <w:sz w:val="16"/>
                <w:szCs w:val="16"/>
                <w:color w:val="auto"/>
              </w:rPr>
              <w:t>Net interest revenue (GAAP)</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222,881</w:t>
            </w:r>
          </w:p>
        </w:tc>
        <w:tc>
          <w:tcPr>
            <w:tcW w:w="240" w:type="dxa"/>
            <w:vAlign w:val="bottom"/>
            <w:tcBorders>
              <w:right w:val="single" w:sz="8" w:color="F0FFFF"/>
            </w:tcBorders>
            <w:shd w:val="clear" w:color="auto" w:fill="F0FFFF"/>
          </w:tcPr>
          <w:p>
            <w:pPr>
              <w:spacing w:after="0"/>
              <w:rPr>
                <w:sz w:val="22"/>
                <w:szCs w:val="22"/>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218,158</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228,068</w:t>
            </w:r>
          </w:p>
        </w:tc>
        <w:tc>
          <w:tcPr>
            <w:tcW w:w="26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236,963</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242,636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Provision for credit losses reconciliation</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Operating provision for credit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59"/>
              <w:spacing w:after="0"/>
              <w:rPr>
                <w:sz w:val="20"/>
                <w:szCs w:val="20"/>
                <w:color w:val="auto"/>
              </w:rPr>
            </w:pPr>
            <w:r>
              <w:rPr>
                <w:rFonts w:ascii="Arial" w:cs="Arial" w:eastAsia="Arial" w:hAnsi="Arial"/>
                <w:sz w:val="16"/>
                <w:szCs w:val="16"/>
                <w:color w:val="auto"/>
              </w:rPr>
              <w:t>65,500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62,500</w:t>
            </w:r>
          </w:p>
        </w:tc>
        <w:tc>
          <w:tcPr>
            <w:tcW w:w="2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251,000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234,750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Partial recovery of special fraud-related loan loss</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(11,750)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646464"/>
          </w:tcPr>
          <w:p>
            <w:pPr>
              <w:spacing w:after="0"/>
              <w:rPr>
                <w:sz w:val="2"/>
                <w:szCs w:val="2"/>
                <w:color w:val="auto"/>
              </w:rPr>
            </w:pPr>
          </w:p>
        </w:tc>
        <w:tc>
          <w:tcPr>
            <w:tcW w:w="1040" w:type="dxa"/>
            <w:vAlign w:val="bottom"/>
            <w:shd w:val="clear" w:color="auto" w:fill="646464"/>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6"/>
                <w:szCs w:val="16"/>
                <w:color w:val="auto"/>
              </w:rPr>
              <w:t>Provision for credit losses (GAAP)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59"/>
              <w:spacing w:after="0"/>
              <w:rPr>
                <w:sz w:val="20"/>
                <w:szCs w:val="20"/>
                <w:color w:val="auto"/>
              </w:rPr>
            </w:pPr>
            <w:r>
              <w:rPr>
                <w:rFonts w:ascii="Arial" w:cs="Arial" w:eastAsia="Arial" w:hAnsi="Arial"/>
                <w:sz w:val="16"/>
                <w:szCs w:val="16"/>
                <w:color w:val="auto"/>
              </w:rPr>
              <w:t>65,500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62,500</w:t>
            </w:r>
          </w:p>
        </w:tc>
        <w:tc>
          <w:tcPr>
            <w:tcW w:w="2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251,000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223,000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646464"/>
              <w:bottom w:val="single" w:sz="8" w:color="646464"/>
            </w:tcBorders>
          </w:tcPr>
          <w:p>
            <w:pPr>
              <w:spacing w:after="0"/>
              <w:rPr>
                <w:sz w:val="2"/>
                <w:szCs w:val="2"/>
                <w:color w:val="auto"/>
              </w:rPr>
            </w:pPr>
          </w:p>
        </w:tc>
        <w:tc>
          <w:tcPr>
            <w:tcW w:w="1040" w:type="dxa"/>
            <w:vAlign w:val="bottom"/>
            <w:tcBorders>
              <w:top w:val="single" w:sz="8" w:color="646464"/>
              <w:bottom w:val="single" w:sz="8" w:color="646464"/>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646464"/>
              <w:bottom w:val="single" w:sz="8" w:color="646464"/>
            </w:tcBorders>
          </w:tcPr>
          <w:p>
            <w:pPr>
              <w:spacing w:after="0"/>
              <w:rPr>
                <w:sz w:val="2"/>
                <w:szCs w:val="2"/>
                <w:color w:val="auto"/>
              </w:rPr>
            </w:pPr>
          </w:p>
        </w:tc>
        <w:tc>
          <w:tcPr>
            <w:tcW w:w="880" w:type="dxa"/>
            <w:vAlign w:val="bottom"/>
            <w:tcBorders>
              <w:top w:val="single" w:sz="8" w:color="646464"/>
              <w:bottom w:val="single" w:sz="8" w:color="646464"/>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646464"/>
              <w:bottom w:val="single" w:sz="8" w:color="646464"/>
            </w:tcBorders>
          </w:tcPr>
          <w:p>
            <w:pPr>
              <w:spacing w:after="0"/>
              <w:rPr>
                <w:sz w:val="2"/>
                <w:szCs w:val="2"/>
                <w:color w:val="auto"/>
              </w:rPr>
            </w:pPr>
          </w:p>
        </w:tc>
        <w:tc>
          <w:tcPr>
            <w:tcW w:w="880" w:type="dxa"/>
            <w:vAlign w:val="bottom"/>
            <w:tcBorders>
              <w:top w:val="single" w:sz="8" w:color="646464"/>
              <w:bottom w:val="single" w:sz="8" w:color="646464"/>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646464"/>
              <w:bottom w:val="single" w:sz="8" w:color="646464"/>
            </w:tcBorders>
          </w:tcPr>
          <w:p>
            <w:pPr>
              <w:spacing w:after="0"/>
              <w:rPr>
                <w:sz w:val="2"/>
                <w:szCs w:val="2"/>
                <w:color w:val="auto"/>
              </w:rPr>
            </w:pPr>
          </w:p>
        </w:tc>
        <w:tc>
          <w:tcPr>
            <w:tcW w:w="88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Total revenue reconciliation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Total operating revenue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271,472</w:t>
            </w:r>
          </w:p>
        </w:tc>
        <w:tc>
          <w:tcPr>
            <w:tcW w:w="240" w:type="dxa"/>
            <w:vAlign w:val="bottom"/>
            <w:tcBorders>
              <w:right w:val="single" w:sz="8" w:color="F0FFFF"/>
            </w:tcBorders>
            <w:shd w:val="clear" w:color="auto" w:fill="F0FFFF"/>
          </w:tcPr>
          <w:p>
            <w:pPr>
              <w:spacing w:after="0"/>
              <w:rPr>
                <w:sz w:val="19"/>
                <w:szCs w:val="19"/>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210,739</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223,370</w:t>
            </w:r>
          </w:p>
        </w:tc>
        <w:tc>
          <w:tcPr>
            <w:tcW w:w="26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32,577</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56,850</w:t>
            </w:r>
          </w:p>
        </w:tc>
        <w:tc>
          <w:tcPr>
            <w:tcW w:w="0" w:type="dxa"/>
            <w:vAlign w:val="bottom"/>
          </w:tcPr>
          <w:p>
            <w:pPr>
              <w:spacing w:after="0"/>
              <w:rPr>
                <w:sz w:val="1"/>
                <w:szCs w:val="1"/>
                <w:color w:val="auto"/>
              </w:rPr>
            </w:pPr>
          </w:p>
        </w:tc>
      </w:tr>
      <w:tr>
        <w:trPr>
          <w:trHeight w:val="237"/>
        </w:trPr>
        <w:tc>
          <w:tcPr>
            <w:tcW w:w="4640" w:type="dxa"/>
            <w:vAlign w:val="bottom"/>
            <w:gridSpan w:val="2"/>
          </w:tcPr>
          <w:p>
            <w:pPr>
              <w:spacing w:after="0"/>
              <w:rPr>
                <w:sz w:val="20"/>
                <w:szCs w:val="20"/>
                <w:color w:val="auto"/>
              </w:rPr>
            </w:pPr>
            <w:r>
              <w:rPr>
                <w:rFonts w:ascii="Arial" w:cs="Arial" w:eastAsia="Arial" w:hAnsi="Arial"/>
                <w:sz w:val="16"/>
                <w:szCs w:val="16"/>
                <w:color w:val="auto"/>
              </w:rPr>
              <w:t>Taxable equivalent adjustment</w:t>
            </w: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20"/>
                <w:szCs w:val="20"/>
                <w:color w:val="auto"/>
              </w:rPr>
            </w:pP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(1,483)</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(1,690)</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(1,707)</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Partial recovery of special fraud-related loss</w:t>
            </w:r>
          </w:p>
        </w:tc>
        <w:tc>
          <w:tcPr>
            <w:tcW w:w="1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F0FFFF"/>
            </w:tcBorders>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6"/>
                <w:szCs w:val="16"/>
                <w:color w:val="auto"/>
              </w:rPr>
              <w:t>Total revenue (GAAP)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269,935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59"/>
              <w:spacing w:after="0"/>
              <w:rPr>
                <w:sz w:val="20"/>
                <w:szCs w:val="20"/>
                <w:color w:val="auto"/>
              </w:rPr>
            </w:pPr>
            <w:r>
              <w:rPr>
                <w:rFonts w:ascii="Arial" w:cs="Arial" w:eastAsia="Arial" w:hAnsi="Arial"/>
                <w:sz w:val="16"/>
                <w:szCs w:val="16"/>
                <w:color w:val="auto"/>
              </w:rPr>
              <w:t>209,256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221,680</w:t>
            </w:r>
          </w:p>
        </w:tc>
        <w:tc>
          <w:tcPr>
            <w:tcW w:w="2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30,870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66,599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Expense reconciliation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Operating expense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162,865</w:t>
            </w:r>
          </w:p>
        </w:tc>
        <w:tc>
          <w:tcPr>
            <w:tcW w:w="240" w:type="dxa"/>
            <w:vAlign w:val="bottom"/>
            <w:tcBorders>
              <w:right w:val="single" w:sz="8" w:color="F0FFFF"/>
            </w:tcBorders>
            <w:shd w:val="clear" w:color="auto" w:fill="F0FFFF"/>
          </w:tcPr>
          <w:p>
            <w:pPr>
              <w:spacing w:after="0"/>
              <w:rPr>
                <w:sz w:val="19"/>
                <w:szCs w:val="19"/>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174,304</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186,774</w:t>
            </w:r>
          </w:p>
        </w:tc>
        <w:tc>
          <w:tcPr>
            <w:tcW w:w="26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261,599</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288,301</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6"/>
                <w:szCs w:val="16"/>
                <w:color w:val="auto"/>
              </w:rPr>
              <w:t>Noncash goodwill impairment charge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210,590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vMerge w:val="restart"/>
          </w:tcPr>
          <w:p>
            <w:pPr>
              <w:ind w:left="160"/>
              <w:spacing w:after="0"/>
              <w:rPr>
                <w:sz w:val="20"/>
                <w:szCs w:val="20"/>
                <w:color w:val="auto"/>
              </w:rPr>
            </w:pPr>
            <w:r>
              <w:rPr>
                <w:rFonts w:ascii="Arial" w:cs="Arial" w:eastAsia="Arial" w:hAnsi="Arial"/>
                <w:sz w:val="16"/>
                <w:szCs w:val="16"/>
                <w:color w:val="auto"/>
              </w:rPr>
              <w:t>Operating expense (GAAP)</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162,865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59"/>
              <w:spacing w:after="0"/>
              <w:rPr>
                <w:sz w:val="20"/>
                <w:szCs w:val="20"/>
                <w:color w:val="auto"/>
              </w:rPr>
            </w:pPr>
            <w:r>
              <w:rPr>
                <w:rFonts w:ascii="Arial" w:cs="Arial" w:eastAsia="Arial" w:hAnsi="Arial"/>
                <w:sz w:val="16"/>
                <w:szCs w:val="16"/>
                <w:color w:val="auto"/>
              </w:rPr>
              <w:t>174,304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186,774</w:t>
            </w:r>
          </w:p>
        </w:tc>
        <w:tc>
          <w:tcPr>
            <w:tcW w:w="2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261,599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498,891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Income before taxes reconciliation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Income before taxes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108,607</w:t>
            </w:r>
          </w:p>
        </w:tc>
        <w:tc>
          <w:tcPr>
            <w:tcW w:w="240" w:type="dxa"/>
            <w:vAlign w:val="bottom"/>
            <w:tcBorders>
              <w:right w:val="single" w:sz="8" w:color="F0FFFF"/>
            </w:tcBorders>
            <w:shd w:val="clear" w:color="auto" w:fill="F0FFFF"/>
          </w:tcPr>
          <w:p>
            <w:pPr>
              <w:spacing w:after="0"/>
              <w:rPr>
                <w:sz w:val="19"/>
                <w:szCs w:val="19"/>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36,435</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36,596</w:t>
            </w:r>
          </w:p>
        </w:tc>
        <w:tc>
          <w:tcPr>
            <w:tcW w:w="26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(229,022)</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(231,451)</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Taxable equivalent adjustment</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(1,483)</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(1,690)</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(1,707)</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shd w:val="clear" w:color="auto" w:fill="F0FFFF"/>
          </w:tcPr>
          <w:p>
            <w:pPr>
              <w:ind w:left="160"/>
              <w:spacing w:after="0"/>
              <w:rPr>
                <w:sz w:val="20"/>
                <w:szCs w:val="20"/>
                <w:color w:val="auto"/>
              </w:rPr>
            </w:pPr>
            <w:r>
              <w:rPr>
                <w:rFonts w:ascii="Arial" w:cs="Arial" w:eastAsia="Arial" w:hAnsi="Arial"/>
                <w:sz w:val="16"/>
                <w:szCs w:val="16"/>
                <w:color w:val="auto"/>
              </w:rPr>
              <w:t>Income before taxes (GAAP)</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107,070</w:t>
            </w:r>
          </w:p>
        </w:tc>
        <w:tc>
          <w:tcPr>
            <w:tcW w:w="240" w:type="dxa"/>
            <w:vAlign w:val="bottom"/>
            <w:tcBorders>
              <w:right w:val="single" w:sz="8" w:color="F0FFFF"/>
            </w:tcBorders>
            <w:shd w:val="clear" w:color="auto" w:fill="F0FFFF"/>
          </w:tcPr>
          <w:p>
            <w:pPr>
              <w:spacing w:after="0"/>
              <w:rPr>
                <w:sz w:val="22"/>
                <w:szCs w:val="22"/>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34,952</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34,906</w:t>
            </w:r>
          </w:p>
        </w:tc>
        <w:tc>
          <w:tcPr>
            <w:tcW w:w="26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(230,729)</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(432,292)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Income tax expense (benefit) reconciliation</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40,987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(236,705)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2,740</w:t>
            </w:r>
          </w:p>
        </w:tc>
        <w:tc>
          <w:tcPr>
            <w:tcW w:w="2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(2,276)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Taxable equivalent adjustment</w:t>
            </w:r>
          </w:p>
        </w:tc>
        <w:tc>
          <w:tcPr>
            <w:tcW w:w="100" w:type="dxa"/>
            <w:vAlign w:val="bottom"/>
            <w:shd w:val="clear" w:color="auto" w:fill="F0FFFF"/>
          </w:tcPr>
          <w:p>
            <w:pPr>
              <w:spacing w:after="0"/>
              <w:rPr>
                <w:sz w:val="18"/>
                <w:szCs w:val="18"/>
                <w:color w:val="auto"/>
              </w:rPr>
            </w:pPr>
          </w:p>
        </w:tc>
        <w:tc>
          <w:tcPr>
            <w:tcW w:w="128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(1,483)</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(1,690)</w:t>
            </w:r>
          </w:p>
        </w:tc>
        <w:tc>
          <w:tcPr>
            <w:tcW w:w="240" w:type="dxa"/>
            <w:vAlign w:val="bottom"/>
            <w:shd w:val="clear" w:color="auto" w:fill="F0FFFF"/>
          </w:tcPr>
          <w:p>
            <w:pPr>
              <w:spacing w:after="0"/>
              <w:rPr>
                <w:sz w:val="18"/>
                <w:szCs w:val="18"/>
                <w:color w:val="auto"/>
              </w:rPr>
            </w:pPr>
          </w:p>
        </w:tc>
        <w:tc>
          <w:tcPr>
            <w:tcW w:w="11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(1,707)</w:t>
            </w: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6"/>
                <w:szCs w:val="16"/>
                <w:color w:val="auto"/>
              </w:rPr>
              <w:t>Income tax expense (benefit) (GAAP)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39,450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19"/>
              <w:spacing w:after="0"/>
              <w:rPr>
                <w:sz w:val="20"/>
                <w:szCs w:val="20"/>
                <w:color w:val="auto"/>
              </w:rPr>
            </w:pPr>
            <w:r>
              <w:rPr>
                <w:rFonts w:ascii="Arial" w:cs="Arial" w:eastAsia="Arial" w:hAnsi="Arial"/>
                <w:sz w:val="16"/>
                <w:szCs w:val="16"/>
                <w:color w:val="auto"/>
              </w:rPr>
              <w:t>(238,188)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1,050</w:t>
            </w:r>
          </w:p>
        </w:tc>
        <w:tc>
          <w:tcPr>
            <w:tcW w:w="2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(3,983)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71,217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w w:val="94"/>
              </w:rPr>
              <w:t>Diluted earnings (loss) from continuing operations per common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6"/>
                <w:szCs w:val="16"/>
                <w:b w:val="1"/>
                <w:bCs w:val="1"/>
                <w:color w:val="auto"/>
              </w:rPr>
              <w:t>share reconciliation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Diluted operating earnings (loss) from continuing operations per</w:t>
            </w:r>
          </w:p>
        </w:tc>
        <w:tc>
          <w:tcPr>
            <w:tcW w:w="1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F0FFFF"/>
          </w:tcPr>
          <w:p>
            <w:pPr>
              <w:ind w:left="160"/>
              <w:spacing w:after="0"/>
              <w:rPr>
                <w:sz w:val="20"/>
                <w:szCs w:val="20"/>
                <w:color w:val="auto"/>
              </w:rPr>
            </w:pPr>
            <w:r>
              <w:rPr>
                <w:rFonts w:ascii="Arial" w:cs="Arial" w:eastAsia="Arial" w:hAnsi="Arial"/>
                <w:sz w:val="16"/>
                <w:szCs w:val="16"/>
                <w:color w:val="auto"/>
              </w:rPr>
              <w:t>common share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4.44</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(5.97)</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(16.64)</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Noncash goodwill impairment charge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Partial recovery of special fraud-related loan loss</w:t>
            </w:r>
          </w:p>
        </w:tc>
        <w:tc>
          <w:tcPr>
            <w:tcW w:w="100" w:type="dxa"/>
            <w:vAlign w:val="bottom"/>
            <w:shd w:val="clear" w:color="auto" w:fill="F0FFFF"/>
          </w:tcPr>
          <w:p>
            <w:pPr>
              <w:spacing w:after="0"/>
              <w:rPr>
                <w:sz w:val="19"/>
                <w:szCs w:val="19"/>
                <w:color w:val="auto"/>
              </w:rPr>
            </w:pPr>
          </w:p>
        </w:tc>
        <w:tc>
          <w:tcPr>
            <w:tcW w:w="12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9"/>
                <w:szCs w:val="19"/>
                <w:color w:val="auto"/>
              </w:rPr>
            </w:pP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20" w:type="dxa"/>
            <w:vAlign w:val="bottom"/>
            <w:tcBorders>
              <w:top w:val="single" w:sz="8" w:color="F0FFFF"/>
            </w:tcBorders>
          </w:tcPr>
          <w:p>
            <w:pPr>
              <w:ind w:left="160"/>
              <w:spacing w:after="0"/>
              <w:rPr>
                <w:sz w:val="20"/>
                <w:szCs w:val="20"/>
                <w:color w:val="auto"/>
              </w:rPr>
            </w:pPr>
            <w:r>
              <w:rPr>
                <w:rFonts w:ascii="Arial" w:cs="Arial" w:eastAsia="Arial" w:hAnsi="Arial"/>
                <w:sz w:val="16"/>
                <w:szCs w:val="16"/>
                <w:color w:val="auto"/>
                <w:w w:val="99"/>
              </w:rPr>
              <w:t>Diluted earnings (loss) from continuing operations per common</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F0FF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F0FF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F0FF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6"/>
                <w:szCs w:val="16"/>
                <w:color w:val="auto"/>
              </w:rPr>
              <w:t>share (GAAP)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59"/>
              <w:spacing w:after="0"/>
              <w:rPr>
                <w:sz w:val="20"/>
                <w:szCs w:val="20"/>
                <w:color w:val="auto"/>
              </w:rPr>
            </w:pPr>
            <w:r>
              <w:rPr>
                <w:rFonts w:ascii="Arial" w:cs="Arial" w:eastAsia="Arial" w:hAnsi="Arial"/>
                <w:sz w:val="16"/>
                <w:szCs w:val="16"/>
                <w:color w:val="auto"/>
              </w:rPr>
              <w:t>4.44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(5.97)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Book value per common share reconciliation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Tangible book value per common share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12.15</w:t>
            </w:r>
          </w:p>
        </w:tc>
        <w:tc>
          <w:tcPr>
            <w:tcW w:w="240" w:type="dxa"/>
            <w:vAlign w:val="bottom"/>
            <w:tcBorders>
              <w:right w:val="single" w:sz="8" w:color="F0FFFF"/>
            </w:tcBorders>
            <w:shd w:val="clear" w:color="auto" w:fill="F0FFFF"/>
          </w:tcPr>
          <w:p>
            <w:pPr>
              <w:spacing w:after="0"/>
              <w:rPr>
                <w:sz w:val="19"/>
                <w:szCs w:val="19"/>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11.26</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6.57</w:t>
            </w:r>
          </w:p>
        </w:tc>
        <w:tc>
          <w:tcPr>
            <w:tcW w:w="26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6.47</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Effect of goodwill and other intangibles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646464"/>
          </w:tcPr>
          <w:p>
            <w:pPr>
              <w:spacing w:after="0"/>
              <w:rPr>
                <w:sz w:val="2"/>
                <w:szCs w:val="2"/>
                <w:color w:val="auto"/>
              </w:rPr>
            </w:pPr>
          </w:p>
        </w:tc>
        <w:tc>
          <w:tcPr>
            <w:tcW w:w="1040" w:type="dxa"/>
            <w:vAlign w:val="bottom"/>
            <w:shd w:val="clear" w:color="auto" w:fill="646464"/>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646464"/>
          </w:tcPr>
          <w:p>
            <w:pPr>
              <w:spacing w:after="0"/>
              <w:rPr>
                <w:sz w:val="2"/>
                <w:szCs w:val="2"/>
                <w:color w:val="auto"/>
              </w:rPr>
            </w:pPr>
          </w:p>
        </w:tc>
        <w:tc>
          <w:tcPr>
            <w:tcW w:w="1040" w:type="dxa"/>
            <w:vAlign w:val="bottom"/>
            <w:shd w:val="clear" w:color="auto" w:fill="646464"/>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shd w:val="clear" w:color="auto" w:fill="F0FFFF"/>
          </w:tcPr>
          <w:p>
            <w:pPr>
              <w:ind w:left="160"/>
              <w:spacing w:after="0"/>
              <w:rPr>
                <w:sz w:val="20"/>
                <w:szCs w:val="20"/>
                <w:color w:val="auto"/>
              </w:rPr>
            </w:pPr>
            <w:r>
              <w:rPr>
                <w:rFonts w:ascii="Arial" w:cs="Arial" w:eastAsia="Arial" w:hAnsi="Arial"/>
                <w:sz w:val="16"/>
                <w:szCs w:val="16"/>
                <w:color w:val="auto"/>
              </w:rPr>
              <w:t>Book value per common share (GAAP)</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12.20</w:t>
            </w:r>
          </w:p>
        </w:tc>
        <w:tc>
          <w:tcPr>
            <w:tcW w:w="240" w:type="dxa"/>
            <w:vAlign w:val="bottom"/>
            <w:tcBorders>
              <w:right w:val="single" w:sz="8" w:color="F0FFFF"/>
            </w:tcBorders>
            <w:shd w:val="clear" w:color="auto" w:fill="F0FFFF"/>
          </w:tcPr>
          <w:p>
            <w:pPr>
              <w:spacing w:after="0"/>
              <w:rPr>
                <w:sz w:val="22"/>
                <w:szCs w:val="22"/>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59"/>
              <w:spacing w:after="0"/>
              <w:rPr>
                <w:sz w:val="20"/>
                <w:szCs w:val="20"/>
                <w:color w:val="auto"/>
              </w:rPr>
            </w:pPr>
            <w:r>
              <w:rPr>
                <w:rFonts w:ascii="Arial" w:cs="Arial" w:eastAsia="Arial" w:hAnsi="Arial"/>
                <w:sz w:val="16"/>
                <w:szCs w:val="16"/>
                <w:color w:val="auto"/>
              </w:rPr>
              <w:t>11.30</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6.67</w:t>
            </w:r>
          </w:p>
        </w:tc>
        <w:tc>
          <w:tcPr>
            <w:tcW w:w="26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6.62</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Efficiency ratio from continuing operations reconciliation</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Operating efficiency ratio from continuing operations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58.26%</w:t>
            </w:r>
          </w:p>
        </w:tc>
        <w:tc>
          <w:tcPr>
            <w:tcW w:w="100" w:type="dxa"/>
            <w:vAlign w:val="bottom"/>
          </w:tcPr>
          <w:p>
            <w:pPr>
              <w:spacing w:after="0"/>
              <w:rPr>
                <w:sz w:val="18"/>
                <w:szCs w:val="18"/>
                <w:color w:val="auto"/>
              </w:rPr>
            </w:pP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63.14%</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65.43%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92.27%</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Noncash goodwill impairment charge</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72.29</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6"/>
                <w:szCs w:val="16"/>
                <w:color w:val="auto"/>
              </w:rPr>
              <w:t>Efficiency ratio from continuing operations (GAAP)</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58.26%</w:t>
            </w:r>
          </w:p>
        </w:tc>
        <w:tc>
          <w:tcPr>
            <w:tcW w:w="100" w:type="dxa"/>
            <w:vAlign w:val="bottom"/>
          </w:tcPr>
          <w:p>
            <w:pPr>
              <w:spacing w:after="0"/>
              <w:rPr>
                <w:sz w:val="18"/>
                <w:szCs w:val="18"/>
                <w:color w:val="auto"/>
              </w:rPr>
            </w:pP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63.14%</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65.43%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92.27%</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171.27%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Average equity to assets reconciliation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Tangible common equity to assets</w:t>
            </w:r>
          </w:p>
        </w:tc>
        <w:tc>
          <w:tcPr>
            <w:tcW w:w="100" w:type="dxa"/>
            <w:vAlign w:val="bottom"/>
            <w:shd w:val="clear" w:color="auto" w:fill="F0FFFF"/>
          </w:tcPr>
          <w:p>
            <w:pPr>
              <w:spacing w:after="0"/>
              <w:rPr>
                <w:sz w:val="19"/>
                <w:szCs w:val="19"/>
                <w:color w:val="auto"/>
              </w:rPr>
            </w:pPr>
          </w:p>
        </w:tc>
        <w:tc>
          <w:tcPr>
            <w:tcW w:w="128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F0FFFF"/>
          </w:tcPr>
          <w:p>
            <w:pPr>
              <w:spacing w:after="0"/>
              <w:rPr>
                <w:sz w:val="19"/>
                <w:szCs w:val="19"/>
                <w:color w:val="auto"/>
              </w:rPr>
            </w:pPr>
          </w:p>
        </w:tc>
        <w:tc>
          <w:tcPr>
            <w:tcW w:w="1280" w:type="dxa"/>
            <w:vAlign w:val="bottom"/>
            <w:gridSpan w:val="2"/>
            <w:shd w:val="clear" w:color="auto" w:fill="F0FFFF"/>
          </w:tcPr>
          <w:p>
            <w:pPr>
              <w:jc w:val="right"/>
              <w:ind w:right="39"/>
              <w:spacing w:after="0"/>
              <w:rPr>
                <w:sz w:val="20"/>
                <w:szCs w:val="20"/>
                <w:color w:val="auto"/>
              </w:rPr>
            </w:pPr>
            <w:r>
              <w:rPr>
                <w:rFonts w:ascii="Arial" w:cs="Arial" w:eastAsia="Arial" w:hAnsi="Arial"/>
                <w:sz w:val="16"/>
                <w:szCs w:val="16"/>
                <w:color w:val="auto"/>
              </w:rPr>
              <w:t>7.55%</w:t>
            </w:r>
          </w:p>
        </w:tc>
        <w:tc>
          <w:tcPr>
            <w:tcW w:w="24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5.54%</w:t>
            </w:r>
          </w:p>
        </w:tc>
        <w:tc>
          <w:tcPr>
            <w:tcW w:w="240" w:type="dxa"/>
            <w:vAlign w:val="bottom"/>
            <w:shd w:val="clear" w:color="auto" w:fill="F0FFFF"/>
          </w:tcPr>
          <w:p>
            <w:pPr>
              <w:spacing w:after="0"/>
              <w:rPr>
                <w:sz w:val="19"/>
                <w:szCs w:val="19"/>
                <w:color w:val="auto"/>
              </w:rPr>
            </w:pPr>
          </w:p>
        </w:tc>
        <w:tc>
          <w:tcPr>
            <w:tcW w:w="114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3.74%</w:t>
            </w:r>
          </w:p>
        </w:tc>
        <w:tc>
          <w:tcPr>
            <w:tcW w:w="24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Effect of preferred equity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3.88</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646464"/>
          </w:tcPr>
          <w:p>
            <w:pPr>
              <w:spacing w:after="0"/>
              <w:rPr>
                <w:sz w:val="2"/>
                <w:szCs w:val="2"/>
                <w:color w:val="auto"/>
              </w:rPr>
            </w:pPr>
          </w:p>
        </w:tc>
        <w:tc>
          <w:tcPr>
            <w:tcW w:w="1040" w:type="dxa"/>
            <w:vAlign w:val="bottom"/>
            <w:shd w:val="clear" w:color="auto" w:fill="646464"/>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646464"/>
          </w:tcPr>
          <w:p>
            <w:pPr>
              <w:spacing w:after="0"/>
              <w:rPr>
                <w:sz w:val="2"/>
                <w:szCs w:val="2"/>
                <w:color w:val="auto"/>
              </w:rPr>
            </w:pPr>
          </w:p>
        </w:tc>
        <w:tc>
          <w:tcPr>
            <w:tcW w:w="1040" w:type="dxa"/>
            <w:vAlign w:val="bottom"/>
            <w:shd w:val="clear" w:color="auto" w:fill="646464"/>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F0FFFF"/>
          </w:tcPr>
          <w:p>
            <w:pPr>
              <w:ind w:left="160"/>
              <w:spacing w:after="0"/>
              <w:rPr>
                <w:sz w:val="20"/>
                <w:szCs w:val="20"/>
                <w:color w:val="auto"/>
              </w:rPr>
            </w:pPr>
            <w:r>
              <w:rPr>
                <w:rFonts w:ascii="Arial" w:cs="Arial" w:eastAsia="Arial" w:hAnsi="Arial"/>
                <w:sz w:val="16"/>
                <w:szCs w:val="16"/>
                <w:color w:val="auto"/>
              </w:rPr>
              <w:t>Tangible equity to assets</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9.67</w:t>
            </w:r>
          </w:p>
        </w:tc>
        <w:tc>
          <w:tcPr>
            <w:tcW w:w="24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10.31</w:t>
            </w: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8.38</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7.62</w:t>
            </w: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6"/>
                <w:szCs w:val="16"/>
                <w:color w:val="auto"/>
              </w:rPr>
              <w:t>Effect of goodwill and other intangibles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9"/>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shd w:val="clear" w:color="auto" w:fill="F0FFFF"/>
          </w:tcPr>
          <w:p>
            <w:pPr>
              <w:spacing w:after="0"/>
              <w:rPr>
                <w:sz w:val="13"/>
                <w:szCs w:val="13"/>
                <w:color w:val="auto"/>
              </w:rPr>
            </w:pPr>
          </w:p>
        </w:tc>
        <w:tc>
          <w:tcPr>
            <w:tcW w:w="100" w:type="dxa"/>
            <w:vAlign w:val="bottom"/>
            <w:tcBorders>
              <w:top w:val="single" w:sz="8" w:color="646464"/>
            </w:tcBorders>
            <w:shd w:val="clear" w:color="auto" w:fill="F0FFFF"/>
          </w:tcPr>
          <w:p>
            <w:pPr>
              <w:spacing w:after="0"/>
              <w:rPr>
                <w:sz w:val="13"/>
                <w:szCs w:val="13"/>
                <w:color w:val="auto"/>
              </w:rPr>
            </w:pPr>
          </w:p>
        </w:tc>
        <w:tc>
          <w:tcPr>
            <w:tcW w:w="1040" w:type="dxa"/>
            <w:vAlign w:val="bottom"/>
            <w:tcBorders>
              <w:top w:val="single" w:sz="8" w:color="646464"/>
            </w:tcBorders>
            <w:shd w:val="clear" w:color="auto" w:fill="F0FFFF"/>
          </w:tcPr>
          <w:p>
            <w:pPr>
              <w:spacing w:after="0"/>
              <w:rPr>
                <w:sz w:val="13"/>
                <w:szCs w:val="13"/>
                <w:color w:val="auto"/>
              </w:rPr>
            </w:pPr>
          </w:p>
        </w:tc>
        <w:tc>
          <w:tcPr>
            <w:tcW w:w="240" w:type="dxa"/>
            <w:vAlign w:val="bottom"/>
            <w:tcBorders>
              <w:right w:val="single" w:sz="8" w:color="F0FFFF"/>
            </w:tcBorders>
            <w:shd w:val="clear" w:color="auto" w:fill="F0FFFF"/>
          </w:tcPr>
          <w:p>
            <w:pPr>
              <w:spacing w:after="0"/>
              <w:rPr>
                <w:sz w:val="13"/>
                <w:szCs w:val="13"/>
                <w:color w:val="auto"/>
              </w:rPr>
            </w:pPr>
          </w:p>
        </w:tc>
        <w:tc>
          <w:tcPr>
            <w:tcW w:w="100" w:type="dxa"/>
            <w:vAlign w:val="bottom"/>
            <w:tcBorders>
              <w:top w:val="single" w:sz="8" w:color="646464"/>
            </w:tcBorders>
            <w:shd w:val="clear" w:color="auto" w:fill="F0FFFF"/>
          </w:tcPr>
          <w:p>
            <w:pPr>
              <w:spacing w:after="0"/>
              <w:rPr>
                <w:sz w:val="13"/>
                <w:szCs w:val="13"/>
                <w:color w:val="auto"/>
              </w:rPr>
            </w:pPr>
          </w:p>
        </w:tc>
        <w:tc>
          <w:tcPr>
            <w:tcW w:w="1040" w:type="dxa"/>
            <w:vAlign w:val="bottom"/>
            <w:tcBorders>
              <w:top w:val="single" w:sz="8" w:color="646464"/>
            </w:tcBorders>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240" w:type="dxa"/>
            <w:vAlign w:val="bottom"/>
            <w:tcBorders>
              <w:top w:val="single" w:sz="8" w:color="646464"/>
            </w:tcBorders>
            <w:shd w:val="clear" w:color="auto" w:fill="F0FFFF"/>
          </w:tcPr>
          <w:p>
            <w:pPr>
              <w:spacing w:after="0"/>
              <w:rPr>
                <w:sz w:val="13"/>
                <w:szCs w:val="13"/>
                <w:color w:val="auto"/>
              </w:rPr>
            </w:pPr>
          </w:p>
        </w:tc>
        <w:tc>
          <w:tcPr>
            <w:tcW w:w="880" w:type="dxa"/>
            <w:vAlign w:val="bottom"/>
            <w:tcBorders>
              <w:top w:val="single" w:sz="8" w:color="646464"/>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240" w:type="dxa"/>
            <w:vAlign w:val="bottom"/>
            <w:tcBorders>
              <w:top w:val="single" w:sz="8" w:color="646464"/>
            </w:tcBorders>
            <w:shd w:val="clear" w:color="auto" w:fill="F0FFFF"/>
          </w:tcPr>
          <w:p>
            <w:pPr>
              <w:spacing w:after="0"/>
              <w:rPr>
                <w:sz w:val="13"/>
                <w:szCs w:val="13"/>
                <w:color w:val="auto"/>
              </w:rPr>
            </w:pPr>
          </w:p>
        </w:tc>
        <w:tc>
          <w:tcPr>
            <w:tcW w:w="880" w:type="dxa"/>
            <w:vAlign w:val="bottom"/>
            <w:tcBorders>
              <w:top w:val="single" w:sz="8" w:color="646464"/>
            </w:tcBorders>
            <w:shd w:val="clear" w:color="auto" w:fill="F0FFFF"/>
          </w:tcPr>
          <w:p>
            <w:pPr>
              <w:spacing w:after="0"/>
              <w:rPr>
                <w:sz w:val="13"/>
                <w:szCs w:val="13"/>
                <w:color w:val="auto"/>
              </w:rPr>
            </w:pPr>
          </w:p>
        </w:tc>
        <w:tc>
          <w:tcPr>
            <w:tcW w:w="260" w:type="dxa"/>
            <w:vAlign w:val="bottom"/>
            <w:tcBorders>
              <w:right w:val="single" w:sz="8" w:color="F0FFFF"/>
            </w:tcBorders>
            <w:shd w:val="clear" w:color="auto" w:fill="F0FFFF"/>
          </w:tcPr>
          <w:p>
            <w:pPr>
              <w:spacing w:after="0"/>
              <w:rPr>
                <w:sz w:val="13"/>
                <w:szCs w:val="13"/>
                <w:color w:val="auto"/>
              </w:rPr>
            </w:pPr>
          </w:p>
        </w:tc>
        <w:tc>
          <w:tcPr>
            <w:tcW w:w="240" w:type="dxa"/>
            <w:vAlign w:val="bottom"/>
            <w:tcBorders>
              <w:top w:val="single" w:sz="8" w:color="646464"/>
            </w:tcBorders>
            <w:shd w:val="clear" w:color="auto" w:fill="F0FFFF"/>
          </w:tcPr>
          <w:p>
            <w:pPr>
              <w:spacing w:after="0"/>
              <w:rPr>
                <w:sz w:val="13"/>
                <w:szCs w:val="13"/>
                <w:color w:val="auto"/>
              </w:rPr>
            </w:pPr>
          </w:p>
        </w:tc>
        <w:tc>
          <w:tcPr>
            <w:tcW w:w="880" w:type="dxa"/>
            <w:vAlign w:val="bottom"/>
            <w:tcBorders>
              <w:top w:val="single" w:sz="8" w:color="646464"/>
            </w:tcBorders>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679"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4620" w:type="dxa"/>
            <w:vAlign w:val="bottom"/>
            <w:shd w:val="clear" w:color="auto" w:fill="F0FFFF"/>
          </w:tcPr>
          <w:p>
            <w:pPr>
              <w:ind w:left="160"/>
              <w:spacing w:after="0"/>
              <w:rPr>
                <w:sz w:val="20"/>
                <w:szCs w:val="20"/>
                <w:color w:val="auto"/>
              </w:rPr>
            </w:pPr>
            <w:r>
              <w:rPr>
                <w:rFonts w:ascii="Arial" w:cs="Arial" w:eastAsia="Arial" w:hAnsi="Arial"/>
                <w:sz w:val="16"/>
                <w:szCs w:val="16"/>
                <w:color w:val="auto"/>
              </w:rPr>
              <w:t>Equity to assets (GAAP)</w:t>
            </w:r>
          </w:p>
        </w:tc>
        <w:tc>
          <w:tcPr>
            <w:tcW w:w="380" w:type="dxa"/>
            <w:vAlign w:val="bottom"/>
            <w:shd w:val="clear" w:color="auto" w:fill="F0FFFF"/>
          </w:tcPr>
          <w:p>
            <w:pPr>
              <w:spacing w:after="0"/>
              <w:rPr>
                <w:sz w:val="22"/>
                <w:szCs w:val="22"/>
                <w:color w:val="auto"/>
              </w:rPr>
            </w:pPr>
          </w:p>
        </w:tc>
        <w:tc>
          <w:tcPr>
            <w:tcW w:w="10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9.69%</w:t>
            </w:r>
          </w:p>
        </w:tc>
        <w:tc>
          <w:tcPr>
            <w:tcW w:w="38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10.35%</w:t>
            </w:r>
          </w:p>
        </w:tc>
        <w:tc>
          <w:tcPr>
            <w:tcW w:w="38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8.47%</w:t>
            </w:r>
          </w:p>
        </w:tc>
        <w:tc>
          <w:tcPr>
            <w:tcW w:w="340" w:type="dxa"/>
            <w:vAlign w:val="bottom"/>
            <w:shd w:val="clear" w:color="auto" w:fill="F0FFFF"/>
          </w:tcPr>
          <w:p>
            <w:pPr>
              <w:spacing w:after="0"/>
              <w:rPr>
                <w:sz w:val="22"/>
                <w:szCs w:val="22"/>
                <w:color w:val="auto"/>
              </w:rPr>
            </w:pPr>
          </w:p>
        </w:tc>
        <w:tc>
          <w:tcPr>
            <w:tcW w:w="104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7.75%</w:t>
            </w:r>
          </w:p>
        </w:tc>
        <w:tc>
          <w:tcPr>
            <w:tcW w:w="340" w:type="dxa"/>
            <w:vAlign w:val="bottom"/>
            <w:shd w:val="clear" w:color="auto" w:fill="F0FFFF"/>
          </w:tcPr>
          <w:p>
            <w:pPr>
              <w:spacing w:after="0"/>
              <w:rPr>
                <w:sz w:val="22"/>
                <w:szCs w:val="22"/>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b w:val="1"/>
                <w:bCs w:val="1"/>
                <w:color w:val="auto"/>
                <w:w w:val="96"/>
              </w:rPr>
              <w:t>Tangible common equity to risk-weighted assets reconciliation</w:t>
            </w: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Tangible common equity to risk-weighted assets</w:t>
            </w: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13.82%</w:t>
            </w: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13.18%</w:t>
            </w: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8.26%</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8.25%</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Effect of other comprehensive income</w:t>
            </w:r>
          </w:p>
        </w:tc>
        <w:tc>
          <w:tcPr>
            <w:tcW w:w="380" w:type="dxa"/>
            <w:vAlign w:val="bottom"/>
            <w:shd w:val="clear" w:color="auto" w:fill="F0FFFF"/>
          </w:tcPr>
          <w:p>
            <w:pPr>
              <w:spacing w:after="0"/>
              <w:rPr>
                <w:sz w:val="19"/>
                <w:szCs w:val="19"/>
                <w:color w:val="auto"/>
              </w:rPr>
            </w:pPr>
          </w:p>
        </w:tc>
        <w:tc>
          <w:tcPr>
            <w:tcW w:w="10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.35</w:t>
            </w:r>
          </w:p>
        </w:tc>
        <w:tc>
          <w:tcPr>
            <w:tcW w:w="38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.39</w:t>
            </w:r>
          </w:p>
        </w:tc>
        <w:tc>
          <w:tcPr>
            <w:tcW w:w="38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.51</w:t>
            </w:r>
          </w:p>
        </w:tc>
        <w:tc>
          <w:tcPr>
            <w:tcW w:w="26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0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(.03)</w:t>
            </w:r>
          </w:p>
        </w:tc>
        <w:tc>
          <w:tcPr>
            <w:tcW w:w="340" w:type="dxa"/>
            <w:vAlign w:val="bottom"/>
            <w:shd w:val="clear" w:color="auto" w:fill="F0FFFF"/>
          </w:tcPr>
          <w:p>
            <w:pPr>
              <w:spacing w:after="0"/>
              <w:rPr>
                <w:sz w:val="19"/>
                <w:szCs w:val="19"/>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Effect of deferred tax limitation</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(3.11)</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(4.26)</w:t>
            </w: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Effect of trust preferred</w:t>
            </w:r>
          </w:p>
        </w:tc>
        <w:tc>
          <w:tcPr>
            <w:tcW w:w="380" w:type="dxa"/>
            <w:vAlign w:val="bottom"/>
            <w:shd w:val="clear" w:color="auto" w:fill="F0FFFF"/>
          </w:tcPr>
          <w:p>
            <w:pPr>
              <w:spacing w:after="0"/>
              <w:rPr>
                <w:sz w:val="19"/>
                <w:szCs w:val="19"/>
                <w:color w:val="auto"/>
              </w:rPr>
            </w:pPr>
          </w:p>
        </w:tc>
        <w:tc>
          <w:tcPr>
            <w:tcW w:w="10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1.00</w:t>
            </w:r>
          </w:p>
        </w:tc>
        <w:tc>
          <w:tcPr>
            <w:tcW w:w="38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1.04</w:t>
            </w:r>
          </w:p>
        </w:tc>
        <w:tc>
          <w:tcPr>
            <w:tcW w:w="380" w:type="dxa"/>
            <w:vAlign w:val="bottom"/>
            <w:shd w:val="clear" w:color="auto" w:fill="F0FFFF"/>
          </w:tcPr>
          <w:p>
            <w:pPr>
              <w:spacing w:after="0"/>
              <w:rPr>
                <w:sz w:val="19"/>
                <w:szCs w:val="19"/>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1.15</w:t>
            </w:r>
          </w:p>
        </w:tc>
        <w:tc>
          <w:tcPr>
            <w:tcW w:w="26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1.18</w:t>
            </w:r>
          </w:p>
        </w:tc>
        <w:tc>
          <w:tcPr>
            <w:tcW w:w="340" w:type="dxa"/>
            <w:vAlign w:val="bottom"/>
            <w:shd w:val="clear" w:color="auto" w:fill="F0FFFF"/>
          </w:tcPr>
          <w:p>
            <w:pPr>
              <w:spacing w:after="0"/>
              <w:rPr>
                <w:sz w:val="19"/>
                <w:szCs w:val="19"/>
                <w:color w:val="auto"/>
              </w:rPr>
            </w:pP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Effect of preferred equity</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4.29</w:t>
            </w:r>
          </w:p>
        </w:tc>
        <w:tc>
          <w:tcPr>
            <w:tcW w:w="3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shd w:val="clear" w:color="auto" w:fill="F0FFFF"/>
          </w:tcPr>
          <w:p>
            <w:pPr>
              <w:ind w:left="160"/>
              <w:spacing w:after="0"/>
              <w:rPr>
                <w:sz w:val="20"/>
                <w:szCs w:val="20"/>
                <w:color w:val="auto"/>
              </w:rPr>
            </w:pPr>
            <w:r>
              <w:rPr>
                <w:rFonts w:ascii="Arial" w:cs="Arial" w:eastAsia="Arial" w:hAnsi="Arial"/>
                <w:sz w:val="16"/>
                <w:szCs w:val="16"/>
                <w:color w:val="auto"/>
              </w:rPr>
              <w:t>Tier I capital ratio (Regulatory)</w:t>
            </w:r>
          </w:p>
        </w:tc>
        <w:tc>
          <w:tcPr>
            <w:tcW w:w="380" w:type="dxa"/>
            <w:vAlign w:val="bottom"/>
            <w:shd w:val="clear" w:color="auto" w:fill="F0FFFF"/>
          </w:tcPr>
          <w:p>
            <w:pPr>
              <w:spacing w:after="0"/>
              <w:rPr>
                <w:sz w:val="22"/>
                <w:szCs w:val="22"/>
                <w:color w:val="auto"/>
              </w:rPr>
            </w:pPr>
          </w:p>
        </w:tc>
        <w:tc>
          <w:tcPr>
            <w:tcW w:w="10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12.06%</w:t>
            </w:r>
          </w:p>
        </w:tc>
        <w:tc>
          <w:tcPr>
            <w:tcW w:w="38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12.74%</w:t>
            </w:r>
          </w:p>
        </w:tc>
        <w:tc>
          <w:tcPr>
            <w:tcW w:w="38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14.16%</w:t>
            </w:r>
          </w:p>
        </w:tc>
        <w:tc>
          <w:tcPr>
            <w:tcW w:w="340" w:type="dxa"/>
            <w:vAlign w:val="bottom"/>
            <w:shd w:val="clear" w:color="auto" w:fill="F0FFFF"/>
          </w:tcPr>
          <w:p>
            <w:pPr>
              <w:spacing w:after="0"/>
              <w:rPr>
                <w:sz w:val="22"/>
                <w:szCs w:val="22"/>
                <w:color w:val="auto"/>
              </w:rPr>
            </w:pPr>
          </w:p>
        </w:tc>
        <w:tc>
          <w:tcPr>
            <w:tcW w:w="104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13.69%</w:t>
            </w:r>
          </w:p>
        </w:tc>
        <w:tc>
          <w:tcPr>
            <w:tcW w:w="340" w:type="dxa"/>
            <w:vAlign w:val="bottom"/>
            <w:shd w:val="clear" w:color="auto" w:fill="F0FFFF"/>
          </w:tcPr>
          <w:p>
            <w:pPr>
              <w:spacing w:after="0"/>
              <w:rPr>
                <w:sz w:val="22"/>
                <w:szCs w:val="22"/>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Net charge-offs reconciliation</w:t>
            </w: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Operating net charge-offs</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13,878</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93,710</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69,831</w:t>
            </w:r>
          </w:p>
        </w:tc>
        <w:tc>
          <w:tcPr>
            <w:tcW w:w="26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311,227</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215,657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Subsequent partial recovery of fraud-related charge-off</w:t>
            </w: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F0FFFF"/>
            </w:tcBorders>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F0FFFF"/>
          </w:tcPr>
          <w:p>
            <w:pPr>
              <w:spacing w:after="0"/>
              <w:rPr>
                <w:sz w:val="18"/>
                <w:szCs w:val="18"/>
                <w:color w:val="auto"/>
              </w:rPr>
            </w:pP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(11,750)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6"/>
                <w:szCs w:val="16"/>
                <w:color w:val="auto"/>
              </w:rPr>
              <w:t>Net charge-offs (GAAP)</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13,878</w:t>
            </w:r>
          </w:p>
        </w:tc>
        <w:tc>
          <w:tcPr>
            <w:tcW w:w="24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93,710</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69,831</w:t>
            </w:r>
          </w:p>
        </w:tc>
        <w:tc>
          <w:tcPr>
            <w:tcW w:w="26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311,227</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203,907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Net charge-offs to average loans reconciliation</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F0FFFF"/>
          </w:tcPr>
          <w:p>
            <w:pPr>
              <w:spacing w:after="0"/>
              <w:rPr>
                <w:sz w:val="20"/>
                <w:szCs w:val="20"/>
                <w:color w:val="auto"/>
              </w:rPr>
            </w:pPr>
            <w:r>
              <w:rPr>
                <w:rFonts w:ascii="Arial" w:cs="Arial" w:eastAsia="Arial" w:hAnsi="Arial"/>
                <w:sz w:val="16"/>
                <w:szCs w:val="16"/>
                <w:color w:val="auto"/>
              </w:rPr>
              <w:t>Operating net charge-offs to average loans</w:t>
            </w:r>
          </w:p>
        </w:tc>
        <w:tc>
          <w:tcPr>
            <w:tcW w:w="380" w:type="dxa"/>
            <w:vAlign w:val="bottom"/>
            <w:shd w:val="clear" w:color="auto" w:fill="F0FFFF"/>
          </w:tcPr>
          <w:p>
            <w:pPr>
              <w:spacing w:after="0"/>
              <w:rPr>
                <w:sz w:val="19"/>
                <w:szCs w:val="19"/>
                <w:color w:val="auto"/>
              </w:rPr>
            </w:pPr>
          </w:p>
        </w:tc>
        <w:tc>
          <w:tcPr>
            <w:tcW w:w="10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.31%</w:t>
            </w:r>
          </w:p>
        </w:tc>
        <w:tc>
          <w:tcPr>
            <w:tcW w:w="38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2.22%</w:t>
            </w:r>
          </w:p>
        </w:tc>
        <w:tc>
          <w:tcPr>
            <w:tcW w:w="38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1.69%</w:t>
            </w:r>
          </w:p>
        </w:tc>
        <w:tc>
          <w:tcPr>
            <w:tcW w:w="340" w:type="dxa"/>
            <w:vAlign w:val="bottom"/>
            <w:shd w:val="clear" w:color="auto" w:fill="F0FFFF"/>
          </w:tcPr>
          <w:p>
            <w:pPr>
              <w:spacing w:after="0"/>
              <w:rPr>
                <w:sz w:val="19"/>
                <w:szCs w:val="19"/>
                <w:color w:val="auto"/>
              </w:rPr>
            </w:pPr>
          </w:p>
        </w:tc>
        <w:tc>
          <w:tcPr>
            <w:tcW w:w="104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7.33%</w:t>
            </w:r>
          </w:p>
        </w:tc>
        <w:tc>
          <w:tcPr>
            <w:tcW w:w="340" w:type="dxa"/>
            <w:vAlign w:val="bottom"/>
            <w:shd w:val="clear" w:color="auto" w:fill="F0FFFF"/>
          </w:tcPr>
          <w:p>
            <w:pPr>
              <w:spacing w:after="0"/>
              <w:rPr>
                <w:sz w:val="19"/>
                <w:szCs w:val="19"/>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Subsequent partial recovery of fraud-related charge-off</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shd w:val="clear" w:color="auto" w:fill="F0FFFF"/>
          </w:tcPr>
          <w:p>
            <w:pPr>
              <w:ind w:left="160"/>
              <w:spacing w:after="0"/>
              <w:rPr>
                <w:sz w:val="20"/>
                <w:szCs w:val="20"/>
                <w:color w:val="auto"/>
              </w:rPr>
            </w:pPr>
            <w:r>
              <w:rPr>
                <w:rFonts w:ascii="Arial" w:cs="Arial" w:eastAsia="Arial" w:hAnsi="Arial"/>
                <w:sz w:val="16"/>
                <w:szCs w:val="16"/>
                <w:color w:val="auto"/>
              </w:rPr>
              <w:t>Net charge-offs to average loans (GAAP)</w:t>
            </w:r>
          </w:p>
        </w:tc>
        <w:tc>
          <w:tcPr>
            <w:tcW w:w="380" w:type="dxa"/>
            <w:vAlign w:val="bottom"/>
            <w:shd w:val="clear" w:color="auto" w:fill="F0FFFF"/>
          </w:tcPr>
          <w:p>
            <w:pPr>
              <w:spacing w:after="0"/>
              <w:rPr>
                <w:sz w:val="20"/>
                <w:szCs w:val="20"/>
                <w:color w:val="auto"/>
              </w:rPr>
            </w:pPr>
          </w:p>
        </w:tc>
        <w:tc>
          <w:tcPr>
            <w:tcW w:w="10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.31%</w:t>
            </w:r>
          </w:p>
        </w:tc>
        <w:tc>
          <w:tcPr>
            <w:tcW w:w="38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2.22%</w:t>
            </w:r>
          </w:p>
        </w:tc>
        <w:tc>
          <w:tcPr>
            <w:tcW w:w="38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1.69%</w:t>
            </w:r>
          </w:p>
        </w:tc>
        <w:tc>
          <w:tcPr>
            <w:tcW w:w="340" w:type="dxa"/>
            <w:vAlign w:val="bottom"/>
            <w:shd w:val="clear" w:color="auto" w:fill="F0FFFF"/>
          </w:tcPr>
          <w:p>
            <w:pPr>
              <w:spacing w:after="0"/>
              <w:rPr>
                <w:sz w:val="20"/>
                <w:szCs w:val="20"/>
                <w:color w:val="auto"/>
              </w:rPr>
            </w:pPr>
          </w:p>
        </w:tc>
        <w:tc>
          <w:tcPr>
            <w:tcW w:w="104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7.33%</w:t>
            </w:r>
          </w:p>
        </w:tc>
        <w:tc>
          <w:tcPr>
            <w:tcW w:w="34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5" w:name="page36"/>
    <w:bookmarkEnd w:id="35"/>
    <w:p>
      <w:pPr>
        <w:ind w:right="4940"/>
        <w:spacing w:after="0" w:line="282" w:lineRule="auto"/>
        <w:rPr>
          <w:sz w:val="20"/>
          <w:szCs w:val="20"/>
          <w:color w:val="auto"/>
        </w:rPr>
      </w:pPr>
      <w:r>
        <w:rPr>
          <w:rFonts w:ascii="Arial" w:cs="Arial" w:eastAsia="Arial" w:hAnsi="Arial"/>
          <w:sz w:val="18"/>
          <w:szCs w:val="18"/>
          <w:b w:val="1"/>
          <w:bCs w:val="1"/>
          <w:color w:val="auto"/>
        </w:rPr>
        <w:t>Table 1 (Continued) - Non-GAAP Performance Measures Reconciliation - Quarterly 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775" w:gutter="0" w:footer="0" w:header="0"/>
        </w:sectPr>
      </w:pPr>
    </w:p>
    <w:p>
      <w:pPr>
        <w:spacing w:after="0" w:line="200" w:lineRule="exact"/>
        <w:rPr>
          <w:sz w:val="20"/>
          <w:szCs w:val="20"/>
          <w:color w:val="auto"/>
        </w:rPr>
      </w:pPr>
    </w:p>
    <w:p>
      <w:pPr>
        <w:spacing w:after="0" w:line="240" w:lineRule="exact"/>
        <w:rPr>
          <w:sz w:val="20"/>
          <w:szCs w:val="20"/>
          <w:color w:val="auto"/>
        </w:rPr>
      </w:pPr>
    </w:p>
    <w:p>
      <w:pPr>
        <w:ind w:right="320"/>
        <w:spacing w:after="0" w:line="389" w:lineRule="auto"/>
        <w:rPr>
          <w:sz w:val="20"/>
          <w:szCs w:val="20"/>
          <w:color w:val="auto"/>
        </w:rPr>
      </w:pPr>
      <w:r>
        <w:rPr>
          <w:rFonts w:ascii="Arial" w:cs="Arial" w:eastAsia="Arial" w:hAnsi="Arial"/>
          <w:sz w:val="14"/>
          <w:szCs w:val="14"/>
          <w:i w:val="1"/>
          <w:iCs w:val="1"/>
          <w:color w:val="auto"/>
        </w:rPr>
        <w:t>(in thousands, except per share data; taxable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6808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80845" cy="1714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revenue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8084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80845"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Interest revenue - taxable equivalent</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Taxable equivalent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68084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80845"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revenue (GAAP)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00" w:type="dxa"/>
            <w:vAlign w:val="bottom"/>
            <w:tcBorders>
              <w:bottom w:val="single" w:sz="8" w:color="646464"/>
            </w:tcBorders>
          </w:tcPr>
          <w:p>
            <w:pPr>
              <w:spacing w:after="0"/>
              <w:rPr>
                <w:sz w:val="20"/>
                <w:szCs w:val="20"/>
                <w:color w:val="auto"/>
              </w:rPr>
            </w:pPr>
          </w:p>
        </w:tc>
        <w:tc>
          <w:tcPr>
            <w:tcW w:w="720" w:type="dxa"/>
            <w:vAlign w:val="bottom"/>
            <w:tcBorders>
              <w:bottom w:val="single" w:sz="8" w:color="646464"/>
            </w:tcBorders>
          </w:tcPr>
          <w:p>
            <w:pPr>
              <w:spacing w:after="0"/>
              <w:rPr>
                <w:sz w:val="20"/>
                <w:szCs w:val="20"/>
                <w:color w:val="auto"/>
              </w:rPr>
            </w:pPr>
          </w:p>
        </w:tc>
        <w:tc>
          <w:tcPr>
            <w:tcW w:w="140" w:type="dxa"/>
            <w:vAlign w:val="bottom"/>
            <w:tcBorders>
              <w:bottom w:val="single" w:sz="8" w:color="646464"/>
            </w:tcBorders>
          </w:tcPr>
          <w:p>
            <w:pPr>
              <w:spacing w:after="0"/>
              <w:rPr>
                <w:sz w:val="20"/>
                <w:szCs w:val="20"/>
                <w:color w:val="auto"/>
              </w:rPr>
            </w:pPr>
          </w:p>
        </w:tc>
        <w:tc>
          <w:tcPr>
            <w:tcW w:w="10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1080" w:type="dxa"/>
            <w:vAlign w:val="bottom"/>
            <w:tcBorders>
              <w:bottom w:val="single" w:sz="8" w:color="646464"/>
            </w:tcBorders>
            <w:gridSpan w:val="4"/>
          </w:tcPr>
          <w:p>
            <w:pPr>
              <w:jc w:val="right"/>
              <w:ind w:right="40"/>
              <w:spacing w:after="0"/>
              <w:rPr>
                <w:sz w:val="20"/>
                <w:szCs w:val="20"/>
                <w:color w:val="auto"/>
              </w:rPr>
            </w:pPr>
            <w:r>
              <w:rPr>
                <w:rFonts w:ascii="Arial" w:cs="Arial" w:eastAsia="Arial" w:hAnsi="Arial"/>
                <w:sz w:val="16"/>
                <w:szCs w:val="16"/>
                <w:b w:val="1"/>
                <w:bCs w:val="1"/>
                <w:color w:val="auto"/>
              </w:rPr>
              <w:t>2014</w:t>
            </w:r>
          </w:p>
        </w:tc>
        <w:tc>
          <w:tcPr>
            <w:tcW w:w="74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740" w:type="dxa"/>
            <w:vAlign w:val="bottom"/>
            <w:tcBorders>
              <w:bottom w:val="single" w:sz="8" w:color="646464"/>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740" w:type="dxa"/>
            <w:vAlign w:val="bottom"/>
            <w:tcBorders>
              <w:bottom w:val="single" w:sz="8" w:color="646464"/>
            </w:tcBorders>
          </w:tcPr>
          <w:p>
            <w:pPr>
              <w:spacing w:after="0"/>
              <w:rPr>
                <w:sz w:val="20"/>
                <w:szCs w:val="20"/>
                <w:color w:val="auto"/>
              </w:rPr>
            </w:pPr>
          </w:p>
        </w:tc>
        <w:tc>
          <w:tcPr>
            <w:tcW w:w="14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100" w:type="dxa"/>
            <w:vAlign w:val="bottom"/>
            <w:tcBorders>
              <w:bottom w:val="single" w:sz="8" w:color="646464"/>
            </w:tcBorders>
          </w:tcPr>
          <w:p>
            <w:pPr>
              <w:spacing w:after="0"/>
              <w:rPr>
                <w:sz w:val="20"/>
                <w:szCs w:val="20"/>
                <w:color w:val="auto"/>
              </w:rPr>
            </w:pPr>
          </w:p>
        </w:tc>
        <w:tc>
          <w:tcPr>
            <w:tcW w:w="1120" w:type="dxa"/>
            <w:vAlign w:val="bottom"/>
            <w:tcBorders>
              <w:bottom w:val="single" w:sz="8" w:color="646464"/>
            </w:tcBorders>
            <w:gridSpan w:val="4"/>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760" w:type="dxa"/>
            <w:vAlign w:val="bottom"/>
            <w:tcBorders>
              <w:bottom w:val="single" w:sz="8" w:color="646464"/>
            </w:tcBorders>
          </w:tcPr>
          <w:p>
            <w:pPr>
              <w:spacing w:after="0"/>
              <w:rPr>
                <w:sz w:val="20"/>
                <w:szCs w:val="20"/>
                <w:color w:val="auto"/>
              </w:rPr>
            </w:pPr>
          </w:p>
        </w:tc>
        <w:tc>
          <w:tcPr>
            <w:tcW w:w="140" w:type="dxa"/>
            <w:vAlign w:val="bottom"/>
            <w:tcBorders>
              <w:bottom w:val="single" w:sz="8" w:color="646464"/>
            </w:tcBorders>
          </w:tcPr>
          <w:p>
            <w:pPr>
              <w:spacing w:after="0"/>
              <w:rPr>
                <w:sz w:val="20"/>
                <w:szCs w:val="20"/>
                <w:color w:val="auto"/>
              </w:rPr>
            </w:pPr>
          </w:p>
        </w:tc>
        <w:tc>
          <w:tcPr>
            <w:tcW w:w="10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740" w:type="dxa"/>
            <w:vAlign w:val="bottom"/>
            <w:tcBorders>
              <w:bottom w:val="single" w:sz="8" w:color="646464"/>
            </w:tcBorders>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Fourth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Third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Second</w:t>
            </w:r>
          </w:p>
        </w:tc>
        <w:tc>
          <w:tcPr>
            <w:tcW w:w="12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b w:val="1"/>
                <w:bCs w:val="1"/>
                <w:color w:val="auto"/>
              </w:rPr>
              <w:t>First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Fourth</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Third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Arial" w:cs="Arial" w:eastAsia="Arial" w:hAnsi="Arial"/>
                <w:sz w:val="16"/>
                <w:szCs w:val="16"/>
                <w:b w:val="1"/>
                <w:bCs w:val="1"/>
                <w:color w:val="auto"/>
              </w:rPr>
              <w:t>Second</w:t>
            </w:r>
          </w:p>
        </w:tc>
        <w:tc>
          <w:tcPr>
            <w:tcW w:w="120" w:type="dxa"/>
            <w:vAlign w:val="bottom"/>
          </w:tcPr>
          <w:p>
            <w:pPr>
              <w:spacing w:after="0"/>
              <w:rPr>
                <w:sz w:val="17"/>
                <w:szCs w:val="17"/>
                <w:color w:val="auto"/>
              </w:rPr>
            </w:pPr>
          </w:p>
        </w:tc>
        <w:tc>
          <w:tcPr>
            <w:tcW w:w="74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First</w:t>
            </w:r>
          </w:p>
        </w:tc>
        <w:tc>
          <w:tcPr>
            <w:tcW w:w="140" w:type="dxa"/>
            <w:vAlign w:val="bottom"/>
          </w:tcPr>
          <w:p>
            <w:pPr>
              <w:spacing w:after="0"/>
              <w:rPr>
                <w:sz w:val="17"/>
                <w:szCs w:val="17"/>
                <w:color w:val="auto"/>
              </w:rPr>
            </w:pPr>
          </w:p>
        </w:tc>
      </w:tr>
      <w:tr>
        <w:trPr>
          <w:trHeight w:val="237"/>
        </w:trPr>
        <w:tc>
          <w:tcPr>
            <w:tcW w:w="100" w:type="dxa"/>
            <w:vAlign w:val="bottom"/>
            <w:tcBorders>
              <w:bottom w:val="single" w:sz="8" w:color="646464"/>
            </w:tcBorders>
          </w:tcPr>
          <w:p>
            <w:pPr>
              <w:spacing w:after="0"/>
              <w:rPr>
                <w:sz w:val="20"/>
                <w:szCs w:val="20"/>
                <w:color w:val="auto"/>
              </w:rPr>
            </w:pPr>
          </w:p>
        </w:tc>
        <w:tc>
          <w:tcPr>
            <w:tcW w:w="720" w:type="dxa"/>
            <w:vAlign w:val="bottom"/>
            <w:tcBorders>
              <w:bottom w:val="single" w:sz="8" w:color="646464"/>
            </w:tcBorders>
          </w:tcPr>
          <w:p>
            <w:pPr>
              <w:jc w:val="right"/>
              <w:ind w:right="39"/>
              <w:spacing w:after="0"/>
              <w:rPr>
                <w:sz w:val="20"/>
                <w:szCs w:val="20"/>
                <w:color w:val="auto"/>
              </w:rPr>
            </w:pPr>
            <w:r>
              <w:rPr>
                <w:rFonts w:ascii="Arial" w:cs="Arial" w:eastAsia="Arial" w:hAnsi="Arial"/>
                <w:sz w:val="16"/>
                <w:szCs w:val="16"/>
                <w:b w:val="1"/>
                <w:bCs w:val="1"/>
                <w:color w:val="auto"/>
              </w:rPr>
              <w:t>Quarter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720" w:type="dxa"/>
            <w:vAlign w:val="bottom"/>
            <w:tcBorders>
              <w:bottom w:val="single" w:sz="8" w:color="646464"/>
            </w:tcBorders>
          </w:tcPr>
          <w:p>
            <w:pPr>
              <w:jc w:val="center"/>
              <w:ind w:right="39"/>
              <w:spacing w:after="0"/>
              <w:rPr>
                <w:sz w:val="20"/>
                <w:szCs w:val="20"/>
                <w:color w:val="auto"/>
              </w:rPr>
            </w:pPr>
            <w:r>
              <w:rPr>
                <w:rFonts w:ascii="Arial" w:cs="Arial" w:eastAsia="Arial" w:hAnsi="Arial"/>
                <w:sz w:val="16"/>
                <w:szCs w:val="16"/>
                <w:b w:val="1"/>
                <w:bCs w:val="1"/>
                <w:color w:val="auto"/>
                <w:w w:val="96"/>
              </w:rPr>
              <w:t>Quarter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740" w:type="dxa"/>
            <w:vAlign w:val="bottom"/>
            <w:tcBorders>
              <w:bottom w:val="single" w:sz="8" w:color="646464"/>
            </w:tcBorders>
          </w:tcPr>
          <w:p>
            <w:pPr>
              <w:jc w:val="right"/>
              <w:ind w:right="59"/>
              <w:spacing w:after="0"/>
              <w:rPr>
                <w:sz w:val="20"/>
                <w:szCs w:val="20"/>
                <w:color w:val="auto"/>
              </w:rPr>
            </w:pPr>
            <w:r>
              <w:rPr>
                <w:rFonts w:ascii="Arial" w:cs="Arial" w:eastAsia="Arial" w:hAnsi="Arial"/>
                <w:sz w:val="16"/>
                <w:szCs w:val="16"/>
                <w:b w:val="1"/>
                <w:bCs w:val="1"/>
                <w:color w:val="auto"/>
              </w:rPr>
              <w:t>Quarter</w:t>
            </w:r>
          </w:p>
        </w:tc>
        <w:tc>
          <w:tcPr>
            <w:tcW w:w="240" w:type="dxa"/>
            <w:vAlign w:val="bottom"/>
            <w:gridSpan w:val="2"/>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740" w:type="dxa"/>
            <w:vAlign w:val="bottom"/>
            <w:tcBorders>
              <w:bottom w:val="single" w:sz="8" w:color="646464"/>
            </w:tcBorders>
          </w:tcPr>
          <w:p>
            <w:pPr>
              <w:jc w:val="right"/>
              <w:ind w:right="59"/>
              <w:spacing w:after="0"/>
              <w:rPr>
                <w:sz w:val="20"/>
                <w:szCs w:val="20"/>
                <w:color w:val="auto"/>
              </w:rPr>
            </w:pPr>
            <w:r>
              <w:rPr>
                <w:rFonts w:ascii="Arial" w:cs="Arial" w:eastAsia="Arial" w:hAnsi="Arial"/>
                <w:sz w:val="16"/>
                <w:szCs w:val="16"/>
                <w:b w:val="1"/>
                <w:bCs w:val="1"/>
                <w:color w:val="auto"/>
              </w:rPr>
              <w:t>Quarter</w:t>
            </w:r>
          </w:p>
        </w:tc>
        <w:tc>
          <w:tcPr>
            <w:tcW w:w="240" w:type="dxa"/>
            <w:vAlign w:val="bottom"/>
            <w:gridSpan w:val="2"/>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740" w:type="dxa"/>
            <w:vAlign w:val="bottom"/>
            <w:tcBorders>
              <w:bottom w:val="single" w:sz="8" w:color="646464"/>
            </w:tcBorders>
          </w:tcPr>
          <w:p>
            <w:pPr>
              <w:jc w:val="center"/>
              <w:ind w:right="19"/>
              <w:spacing w:after="0"/>
              <w:rPr>
                <w:sz w:val="20"/>
                <w:szCs w:val="20"/>
                <w:color w:val="auto"/>
              </w:rPr>
            </w:pPr>
            <w:r>
              <w:rPr>
                <w:rFonts w:ascii="Arial" w:cs="Arial" w:eastAsia="Arial" w:hAnsi="Arial"/>
                <w:sz w:val="16"/>
                <w:szCs w:val="16"/>
                <w:b w:val="1"/>
                <w:bCs w:val="1"/>
                <w:color w:val="auto"/>
                <w:w w:val="96"/>
              </w:rPr>
              <w:t>Quarter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646464"/>
            </w:tcBorders>
          </w:tcPr>
          <w:p>
            <w:pPr>
              <w:spacing w:after="0"/>
              <w:rPr>
                <w:sz w:val="20"/>
                <w:szCs w:val="20"/>
                <w:color w:val="auto"/>
              </w:rPr>
            </w:pPr>
          </w:p>
        </w:tc>
        <w:tc>
          <w:tcPr>
            <w:tcW w:w="760" w:type="dxa"/>
            <w:vAlign w:val="bottom"/>
            <w:tcBorders>
              <w:bottom w:val="single" w:sz="8" w:color="646464"/>
            </w:tcBorders>
          </w:tcPr>
          <w:p>
            <w:pPr>
              <w:jc w:val="right"/>
              <w:ind w:right="79"/>
              <w:spacing w:after="0"/>
              <w:rPr>
                <w:sz w:val="20"/>
                <w:szCs w:val="20"/>
                <w:color w:val="auto"/>
              </w:rPr>
            </w:pPr>
            <w:r>
              <w:rPr>
                <w:rFonts w:ascii="Arial" w:cs="Arial" w:eastAsia="Arial" w:hAnsi="Arial"/>
                <w:sz w:val="16"/>
                <w:szCs w:val="16"/>
                <w:b w:val="1"/>
                <w:bCs w:val="1"/>
                <w:color w:val="auto"/>
              </w:rPr>
              <w:t>Quarter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760" w:type="dxa"/>
            <w:vAlign w:val="bottom"/>
            <w:tcBorders>
              <w:bottom w:val="single" w:sz="8" w:color="646464"/>
            </w:tcBorders>
          </w:tcPr>
          <w:p>
            <w:pPr>
              <w:jc w:val="right"/>
              <w:ind w:right="79"/>
              <w:spacing w:after="0"/>
              <w:rPr>
                <w:sz w:val="20"/>
                <w:szCs w:val="20"/>
                <w:color w:val="auto"/>
              </w:rPr>
            </w:pPr>
            <w:r>
              <w:rPr>
                <w:rFonts w:ascii="Arial" w:cs="Arial" w:eastAsia="Arial" w:hAnsi="Arial"/>
                <w:sz w:val="16"/>
                <w:szCs w:val="16"/>
                <w:b w:val="1"/>
                <w:bCs w:val="1"/>
                <w:color w:val="auto"/>
              </w:rPr>
              <w:t>Quarter</w:t>
            </w:r>
          </w:p>
        </w:tc>
        <w:tc>
          <w:tcPr>
            <w:tcW w:w="240" w:type="dxa"/>
            <w:vAlign w:val="bottom"/>
            <w:gridSpan w:val="2"/>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740" w:type="dxa"/>
            <w:vAlign w:val="bottom"/>
            <w:tcBorders>
              <w:bottom w:val="single" w:sz="8" w:color="646464"/>
            </w:tcBorders>
          </w:tcPr>
          <w:p>
            <w:pPr>
              <w:jc w:val="center"/>
              <w:ind w:right="39"/>
              <w:spacing w:after="0"/>
              <w:rPr>
                <w:sz w:val="20"/>
                <w:szCs w:val="20"/>
                <w:color w:val="auto"/>
              </w:rPr>
            </w:pPr>
            <w:r>
              <w:rPr>
                <w:rFonts w:ascii="Arial" w:cs="Arial" w:eastAsia="Arial" w:hAnsi="Arial"/>
                <w:sz w:val="16"/>
                <w:szCs w:val="16"/>
                <w:b w:val="1"/>
                <w:bCs w:val="1"/>
                <w:color w:val="auto"/>
              </w:rPr>
              <w:t>Quarter</w:t>
            </w:r>
          </w:p>
        </w:tc>
        <w:tc>
          <w:tcPr>
            <w:tcW w:w="140" w:type="dxa"/>
            <w:vAlign w:val="bottom"/>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gridSpan w:val="2"/>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spacing w:after="0"/>
              <w:rPr>
                <w:sz w:val="18"/>
                <w:szCs w:val="18"/>
                <w:color w:val="auto"/>
              </w:rPr>
            </w:pPr>
          </w:p>
        </w:tc>
      </w:tr>
      <w:tr>
        <w:trPr>
          <w:trHeight w:val="21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64,353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63,338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61,783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60,495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61,695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61,426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62,088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62,114</w:t>
            </w:r>
          </w:p>
        </w:tc>
      </w:tr>
      <w:tr>
        <w:trPr>
          <w:trHeight w:val="216"/>
        </w:trPr>
        <w:tc>
          <w:tcPr>
            <w:tcW w:w="1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(365)</w:t>
            </w:r>
          </w:p>
        </w:tc>
      </w:tr>
      <w:tr>
        <w:trPr>
          <w:trHeight w:val="30"/>
        </w:trPr>
        <w:tc>
          <w:tcPr>
            <w:tcW w:w="100" w:type="dxa"/>
            <w:vAlign w:val="bottom"/>
            <w:shd w:val="clear" w:color="auto" w:fill="646464"/>
          </w:tcPr>
          <w:p>
            <w:pPr>
              <w:spacing w:after="0"/>
              <w:rPr>
                <w:sz w:val="2"/>
                <w:szCs w:val="2"/>
                <w:color w:val="auto"/>
              </w:rPr>
            </w:pPr>
          </w:p>
        </w:tc>
        <w:tc>
          <w:tcPr>
            <w:tcW w:w="72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646464"/>
          </w:tcPr>
          <w:p>
            <w:pPr>
              <w:spacing w:after="0"/>
              <w:rPr>
                <w:sz w:val="2"/>
                <w:szCs w:val="2"/>
                <w:color w:val="auto"/>
              </w:rPr>
            </w:pPr>
          </w:p>
        </w:tc>
        <w:tc>
          <w:tcPr>
            <w:tcW w:w="72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646464"/>
          </w:tcPr>
          <w:p>
            <w:pPr>
              <w:spacing w:after="0"/>
              <w:rPr>
                <w:sz w:val="2"/>
                <w:szCs w:val="2"/>
                <w:color w:val="auto"/>
              </w:rPr>
            </w:pPr>
          </w:p>
        </w:tc>
        <w:tc>
          <w:tcPr>
            <w:tcW w:w="740" w:type="dxa"/>
            <w:vAlign w:val="bottom"/>
            <w:shd w:val="clear" w:color="auto" w:fill="646464"/>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646464"/>
          </w:tcPr>
          <w:p>
            <w:pPr>
              <w:spacing w:after="0"/>
              <w:rPr>
                <w:sz w:val="2"/>
                <w:szCs w:val="2"/>
                <w:color w:val="auto"/>
              </w:rPr>
            </w:pPr>
          </w:p>
        </w:tc>
        <w:tc>
          <w:tcPr>
            <w:tcW w:w="74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646464"/>
          </w:tcPr>
          <w:p>
            <w:pPr>
              <w:spacing w:after="0"/>
              <w:rPr>
                <w:sz w:val="2"/>
                <w:szCs w:val="2"/>
                <w:color w:val="auto"/>
              </w:rPr>
            </w:pPr>
          </w:p>
        </w:tc>
        <w:tc>
          <w:tcPr>
            <w:tcW w:w="74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646464"/>
          </w:tcPr>
          <w:p>
            <w:pPr>
              <w:spacing w:after="0"/>
              <w:rPr>
                <w:sz w:val="2"/>
                <w:szCs w:val="2"/>
                <w:color w:val="auto"/>
              </w:rPr>
            </w:pPr>
          </w:p>
        </w:tc>
        <w:tc>
          <w:tcPr>
            <w:tcW w:w="7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646464"/>
          </w:tcPr>
          <w:p>
            <w:pPr>
              <w:spacing w:after="0"/>
              <w:rPr>
                <w:sz w:val="2"/>
                <w:szCs w:val="2"/>
                <w:color w:val="auto"/>
              </w:rPr>
            </w:pPr>
          </w:p>
        </w:tc>
        <w:tc>
          <w:tcPr>
            <w:tcW w:w="7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646464"/>
          </w:tcPr>
          <w:p>
            <w:pPr>
              <w:spacing w:after="0"/>
              <w:rPr>
                <w:sz w:val="2"/>
                <w:szCs w:val="2"/>
                <w:color w:val="auto"/>
              </w:rPr>
            </w:pPr>
          </w:p>
        </w:tc>
        <w:tc>
          <w:tcPr>
            <w:tcW w:w="74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1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63,955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62,933</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61,406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60,138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61,315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61,056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61,720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61,749</w:t>
            </w:r>
          </w:p>
        </w:tc>
      </w:tr>
      <w:tr>
        <w:trPr>
          <w:trHeight w:val="24"/>
        </w:trPr>
        <w:tc>
          <w:tcPr>
            <w:tcW w:w="100" w:type="dxa"/>
            <w:vAlign w:val="bottom"/>
            <w:tcBorders>
              <w:top w:val="single" w:sz="8" w:color="646464"/>
              <w:bottom w:val="single" w:sz="8" w:color="646464"/>
            </w:tcBorders>
          </w:tcPr>
          <w:p>
            <w:pPr>
              <w:spacing w:after="0"/>
              <w:rPr>
                <w:sz w:val="2"/>
                <w:szCs w:val="2"/>
                <w:color w:val="auto"/>
              </w:rPr>
            </w:pPr>
          </w:p>
        </w:tc>
        <w:tc>
          <w:tcPr>
            <w:tcW w:w="72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646464"/>
              <w:bottom w:val="single" w:sz="8" w:color="646464"/>
            </w:tcBorders>
          </w:tcPr>
          <w:p>
            <w:pPr>
              <w:spacing w:after="0"/>
              <w:rPr>
                <w:sz w:val="2"/>
                <w:szCs w:val="2"/>
                <w:color w:val="auto"/>
              </w:rPr>
            </w:pPr>
          </w:p>
        </w:tc>
        <w:tc>
          <w:tcPr>
            <w:tcW w:w="72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646464"/>
              <w:bottom w:val="single" w:sz="8" w:color="646464"/>
            </w:tcBorders>
          </w:tcPr>
          <w:p>
            <w:pPr>
              <w:spacing w:after="0"/>
              <w:rPr>
                <w:sz w:val="2"/>
                <w:szCs w:val="2"/>
                <w:color w:val="auto"/>
              </w:rPr>
            </w:pPr>
          </w:p>
        </w:tc>
        <w:tc>
          <w:tcPr>
            <w:tcW w:w="740" w:type="dxa"/>
            <w:vAlign w:val="bottom"/>
            <w:tcBorders>
              <w:top w:val="single" w:sz="8" w:color="646464"/>
              <w:bottom w:val="single" w:sz="8" w:color="646464"/>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646464"/>
              <w:bottom w:val="single" w:sz="8" w:color="646464"/>
            </w:tcBorders>
          </w:tcPr>
          <w:p>
            <w:pPr>
              <w:spacing w:after="0"/>
              <w:rPr>
                <w:sz w:val="2"/>
                <w:szCs w:val="2"/>
                <w:color w:val="auto"/>
              </w:rPr>
            </w:pPr>
          </w:p>
        </w:tc>
        <w:tc>
          <w:tcPr>
            <w:tcW w:w="74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646464"/>
              <w:bottom w:val="single" w:sz="8" w:color="646464"/>
            </w:tcBorders>
          </w:tcPr>
          <w:p>
            <w:pPr>
              <w:spacing w:after="0"/>
              <w:rPr>
                <w:sz w:val="2"/>
                <w:szCs w:val="2"/>
                <w:color w:val="auto"/>
              </w:rPr>
            </w:pPr>
          </w:p>
        </w:tc>
        <w:tc>
          <w:tcPr>
            <w:tcW w:w="74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646464"/>
              <w:bottom w:val="single" w:sz="8" w:color="646464"/>
            </w:tcBorders>
          </w:tcPr>
          <w:p>
            <w:pPr>
              <w:spacing w:after="0"/>
              <w:rPr>
                <w:sz w:val="2"/>
                <w:szCs w:val="2"/>
                <w:color w:val="auto"/>
              </w:rPr>
            </w:pPr>
          </w:p>
        </w:tc>
        <w:tc>
          <w:tcPr>
            <w:tcW w:w="7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646464"/>
              <w:bottom w:val="single" w:sz="8" w:color="646464"/>
            </w:tcBorders>
          </w:tcPr>
          <w:p>
            <w:pPr>
              <w:spacing w:after="0"/>
              <w:rPr>
                <w:sz w:val="2"/>
                <w:szCs w:val="2"/>
                <w:color w:val="auto"/>
              </w:rPr>
            </w:pPr>
          </w:p>
        </w:tc>
        <w:tc>
          <w:tcPr>
            <w:tcW w:w="7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646464"/>
              <w:bottom w:val="single" w:sz="8" w:color="646464"/>
            </w:tcBorders>
          </w:tcPr>
          <w:p>
            <w:pPr>
              <w:spacing w:after="0"/>
              <w:rPr>
                <w:sz w:val="2"/>
                <w:szCs w:val="2"/>
                <w:color w:val="auto"/>
              </w:rPr>
            </w:pPr>
          </w:p>
        </w:tc>
        <w:tc>
          <w:tcPr>
            <w:tcW w:w="74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2360" w:space="380"/>
            <w:col w:w="8680"/>
          </w:cols>
          <w:pgMar w:left="240" w:top="675" w:right="239" w:bottom="775"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640" w:type="dxa"/>
            <w:vAlign w:val="bottom"/>
            <w:shd w:val="clear" w:color="auto" w:fill="F0FF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Net interest revenue reconciliation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F0FFFF"/>
          </w:tcPr>
          <w:p>
            <w:pPr>
              <w:spacing w:after="0"/>
              <w:rPr>
                <w:sz w:val="20"/>
                <w:szCs w:val="20"/>
                <w:color w:val="auto"/>
              </w:rPr>
            </w:pPr>
            <w:r>
              <w:rPr>
                <w:rFonts w:ascii="Arial" w:cs="Arial" w:eastAsia="Arial" w:hAnsi="Arial"/>
                <w:sz w:val="16"/>
                <w:szCs w:val="16"/>
                <w:color w:val="auto"/>
                <w:highlight w:val="white"/>
                <w:w w:val="91"/>
              </w:rPr>
              <w:t>Net interest revenue - taxable equivalent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F0FFFF"/>
          </w:tcPr>
          <w:p>
            <w:pPr>
              <w:jc w:val="right"/>
              <w:ind w:right="22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58,332</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56,967</w:t>
            </w:r>
          </w:p>
        </w:tc>
        <w:tc>
          <w:tcPr>
            <w:tcW w:w="100" w:type="dxa"/>
            <w:vAlign w:val="bottom"/>
          </w:tcPr>
          <w:p>
            <w:pPr>
              <w:spacing w:after="0"/>
              <w:rPr>
                <w:sz w:val="18"/>
                <w:szCs w:val="18"/>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54,950</w:t>
            </w: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54,169</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55,879</w:t>
            </w:r>
          </w:p>
        </w:tc>
        <w:tc>
          <w:tcPr>
            <w:tcW w:w="120" w:type="dxa"/>
            <w:vAlign w:val="bottom"/>
          </w:tcPr>
          <w:p>
            <w:pPr>
              <w:spacing w:after="0"/>
              <w:rPr>
                <w:sz w:val="18"/>
                <w:szCs w:val="18"/>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54,257</w:t>
            </w:r>
          </w:p>
        </w:tc>
        <w:tc>
          <w:tcPr>
            <w:tcW w:w="100" w:type="dxa"/>
            <w:vAlign w:val="bottom"/>
          </w:tcPr>
          <w:p>
            <w:pPr>
              <w:spacing w:after="0"/>
              <w:rPr>
                <w:sz w:val="18"/>
                <w:szCs w:val="18"/>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54,931</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54,574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Taxable equivalent adjustment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646464"/>
          </w:tcPr>
          <w:p>
            <w:pPr>
              <w:spacing w:after="0"/>
              <w:rPr>
                <w:sz w:val="2"/>
                <w:szCs w:val="2"/>
                <w:color w:val="auto"/>
              </w:rPr>
            </w:pPr>
          </w:p>
        </w:tc>
        <w:tc>
          <w:tcPr>
            <w:tcW w:w="460" w:type="dxa"/>
            <w:vAlign w:val="bottom"/>
            <w:shd w:val="clear" w:color="auto" w:fill="64646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600" w:type="dxa"/>
            <w:vAlign w:val="bottom"/>
            <w:shd w:val="clear" w:color="auto" w:fill="64646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620" w:type="dxa"/>
            <w:vAlign w:val="bottom"/>
            <w:shd w:val="clear" w:color="auto" w:fill="64646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620" w:type="dxa"/>
            <w:vAlign w:val="bottom"/>
            <w:shd w:val="clear" w:color="auto" w:fill="64646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646464"/>
          </w:tcPr>
          <w:p>
            <w:pPr>
              <w:spacing w:after="0"/>
              <w:rPr>
                <w:sz w:val="2"/>
                <w:szCs w:val="2"/>
                <w:color w:val="auto"/>
              </w:rPr>
            </w:pPr>
          </w:p>
        </w:tc>
        <w:tc>
          <w:tcPr>
            <w:tcW w:w="600" w:type="dxa"/>
            <w:vAlign w:val="bottom"/>
            <w:shd w:val="clear" w:color="auto" w:fill="646464"/>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646464"/>
          </w:tcPr>
          <w:p>
            <w:pPr>
              <w:spacing w:after="0"/>
              <w:rPr>
                <w:sz w:val="2"/>
                <w:szCs w:val="2"/>
                <w:color w:val="auto"/>
              </w:rPr>
            </w:pPr>
          </w:p>
        </w:tc>
        <w:tc>
          <w:tcPr>
            <w:tcW w:w="620" w:type="dxa"/>
            <w:vAlign w:val="bottom"/>
            <w:shd w:val="clear" w:color="auto" w:fill="64646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646464"/>
          </w:tcPr>
          <w:p>
            <w:pPr>
              <w:spacing w:after="0"/>
              <w:rPr>
                <w:sz w:val="2"/>
                <w:szCs w:val="2"/>
                <w:color w:val="auto"/>
              </w:rPr>
            </w:pPr>
          </w:p>
        </w:tc>
        <w:tc>
          <w:tcPr>
            <w:tcW w:w="700" w:type="dxa"/>
            <w:vAlign w:val="bottom"/>
            <w:shd w:val="clear" w:color="auto" w:fill="646464"/>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646464"/>
          </w:tcPr>
          <w:p>
            <w:pPr>
              <w:spacing w:after="0"/>
              <w:rPr>
                <w:sz w:val="2"/>
                <w:szCs w:val="2"/>
                <w:color w:val="auto"/>
              </w:rPr>
            </w:pPr>
          </w:p>
        </w:tc>
        <w:tc>
          <w:tcPr>
            <w:tcW w:w="600" w:type="dxa"/>
            <w:vAlign w:val="bottom"/>
            <w:shd w:val="clear" w:color="auto" w:fill="646464"/>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640" w:type="dxa"/>
            <w:vAlign w:val="bottom"/>
            <w:shd w:val="clear" w:color="auto" w:fill="F0FFFF"/>
          </w:tcPr>
          <w:p>
            <w:pPr>
              <w:ind w:left="160"/>
              <w:spacing w:after="0"/>
              <w:rPr>
                <w:sz w:val="20"/>
                <w:szCs w:val="20"/>
                <w:color w:val="auto"/>
              </w:rPr>
            </w:pPr>
            <w:r>
              <w:rPr>
                <w:rFonts w:ascii="Arial" w:cs="Arial" w:eastAsia="Arial" w:hAnsi="Arial"/>
                <w:sz w:val="16"/>
                <w:szCs w:val="16"/>
                <w:color w:val="auto"/>
              </w:rPr>
              <w:t>Net interest revenue (GAAP)</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shd w:val="clear" w:color="auto" w:fill="F0FFFF"/>
          </w:tcPr>
          <w:p>
            <w:pPr>
              <w:jc w:val="right"/>
              <w:ind w:right="22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57,934</w:t>
            </w:r>
          </w:p>
        </w:tc>
        <w:tc>
          <w:tcPr>
            <w:tcW w:w="140" w:type="dxa"/>
            <w:vAlign w:val="bottom"/>
            <w:shd w:val="clear" w:color="auto" w:fill="F0FFFF"/>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56,562</w:t>
            </w:r>
          </w:p>
        </w:tc>
        <w:tc>
          <w:tcPr>
            <w:tcW w:w="100" w:type="dxa"/>
            <w:vAlign w:val="bottom"/>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54,573</w:t>
            </w:r>
          </w:p>
        </w:tc>
        <w:tc>
          <w:tcPr>
            <w:tcW w:w="120" w:type="dxa"/>
            <w:vAlign w:val="bottom"/>
            <w:shd w:val="clear" w:color="auto" w:fill="F0FFFF"/>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53,812</w:t>
            </w:r>
          </w:p>
        </w:tc>
        <w:tc>
          <w:tcPr>
            <w:tcW w:w="140" w:type="dxa"/>
            <w:vAlign w:val="bottom"/>
            <w:shd w:val="clear" w:color="auto" w:fill="F0FFFF"/>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55,499</w:t>
            </w:r>
          </w:p>
        </w:tc>
        <w:tc>
          <w:tcPr>
            <w:tcW w:w="120" w:type="dxa"/>
            <w:vAlign w:val="bottom"/>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53,887</w:t>
            </w:r>
          </w:p>
        </w:tc>
        <w:tc>
          <w:tcPr>
            <w:tcW w:w="100" w:type="dxa"/>
            <w:vAlign w:val="bottom"/>
          </w:tcPr>
          <w:p>
            <w:pPr>
              <w:spacing w:after="0"/>
              <w:rPr>
                <w:sz w:val="22"/>
                <w:szCs w:val="22"/>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54,563</w:t>
            </w:r>
          </w:p>
        </w:tc>
        <w:tc>
          <w:tcPr>
            <w:tcW w:w="140" w:type="dxa"/>
            <w:vAlign w:val="bottom"/>
            <w:shd w:val="clear" w:color="auto" w:fill="F0FFFF"/>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54,209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Borders>
              <w:top w:val="single" w:sz="8" w:color="F0FF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646464"/>
            </w:tcBorders>
          </w:tcPr>
          <w:p>
            <w:pPr>
              <w:spacing w:after="0"/>
              <w:rPr>
                <w:sz w:val="18"/>
                <w:szCs w:val="18"/>
                <w:color w:val="auto"/>
              </w:rPr>
            </w:pPr>
          </w:p>
        </w:tc>
        <w:tc>
          <w:tcPr>
            <w:tcW w:w="46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646464"/>
            </w:tcBorders>
          </w:tcPr>
          <w:p>
            <w:pPr>
              <w:spacing w:after="0"/>
              <w:rPr>
                <w:sz w:val="18"/>
                <w:szCs w:val="18"/>
                <w:color w:val="auto"/>
              </w:rPr>
            </w:pPr>
          </w:p>
        </w:tc>
        <w:tc>
          <w:tcPr>
            <w:tcW w:w="60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646464"/>
            </w:tcBorders>
          </w:tcPr>
          <w:p>
            <w:pPr>
              <w:spacing w:after="0"/>
              <w:rPr>
                <w:sz w:val="18"/>
                <w:szCs w:val="18"/>
                <w:color w:val="auto"/>
              </w:rPr>
            </w:pPr>
          </w:p>
        </w:tc>
        <w:tc>
          <w:tcPr>
            <w:tcW w:w="620" w:type="dxa"/>
            <w:vAlign w:val="bottom"/>
            <w:tcBorders>
              <w:top w:val="single" w:sz="8" w:color="646464"/>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646464"/>
            </w:tcBorders>
          </w:tcPr>
          <w:p>
            <w:pPr>
              <w:spacing w:after="0"/>
              <w:rPr>
                <w:sz w:val="18"/>
                <w:szCs w:val="18"/>
                <w:color w:val="auto"/>
              </w:rPr>
            </w:pPr>
          </w:p>
        </w:tc>
        <w:tc>
          <w:tcPr>
            <w:tcW w:w="62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646464"/>
            </w:tcBorders>
          </w:tcPr>
          <w:p>
            <w:pPr>
              <w:spacing w:after="0"/>
              <w:rPr>
                <w:sz w:val="18"/>
                <w:szCs w:val="18"/>
                <w:color w:val="auto"/>
              </w:rPr>
            </w:pPr>
          </w:p>
        </w:tc>
        <w:tc>
          <w:tcPr>
            <w:tcW w:w="60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646464"/>
            </w:tcBorders>
          </w:tcPr>
          <w:p>
            <w:pPr>
              <w:spacing w:after="0"/>
              <w:rPr>
                <w:sz w:val="18"/>
                <w:szCs w:val="18"/>
                <w:color w:val="auto"/>
              </w:rPr>
            </w:pPr>
          </w:p>
        </w:tc>
        <w:tc>
          <w:tcPr>
            <w:tcW w:w="62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646464"/>
            </w:tcBorders>
          </w:tcPr>
          <w:p>
            <w:pPr>
              <w:spacing w:after="0"/>
              <w:rPr>
                <w:sz w:val="18"/>
                <w:szCs w:val="18"/>
                <w:color w:val="auto"/>
              </w:rPr>
            </w:pPr>
          </w:p>
        </w:tc>
        <w:tc>
          <w:tcPr>
            <w:tcW w:w="70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646464"/>
            </w:tcBorders>
          </w:tcPr>
          <w:p>
            <w:pPr>
              <w:spacing w:after="0"/>
              <w:rPr>
                <w:sz w:val="18"/>
                <w:szCs w:val="18"/>
                <w:color w:val="auto"/>
              </w:rPr>
            </w:pPr>
          </w:p>
        </w:tc>
        <w:tc>
          <w:tcPr>
            <w:tcW w:w="60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Total revenue reconciliation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Total operating revenue</w:t>
            </w:r>
          </w:p>
        </w:tc>
        <w:tc>
          <w:tcPr>
            <w:tcW w:w="440" w:type="dxa"/>
            <w:vAlign w:val="bottom"/>
            <w:gridSpan w:val="3"/>
          </w:tcPr>
          <w:p>
            <w:pPr>
              <w:jc w:val="right"/>
              <w:ind w:right="22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71,355</w:t>
            </w:r>
          </w:p>
        </w:tc>
        <w:tc>
          <w:tcPr>
            <w:tcW w:w="140" w:type="dxa"/>
            <w:vAlign w:val="bottom"/>
          </w:tcPr>
          <w:p>
            <w:pPr>
              <w:spacing w:after="0"/>
              <w:rPr>
                <w:sz w:val="18"/>
                <w:szCs w:val="18"/>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69,379</w:t>
            </w: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66,893</w:t>
            </w:r>
          </w:p>
        </w:tc>
        <w:tc>
          <w:tcPr>
            <w:tcW w:w="120" w:type="dxa"/>
            <w:vAlign w:val="bottom"/>
          </w:tcPr>
          <w:p>
            <w:pPr>
              <w:spacing w:after="0"/>
              <w:rPr>
                <w:sz w:val="18"/>
                <w:szCs w:val="18"/>
                <w:color w:val="auto"/>
              </w:rPr>
            </w:pP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63,845</w:t>
            </w:r>
          </w:p>
        </w:tc>
        <w:tc>
          <w:tcPr>
            <w:tcW w:w="140" w:type="dxa"/>
            <w:vAlign w:val="bottom"/>
          </w:tcPr>
          <w:p>
            <w:pPr>
              <w:spacing w:after="0"/>
              <w:rPr>
                <w:sz w:val="18"/>
                <w:szCs w:val="18"/>
                <w:color w:val="auto"/>
              </w:rPr>
            </w:pPr>
          </w:p>
        </w:tc>
        <w:tc>
          <w:tcPr>
            <w:tcW w:w="3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66,398</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65,482</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22,374</w:t>
            </w:r>
          </w:p>
        </w:tc>
        <w:tc>
          <w:tcPr>
            <w:tcW w:w="140" w:type="dxa"/>
            <w:vAlign w:val="bottom"/>
          </w:tcPr>
          <w:p>
            <w:pPr>
              <w:spacing w:after="0"/>
              <w:rPr>
                <w:sz w:val="18"/>
                <w:szCs w:val="18"/>
                <w:color w:val="auto"/>
              </w:rPr>
            </w:pPr>
          </w:p>
        </w:tc>
        <w:tc>
          <w:tcPr>
            <w:tcW w:w="3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56,485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shd w:val="clear" w:color="auto" w:fill="F0FFFF"/>
          </w:tcPr>
          <w:p>
            <w:pPr>
              <w:spacing w:after="0"/>
              <w:rPr>
                <w:sz w:val="20"/>
                <w:szCs w:val="20"/>
                <w:color w:val="auto"/>
              </w:rPr>
            </w:pPr>
            <w:r>
              <w:rPr>
                <w:rFonts w:ascii="Arial" w:cs="Arial" w:eastAsia="Arial" w:hAnsi="Arial"/>
                <w:sz w:val="16"/>
                <w:szCs w:val="16"/>
                <w:color w:val="auto"/>
              </w:rPr>
              <w:t>Taxable equivalent adjustment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40" w:type="dxa"/>
            <w:vAlign w:val="bottom"/>
            <w:shd w:val="clear" w:color="auto" w:fill="F0FF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6"/>
                <w:szCs w:val="16"/>
                <w:color w:val="auto"/>
              </w:rPr>
              <w:t>Total revenue (GAAP)</w:t>
            </w:r>
          </w:p>
        </w:tc>
        <w:tc>
          <w:tcPr>
            <w:tcW w:w="440" w:type="dxa"/>
            <w:vAlign w:val="bottom"/>
            <w:gridSpan w:val="3"/>
          </w:tcPr>
          <w:p>
            <w:pPr>
              <w:jc w:val="right"/>
              <w:ind w:right="22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70,957</w:t>
            </w:r>
          </w:p>
        </w:tc>
        <w:tc>
          <w:tcPr>
            <w:tcW w:w="140" w:type="dxa"/>
            <w:vAlign w:val="bottom"/>
          </w:tcPr>
          <w:p>
            <w:pPr>
              <w:spacing w:after="0"/>
              <w:rPr>
                <w:sz w:val="18"/>
                <w:szCs w:val="18"/>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68,974</w:t>
            </w: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66,516</w:t>
            </w:r>
          </w:p>
        </w:tc>
        <w:tc>
          <w:tcPr>
            <w:tcW w:w="120" w:type="dxa"/>
            <w:vAlign w:val="bottom"/>
          </w:tcPr>
          <w:p>
            <w:pPr>
              <w:spacing w:after="0"/>
              <w:rPr>
                <w:sz w:val="18"/>
                <w:szCs w:val="18"/>
                <w:color w:val="auto"/>
              </w:rPr>
            </w:pP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63,488</w:t>
            </w:r>
          </w:p>
        </w:tc>
        <w:tc>
          <w:tcPr>
            <w:tcW w:w="140" w:type="dxa"/>
            <w:vAlign w:val="bottom"/>
          </w:tcPr>
          <w:p>
            <w:pPr>
              <w:spacing w:after="0"/>
              <w:rPr>
                <w:sz w:val="18"/>
                <w:szCs w:val="18"/>
                <w:color w:val="auto"/>
              </w:rPr>
            </w:pPr>
          </w:p>
        </w:tc>
        <w:tc>
          <w:tcPr>
            <w:tcW w:w="3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66,018</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65,112</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22,006</w:t>
            </w:r>
          </w:p>
        </w:tc>
        <w:tc>
          <w:tcPr>
            <w:tcW w:w="140" w:type="dxa"/>
            <w:vAlign w:val="bottom"/>
          </w:tcPr>
          <w:p>
            <w:pPr>
              <w:spacing w:after="0"/>
              <w:rPr>
                <w:sz w:val="18"/>
                <w:szCs w:val="18"/>
                <w:color w:val="auto"/>
              </w:rPr>
            </w:pPr>
          </w:p>
        </w:tc>
        <w:tc>
          <w:tcPr>
            <w:tcW w:w="3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56,120</w:t>
            </w:r>
          </w:p>
        </w:tc>
        <w:tc>
          <w:tcPr>
            <w:tcW w:w="0" w:type="dxa"/>
            <w:vAlign w:val="bottom"/>
          </w:tcPr>
          <w:p>
            <w:pPr>
              <w:spacing w:after="0"/>
              <w:rPr>
                <w:sz w:val="1"/>
                <w:szCs w:val="1"/>
                <w:color w:val="auto"/>
              </w:rPr>
            </w:pPr>
          </w:p>
        </w:tc>
      </w:tr>
      <w:tr>
        <w:trPr>
          <w:trHeight w:val="24"/>
        </w:trPr>
        <w:tc>
          <w:tcPr>
            <w:tcW w:w="2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646464"/>
              <w:bottom w:val="single" w:sz="8" w:color="646464"/>
            </w:tcBorders>
          </w:tcPr>
          <w:p>
            <w:pPr>
              <w:spacing w:after="0"/>
              <w:rPr>
                <w:sz w:val="2"/>
                <w:szCs w:val="2"/>
                <w:color w:val="auto"/>
              </w:rPr>
            </w:pPr>
          </w:p>
        </w:tc>
        <w:tc>
          <w:tcPr>
            <w:tcW w:w="4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646464"/>
              <w:bottom w:val="single" w:sz="8" w:color="646464"/>
            </w:tcBorders>
          </w:tcPr>
          <w:p>
            <w:pPr>
              <w:spacing w:after="0"/>
              <w:rPr>
                <w:sz w:val="2"/>
                <w:szCs w:val="2"/>
                <w:color w:val="auto"/>
              </w:rPr>
            </w:pPr>
          </w:p>
        </w:tc>
        <w:tc>
          <w:tcPr>
            <w:tcW w:w="60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646464"/>
              <w:bottom w:val="single" w:sz="8" w:color="646464"/>
            </w:tcBorders>
          </w:tcPr>
          <w:p>
            <w:pPr>
              <w:spacing w:after="0"/>
              <w:rPr>
                <w:sz w:val="2"/>
                <w:szCs w:val="2"/>
                <w:color w:val="auto"/>
              </w:rPr>
            </w:pPr>
          </w:p>
        </w:tc>
        <w:tc>
          <w:tcPr>
            <w:tcW w:w="620" w:type="dxa"/>
            <w:vAlign w:val="bottom"/>
            <w:tcBorders>
              <w:top w:val="single" w:sz="8" w:color="646464"/>
              <w:bottom w:val="single" w:sz="8" w:color="646464"/>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646464"/>
              <w:bottom w:val="single" w:sz="8" w:color="646464"/>
            </w:tcBorders>
          </w:tcPr>
          <w:p>
            <w:pPr>
              <w:spacing w:after="0"/>
              <w:rPr>
                <w:sz w:val="2"/>
                <w:szCs w:val="2"/>
                <w:color w:val="auto"/>
              </w:rPr>
            </w:pPr>
          </w:p>
        </w:tc>
        <w:tc>
          <w:tcPr>
            <w:tcW w:w="62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646464"/>
              <w:bottom w:val="single" w:sz="8" w:color="646464"/>
            </w:tcBorders>
          </w:tcPr>
          <w:p>
            <w:pPr>
              <w:spacing w:after="0"/>
              <w:rPr>
                <w:sz w:val="2"/>
                <w:szCs w:val="2"/>
                <w:color w:val="auto"/>
              </w:rPr>
            </w:pPr>
          </w:p>
        </w:tc>
        <w:tc>
          <w:tcPr>
            <w:tcW w:w="60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646464"/>
              <w:bottom w:val="single" w:sz="8" w:color="646464"/>
            </w:tcBorders>
          </w:tcPr>
          <w:p>
            <w:pPr>
              <w:spacing w:after="0"/>
              <w:rPr>
                <w:sz w:val="2"/>
                <w:szCs w:val="2"/>
                <w:color w:val="auto"/>
              </w:rPr>
            </w:pPr>
          </w:p>
        </w:tc>
        <w:tc>
          <w:tcPr>
            <w:tcW w:w="62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646464"/>
              <w:bottom w:val="single" w:sz="8" w:color="646464"/>
            </w:tcBorders>
          </w:tcPr>
          <w:p>
            <w:pPr>
              <w:spacing w:after="0"/>
              <w:rPr>
                <w:sz w:val="2"/>
                <w:szCs w:val="2"/>
                <w:color w:val="auto"/>
              </w:rPr>
            </w:pPr>
          </w:p>
        </w:tc>
        <w:tc>
          <w:tcPr>
            <w:tcW w:w="70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646464"/>
              <w:bottom w:val="single" w:sz="8" w:color="646464"/>
            </w:tcBorders>
          </w:tcPr>
          <w:p>
            <w:pPr>
              <w:spacing w:after="0"/>
              <w:rPr>
                <w:sz w:val="2"/>
                <w:szCs w:val="2"/>
                <w:color w:val="auto"/>
              </w:rPr>
            </w:pPr>
          </w:p>
        </w:tc>
        <w:tc>
          <w:tcPr>
            <w:tcW w:w="60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shd w:val="clear" w:color="auto" w:fill="F0FFFF"/>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6"/>
                <w:szCs w:val="16"/>
                <w:b w:val="1"/>
                <w:bCs w:val="1"/>
                <w:color w:val="auto"/>
                <w:w w:val="99"/>
              </w:rPr>
              <w:t>Income before taxes reconciliation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shd w:val="clear" w:color="auto" w:fill="F0FFFF"/>
          </w:tcPr>
          <w:p>
            <w:pPr>
              <w:spacing w:after="0"/>
              <w:rPr>
                <w:sz w:val="20"/>
                <w:szCs w:val="20"/>
                <w:color w:val="auto"/>
              </w:rPr>
            </w:pPr>
            <w:r>
              <w:rPr>
                <w:rFonts w:ascii="Arial" w:cs="Arial" w:eastAsia="Arial" w:hAnsi="Arial"/>
                <w:sz w:val="16"/>
                <w:szCs w:val="16"/>
                <w:color w:val="auto"/>
              </w:rPr>
              <w:t>Income before taxes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F0FFFF"/>
          </w:tcPr>
          <w:p>
            <w:pPr>
              <w:jc w:val="right"/>
              <w:ind w:right="22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29,436</w:t>
            </w:r>
          </w:p>
        </w:tc>
        <w:tc>
          <w:tcPr>
            <w:tcW w:w="140" w:type="dxa"/>
            <w:vAlign w:val="bottom"/>
            <w:shd w:val="clear" w:color="auto" w:fill="F0FF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28,015</w:t>
            </w:r>
          </w:p>
        </w:tc>
        <w:tc>
          <w:tcPr>
            <w:tcW w:w="100" w:type="dxa"/>
            <w:vAlign w:val="bottom"/>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26,361</w:t>
            </w:r>
          </w:p>
        </w:tc>
        <w:tc>
          <w:tcPr>
            <w:tcW w:w="120" w:type="dxa"/>
            <w:vAlign w:val="bottom"/>
            <w:shd w:val="clear" w:color="auto" w:fill="F0FFFF"/>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24,795</w:t>
            </w:r>
          </w:p>
        </w:tc>
        <w:tc>
          <w:tcPr>
            <w:tcW w:w="140" w:type="dxa"/>
            <w:vAlign w:val="bottom"/>
            <w:shd w:val="clear" w:color="auto" w:fill="F0FF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24,784</w:t>
            </w:r>
          </w:p>
        </w:tc>
        <w:tc>
          <w:tcPr>
            <w:tcW w:w="120" w:type="dxa"/>
            <w:vAlign w:val="bottom"/>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25,385</w:t>
            </w:r>
          </w:p>
        </w:tc>
        <w:tc>
          <w:tcPr>
            <w:tcW w:w="100" w:type="dxa"/>
            <w:vAlign w:val="bottom"/>
          </w:tcPr>
          <w:p>
            <w:pPr>
              <w:spacing w:after="0"/>
              <w:rPr>
                <w:sz w:val="19"/>
                <w:szCs w:val="19"/>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(26,449)</w:t>
            </w:r>
          </w:p>
        </w:tc>
        <w:tc>
          <w:tcPr>
            <w:tcW w:w="100" w:type="dxa"/>
            <w:vAlign w:val="bottom"/>
          </w:tcPr>
          <w:p>
            <w:pPr>
              <w:spacing w:after="0"/>
              <w:rPr>
                <w:sz w:val="19"/>
                <w:szCs w:val="19"/>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12,715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Taxable equivalent adjustment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640" w:type="dxa"/>
            <w:vAlign w:val="bottom"/>
            <w:shd w:val="clear" w:color="auto" w:fill="F0FFFF"/>
          </w:tcPr>
          <w:p>
            <w:pPr>
              <w:ind w:left="160"/>
              <w:spacing w:after="0"/>
              <w:rPr>
                <w:sz w:val="20"/>
                <w:szCs w:val="20"/>
                <w:color w:val="auto"/>
              </w:rPr>
            </w:pPr>
            <w:r>
              <w:rPr>
                <w:rFonts w:ascii="Arial" w:cs="Arial" w:eastAsia="Arial" w:hAnsi="Arial"/>
                <w:sz w:val="16"/>
                <w:szCs w:val="16"/>
                <w:color w:val="auto"/>
              </w:rPr>
              <w:t>Income before taxes (GAAP)</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shd w:val="clear" w:color="auto" w:fill="F0FFFF"/>
          </w:tcPr>
          <w:p>
            <w:pPr>
              <w:jc w:val="right"/>
              <w:ind w:right="22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29,038</w:t>
            </w:r>
          </w:p>
        </w:tc>
        <w:tc>
          <w:tcPr>
            <w:tcW w:w="140" w:type="dxa"/>
            <w:vAlign w:val="bottom"/>
            <w:shd w:val="clear" w:color="auto" w:fill="F0FFFF"/>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27,610</w:t>
            </w:r>
          </w:p>
        </w:tc>
        <w:tc>
          <w:tcPr>
            <w:tcW w:w="100" w:type="dxa"/>
            <w:vAlign w:val="bottom"/>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25,984</w:t>
            </w:r>
          </w:p>
        </w:tc>
        <w:tc>
          <w:tcPr>
            <w:tcW w:w="120" w:type="dxa"/>
            <w:vAlign w:val="bottom"/>
            <w:shd w:val="clear" w:color="auto" w:fill="F0FFFF"/>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24,438</w:t>
            </w:r>
          </w:p>
        </w:tc>
        <w:tc>
          <w:tcPr>
            <w:tcW w:w="140" w:type="dxa"/>
            <w:vAlign w:val="bottom"/>
            <w:shd w:val="clear" w:color="auto" w:fill="F0FFFF"/>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24,404</w:t>
            </w:r>
          </w:p>
        </w:tc>
        <w:tc>
          <w:tcPr>
            <w:tcW w:w="120" w:type="dxa"/>
            <w:vAlign w:val="bottom"/>
          </w:tcPr>
          <w:p>
            <w:pPr>
              <w:spacing w:after="0"/>
              <w:rPr>
                <w:sz w:val="22"/>
                <w:szCs w:val="22"/>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25,015</w:t>
            </w:r>
          </w:p>
        </w:tc>
        <w:tc>
          <w:tcPr>
            <w:tcW w:w="100" w:type="dxa"/>
            <w:vAlign w:val="bottom"/>
          </w:tcPr>
          <w:p>
            <w:pPr>
              <w:spacing w:after="0"/>
              <w:rPr>
                <w:sz w:val="22"/>
                <w:szCs w:val="22"/>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(26,817)</w:t>
            </w:r>
          </w:p>
        </w:tc>
        <w:tc>
          <w:tcPr>
            <w:tcW w:w="100" w:type="dxa"/>
            <w:vAlign w:val="bottom"/>
          </w:tcPr>
          <w:p>
            <w:pPr>
              <w:spacing w:after="0"/>
              <w:rPr>
                <w:sz w:val="22"/>
                <w:szCs w:val="22"/>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12,350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Borders>
              <w:top w:val="single" w:sz="8" w:color="F0FF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646464"/>
            </w:tcBorders>
          </w:tcPr>
          <w:p>
            <w:pPr>
              <w:spacing w:after="0"/>
              <w:rPr>
                <w:sz w:val="18"/>
                <w:szCs w:val="18"/>
                <w:color w:val="auto"/>
              </w:rPr>
            </w:pPr>
          </w:p>
        </w:tc>
        <w:tc>
          <w:tcPr>
            <w:tcW w:w="46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646464"/>
            </w:tcBorders>
          </w:tcPr>
          <w:p>
            <w:pPr>
              <w:spacing w:after="0"/>
              <w:rPr>
                <w:sz w:val="18"/>
                <w:szCs w:val="18"/>
                <w:color w:val="auto"/>
              </w:rPr>
            </w:pPr>
          </w:p>
        </w:tc>
        <w:tc>
          <w:tcPr>
            <w:tcW w:w="60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646464"/>
            </w:tcBorders>
          </w:tcPr>
          <w:p>
            <w:pPr>
              <w:spacing w:after="0"/>
              <w:rPr>
                <w:sz w:val="18"/>
                <w:szCs w:val="18"/>
                <w:color w:val="auto"/>
              </w:rPr>
            </w:pPr>
          </w:p>
        </w:tc>
        <w:tc>
          <w:tcPr>
            <w:tcW w:w="620" w:type="dxa"/>
            <w:vAlign w:val="bottom"/>
            <w:tcBorders>
              <w:top w:val="single" w:sz="8" w:color="646464"/>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646464"/>
            </w:tcBorders>
          </w:tcPr>
          <w:p>
            <w:pPr>
              <w:spacing w:after="0"/>
              <w:rPr>
                <w:sz w:val="18"/>
                <w:szCs w:val="18"/>
                <w:color w:val="auto"/>
              </w:rPr>
            </w:pPr>
          </w:p>
        </w:tc>
        <w:tc>
          <w:tcPr>
            <w:tcW w:w="62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646464"/>
            </w:tcBorders>
          </w:tcPr>
          <w:p>
            <w:pPr>
              <w:spacing w:after="0"/>
              <w:rPr>
                <w:sz w:val="18"/>
                <w:szCs w:val="18"/>
                <w:color w:val="auto"/>
              </w:rPr>
            </w:pPr>
          </w:p>
        </w:tc>
        <w:tc>
          <w:tcPr>
            <w:tcW w:w="60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646464"/>
            </w:tcBorders>
          </w:tcPr>
          <w:p>
            <w:pPr>
              <w:spacing w:after="0"/>
              <w:rPr>
                <w:sz w:val="18"/>
                <w:szCs w:val="18"/>
                <w:color w:val="auto"/>
              </w:rPr>
            </w:pPr>
          </w:p>
        </w:tc>
        <w:tc>
          <w:tcPr>
            <w:tcW w:w="62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646464"/>
            </w:tcBorders>
          </w:tcPr>
          <w:p>
            <w:pPr>
              <w:spacing w:after="0"/>
              <w:rPr>
                <w:sz w:val="18"/>
                <w:szCs w:val="18"/>
                <w:color w:val="auto"/>
              </w:rPr>
            </w:pPr>
          </w:p>
        </w:tc>
        <w:tc>
          <w:tcPr>
            <w:tcW w:w="70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646464"/>
            </w:tcBorders>
          </w:tcPr>
          <w:p>
            <w:pPr>
              <w:spacing w:after="0"/>
              <w:rPr>
                <w:sz w:val="18"/>
                <w:szCs w:val="18"/>
                <w:color w:val="auto"/>
              </w:rPr>
            </w:pPr>
          </w:p>
        </w:tc>
        <w:tc>
          <w:tcPr>
            <w:tcW w:w="600" w:type="dxa"/>
            <w:vAlign w:val="bottom"/>
            <w:tcBorders>
              <w:top w:val="single" w:sz="8" w:color="646464"/>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4"/>
            <w:shd w:val="clear" w:color="auto" w:fill="F0FFFF"/>
          </w:tcPr>
          <w:p>
            <w:pPr>
              <w:spacing w:after="0"/>
              <w:rPr>
                <w:sz w:val="20"/>
                <w:szCs w:val="20"/>
                <w:color w:val="auto"/>
              </w:rPr>
            </w:pPr>
            <w:r>
              <w:rPr>
                <w:rFonts w:ascii="Arial" w:cs="Arial" w:eastAsia="Arial" w:hAnsi="Arial"/>
                <w:sz w:val="16"/>
                <w:szCs w:val="16"/>
                <w:b w:val="1"/>
                <w:bCs w:val="1"/>
                <w:color w:val="auto"/>
                <w:w w:val="93"/>
              </w:rPr>
              <w:t>Income tax expense (benefit) reconciliation</w:t>
            </w:r>
          </w:p>
        </w:tc>
        <w:tc>
          <w:tcPr>
            <w:tcW w:w="4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440" w:type="dxa"/>
            <w:vAlign w:val="bottom"/>
            <w:gridSpan w:val="3"/>
          </w:tcPr>
          <w:p>
            <w:pPr>
              <w:jc w:val="right"/>
              <w:ind w:right="22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11,189</w:t>
            </w:r>
          </w:p>
        </w:tc>
        <w:tc>
          <w:tcPr>
            <w:tcW w:w="140" w:type="dxa"/>
            <w:vAlign w:val="bottom"/>
          </w:tcPr>
          <w:p>
            <w:pPr>
              <w:spacing w:after="0"/>
              <w:rPr>
                <w:sz w:val="18"/>
                <w:szCs w:val="18"/>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10,399</w:t>
            </w: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10,004</w:t>
            </w:r>
          </w:p>
        </w:tc>
        <w:tc>
          <w:tcPr>
            <w:tcW w:w="120" w:type="dxa"/>
            <w:vAlign w:val="bottom"/>
          </w:tcPr>
          <w:p>
            <w:pPr>
              <w:spacing w:after="0"/>
              <w:rPr>
                <w:sz w:val="18"/>
                <w:szCs w:val="18"/>
                <w:color w:val="auto"/>
              </w:rPr>
            </w:pP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9,395</w:t>
            </w:r>
          </w:p>
        </w:tc>
        <w:tc>
          <w:tcPr>
            <w:tcW w:w="140" w:type="dxa"/>
            <w:vAlign w:val="bottom"/>
          </w:tcPr>
          <w:p>
            <w:pPr>
              <w:spacing w:after="0"/>
              <w:rPr>
                <w:sz w:val="18"/>
                <w:szCs w:val="18"/>
                <w:color w:val="auto"/>
              </w:rPr>
            </w:pPr>
          </w:p>
        </w:tc>
        <w:tc>
          <w:tcPr>
            <w:tcW w:w="3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8,873</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9,885</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(256,413)</w:t>
            </w:r>
          </w:p>
        </w:tc>
        <w:tc>
          <w:tcPr>
            <w:tcW w:w="3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40" w:type="dxa"/>
            <w:vAlign w:val="bottom"/>
            <w:shd w:val="clear" w:color="auto" w:fill="F0FFFF"/>
          </w:tcPr>
          <w:p>
            <w:pPr>
              <w:spacing w:after="0"/>
              <w:rPr>
                <w:sz w:val="20"/>
                <w:szCs w:val="20"/>
                <w:color w:val="auto"/>
              </w:rPr>
            </w:pPr>
            <w:r>
              <w:rPr>
                <w:rFonts w:ascii="Arial" w:cs="Arial" w:eastAsia="Arial" w:hAnsi="Arial"/>
                <w:sz w:val="16"/>
                <w:szCs w:val="16"/>
                <w:color w:val="auto"/>
              </w:rPr>
              <w:t>Taxable equivalent adjustment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40" w:type="dxa"/>
            <w:vAlign w:val="bottom"/>
            <w:shd w:val="clear" w:color="auto" w:fill="F0FFFF"/>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6"/>
                <w:szCs w:val="16"/>
                <w:color w:val="auto"/>
                <w:w w:val="92"/>
              </w:rPr>
              <w:t>Income tax expense (benefit) (GAAP)</w:t>
            </w:r>
          </w:p>
        </w:tc>
        <w:tc>
          <w:tcPr>
            <w:tcW w:w="440" w:type="dxa"/>
            <w:vAlign w:val="bottom"/>
            <w:gridSpan w:val="3"/>
          </w:tcPr>
          <w:p>
            <w:pPr>
              <w:jc w:val="right"/>
              <w:ind w:right="22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10,791</w:t>
            </w:r>
          </w:p>
        </w:tc>
        <w:tc>
          <w:tcPr>
            <w:tcW w:w="140" w:type="dxa"/>
            <w:vAlign w:val="bottom"/>
          </w:tcPr>
          <w:p>
            <w:pPr>
              <w:spacing w:after="0"/>
              <w:rPr>
                <w:sz w:val="18"/>
                <w:szCs w:val="18"/>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9,994</w:t>
            </w: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9,627</w:t>
            </w:r>
          </w:p>
        </w:tc>
        <w:tc>
          <w:tcPr>
            <w:tcW w:w="120" w:type="dxa"/>
            <w:vAlign w:val="bottom"/>
          </w:tcPr>
          <w:p>
            <w:pPr>
              <w:spacing w:after="0"/>
              <w:rPr>
                <w:sz w:val="18"/>
                <w:szCs w:val="18"/>
                <w:color w:val="auto"/>
              </w:rPr>
            </w:pP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9,038</w:t>
            </w:r>
          </w:p>
        </w:tc>
        <w:tc>
          <w:tcPr>
            <w:tcW w:w="140" w:type="dxa"/>
            <w:vAlign w:val="bottom"/>
          </w:tcPr>
          <w:p>
            <w:pPr>
              <w:spacing w:after="0"/>
              <w:rPr>
                <w:sz w:val="18"/>
                <w:szCs w:val="18"/>
                <w:color w:val="auto"/>
              </w:rPr>
            </w:pPr>
          </w:p>
        </w:tc>
        <w:tc>
          <w:tcPr>
            <w:tcW w:w="3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8,493</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9,515</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(256,781)</w:t>
            </w:r>
          </w:p>
        </w:tc>
        <w:tc>
          <w:tcPr>
            <w:tcW w:w="3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4"/>
        </w:trPr>
        <w:tc>
          <w:tcPr>
            <w:tcW w:w="2740" w:type="dxa"/>
            <w:vAlign w:val="bottom"/>
            <w:gridSpan w:val="3"/>
          </w:tcPr>
          <w:p>
            <w:pPr>
              <w:spacing w:after="0"/>
              <w:rPr>
                <w:sz w:val="2"/>
                <w:szCs w:val="2"/>
                <w:color w:val="auto"/>
              </w:rPr>
            </w:pPr>
          </w:p>
        </w:tc>
        <w:tc>
          <w:tcPr>
            <w:tcW w:w="360" w:type="dxa"/>
            <w:vAlign w:val="bottom"/>
            <w:tcBorders>
              <w:top w:val="single" w:sz="8" w:color="646464"/>
            </w:tcBorders>
            <w:gridSpan w:val="2"/>
          </w:tcPr>
          <w:p>
            <w:pPr>
              <w:spacing w:after="0"/>
              <w:rPr>
                <w:sz w:val="2"/>
                <w:szCs w:val="2"/>
                <w:color w:val="auto"/>
              </w:rPr>
            </w:pPr>
          </w:p>
        </w:tc>
        <w:tc>
          <w:tcPr>
            <w:tcW w:w="460" w:type="dxa"/>
            <w:vAlign w:val="bottom"/>
            <w:tcBorders>
              <w:top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646464"/>
            </w:tcBorders>
          </w:tcPr>
          <w:p>
            <w:pPr>
              <w:spacing w:after="0"/>
              <w:rPr>
                <w:sz w:val="2"/>
                <w:szCs w:val="2"/>
                <w:color w:val="auto"/>
              </w:rPr>
            </w:pPr>
          </w:p>
        </w:tc>
        <w:tc>
          <w:tcPr>
            <w:tcW w:w="600" w:type="dxa"/>
            <w:vAlign w:val="bottom"/>
            <w:tcBorders>
              <w:top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646464"/>
            </w:tcBorders>
          </w:tcPr>
          <w:p>
            <w:pPr>
              <w:spacing w:after="0"/>
              <w:rPr>
                <w:sz w:val="2"/>
                <w:szCs w:val="2"/>
                <w:color w:val="auto"/>
              </w:rPr>
            </w:pPr>
          </w:p>
        </w:tc>
        <w:tc>
          <w:tcPr>
            <w:tcW w:w="620" w:type="dxa"/>
            <w:vAlign w:val="bottom"/>
            <w:tcBorders>
              <w:top w:val="single" w:sz="8" w:color="646464"/>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646464"/>
            </w:tcBorders>
          </w:tcPr>
          <w:p>
            <w:pPr>
              <w:spacing w:after="0"/>
              <w:rPr>
                <w:sz w:val="2"/>
                <w:szCs w:val="2"/>
                <w:color w:val="auto"/>
              </w:rPr>
            </w:pPr>
          </w:p>
        </w:tc>
        <w:tc>
          <w:tcPr>
            <w:tcW w:w="620" w:type="dxa"/>
            <w:vAlign w:val="bottom"/>
            <w:tcBorders>
              <w:top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646464"/>
            </w:tcBorders>
          </w:tcPr>
          <w:p>
            <w:pPr>
              <w:spacing w:after="0"/>
              <w:rPr>
                <w:sz w:val="2"/>
                <w:szCs w:val="2"/>
                <w:color w:val="auto"/>
              </w:rPr>
            </w:pPr>
          </w:p>
        </w:tc>
        <w:tc>
          <w:tcPr>
            <w:tcW w:w="600" w:type="dxa"/>
            <w:vAlign w:val="bottom"/>
            <w:tcBorders>
              <w:top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646464"/>
            </w:tcBorders>
          </w:tcPr>
          <w:p>
            <w:pPr>
              <w:spacing w:after="0"/>
              <w:rPr>
                <w:sz w:val="2"/>
                <w:szCs w:val="2"/>
                <w:color w:val="auto"/>
              </w:rPr>
            </w:pPr>
          </w:p>
        </w:tc>
        <w:tc>
          <w:tcPr>
            <w:tcW w:w="620" w:type="dxa"/>
            <w:vAlign w:val="bottom"/>
            <w:tcBorders>
              <w:top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646464"/>
            </w:tcBorders>
          </w:tcPr>
          <w:p>
            <w:pPr>
              <w:spacing w:after="0"/>
              <w:rPr>
                <w:sz w:val="2"/>
                <w:szCs w:val="2"/>
                <w:color w:val="auto"/>
              </w:rPr>
            </w:pPr>
          </w:p>
        </w:tc>
        <w:tc>
          <w:tcPr>
            <w:tcW w:w="700" w:type="dxa"/>
            <w:vAlign w:val="bottom"/>
            <w:tcBorders>
              <w:top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646464"/>
            </w:tcBorders>
          </w:tcPr>
          <w:p>
            <w:pPr>
              <w:spacing w:after="0"/>
              <w:rPr>
                <w:sz w:val="2"/>
                <w:szCs w:val="2"/>
                <w:color w:val="auto"/>
              </w:rPr>
            </w:pPr>
          </w:p>
        </w:tc>
        <w:tc>
          <w:tcPr>
            <w:tcW w:w="600" w:type="dxa"/>
            <w:vAlign w:val="bottom"/>
            <w:tcBorders>
              <w:top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shd w:val="clear" w:color="auto" w:fill="F0FFFF"/>
          </w:tcPr>
          <w:p>
            <w:pPr>
              <w:spacing w:after="0"/>
              <w:rPr>
                <w:sz w:val="18"/>
                <w:szCs w:val="18"/>
                <w:color w:val="auto"/>
              </w:rPr>
            </w:pPr>
          </w:p>
        </w:tc>
        <w:tc>
          <w:tcPr>
            <w:tcW w:w="100" w:type="dxa"/>
            <w:vAlign w:val="bottom"/>
            <w:gridSpan w:val="2"/>
          </w:tcPr>
          <w:p>
            <w:pPr>
              <w:spacing w:after="0"/>
              <w:rPr>
                <w:sz w:val="18"/>
                <w:szCs w:val="18"/>
                <w:color w:val="auto"/>
              </w:rPr>
            </w:pPr>
          </w:p>
        </w:tc>
        <w:tc>
          <w:tcPr>
            <w:tcW w:w="340" w:type="dxa"/>
            <w:vAlign w:val="bottom"/>
            <w:tcBorders>
              <w:top w:val="single" w:sz="8" w:color="646464"/>
            </w:tcBorders>
            <w:shd w:val="clear" w:color="auto" w:fill="F0FFFF"/>
          </w:tcPr>
          <w:p>
            <w:pPr>
              <w:spacing w:after="0"/>
              <w:rPr>
                <w:sz w:val="18"/>
                <w:szCs w:val="18"/>
                <w:color w:val="auto"/>
              </w:rPr>
            </w:pPr>
          </w:p>
        </w:tc>
        <w:tc>
          <w:tcPr>
            <w:tcW w:w="460" w:type="dxa"/>
            <w:vAlign w:val="bottom"/>
            <w:tcBorders>
              <w:top w:val="single" w:sz="8" w:color="646464"/>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646464"/>
            </w:tcBorders>
            <w:shd w:val="clear" w:color="auto" w:fill="F0FFFF"/>
          </w:tcPr>
          <w:p>
            <w:pPr>
              <w:spacing w:after="0"/>
              <w:rPr>
                <w:sz w:val="18"/>
                <w:szCs w:val="18"/>
                <w:color w:val="auto"/>
              </w:rPr>
            </w:pPr>
          </w:p>
        </w:tc>
        <w:tc>
          <w:tcPr>
            <w:tcW w:w="600" w:type="dxa"/>
            <w:vAlign w:val="bottom"/>
            <w:tcBorders>
              <w:top w:val="single" w:sz="8" w:color="646464"/>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646464"/>
            </w:tcBorders>
            <w:shd w:val="clear" w:color="auto" w:fill="F0FFFF"/>
          </w:tcPr>
          <w:p>
            <w:pPr>
              <w:spacing w:after="0"/>
              <w:rPr>
                <w:sz w:val="18"/>
                <w:szCs w:val="18"/>
                <w:color w:val="auto"/>
              </w:rPr>
            </w:pPr>
          </w:p>
        </w:tc>
        <w:tc>
          <w:tcPr>
            <w:tcW w:w="620" w:type="dxa"/>
            <w:vAlign w:val="bottom"/>
            <w:tcBorders>
              <w:top w:val="single" w:sz="8" w:color="646464"/>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646464"/>
            </w:tcBorders>
            <w:shd w:val="clear" w:color="auto" w:fill="F0FFFF"/>
          </w:tcPr>
          <w:p>
            <w:pPr>
              <w:spacing w:after="0"/>
              <w:rPr>
                <w:sz w:val="18"/>
                <w:szCs w:val="18"/>
                <w:color w:val="auto"/>
              </w:rPr>
            </w:pPr>
          </w:p>
        </w:tc>
        <w:tc>
          <w:tcPr>
            <w:tcW w:w="620" w:type="dxa"/>
            <w:vAlign w:val="bottom"/>
            <w:tcBorders>
              <w:top w:val="single" w:sz="8" w:color="646464"/>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646464"/>
            </w:tcBorders>
            <w:shd w:val="clear" w:color="auto" w:fill="F0FFFF"/>
          </w:tcPr>
          <w:p>
            <w:pPr>
              <w:spacing w:after="0"/>
              <w:rPr>
                <w:sz w:val="18"/>
                <w:szCs w:val="18"/>
                <w:color w:val="auto"/>
              </w:rPr>
            </w:pPr>
          </w:p>
        </w:tc>
        <w:tc>
          <w:tcPr>
            <w:tcW w:w="600" w:type="dxa"/>
            <w:vAlign w:val="bottom"/>
            <w:tcBorders>
              <w:top w:val="single" w:sz="8" w:color="646464"/>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646464"/>
            </w:tcBorders>
            <w:shd w:val="clear" w:color="auto" w:fill="F0FFFF"/>
          </w:tcPr>
          <w:p>
            <w:pPr>
              <w:spacing w:after="0"/>
              <w:rPr>
                <w:sz w:val="18"/>
                <w:szCs w:val="18"/>
                <w:color w:val="auto"/>
              </w:rPr>
            </w:pPr>
          </w:p>
        </w:tc>
        <w:tc>
          <w:tcPr>
            <w:tcW w:w="620" w:type="dxa"/>
            <w:vAlign w:val="bottom"/>
            <w:tcBorders>
              <w:top w:val="single" w:sz="8" w:color="646464"/>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646464"/>
            </w:tcBorders>
            <w:shd w:val="clear" w:color="auto" w:fill="F0FFFF"/>
          </w:tcPr>
          <w:p>
            <w:pPr>
              <w:spacing w:after="0"/>
              <w:rPr>
                <w:sz w:val="18"/>
                <w:szCs w:val="18"/>
                <w:color w:val="auto"/>
              </w:rPr>
            </w:pPr>
          </w:p>
        </w:tc>
        <w:tc>
          <w:tcPr>
            <w:tcW w:w="700" w:type="dxa"/>
            <w:vAlign w:val="bottom"/>
            <w:tcBorders>
              <w:top w:val="single" w:sz="8" w:color="646464"/>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646464"/>
            </w:tcBorders>
            <w:shd w:val="clear" w:color="auto" w:fill="F0FFFF"/>
          </w:tcPr>
          <w:p>
            <w:pPr>
              <w:spacing w:after="0"/>
              <w:rPr>
                <w:sz w:val="18"/>
                <w:szCs w:val="18"/>
                <w:color w:val="auto"/>
              </w:rPr>
            </w:pPr>
          </w:p>
        </w:tc>
        <w:tc>
          <w:tcPr>
            <w:tcW w:w="600" w:type="dxa"/>
            <w:vAlign w:val="bottom"/>
            <w:tcBorders>
              <w:top w:val="single" w:sz="8" w:color="646464"/>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gridSpan w:val="4"/>
          </w:tcPr>
          <w:p>
            <w:pPr>
              <w:spacing w:after="0"/>
              <w:rPr>
                <w:sz w:val="20"/>
                <w:szCs w:val="20"/>
                <w:color w:val="auto"/>
              </w:rPr>
            </w:pPr>
            <w:r>
              <w:rPr>
                <w:rFonts w:ascii="Arial" w:cs="Arial" w:eastAsia="Arial" w:hAnsi="Arial"/>
                <w:sz w:val="16"/>
                <w:szCs w:val="16"/>
                <w:b w:val="1"/>
                <w:bCs w:val="1"/>
                <w:color w:val="auto"/>
                <w:w w:val="89"/>
              </w:rPr>
              <w:t>Book value per common share reconciliation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shd w:val="clear" w:color="auto" w:fill="F0FFFF"/>
          </w:tcPr>
          <w:p>
            <w:pPr>
              <w:spacing w:after="0"/>
              <w:rPr>
                <w:sz w:val="20"/>
                <w:szCs w:val="20"/>
                <w:color w:val="auto"/>
              </w:rPr>
            </w:pPr>
            <w:r>
              <w:rPr>
                <w:rFonts w:ascii="Arial" w:cs="Arial" w:eastAsia="Arial" w:hAnsi="Arial"/>
                <w:sz w:val="16"/>
                <w:szCs w:val="16"/>
                <w:color w:val="auto"/>
                <w:w w:val="93"/>
              </w:rPr>
              <w:t>Tangible book value per common share</w:t>
            </w:r>
          </w:p>
        </w:tc>
        <w:tc>
          <w:tcPr>
            <w:tcW w:w="100" w:type="dxa"/>
            <w:vAlign w:val="bottom"/>
            <w:gridSpan w:val="2"/>
          </w:tcPr>
          <w:p>
            <w:pPr>
              <w:spacing w:after="0"/>
              <w:rPr>
                <w:sz w:val="19"/>
                <w:szCs w:val="19"/>
                <w:color w:val="auto"/>
              </w:rPr>
            </w:pPr>
          </w:p>
        </w:tc>
        <w:tc>
          <w:tcPr>
            <w:tcW w:w="340" w:type="dxa"/>
            <w:vAlign w:val="bottom"/>
            <w:shd w:val="clear" w:color="auto" w:fill="F0FFFF"/>
          </w:tcPr>
          <w:p>
            <w:pPr>
              <w:jc w:val="right"/>
              <w:ind w:right="22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12.15</w:t>
            </w:r>
          </w:p>
        </w:tc>
        <w:tc>
          <w:tcPr>
            <w:tcW w:w="140" w:type="dxa"/>
            <w:vAlign w:val="bottom"/>
            <w:shd w:val="clear" w:color="auto" w:fill="F0FFFF"/>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19"/>
                <w:szCs w:val="19"/>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19"/>
                <w:szCs w:val="19"/>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9"/>
                <w:szCs w:val="19"/>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10.82</w:t>
            </w:r>
          </w:p>
        </w:tc>
        <w:tc>
          <w:tcPr>
            <w:tcW w:w="140" w:type="dxa"/>
            <w:vAlign w:val="bottom"/>
            <w:shd w:val="clear" w:color="auto" w:fill="F0FF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6"/>
                <w:szCs w:val="16"/>
                <w:color w:val="auto"/>
                <w:w w:val="95"/>
              </w:rPr>
              <w:t>Effect of goodwill and other intangibles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shd w:val="clear" w:color="auto" w:fill="F0FFFF"/>
          </w:tcPr>
          <w:p>
            <w:pPr>
              <w:ind w:left="160"/>
              <w:spacing w:after="0"/>
              <w:rPr>
                <w:sz w:val="20"/>
                <w:szCs w:val="20"/>
                <w:color w:val="auto"/>
              </w:rPr>
            </w:pPr>
            <w:r>
              <w:rPr>
                <w:rFonts w:ascii="Arial" w:cs="Arial" w:eastAsia="Arial" w:hAnsi="Arial"/>
                <w:sz w:val="16"/>
                <w:szCs w:val="16"/>
                <w:color w:val="auto"/>
              </w:rPr>
              <w:t>Book value per common share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646464"/>
            </w:tcBorders>
            <w:shd w:val="clear" w:color="auto" w:fill="F0FFFF"/>
          </w:tcPr>
          <w:p>
            <w:pPr>
              <w:spacing w:after="0"/>
              <w:rPr>
                <w:sz w:val="16"/>
                <w:szCs w:val="16"/>
                <w:color w:val="auto"/>
              </w:rPr>
            </w:pPr>
          </w:p>
        </w:tc>
        <w:tc>
          <w:tcPr>
            <w:tcW w:w="460" w:type="dxa"/>
            <w:vAlign w:val="bottom"/>
            <w:tcBorders>
              <w:top w:val="single" w:sz="8" w:color="646464"/>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646464"/>
            </w:tcBorders>
            <w:shd w:val="clear" w:color="auto" w:fill="F0FFFF"/>
          </w:tcPr>
          <w:p>
            <w:pPr>
              <w:spacing w:after="0"/>
              <w:rPr>
                <w:sz w:val="16"/>
                <w:szCs w:val="16"/>
                <w:color w:val="auto"/>
              </w:rPr>
            </w:pPr>
          </w:p>
        </w:tc>
        <w:tc>
          <w:tcPr>
            <w:tcW w:w="600" w:type="dxa"/>
            <w:vAlign w:val="bottom"/>
            <w:tcBorders>
              <w:top w:val="single" w:sz="8" w:color="646464"/>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646464"/>
            </w:tcBorders>
            <w:shd w:val="clear" w:color="auto" w:fill="F0FFFF"/>
          </w:tcPr>
          <w:p>
            <w:pPr>
              <w:spacing w:after="0"/>
              <w:rPr>
                <w:sz w:val="16"/>
                <w:szCs w:val="16"/>
                <w:color w:val="auto"/>
              </w:rPr>
            </w:pPr>
          </w:p>
        </w:tc>
        <w:tc>
          <w:tcPr>
            <w:tcW w:w="620" w:type="dxa"/>
            <w:vAlign w:val="bottom"/>
            <w:tcBorders>
              <w:top w:val="single" w:sz="8" w:color="646464"/>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646464"/>
            </w:tcBorders>
            <w:shd w:val="clear" w:color="auto" w:fill="F0FFFF"/>
          </w:tcPr>
          <w:p>
            <w:pPr>
              <w:spacing w:after="0"/>
              <w:rPr>
                <w:sz w:val="16"/>
                <w:szCs w:val="16"/>
                <w:color w:val="auto"/>
              </w:rPr>
            </w:pPr>
          </w:p>
        </w:tc>
        <w:tc>
          <w:tcPr>
            <w:tcW w:w="620" w:type="dxa"/>
            <w:vAlign w:val="bottom"/>
            <w:tcBorders>
              <w:top w:val="single" w:sz="8" w:color="646464"/>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646464"/>
            </w:tcBorders>
            <w:shd w:val="clear" w:color="auto" w:fill="F0FFFF"/>
          </w:tcPr>
          <w:p>
            <w:pPr>
              <w:spacing w:after="0"/>
              <w:rPr>
                <w:sz w:val="16"/>
                <w:szCs w:val="16"/>
                <w:color w:val="auto"/>
              </w:rPr>
            </w:pPr>
          </w:p>
        </w:tc>
        <w:tc>
          <w:tcPr>
            <w:tcW w:w="600" w:type="dxa"/>
            <w:vAlign w:val="bottom"/>
            <w:tcBorders>
              <w:top w:val="single" w:sz="8" w:color="646464"/>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646464"/>
            </w:tcBorders>
            <w:shd w:val="clear" w:color="auto" w:fill="F0FFFF"/>
          </w:tcPr>
          <w:p>
            <w:pPr>
              <w:spacing w:after="0"/>
              <w:rPr>
                <w:sz w:val="16"/>
                <w:szCs w:val="16"/>
                <w:color w:val="auto"/>
              </w:rPr>
            </w:pPr>
          </w:p>
        </w:tc>
        <w:tc>
          <w:tcPr>
            <w:tcW w:w="620" w:type="dxa"/>
            <w:vAlign w:val="bottom"/>
            <w:tcBorders>
              <w:top w:val="single" w:sz="8" w:color="646464"/>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646464"/>
            </w:tcBorders>
            <w:shd w:val="clear" w:color="auto" w:fill="F0FFFF"/>
          </w:tcPr>
          <w:p>
            <w:pPr>
              <w:spacing w:after="0"/>
              <w:rPr>
                <w:sz w:val="16"/>
                <w:szCs w:val="16"/>
                <w:color w:val="auto"/>
              </w:rPr>
            </w:pPr>
          </w:p>
        </w:tc>
        <w:tc>
          <w:tcPr>
            <w:tcW w:w="700" w:type="dxa"/>
            <w:vAlign w:val="bottom"/>
            <w:tcBorders>
              <w:top w:val="single" w:sz="8" w:color="646464"/>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646464"/>
            </w:tcBorders>
            <w:shd w:val="clear" w:color="auto" w:fill="F0FFFF"/>
          </w:tcPr>
          <w:p>
            <w:pPr>
              <w:spacing w:after="0"/>
              <w:rPr>
                <w:sz w:val="16"/>
                <w:szCs w:val="16"/>
                <w:color w:val="auto"/>
              </w:rPr>
            </w:pPr>
          </w:p>
        </w:tc>
        <w:tc>
          <w:tcPr>
            <w:tcW w:w="600" w:type="dxa"/>
            <w:vAlign w:val="bottom"/>
            <w:tcBorders>
              <w:top w:val="single" w:sz="8" w:color="646464"/>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40" w:type="dxa"/>
            <w:vAlign w:val="bottom"/>
            <w:shd w:val="clear" w:color="auto" w:fill="F0FFFF"/>
          </w:tcPr>
          <w:p>
            <w:pPr>
              <w:ind w:left="320"/>
              <w:spacing w:after="0"/>
              <w:rPr>
                <w:sz w:val="20"/>
                <w:szCs w:val="20"/>
                <w:color w:val="auto"/>
              </w:rPr>
            </w:pPr>
            <w:r>
              <w:rPr>
                <w:rFonts w:ascii="Arial" w:cs="Arial" w:eastAsia="Arial" w:hAnsi="Arial"/>
                <w:sz w:val="16"/>
                <w:szCs w:val="16"/>
                <w:color w:val="auto"/>
              </w:rPr>
              <w:t>(GAAP)</w:t>
            </w:r>
          </w:p>
        </w:tc>
        <w:tc>
          <w:tcPr>
            <w:tcW w:w="100" w:type="dxa"/>
            <w:vAlign w:val="bottom"/>
            <w:gridSpan w:val="2"/>
          </w:tcPr>
          <w:p>
            <w:pPr>
              <w:spacing w:after="0"/>
              <w:rPr>
                <w:sz w:val="20"/>
                <w:szCs w:val="20"/>
                <w:color w:val="auto"/>
              </w:rPr>
            </w:pPr>
          </w:p>
        </w:tc>
        <w:tc>
          <w:tcPr>
            <w:tcW w:w="340" w:type="dxa"/>
            <w:vAlign w:val="bottom"/>
            <w:shd w:val="clear" w:color="auto" w:fill="F0FFFF"/>
          </w:tcPr>
          <w:p>
            <w:pPr>
              <w:jc w:val="right"/>
              <w:ind w:right="22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12.20</w:t>
            </w:r>
          </w:p>
        </w:tc>
        <w:tc>
          <w:tcPr>
            <w:tcW w:w="140" w:type="dxa"/>
            <w:vAlign w:val="bottom"/>
            <w:shd w:val="clear" w:color="auto" w:fill="F0FFFF"/>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20"/>
                <w:szCs w:val="20"/>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20"/>
                <w:szCs w:val="20"/>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20"/>
                <w:szCs w:val="20"/>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11.30</w:t>
            </w:r>
          </w:p>
        </w:tc>
        <w:tc>
          <w:tcPr>
            <w:tcW w:w="120" w:type="dxa"/>
            <w:vAlign w:val="bottom"/>
          </w:tcPr>
          <w:p>
            <w:pPr>
              <w:spacing w:after="0"/>
              <w:rPr>
                <w:sz w:val="20"/>
                <w:szCs w:val="20"/>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0"/>
                <w:szCs w:val="20"/>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10.90</w:t>
            </w:r>
          </w:p>
        </w:tc>
        <w:tc>
          <w:tcPr>
            <w:tcW w:w="140" w:type="dxa"/>
            <w:vAlign w:val="bottom"/>
            <w:shd w:val="clear" w:color="auto" w:fill="F0FFFF"/>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shd w:val="clear" w:color="auto" w:fill="F0FFFF"/>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646464"/>
            </w:tcBorders>
            <w:shd w:val="clear" w:color="auto" w:fill="646464"/>
          </w:tcPr>
          <w:p>
            <w:pPr>
              <w:spacing w:after="0" w:line="20" w:lineRule="exact"/>
              <w:rPr>
                <w:sz w:val="1"/>
                <w:szCs w:val="1"/>
                <w:color w:val="auto"/>
              </w:rPr>
            </w:pPr>
          </w:p>
        </w:tc>
        <w:tc>
          <w:tcPr>
            <w:tcW w:w="460" w:type="dxa"/>
            <w:vAlign w:val="bottom"/>
            <w:tcBorders>
              <w:top w:val="single" w:sz="8" w:color="646464"/>
            </w:tcBorders>
            <w:shd w:val="clear" w:color="auto" w:fill="646464"/>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646464"/>
            </w:tcBorders>
            <w:shd w:val="clear" w:color="auto" w:fill="646464"/>
          </w:tcPr>
          <w:p>
            <w:pPr>
              <w:spacing w:after="0" w:line="20" w:lineRule="exact"/>
              <w:rPr>
                <w:sz w:val="1"/>
                <w:szCs w:val="1"/>
                <w:color w:val="auto"/>
              </w:rPr>
            </w:pPr>
          </w:p>
        </w:tc>
        <w:tc>
          <w:tcPr>
            <w:tcW w:w="600" w:type="dxa"/>
            <w:vAlign w:val="bottom"/>
            <w:tcBorders>
              <w:top w:val="single" w:sz="8" w:color="646464"/>
            </w:tcBorders>
            <w:shd w:val="clear" w:color="auto" w:fill="646464"/>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646464"/>
            </w:tcBorders>
            <w:shd w:val="clear" w:color="auto" w:fill="646464"/>
          </w:tcPr>
          <w:p>
            <w:pPr>
              <w:spacing w:after="0" w:line="20" w:lineRule="exact"/>
              <w:rPr>
                <w:sz w:val="1"/>
                <w:szCs w:val="1"/>
                <w:color w:val="auto"/>
              </w:rPr>
            </w:pPr>
          </w:p>
        </w:tc>
        <w:tc>
          <w:tcPr>
            <w:tcW w:w="620" w:type="dxa"/>
            <w:vAlign w:val="bottom"/>
            <w:tcBorders>
              <w:top w:val="single" w:sz="8" w:color="646464"/>
            </w:tcBorders>
            <w:shd w:val="clear" w:color="auto" w:fill="646464"/>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646464"/>
            </w:tcBorders>
            <w:shd w:val="clear" w:color="auto" w:fill="646464"/>
          </w:tcPr>
          <w:p>
            <w:pPr>
              <w:spacing w:after="0" w:line="20" w:lineRule="exact"/>
              <w:rPr>
                <w:sz w:val="1"/>
                <w:szCs w:val="1"/>
                <w:color w:val="auto"/>
              </w:rPr>
            </w:pPr>
          </w:p>
        </w:tc>
        <w:tc>
          <w:tcPr>
            <w:tcW w:w="620" w:type="dxa"/>
            <w:vAlign w:val="bottom"/>
            <w:tcBorders>
              <w:top w:val="single" w:sz="8" w:color="646464"/>
            </w:tcBorders>
            <w:shd w:val="clear" w:color="auto" w:fill="646464"/>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646464"/>
            </w:tcBorders>
            <w:shd w:val="clear" w:color="auto" w:fill="646464"/>
          </w:tcPr>
          <w:p>
            <w:pPr>
              <w:spacing w:after="0" w:line="20" w:lineRule="exact"/>
              <w:rPr>
                <w:sz w:val="1"/>
                <w:szCs w:val="1"/>
                <w:color w:val="auto"/>
              </w:rPr>
            </w:pPr>
          </w:p>
        </w:tc>
        <w:tc>
          <w:tcPr>
            <w:tcW w:w="600" w:type="dxa"/>
            <w:vAlign w:val="bottom"/>
            <w:tcBorders>
              <w:top w:val="single" w:sz="8" w:color="646464"/>
            </w:tcBorders>
            <w:shd w:val="clear" w:color="auto" w:fill="646464"/>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646464"/>
            </w:tcBorders>
            <w:shd w:val="clear" w:color="auto" w:fill="646464"/>
          </w:tcPr>
          <w:p>
            <w:pPr>
              <w:spacing w:after="0" w:line="20" w:lineRule="exact"/>
              <w:rPr>
                <w:sz w:val="1"/>
                <w:szCs w:val="1"/>
                <w:color w:val="auto"/>
              </w:rPr>
            </w:pPr>
          </w:p>
        </w:tc>
        <w:tc>
          <w:tcPr>
            <w:tcW w:w="620" w:type="dxa"/>
            <w:vAlign w:val="bottom"/>
            <w:tcBorders>
              <w:top w:val="single" w:sz="8" w:color="646464"/>
            </w:tcBorders>
            <w:shd w:val="clear" w:color="auto" w:fill="646464"/>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646464"/>
            </w:tcBorders>
            <w:shd w:val="clear" w:color="auto" w:fill="646464"/>
          </w:tcPr>
          <w:p>
            <w:pPr>
              <w:spacing w:after="0" w:line="20" w:lineRule="exact"/>
              <w:rPr>
                <w:sz w:val="1"/>
                <w:szCs w:val="1"/>
                <w:color w:val="auto"/>
              </w:rPr>
            </w:pPr>
          </w:p>
        </w:tc>
        <w:tc>
          <w:tcPr>
            <w:tcW w:w="700" w:type="dxa"/>
            <w:vAlign w:val="bottom"/>
            <w:tcBorders>
              <w:top w:val="single" w:sz="8" w:color="646464"/>
            </w:tcBorders>
            <w:shd w:val="clear" w:color="auto" w:fill="646464"/>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646464"/>
            </w:tcBorders>
            <w:shd w:val="clear" w:color="auto" w:fill="646464"/>
          </w:tcPr>
          <w:p>
            <w:pPr>
              <w:spacing w:after="0" w:line="20" w:lineRule="exact"/>
              <w:rPr>
                <w:sz w:val="1"/>
                <w:szCs w:val="1"/>
                <w:color w:val="auto"/>
              </w:rPr>
            </w:pPr>
          </w:p>
        </w:tc>
        <w:tc>
          <w:tcPr>
            <w:tcW w:w="600" w:type="dxa"/>
            <w:vAlign w:val="bottom"/>
            <w:tcBorders>
              <w:top w:val="single" w:sz="8" w:color="646464"/>
            </w:tcBorders>
            <w:shd w:val="clear" w:color="auto" w:fill="646464"/>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75" w:right="239" w:bottom="775"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equity to assets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234124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1245" cy="13716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Tangible common equity to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of preferred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68084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0845"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Tangible equity to assets</w:t>
      </w:r>
    </w:p>
    <w:p>
      <w:pPr>
        <w:spacing w:after="0" w:line="32" w:lineRule="exact"/>
        <w:rPr>
          <w:sz w:val="20"/>
          <w:szCs w:val="20"/>
          <w:color w:val="auto"/>
        </w:rPr>
      </w:pPr>
    </w:p>
    <w:p>
      <w:pPr>
        <w:ind w:left="180" w:right="40" w:hanging="161"/>
        <w:spacing w:after="0" w:line="385" w:lineRule="auto"/>
        <w:rPr>
          <w:sz w:val="20"/>
          <w:szCs w:val="20"/>
          <w:color w:val="auto"/>
        </w:rPr>
      </w:pPr>
      <w:r>
        <w:rPr>
          <w:rFonts w:ascii="Arial" w:cs="Arial" w:eastAsia="Arial" w:hAnsi="Arial"/>
          <w:sz w:val="15"/>
          <w:szCs w:val="15"/>
          <w:color w:val="auto"/>
          <w:highlight w:val="white"/>
        </w:rPr>
        <w:t xml:space="preserve">Effect of goodwill and other intangibles </w:t>
      </w:r>
      <w:r>
        <w:rPr>
          <w:rFonts w:ascii="Arial" w:cs="Arial" w:eastAsia="Arial" w:hAnsi="Arial"/>
          <w:sz w:val="15"/>
          <w:szCs w:val="15"/>
          <w:color w:val="auto"/>
        </w:rPr>
        <w:t>Equity to assets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68084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80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r>
      <w:tr>
        <w:trPr>
          <w:trHeight w:val="213"/>
        </w:trPr>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9.72%</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9.83%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9.58%</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9.22%</w:t>
            </w:r>
          </w:p>
        </w:tc>
        <w:tc>
          <w:tcPr>
            <w:tcW w:w="1220" w:type="dxa"/>
            <w:vAlign w:val="bottom"/>
            <w:gridSpan w:val="4"/>
          </w:tcPr>
          <w:p>
            <w:pPr>
              <w:jc w:val="right"/>
              <w:ind w:right="120"/>
              <w:spacing w:after="0"/>
              <w:rPr>
                <w:sz w:val="20"/>
                <w:szCs w:val="20"/>
                <w:color w:val="auto"/>
              </w:rPr>
            </w:pPr>
            <w:r>
              <w:rPr>
                <w:rFonts w:ascii="Arial" w:cs="Arial" w:eastAsia="Arial" w:hAnsi="Arial"/>
                <w:sz w:val="16"/>
                <w:szCs w:val="16"/>
                <w:color w:val="auto"/>
              </w:rPr>
              <w:t>8.99%</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9.02%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8.79%</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5.66%</w:t>
            </w:r>
          </w:p>
        </w:tc>
      </w:tr>
      <w:tr>
        <w:trPr>
          <w:trHeight w:val="216"/>
        </w:trPr>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2.74</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2.87</w:t>
            </w:r>
          </w:p>
        </w:tc>
      </w:tr>
      <w:tr>
        <w:trPr>
          <w:trHeight w:val="30"/>
        </w:trPr>
        <w:tc>
          <w:tcPr>
            <w:tcW w:w="82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13"/>
        </w:trPr>
        <w:tc>
          <w:tcPr>
            <w:tcW w:w="820" w:type="dxa"/>
            <w:vAlign w:val="bottom"/>
          </w:tcPr>
          <w:p>
            <w:pPr>
              <w:jc w:val="right"/>
              <w:spacing w:after="0"/>
              <w:rPr>
                <w:sz w:val="20"/>
                <w:szCs w:val="20"/>
                <w:color w:val="auto"/>
              </w:rPr>
            </w:pPr>
            <w:r>
              <w:rPr>
                <w:rFonts w:ascii="Arial" w:cs="Arial" w:eastAsia="Arial" w:hAnsi="Arial"/>
                <w:sz w:val="16"/>
                <w:szCs w:val="16"/>
                <w:color w:val="auto"/>
              </w:rPr>
              <w:t>9.72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9.50</w:t>
            </w: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11.59</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11.53</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8.53</w:t>
            </w:r>
          </w:p>
        </w:tc>
      </w:tr>
      <w:tr>
        <w:trPr>
          <w:trHeight w:val="216"/>
        </w:trPr>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.07</w:t>
            </w:r>
          </w:p>
        </w:tc>
      </w:tr>
      <w:tr>
        <w:trPr>
          <w:trHeight w:val="30"/>
        </w:trPr>
        <w:tc>
          <w:tcPr>
            <w:tcW w:w="82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646464"/>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13"/>
        </w:trPr>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9.76%</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9.85%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9.61%</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9.52%</w:t>
            </w:r>
          </w:p>
        </w:tc>
        <w:tc>
          <w:tcPr>
            <w:tcW w:w="1220" w:type="dxa"/>
            <w:vAlign w:val="bottom"/>
            <w:gridSpan w:val="4"/>
          </w:tcPr>
          <w:p>
            <w:pPr>
              <w:jc w:val="right"/>
              <w:ind w:right="120"/>
              <w:spacing w:after="0"/>
              <w:rPr>
                <w:sz w:val="20"/>
                <w:szCs w:val="20"/>
                <w:color w:val="auto"/>
              </w:rPr>
            </w:pPr>
            <w:r>
              <w:rPr>
                <w:rFonts w:ascii="Arial" w:cs="Arial" w:eastAsia="Arial" w:hAnsi="Arial"/>
                <w:sz w:val="16"/>
                <w:szCs w:val="16"/>
                <w:color w:val="auto"/>
              </w:rPr>
              <w:t>11.62%</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11.80%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11.57%</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8.60%</w:t>
            </w:r>
          </w:p>
        </w:tc>
      </w:tr>
      <w:tr>
        <w:trPr>
          <w:trHeight w:val="24"/>
        </w:trPr>
        <w:tc>
          <w:tcPr>
            <w:tcW w:w="82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2">
            <w:col w:w="2640" w:space="100"/>
            <w:col w:w="8680"/>
          </w:cols>
          <w:pgMar w:left="240" w:top="675" w:right="239" w:bottom="775" w:gutter="0" w:footer="0" w:header="0"/>
          <w:type w:val="continuous"/>
        </w:sectPr>
      </w:pPr>
    </w:p>
    <w:p>
      <w:pPr>
        <w:spacing w:after="0"/>
        <w:rPr>
          <w:sz w:val="20"/>
          <w:szCs w:val="20"/>
          <w:color w:val="auto"/>
        </w:rPr>
      </w:pPr>
      <w:r>
        <w:rPr>
          <w:rFonts w:ascii="Arial" w:cs="Arial" w:eastAsia="Arial" w:hAnsi="Arial"/>
          <w:sz w:val="14"/>
          <w:szCs w:val="14"/>
          <w:b w:val="1"/>
          <w:bCs w:val="1"/>
          <w:color w:val="auto"/>
        </w:rPr>
        <w:t>Tangible common equity to risk-weighted assets reconciliation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Tangible common equity to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1">
            <w:col w:w="11420"/>
          </w:cols>
          <w:pgMar w:left="240" w:top="675" w:right="239" w:bottom="775" w:gutter="0" w:footer="0" w:header="0"/>
          <w:type w:val="continuous"/>
        </w:sectPr>
      </w:pP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weighted assets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Effect of other comprehensive income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Effect of deferred tax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68084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084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Effect of trust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of preferred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68084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0845"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Tier I capital ratio (Regulatory)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13.82%</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14.10%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13.92%</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13.63%</w:t>
            </w:r>
          </w:p>
        </w:tc>
        <w:tc>
          <w:tcPr>
            <w:tcW w:w="1220" w:type="dxa"/>
            <w:vAlign w:val="bottom"/>
            <w:gridSpan w:val="4"/>
          </w:tcPr>
          <w:p>
            <w:pPr>
              <w:jc w:val="right"/>
              <w:ind w:right="120"/>
              <w:spacing w:after="0"/>
              <w:rPr>
                <w:sz w:val="20"/>
                <w:szCs w:val="20"/>
                <w:color w:val="auto"/>
              </w:rPr>
            </w:pPr>
            <w:r>
              <w:rPr>
                <w:rFonts w:ascii="Arial" w:cs="Arial" w:eastAsia="Arial" w:hAnsi="Arial"/>
                <w:sz w:val="16"/>
                <w:szCs w:val="16"/>
                <w:color w:val="auto"/>
              </w:rPr>
              <w:t>13.18%</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13.34%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13.16%</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8.45%</w:t>
            </w:r>
          </w:p>
        </w:tc>
      </w:tr>
      <w:tr>
        <w:trPr>
          <w:trHeight w:val="215"/>
        </w:trPr>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.49</w:t>
            </w:r>
          </w:p>
        </w:tc>
      </w:tr>
      <w:tr>
        <w:trPr>
          <w:trHeight w:val="219"/>
        </w:trPr>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9"/>
                <w:szCs w:val="19"/>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9"/>
                <w:szCs w:val="19"/>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9"/>
                <w:szCs w:val="19"/>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9"/>
                <w:szCs w:val="19"/>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9"/>
                <w:szCs w:val="19"/>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9"/>
                <w:szCs w:val="19"/>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1.11</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1.15</w:t>
            </w:r>
          </w:p>
        </w:tc>
      </w:tr>
      <w:tr>
        <w:trPr>
          <w:trHeight w:val="216"/>
        </w:trPr>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4.22</w:t>
            </w:r>
          </w:p>
        </w:tc>
      </w:tr>
      <w:tr>
        <w:trPr>
          <w:trHeight w:val="30"/>
        </w:trPr>
        <w:tc>
          <w:tcPr>
            <w:tcW w:w="8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13"/>
        </w:trPr>
        <w:tc>
          <w:tcPr>
            <w:tcW w:w="1060" w:type="dxa"/>
            <w:vAlign w:val="bottom"/>
            <w:gridSpan w:val="3"/>
          </w:tcPr>
          <w:p>
            <w:pPr>
              <w:jc w:val="right"/>
              <w:ind w:right="100"/>
              <w:spacing w:after="0"/>
              <w:rPr>
                <w:sz w:val="20"/>
                <w:szCs w:val="20"/>
                <w:color w:val="auto"/>
              </w:rPr>
            </w:pPr>
            <w:r>
              <w:rPr>
                <w:rFonts w:ascii="Arial" w:cs="Arial" w:eastAsia="Arial" w:hAnsi="Arial"/>
                <w:sz w:val="16"/>
                <w:szCs w:val="16"/>
                <w:color w:val="auto"/>
              </w:rPr>
              <w:t>12.06%</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12.07%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11.75%</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11.10%</w:t>
            </w:r>
          </w:p>
        </w:tc>
        <w:tc>
          <w:tcPr>
            <w:tcW w:w="1220" w:type="dxa"/>
            <w:vAlign w:val="bottom"/>
            <w:gridSpan w:val="4"/>
          </w:tcPr>
          <w:p>
            <w:pPr>
              <w:jc w:val="right"/>
              <w:ind w:right="120"/>
              <w:spacing w:after="0"/>
              <w:rPr>
                <w:sz w:val="20"/>
                <w:szCs w:val="20"/>
                <w:color w:val="auto"/>
              </w:rPr>
            </w:pPr>
            <w:r>
              <w:rPr>
                <w:rFonts w:ascii="Arial" w:cs="Arial" w:eastAsia="Arial" w:hAnsi="Arial"/>
                <w:sz w:val="16"/>
                <w:szCs w:val="16"/>
                <w:color w:val="auto"/>
              </w:rPr>
              <w:t>12.74%</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14.21%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13.68%</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14.31%</w:t>
            </w:r>
          </w:p>
        </w:tc>
      </w:tr>
      <w:tr>
        <w:trPr>
          <w:trHeight w:val="24"/>
        </w:trPr>
        <w:tc>
          <w:tcPr>
            <w:tcW w:w="82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top w:val="single" w:sz="8" w:color="646464"/>
              <w:bottom w:val="single" w:sz="8" w:color="646464"/>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2480" w:space="260"/>
            <w:col w:w="8680"/>
          </w:cols>
          <w:pgMar w:left="240" w:top="675" w:right="239" w:bottom="775"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reported net income of $67.6 million for the year ended December 31, 2014. This compared to net income of $273 million in 2013. Diluted earnings per common share for 2014 were $1.11. This compared to diluted earnings per common share for 2013 of $4.44.</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results for 2013 included a few large items in operating earnings that are generally nonrecurring in nature that affect comparability between periods. Earnings for 2013 were significantly impacted by a large bulk sale of classified assets in the second quarter that resulted in a pre-tax loss of $26.8 million, which was more than offset by a $257 million credit to income tax expense resulting from the reversal of most of the valuation allowance on United’s deferred tax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775" w:gutter="0" w:footer="0" w:header="0"/>
          <w:type w:val="continuous"/>
        </w:sectPr>
      </w:pPr>
    </w:p>
    <w:bookmarkStart w:id="36" w:name="page37"/>
    <w:bookmarkEnd w:id="36"/>
    <w:p>
      <w:pPr>
        <w:spacing w:after="0"/>
        <w:rPr>
          <w:sz w:val="20"/>
          <w:szCs w:val="20"/>
          <w:color w:val="auto"/>
        </w:rPr>
      </w:pPr>
      <w:r>
        <w:rPr>
          <w:rFonts w:ascii="Arial" w:cs="Arial" w:eastAsia="Arial" w:hAnsi="Arial"/>
          <w:sz w:val="22"/>
          <w:szCs w:val="22"/>
          <w:b w:val="1"/>
          <w:bCs w:val="1"/>
          <w:i w:val="1"/>
          <w:iCs w:val="1"/>
          <w:color w:val="auto"/>
        </w:rPr>
        <w:t>Net Interest Revenue (Taxable Equivalent)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other liabilities) is the single largest component of United’s revenue. United actively manages this revenue source to provide optimal levels of revenue while balancing interest rate, credit, and liquidity risks. Taxable equivalent net interest revenue totaled $224 million in 2014, an increase of $4.78 million, or 2%, from 2013. Taxable equivalent net interest revenue for 2013 decreased $10.1 million, or 4%, from 2012.</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interest revenue had been on a declining trend from 2009 through 2013 due to attrition in the loan portfolio and intense loan pricing competition. United’s securities portfolio yield had also declined during that period as United was unable to reinvest proceeds of maturing securities at comparable interest rates. United had been unable to lower its funding costs to fully offset the decline in earning asset yields leading to lower net interest revenue. In the second quarter of 2014, United restructured its balance sheet to improve its net interest margin and increase net interest revenue. The second quarter 2014 balance sheet restructure included the sale of approximately $237 million in securities which were mostly low-yielding, variable-rate collateralized mortgage obligations (“CMOs”) and fixed rate corporate bonds that had been swapped to a floating rate. Improvement in the credit spreads on corporate bonds allowed United to sell the securities at an attractive gain that was used to repay $44 million in structured repurchase agreements that were paying a 4% interest rate. About $120 million of the proceeds from the sales of securities was reinvested in fixed-rate mortgage-backed securities (“MBS”) and higher yielding floating rate collateralized loan obligations to offset the impact of the decrease in interest revenue on the sold securities. These actions in the second quarter of 2014, along with strong loan growth in the latter half of the year, were primarily responsible for the increase in net interest revenue and stabilizing the net interest margin.</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Also in the second quarter of 2014, as a result of improvement in the interest sensitivity position, United effectively terminated $300 million notional in pay fixed forward starting swaps that were serving as cash flow hedges of LIBOR based wholesale borrowings and indexed money market deposits. The swaps were entered into in 2012 in anticipation of rising interest rates and had forward start dates that took effect in the first and second quarters of 2014. Changes in United’s balance sheet since that time made the hedges no longer necessary to achieve a neutral interest sensitivity position. The termination of the cash flow hedges in the second quarter of 2014 lowered United’s deposit and wholesale borrowings costs and also contributed to the increase in net interest revenue and improvement in the net interest margin. United effectively terminated another $100 million notional in pay fixed swaps that were serving as cash flow hedges of LIBOR based money market deposits late in the fourth quarter of 2014.</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noted securities transactions, along with slowing prepayment activity in United’s mortgage backed securities, which were mostly purchased at a premium, increased the overall yield in the investment portfolio. The higher investment securities yields offset much of the effect on interest revenue of the decline in loan yields. The yield on other interest-earning assets increased 42 basis points although the average balance declined $48.5 million from 2013. Included in other interest-earning assets are reverse repurchase agreements, including collateral swap transactions, where United enters into a repurchase agreement and reverse repurchase agreement simultaneously with the same counterparty subject to a master netting agreement. In these transactions, the offsetting balances are netted on the balance sheet.</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Average interest bearing liabilities in 2014 increased $176 million, or 4%, from the prior year as United’s funding needs increased with the increase in lending activity and a larger securities portfolio. Average noninterest bearing deposits increased $175 million from 2013 to 2014 providing much of United’s 2014 funding needs. The average cost of interest bearing liabilities for 2014 was .50% compared to .56% for 2013, reflecting United’s concerted efforts to reduce deposit pricing. Also contributing to the overall lower rate on interest bearing liabilities was a shift in the mix of deposits away from more expensive time deposits toward lower-rate transaction deposits. United was able to reduce the effective rate on brokered deposits by swapping the fixed rate on longer-term brokered time deposits to LIBOR minus a spread. In 2013, this hedging program resulted in a negative rate on brokered certificates of deposit.</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banking industry uses two key ratios to measure relative profitability of net interest revenue - the net interest spread and the net interest margin. The net interest spread measures the difference between the average yield on interest earning assets and the average rate paid on interest bearing liabilities. The interest rate spread eliminates the effect of non-interest-bearing deposits and other non-interest bearing funding sources and gives a direct perspective on the effect of market interest rate movements. The net interest margin is an indication of the profitability of a company’s overall balance sheet management activities and is defined as net interest revenue as a percentage of total average interest earning assets, which includes the positive effect of funding a portion of interest earning assets with customers’ non-interest bearing deposits and with shareholders’ equity.</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2014, 2013 and 2012, United’s net interest spread was 3.13%, 3.16%, and 3.34%, respectively, while the net interest margin was 3.26%, 3.30%, and 3.51%, respectively. The decline in both ratios from 2013 to 2014 was due to lower yields on loans, which were not completely offset by the increase in the taxable investment securities yield and the decrease in rates paid for deposits and other interest bearing liabilities.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2"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 and Net Interest Margin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8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Avg.</w:t>
            </w:r>
          </w:p>
        </w:tc>
        <w:tc>
          <w:tcPr>
            <w:tcW w:w="260" w:type="dxa"/>
            <w:vAlign w:val="bottom"/>
          </w:tcPr>
          <w:p>
            <w:pPr>
              <w:spacing w:after="0"/>
              <w:rPr>
                <w:sz w:val="17"/>
                <w:szCs w:val="17"/>
                <w:color w:val="auto"/>
              </w:rPr>
            </w:pPr>
          </w:p>
        </w:tc>
        <w:tc>
          <w:tcPr>
            <w:tcW w:w="106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Avg.</w:t>
            </w:r>
          </w:p>
        </w:tc>
        <w:tc>
          <w:tcPr>
            <w:tcW w:w="260" w:type="dxa"/>
            <w:vAlign w:val="bottom"/>
          </w:tcPr>
          <w:p>
            <w:pPr>
              <w:spacing w:after="0"/>
              <w:rPr>
                <w:sz w:val="17"/>
                <w:szCs w:val="17"/>
                <w:color w:val="auto"/>
              </w:rPr>
            </w:pPr>
          </w:p>
        </w:tc>
        <w:tc>
          <w:tcPr>
            <w:tcW w:w="98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Interest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Rate</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Interest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Interest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ind w:left="160"/>
              <w:spacing w:after="0" w:line="216" w:lineRule="exact"/>
              <w:rPr>
                <w:sz w:val="20"/>
                <w:szCs w:val="20"/>
                <w:color w:val="auto"/>
              </w:rPr>
            </w:pPr>
            <w:r>
              <w:rPr>
                <w:rFonts w:ascii="Arial" w:cs="Arial" w:eastAsia="Arial" w:hAnsi="Arial"/>
                <w:sz w:val="25"/>
                <w:szCs w:val="25"/>
                <w:color w:val="auto"/>
                <w:vertAlign w:val="subscript"/>
              </w:rPr>
              <w:t>Loans</w:t>
            </w:r>
            <w:r>
              <w:rPr>
                <w:rFonts w:ascii="Arial" w:cs="Arial" w:eastAsia="Arial" w:hAnsi="Arial"/>
                <w:sz w:val="12"/>
                <w:szCs w:val="12"/>
                <w:color w:val="auto"/>
              </w:rPr>
              <w:t xml:space="preserve"> (1)(2)</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$ 4,450,268</w:t>
            </w:r>
          </w:p>
        </w:tc>
        <w:tc>
          <w:tcPr>
            <w:tcW w:w="14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197,039</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4.43%</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$ 4,254,159</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201,278</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4.73%</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86"/>
              </w:rPr>
              <w:t>$ 4,165,520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217,705</w:t>
            </w: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line="216" w:lineRule="exact"/>
              <w:rPr>
                <w:sz w:val="20"/>
                <w:szCs w:val="20"/>
                <w:color w:val="auto"/>
              </w:rPr>
            </w:pPr>
            <w:r>
              <w:rPr>
                <w:rFonts w:ascii="Arial" w:cs="Arial" w:eastAsia="Arial" w:hAnsi="Arial"/>
                <w:sz w:val="16"/>
                <w:szCs w:val="16"/>
                <w:color w:val="auto"/>
              </w:rPr>
              <w:t>Taxable securities</w:t>
            </w:r>
            <w:r>
              <w:rPr>
                <w:rFonts w:ascii="Arial" w:cs="Arial" w:eastAsia="Arial" w:hAnsi="Arial"/>
                <w:sz w:val="25"/>
                <w:szCs w:val="25"/>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2,255,084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47,755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840" w:type="dxa"/>
            <w:vAlign w:val="bottom"/>
          </w:tcPr>
          <w:p>
            <w:pPr>
              <w:jc w:val="right"/>
              <w:spacing w:after="0"/>
              <w:rPr>
                <w:sz w:val="20"/>
                <w:szCs w:val="20"/>
                <w:color w:val="auto"/>
              </w:rPr>
            </w:pPr>
            <w:r>
              <w:rPr>
                <w:rFonts w:ascii="Arial" w:cs="Arial" w:eastAsia="Arial" w:hAnsi="Arial"/>
                <w:sz w:val="18"/>
                <w:szCs w:val="18"/>
                <w:color w:val="auto"/>
              </w:rPr>
              <w:t>2,169,024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40,331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2,065,162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43,657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80" w:type="dxa"/>
            <w:vAlign w:val="bottom"/>
            <w:shd w:val="clear" w:color="auto" w:fill="F0FFFF"/>
          </w:tcPr>
          <w:p>
            <w:pPr>
              <w:ind w:left="160"/>
              <w:spacing w:after="0" w:line="192" w:lineRule="exact"/>
              <w:rPr>
                <w:sz w:val="20"/>
                <w:szCs w:val="20"/>
                <w:color w:val="auto"/>
              </w:rPr>
            </w:pPr>
            <w:r>
              <w:rPr>
                <w:rFonts w:ascii="Arial" w:cs="Arial" w:eastAsia="Arial" w:hAnsi="Arial"/>
                <w:sz w:val="14"/>
                <w:szCs w:val="14"/>
                <w:color w:val="auto"/>
              </w:rPr>
              <w:t xml:space="preserve">Tax-exempt securities </w:t>
            </w:r>
            <w:r>
              <w:rPr>
                <w:rFonts w:ascii="Arial" w:cs="Arial" w:eastAsia="Arial" w:hAnsi="Arial"/>
                <w:sz w:val="22"/>
                <w:szCs w:val="22"/>
                <w:color w:val="auto"/>
                <w:vertAlign w:val="superscript"/>
              </w:rPr>
              <w:t>(1)</w:t>
            </w:r>
          </w:p>
        </w:tc>
        <w:tc>
          <w:tcPr>
            <w:tcW w:w="8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19,279</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gridSpan w:val="2"/>
            <w:vMerge w:val="restart"/>
            <w:shd w:val="clear" w:color="auto" w:fill="F0FFFF"/>
          </w:tcPr>
          <w:p>
            <w:pPr>
              <w:jc w:val="right"/>
              <w:ind w:right="240"/>
              <w:spacing w:after="0"/>
              <w:rPr>
                <w:sz w:val="20"/>
                <w:szCs w:val="20"/>
                <w:color w:val="auto"/>
              </w:rPr>
            </w:pPr>
            <w:r>
              <w:rPr>
                <w:rFonts w:ascii="Arial" w:cs="Arial" w:eastAsia="Arial" w:hAnsi="Arial"/>
                <w:sz w:val="18"/>
                <w:szCs w:val="18"/>
                <w:color w:val="auto"/>
              </w:rPr>
              <w:t>1,209</w:t>
            </w:r>
          </w:p>
        </w:tc>
        <w:tc>
          <w:tcPr>
            <w:tcW w:w="1040" w:type="dxa"/>
            <w:vAlign w:val="bottom"/>
            <w:gridSpan w:val="2"/>
            <w:vMerge w:val="restart"/>
            <w:shd w:val="clear" w:color="auto" w:fill="F0FFFF"/>
          </w:tcPr>
          <w:p>
            <w:pPr>
              <w:jc w:val="right"/>
              <w:ind w:right="260"/>
              <w:spacing w:after="0"/>
              <w:rPr>
                <w:sz w:val="20"/>
                <w:szCs w:val="20"/>
                <w:color w:val="auto"/>
              </w:rPr>
            </w:pPr>
            <w:r>
              <w:rPr>
                <w:rFonts w:ascii="Arial" w:cs="Arial" w:eastAsia="Arial" w:hAnsi="Arial"/>
                <w:sz w:val="18"/>
                <w:szCs w:val="18"/>
                <w:color w:val="auto"/>
              </w:rPr>
              <w:t>6.27</w:t>
            </w:r>
          </w:p>
        </w:tc>
        <w:tc>
          <w:tcPr>
            <w:tcW w:w="1060" w:type="dxa"/>
            <w:vAlign w:val="bottom"/>
            <w:gridSpan w:val="2"/>
            <w:vMerge w:val="restart"/>
            <w:shd w:val="clear" w:color="auto" w:fill="F0FFFF"/>
          </w:tcPr>
          <w:p>
            <w:pPr>
              <w:jc w:val="right"/>
              <w:ind w:right="220"/>
              <w:spacing w:after="0"/>
              <w:rPr>
                <w:sz w:val="20"/>
                <w:szCs w:val="20"/>
                <w:color w:val="auto"/>
              </w:rPr>
            </w:pPr>
            <w:r>
              <w:rPr>
                <w:rFonts w:ascii="Arial" w:cs="Arial" w:eastAsia="Arial" w:hAnsi="Arial"/>
                <w:sz w:val="18"/>
                <w:szCs w:val="18"/>
                <w:color w:val="auto"/>
              </w:rPr>
              <w:t>21,228</w:t>
            </w:r>
          </w:p>
        </w:tc>
        <w:tc>
          <w:tcPr>
            <w:tcW w:w="100" w:type="dxa"/>
            <w:vAlign w:val="bottom"/>
            <w:shd w:val="clear" w:color="auto" w:fill="F0FFFF"/>
          </w:tcPr>
          <w:p>
            <w:pPr>
              <w:spacing w:after="0"/>
              <w:rPr>
                <w:sz w:val="16"/>
                <w:szCs w:val="16"/>
                <w:color w:val="auto"/>
              </w:rPr>
            </w:pPr>
          </w:p>
        </w:tc>
        <w:tc>
          <w:tcPr>
            <w:tcW w:w="68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F0FFFF"/>
          </w:tcPr>
          <w:p>
            <w:pPr>
              <w:spacing w:after="0"/>
              <w:rPr>
                <w:sz w:val="16"/>
                <w:szCs w:val="16"/>
                <w:color w:val="auto"/>
              </w:rPr>
            </w:pPr>
          </w:p>
        </w:tc>
        <w:tc>
          <w:tcPr>
            <w:tcW w:w="1040" w:type="dxa"/>
            <w:vAlign w:val="bottom"/>
            <w:gridSpan w:val="2"/>
            <w:vMerge w:val="restart"/>
            <w:shd w:val="clear" w:color="auto" w:fill="F0FFFF"/>
          </w:tcPr>
          <w:p>
            <w:pPr>
              <w:jc w:val="right"/>
              <w:ind w:right="260"/>
              <w:spacing w:after="0"/>
              <w:rPr>
                <w:sz w:val="20"/>
                <w:szCs w:val="20"/>
                <w:color w:val="auto"/>
              </w:rPr>
            </w:pPr>
            <w:r>
              <w:rPr>
                <w:rFonts w:ascii="Arial" w:cs="Arial" w:eastAsia="Arial" w:hAnsi="Arial"/>
                <w:sz w:val="18"/>
                <w:szCs w:val="18"/>
                <w:color w:val="auto"/>
              </w:rPr>
              <w:t>6.38</w:t>
            </w:r>
          </w:p>
        </w:tc>
        <w:tc>
          <w:tcPr>
            <w:tcW w:w="980" w:type="dxa"/>
            <w:vAlign w:val="bottom"/>
            <w:gridSpan w:val="2"/>
            <w:vMerge w:val="restart"/>
            <w:shd w:val="clear" w:color="auto" w:fill="F0FFFF"/>
          </w:tcPr>
          <w:p>
            <w:pPr>
              <w:jc w:val="right"/>
              <w:ind w:right="140"/>
              <w:spacing w:after="0"/>
              <w:rPr>
                <w:sz w:val="20"/>
                <w:szCs w:val="20"/>
                <w:color w:val="auto"/>
              </w:rPr>
            </w:pPr>
            <w:r>
              <w:rPr>
                <w:rFonts w:ascii="Arial" w:cs="Arial" w:eastAsia="Arial" w:hAnsi="Arial"/>
                <w:sz w:val="18"/>
                <w:szCs w:val="18"/>
                <w:color w:val="auto"/>
              </w:rPr>
              <w:t>23,759</w:t>
            </w: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920" w:type="dxa"/>
            <w:vAlign w:val="bottom"/>
            <w:gridSpan w:val="2"/>
            <w:vMerge w:val="restart"/>
            <w:shd w:val="clear" w:color="auto" w:fill="F0FFFF"/>
          </w:tcPr>
          <w:p>
            <w:pPr>
              <w:jc w:val="right"/>
              <w:ind w:right="220"/>
              <w:spacing w:after="0"/>
              <w:rPr>
                <w:sz w:val="20"/>
                <w:szCs w:val="20"/>
                <w:color w:val="auto"/>
              </w:rPr>
            </w:pPr>
            <w:r>
              <w:rPr>
                <w:rFonts w:ascii="Arial" w:cs="Arial" w:eastAsia="Arial" w:hAnsi="Arial"/>
                <w:sz w:val="18"/>
                <w:szCs w:val="18"/>
                <w:color w:val="auto"/>
              </w:rPr>
              <w:t>1,565</w:t>
            </w:r>
          </w:p>
        </w:tc>
        <w:tc>
          <w:tcPr>
            <w:tcW w:w="940" w:type="dxa"/>
            <w:vAlign w:val="bottom"/>
            <w:gridSpan w:val="2"/>
            <w:vMerge w:val="restart"/>
            <w:shd w:val="clear" w:color="auto" w:fill="F0FFFF"/>
          </w:tcPr>
          <w:p>
            <w:pPr>
              <w:jc w:val="right"/>
              <w:ind w:right="1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5"/>
                <w:szCs w:val="15"/>
                <w:color w:val="auto"/>
              </w:rPr>
              <w:t>(3)</w:t>
            </w:r>
          </w:p>
        </w:tc>
        <w:tc>
          <w:tcPr>
            <w:tcW w:w="840" w:type="dxa"/>
            <w:vAlign w:val="bottom"/>
            <w:vMerge w:val="continue"/>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gridSpan w:val="2"/>
            <w:vMerge w:val="continue"/>
            <w:shd w:val="clear" w:color="auto" w:fill="F0FFFF"/>
          </w:tcPr>
          <w:p>
            <w:pPr>
              <w:spacing w:after="0"/>
              <w:rPr>
                <w:sz w:val="16"/>
                <w:szCs w:val="16"/>
                <w:color w:val="auto"/>
              </w:rPr>
            </w:pPr>
          </w:p>
        </w:tc>
        <w:tc>
          <w:tcPr>
            <w:tcW w:w="1040" w:type="dxa"/>
            <w:vAlign w:val="bottom"/>
            <w:gridSpan w:val="2"/>
            <w:vMerge w:val="continue"/>
            <w:shd w:val="clear" w:color="auto" w:fill="F0FFFF"/>
          </w:tcPr>
          <w:p>
            <w:pPr>
              <w:spacing w:after="0"/>
              <w:rPr>
                <w:sz w:val="16"/>
                <w:szCs w:val="16"/>
                <w:color w:val="auto"/>
              </w:rPr>
            </w:pPr>
          </w:p>
        </w:tc>
        <w:tc>
          <w:tcPr>
            <w:tcW w:w="1060" w:type="dxa"/>
            <w:vAlign w:val="bottom"/>
            <w:gridSpan w:val="2"/>
            <w:vMerge w:val="continue"/>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80" w:type="dxa"/>
            <w:vAlign w:val="bottom"/>
            <w:vMerge w:val="continue"/>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40" w:type="dxa"/>
            <w:vAlign w:val="bottom"/>
            <w:gridSpan w:val="2"/>
            <w:vMerge w:val="continue"/>
            <w:shd w:val="clear" w:color="auto" w:fill="F0FFFF"/>
          </w:tcPr>
          <w:p>
            <w:pPr>
              <w:spacing w:after="0"/>
              <w:rPr>
                <w:sz w:val="16"/>
                <w:szCs w:val="16"/>
                <w:color w:val="auto"/>
              </w:rPr>
            </w:pPr>
          </w:p>
        </w:tc>
        <w:tc>
          <w:tcPr>
            <w:tcW w:w="980" w:type="dxa"/>
            <w:vAlign w:val="bottom"/>
            <w:gridSpan w:val="2"/>
            <w:vMerge w:val="continue"/>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920" w:type="dxa"/>
            <w:vAlign w:val="bottom"/>
            <w:gridSpan w:val="2"/>
            <w:vMerge w:val="continue"/>
            <w:shd w:val="clear" w:color="auto" w:fill="F0FFFF"/>
          </w:tcPr>
          <w:p>
            <w:pPr>
              <w:spacing w:after="0"/>
              <w:rPr>
                <w:sz w:val="16"/>
                <w:szCs w:val="16"/>
                <w:color w:val="auto"/>
              </w:rPr>
            </w:pPr>
          </w:p>
        </w:tc>
        <w:tc>
          <w:tcPr>
            <w:tcW w:w="940" w:type="dxa"/>
            <w:vAlign w:val="bottom"/>
            <w:gridSpan w:val="2"/>
            <w:vMerge w:val="continue"/>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ind w:left="160"/>
              <w:spacing w:after="0" w:line="201" w:lineRule="exact"/>
              <w:rPr>
                <w:sz w:val="20"/>
                <w:szCs w:val="20"/>
                <w:color w:val="auto"/>
              </w:rPr>
            </w:pPr>
            <w:r>
              <w:rPr>
                <w:rFonts w:ascii="Arial" w:cs="Arial" w:eastAsia="Arial" w:hAnsi="Arial"/>
                <w:sz w:val="18"/>
                <w:szCs w:val="18"/>
                <w:color w:val="auto"/>
              </w:rPr>
              <w:t>Federal funds sold and</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320"/>
              <w:spacing w:after="0"/>
              <w:rPr>
                <w:sz w:val="20"/>
                <w:szCs w:val="20"/>
                <w:color w:val="auto"/>
              </w:rPr>
            </w:pPr>
            <w:r>
              <w:rPr>
                <w:rFonts w:ascii="Arial" w:cs="Arial" w:eastAsia="Arial" w:hAnsi="Arial"/>
                <w:sz w:val="18"/>
                <w:szCs w:val="18"/>
                <w:color w:val="auto"/>
              </w:rPr>
              <w:t>other interest-earning</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ind w:left="320"/>
              <w:spacing w:after="0"/>
              <w:rPr>
                <w:sz w:val="20"/>
                <w:szCs w:val="20"/>
                <w:color w:val="auto"/>
              </w:rPr>
            </w:pPr>
            <w:r>
              <w:rPr>
                <w:rFonts w:ascii="Arial" w:cs="Arial" w:eastAsia="Arial" w:hAnsi="Arial"/>
                <w:sz w:val="18"/>
                <w:szCs w:val="18"/>
                <w:color w:val="auto"/>
              </w:rPr>
              <w:t>assets</w:t>
            </w:r>
          </w:p>
        </w:tc>
        <w:tc>
          <w:tcPr>
            <w:tcW w:w="840" w:type="dxa"/>
            <w:vAlign w:val="bottom"/>
          </w:tcPr>
          <w:p>
            <w:pPr>
              <w:jc w:val="right"/>
              <w:spacing w:after="0"/>
              <w:rPr>
                <w:sz w:val="20"/>
                <w:szCs w:val="20"/>
                <w:color w:val="auto"/>
              </w:rPr>
            </w:pPr>
            <w:r>
              <w:rPr>
                <w:rFonts w:ascii="Arial" w:cs="Arial" w:eastAsia="Arial" w:hAnsi="Arial"/>
                <w:sz w:val="18"/>
                <w:szCs w:val="18"/>
                <w:color w:val="auto"/>
              </w:rPr>
              <w:t>155,803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3,966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840" w:type="dxa"/>
            <w:vAlign w:val="bottom"/>
          </w:tcPr>
          <w:p>
            <w:pPr>
              <w:jc w:val="right"/>
              <w:spacing w:after="0"/>
              <w:rPr>
                <w:sz w:val="20"/>
                <w:szCs w:val="20"/>
                <w:color w:val="auto"/>
              </w:rPr>
            </w:pPr>
            <w:r>
              <w:rPr>
                <w:rFonts w:ascii="Arial" w:cs="Arial" w:eastAsia="Arial" w:hAnsi="Arial"/>
                <w:sz w:val="18"/>
                <w:szCs w:val="18"/>
                <w:color w:val="auto"/>
              </w:rPr>
              <w:t>204,303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4,360</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292,857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4,740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F0FFFF"/>
          </w:tcPr>
          <w:p>
            <w:pPr>
              <w:ind w:left="200"/>
              <w:spacing w:after="0" w:line="198" w:lineRule="exact"/>
              <w:rPr>
                <w:sz w:val="20"/>
                <w:szCs w:val="20"/>
                <w:color w:val="auto"/>
              </w:rPr>
            </w:pPr>
            <w:r>
              <w:rPr>
                <w:rFonts w:ascii="Arial" w:cs="Arial" w:eastAsia="Arial" w:hAnsi="Arial"/>
                <w:sz w:val="18"/>
                <w:szCs w:val="18"/>
                <w:b w:val="1"/>
                <w:bCs w:val="1"/>
                <w:color w:val="auto"/>
              </w:rPr>
              <w:t>Total interest-earning</w:t>
            </w:r>
          </w:p>
        </w:tc>
        <w:tc>
          <w:tcPr>
            <w:tcW w:w="8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8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8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7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6,880,434</w:t>
            </w: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249,969</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3.63</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6,648,714</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247,323</w:t>
            </w:r>
          </w:p>
        </w:tc>
        <w:tc>
          <w:tcPr>
            <w:tcW w:w="22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3.72</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6,547,298</w:t>
            </w: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267,667</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top w:val="single" w:sz="8" w:color="F0FFFF"/>
            </w:tcBorders>
          </w:tcPr>
          <w:p>
            <w:pPr>
              <w:spacing w:after="0"/>
              <w:rPr>
                <w:sz w:val="20"/>
                <w:szCs w:val="20"/>
                <w:color w:val="auto"/>
              </w:rPr>
            </w:pPr>
            <w:r>
              <w:rPr>
                <w:rFonts w:ascii="Arial" w:cs="Arial" w:eastAsia="Arial" w:hAnsi="Arial"/>
                <w:sz w:val="18"/>
                <w:szCs w:val="18"/>
                <w:color w:val="auto"/>
                <w:w w:val="95"/>
              </w:rPr>
              <w:t>Non-interest-earning assets:</w:t>
            </w: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8"/>
              </w:rPr>
              <w:t>Allowance for loan losses</w:t>
            </w: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(75,237)</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(95,411)</w:t>
            </w: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(114,647)</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w w:val="97"/>
              </w:rPr>
              <w:t>Cash and due from banks</w:t>
            </w:r>
          </w:p>
        </w:tc>
        <w:tc>
          <w:tcPr>
            <w:tcW w:w="840" w:type="dxa"/>
            <w:vAlign w:val="bottom"/>
          </w:tcPr>
          <w:p>
            <w:pPr>
              <w:jc w:val="right"/>
              <w:spacing w:after="0"/>
              <w:rPr>
                <w:sz w:val="20"/>
                <w:szCs w:val="20"/>
                <w:color w:val="auto"/>
              </w:rPr>
            </w:pPr>
            <w:r>
              <w:rPr>
                <w:rFonts w:ascii="Arial" w:cs="Arial" w:eastAsia="Arial" w:hAnsi="Arial"/>
                <w:sz w:val="18"/>
                <w:szCs w:val="18"/>
                <w:color w:val="auto"/>
              </w:rPr>
              <w:t>67,818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63,174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53,247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Premises and equipment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161,391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167,424</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172,544</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ind w:left="160"/>
              <w:spacing w:after="0" w:line="216" w:lineRule="exact"/>
              <w:rPr>
                <w:sz w:val="20"/>
                <w:szCs w:val="20"/>
                <w:color w:val="auto"/>
              </w:rPr>
            </w:pPr>
            <w:r>
              <w:rPr>
                <w:rFonts w:ascii="Arial" w:cs="Arial" w:eastAsia="Arial" w:hAnsi="Arial"/>
                <w:sz w:val="16"/>
                <w:szCs w:val="16"/>
                <w:color w:val="auto"/>
              </w:rPr>
              <w:t>Other assets</w:t>
            </w:r>
            <w:r>
              <w:rPr>
                <w:rFonts w:ascii="Arial" w:cs="Arial" w:eastAsia="Arial" w:hAnsi="Arial"/>
                <w:sz w:val="25"/>
                <w:szCs w:val="25"/>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401,240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290,098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206,609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tcBorders>
              <w:bottom w:val="single" w:sz="8" w:color="F0FFFF"/>
            </w:tcBorders>
            <w:shd w:val="clear" w:color="auto" w:fill="F0FFFF"/>
          </w:tcPr>
          <w:p>
            <w:pPr>
              <w:ind w:left="20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$ 7,435,646</w:t>
            </w:r>
          </w:p>
        </w:tc>
        <w:tc>
          <w:tcPr>
            <w:tcW w:w="1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6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78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$ 7,073,999</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68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78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$ 6,865,051</w:t>
            </w:r>
          </w:p>
        </w:tc>
        <w:tc>
          <w:tcPr>
            <w:tcW w:w="1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70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78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80" w:type="dxa"/>
            <w:vAlign w:val="bottom"/>
          </w:tcPr>
          <w:p>
            <w:pPr>
              <w:spacing w:after="0" w:line="191" w:lineRule="exact"/>
              <w:rPr>
                <w:sz w:val="20"/>
                <w:szCs w:val="20"/>
                <w:color w:val="auto"/>
              </w:rPr>
            </w:pPr>
            <w:r>
              <w:rPr>
                <w:rFonts w:ascii="Arial" w:cs="Arial" w:eastAsia="Arial" w:hAnsi="Arial"/>
                <w:sz w:val="18"/>
                <w:szCs w:val="18"/>
                <w:b w:val="1"/>
                <w:bCs w:val="1"/>
                <w:color w:val="auto"/>
              </w:rPr>
              <w:t>Liabilities and</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ind w:left="80"/>
              <w:spacing w:after="0"/>
              <w:rPr>
                <w:sz w:val="20"/>
                <w:szCs w:val="20"/>
                <w:color w:val="auto"/>
              </w:rPr>
            </w:pPr>
            <w:r>
              <w:rPr>
                <w:rFonts w:ascii="Arial" w:cs="Arial" w:eastAsia="Arial" w:hAnsi="Arial"/>
                <w:sz w:val="18"/>
                <w:szCs w:val="18"/>
                <w:color w:val="auto"/>
              </w:rPr>
              <w:t>Interest-bearing liabilities:</w:t>
            </w: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w w:val="98"/>
              </w:rPr>
              <w:t>Interest-bearing deposits: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NOW</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$ 1,396,373</w:t>
            </w:r>
          </w:p>
        </w:tc>
        <w:tc>
          <w:tcPr>
            <w:tcW w:w="14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1,651</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$ 1,285,842</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1,759</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86"/>
              </w:rPr>
              <w:t>$ 1,293,510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2,049</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840" w:type="dxa"/>
            <w:vAlign w:val="bottom"/>
          </w:tcPr>
          <w:p>
            <w:pPr>
              <w:jc w:val="right"/>
              <w:spacing w:after="0"/>
              <w:rPr>
                <w:sz w:val="20"/>
                <w:szCs w:val="20"/>
                <w:color w:val="auto"/>
              </w:rPr>
            </w:pPr>
            <w:r>
              <w:rPr>
                <w:rFonts w:ascii="Arial" w:cs="Arial" w:eastAsia="Arial" w:hAnsi="Arial"/>
                <w:sz w:val="18"/>
                <w:szCs w:val="18"/>
                <w:color w:val="auto"/>
              </w:rPr>
              <w:t>1,389,837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3,060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840" w:type="dxa"/>
            <w:vAlign w:val="bottom"/>
          </w:tcPr>
          <w:p>
            <w:pPr>
              <w:jc w:val="right"/>
              <w:spacing w:after="0"/>
              <w:rPr>
                <w:sz w:val="20"/>
                <w:szCs w:val="20"/>
                <w:color w:val="auto"/>
              </w:rPr>
            </w:pPr>
            <w:r>
              <w:rPr>
                <w:rFonts w:ascii="Arial" w:cs="Arial" w:eastAsia="Arial" w:hAnsi="Arial"/>
                <w:sz w:val="18"/>
                <w:szCs w:val="18"/>
                <w:color w:val="auto"/>
              </w:rPr>
              <w:t>1,315,385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2,210</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1,140,354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2,518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Savings deposits</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277,351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81</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.03</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244,725</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133</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.05</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216,880</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150</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ind w:left="160"/>
              <w:spacing w:after="0" w:line="201" w:lineRule="exact"/>
              <w:rPr>
                <w:sz w:val="20"/>
                <w:szCs w:val="20"/>
                <w:color w:val="auto"/>
              </w:rPr>
            </w:pPr>
            <w:r>
              <w:rPr>
                <w:rFonts w:ascii="Arial" w:cs="Arial" w:eastAsia="Arial" w:hAnsi="Arial"/>
                <w:sz w:val="18"/>
                <w:szCs w:val="18"/>
                <w:color w:val="auto"/>
              </w:rPr>
              <w:t>Time deposits less than</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$100,000</w:t>
            </w:r>
          </w:p>
        </w:tc>
        <w:tc>
          <w:tcPr>
            <w:tcW w:w="840" w:type="dxa"/>
            <w:vAlign w:val="bottom"/>
          </w:tcPr>
          <w:p>
            <w:pPr>
              <w:jc w:val="right"/>
              <w:spacing w:after="0"/>
              <w:rPr>
                <w:sz w:val="20"/>
                <w:szCs w:val="20"/>
                <w:color w:val="auto"/>
              </w:rPr>
            </w:pPr>
            <w:r>
              <w:rPr>
                <w:rFonts w:ascii="Arial" w:cs="Arial" w:eastAsia="Arial" w:hAnsi="Arial"/>
                <w:sz w:val="18"/>
                <w:szCs w:val="18"/>
                <w:color w:val="auto"/>
              </w:rPr>
              <w:t>811,846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3,636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840" w:type="dxa"/>
            <w:vAlign w:val="bottom"/>
          </w:tcPr>
          <w:p>
            <w:pPr>
              <w:jc w:val="right"/>
              <w:spacing w:after="0"/>
              <w:rPr>
                <w:sz w:val="20"/>
                <w:szCs w:val="20"/>
                <w:color w:val="auto"/>
              </w:rPr>
            </w:pPr>
            <w:r>
              <w:rPr>
                <w:rFonts w:ascii="Arial" w:cs="Arial" w:eastAsia="Arial" w:hAnsi="Arial"/>
                <w:sz w:val="18"/>
                <w:szCs w:val="18"/>
                <w:color w:val="auto"/>
              </w:rPr>
              <w:t>974,470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5,850</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1,170,202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9,788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w w:val="93"/>
              </w:rPr>
              <w:t>Time deposits greater than</w:t>
            </w: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$100,000</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551,027</w:t>
            </w: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3,373</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.61</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654,102</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5,115</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.78</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766,411</w:t>
            </w: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8,027</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Brokered deposits</w:t>
            </w:r>
          </w:p>
        </w:tc>
        <w:tc>
          <w:tcPr>
            <w:tcW w:w="840" w:type="dxa"/>
            <w:vAlign w:val="bottom"/>
          </w:tcPr>
          <w:p>
            <w:pPr>
              <w:jc w:val="right"/>
              <w:spacing w:after="0"/>
              <w:rPr>
                <w:sz w:val="20"/>
                <w:szCs w:val="20"/>
                <w:color w:val="auto"/>
              </w:rPr>
            </w:pPr>
            <w:r>
              <w:rPr>
                <w:rFonts w:ascii="Arial" w:cs="Arial" w:eastAsia="Arial" w:hAnsi="Arial"/>
                <w:sz w:val="18"/>
                <w:szCs w:val="18"/>
                <w:color w:val="auto"/>
              </w:rPr>
              <w:t>293,657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840" w:type="dxa"/>
            <w:vAlign w:val="bottom"/>
          </w:tcPr>
          <w:p>
            <w:pPr>
              <w:jc w:val="right"/>
              <w:spacing w:after="0"/>
              <w:rPr>
                <w:sz w:val="20"/>
                <w:szCs w:val="20"/>
                <w:color w:val="auto"/>
              </w:rPr>
            </w:pPr>
            <w:r>
              <w:rPr>
                <w:rFonts w:ascii="Arial" w:cs="Arial" w:eastAsia="Arial" w:hAnsi="Arial"/>
                <w:sz w:val="18"/>
                <w:szCs w:val="18"/>
                <w:color w:val="auto"/>
              </w:rPr>
              <w:t>219,215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155,902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F0FFFF"/>
          </w:tcPr>
          <w:p>
            <w:pPr>
              <w:ind w:left="320"/>
              <w:spacing w:after="0" w:line="201" w:lineRule="exact"/>
              <w:rPr>
                <w:sz w:val="20"/>
                <w:szCs w:val="20"/>
                <w:color w:val="auto"/>
              </w:rPr>
            </w:pPr>
            <w:r>
              <w:rPr>
                <w:rFonts w:ascii="Arial" w:cs="Arial" w:eastAsia="Arial" w:hAnsi="Arial"/>
                <w:sz w:val="18"/>
                <w:szCs w:val="18"/>
                <w:color w:val="auto"/>
              </w:rPr>
              <w:t>Total interest-bearing</w:t>
            </w:r>
          </w:p>
        </w:tc>
        <w:tc>
          <w:tcPr>
            <w:tcW w:w="8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8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8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7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deposits</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4,720,091</w:t>
            </w: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11,925</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.25</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4,693,739</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14,566</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.31</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4,743,259</w:t>
            </w: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23,814</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F0FF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Federal funds purchased,</w:t>
            </w: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7"/>
              </w:rPr>
              <w:t>repurchase agreeements,</w:t>
            </w: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&amp; other short-term</w:t>
            </w: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borrowings</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74,541</w:t>
            </w: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2,160</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2.90</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66,561</w:t>
            </w:r>
          </w:p>
        </w:tc>
        <w:tc>
          <w:tcPr>
            <w:tcW w:w="100" w:type="dxa"/>
            <w:vAlign w:val="bottom"/>
            <w:shd w:val="clear" w:color="auto" w:fill="F0FFFF"/>
          </w:tcPr>
          <w:p>
            <w:pPr>
              <w:spacing w:after="0"/>
              <w:rPr>
                <w:sz w:val="20"/>
                <w:szCs w:val="20"/>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2,071</w:t>
            </w:r>
          </w:p>
        </w:tc>
        <w:tc>
          <w:tcPr>
            <w:tcW w:w="22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3.11</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80,593</w:t>
            </w: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2,987</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Federal Home Loan Bank</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advances</w:t>
            </w:r>
          </w:p>
        </w:tc>
        <w:tc>
          <w:tcPr>
            <w:tcW w:w="840" w:type="dxa"/>
            <w:vAlign w:val="bottom"/>
          </w:tcPr>
          <w:p>
            <w:pPr>
              <w:jc w:val="right"/>
              <w:spacing w:after="0"/>
              <w:rPr>
                <w:sz w:val="20"/>
                <w:szCs w:val="20"/>
                <w:color w:val="auto"/>
              </w:rPr>
            </w:pPr>
            <w:r>
              <w:rPr>
                <w:rFonts w:ascii="Arial" w:cs="Arial" w:eastAsia="Arial" w:hAnsi="Arial"/>
                <w:sz w:val="18"/>
                <w:szCs w:val="18"/>
                <w:color w:val="auto"/>
              </w:rPr>
              <w:t>175,481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912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32,604</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124,771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907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Long-term debt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129,865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10,554</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8.13</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131,081</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10,977</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8.37</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127,623</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10,201</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shd w:val="clear" w:color="auto" w:fill="F0FF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ind w:left="320"/>
              <w:spacing w:after="0"/>
              <w:rPr>
                <w:sz w:val="20"/>
                <w:szCs w:val="20"/>
                <w:color w:val="auto"/>
              </w:rPr>
            </w:pPr>
            <w:r>
              <w:rPr>
                <w:rFonts w:ascii="Arial" w:cs="Arial" w:eastAsia="Arial" w:hAnsi="Arial"/>
                <w:sz w:val="18"/>
                <w:szCs w:val="18"/>
                <w:color w:val="auto"/>
              </w:rPr>
              <w:t>Total borrowed funds</w:t>
            </w:r>
          </w:p>
        </w:tc>
        <w:tc>
          <w:tcPr>
            <w:tcW w:w="840" w:type="dxa"/>
            <w:vAlign w:val="bottom"/>
          </w:tcPr>
          <w:p>
            <w:pPr>
              <w:jc w:val="right"/>
              <w:spacing w:after="0"/>
              <w:rPr>
                <w:sz w:val="20"/>
                <w:szCs w:val="20"/>
                <w:color w:val="auto"/>
              </w:rPr>
            </w:pPr>
            <w:r>
              <w:rPr>
                <w:rFonts w:ascii="Arial" w:cs="Arial" w:eastAsia="Arial" w:hAnsi="Arial"/>
                <w:sz w:val="18"/>
                <w:szCs w:val="18"/>
                <w:color w:val="auto"/>
              </w:rPr>
              <w:t>379,887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13,626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3.59</w:t>
            </w:r>
          </w:p>
        </w:tc>
        <w:tc>
          <w:tcPr>
            <w:tcW w:w="840" w:type="dxa"/>
            <w:vAlign w:val="bottom"/>
          </w:tcPr>
          <w:p>
            <w:pPr>
              <w:jc w:val="right"/>
              <w:spacing w:after="0"/>
              <w:rPr>
                <w:sz w:val="20"/>
                <w:szCs w:val="20"/>
                <w:color w:val="auto"/>
              </w:rPr>
            </w:pPr>
            <w:r>
              <w:rPr>
                <w:rFonts w:ascii="Arial" w:cs="Arial" w:eastAsia="Arial" w:hAnsi="Arial"/>
                <w:sz w:val="18"/>
                <w:szCs w:val="18"/>
                <w:color w:val="auto"/>
              </w:rPr>
              <w:t>230,246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13,116</w:t>
            </w:r>
          </w:p>
        </w:tc>
        <w:tc>
          <w:tcPr>
            <w:tcW w:w="2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5.70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332,987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14,095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F0FFFF"/>
          </w:tcPr>
          <w:p>
            <w:pPr>
              <w:ind w:left="320"/>
              <w:spacing w:after="0" w:line="198" w:lineRule="exact"/>
              <w:rPr>
                <w:sz w:val="20"/>
                <w:szCs w:val="20"/>
                <w:color w:val="auto"/>
              </w:rPr>
            </w:pPr>
            <w:r>
              <w:rPr>
                <w:rFonts w:ascii="Arial" w:cs="Arial" w:eastAsia="Arial" w:hAnsi="Arial"/>
                <w:sz w:val="18"/>
                <w:szCs w:val="18"/>
                <w:b w:val="1"/>
                <w:bCs w:val="1"/>
                <w:color w:val="auto"/>
                <w:w w:val="99"/>
              </w:rPr>
              <w:t>Total interest-bearing</w:t>
            </w:r>
          </w:p>
        </w:tc>
        <w:tc>
          <w:tcPr>
            <w:tcW w:w="8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8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8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7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shd w:val="clear" w:color="auto" w:fill="F0FFFF"/>
          </w:tcPr>
          <w:p>
            <w:pPr>
              <w:ind w:left="320"/>
              <w:spacing w:after="0"/>
              <w:rPr>
                <w:sz w:val="20"/>
                <w:szCs w:val="20"/>
                <w:color w:val="auto"/>
              </w:rPr>
            </w:pPr>
            <w:r>
              <w:rPr>
                <w:rFonts w:ascii="Arial" w:cs="Arial" w:eastAsia="Arial" w:hAnsi="Arial"/>
                <w:sz w:val="18"/>
                <w:szCs w:val="18"/>
                <w:b w:val="1"/>
                <w:bCs w:val="1"/>
                <w:color w:val="auto"/>
              </w:rPr>
              <w:t>liabilities</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5,099,978</w:t>
            </w: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25,551</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4,923,985</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27,682</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.56</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5,076,246</w:t>
            </w: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37,909</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Borders>
              <w:top w:val="single" w:sz="8" w:color="F0FFFF"/>
            </w:tcBorders>
          </w:tcPr>
          <w:p>
            <w:pPr>
              <w:spacing w:after="0" w:line="201" w:lineRule="exact"/>
              <w:rPr>
                <w:sz w:val="20"/>
                <w:szCs w:val="20"/>
                <w:color w:val="auto"/>
              </w:rPr>
            </w:pPr>
            <w:r>
              <w:rPr>
                <w:rFonts w:ascii="Arial" w:cs="Arial" w:eastAsia="Arial" w:hAnsi="Arial"/>
                <w:sz w:val="18"/>
                <w:szCs w:val="18"/>
                <w:color w:val="auto"/>
              </w:rPr>
              <w:t>Non-interest-bearing</w:t>
            </w:r>
          </w:p>
        </w:tc>
        <w:tc>
          <w:tcPr>
            <w:tcW w:w="84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780" w:type="dxa"/>
            <w:vAlign w:val="bottom"/>
            <w:tcBorders>
              <w:top w:val="single" w:sz="8" w:color="F0FFFF"/>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84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780" w:type="dxa"/>
            <w:vAlign w:val="bottom"/>
            <w:tcBorders>
              <w:top w:val="single" w:sz="8" w:color="F0FFFF"/>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84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78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rPr>
              <w:t>Non-interest-bearing</w:t>
            </w: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deposits</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1,507,944</w:t>
            </w: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1,333,199</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1,142,236</w:t>
            </w: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107,523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84,506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64,986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liabilities</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6,715,445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6,341,690</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6,283,468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tcPr>
          <w:p>
            <w:pPr>
              <w:jc w:val="right"/>
              <w:spacing w:after="0"/>
              <w:rPr>
                <w:sz w:val="20"/>
                <w:szCs w:val="20"/>
                <w:color w:val="auto"/>
              </w:rPr>
            </w:pPr>
            <w:r>
              <w:rPr>
                <w:rFonts w:ascii="Arial" w:cs="Arial" w:eastAsia="Arial" w:hAnsi="Arial"/>
                <w:sz w:val="18"/>
                <w:szCs w:val="18"/>
                <w:color w:val="auto"/>
              </w:rPr>
              <w:t>720,201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732,309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581,583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shd w:val="clear" w:color="auto" w:fill="F0FFFF"/>
          </w:tcPr>
          <w:p>
            <w:pPr>
              <w:ind w:left="320"/>
              <w:spacing w:after="0" w:line="198" w:lineRule="exact"/>
              <w:rPr>
                <w:sz w:val="20"/>
                <w:szCs w:val="20"/>
                <w:color w:val="auto"/>
              </w:rPr>
            </w:pPr>
            <w:r>
              <w:rPr>
                <w:rFonts w:ascii="Arial" w:cs="Arial" w:eastAsia="Arial" w:hAnsi="Arial"/>
                <w:sz w:val="18"/>
                <w:szCs w:val="18"/>
                <w:b w:val="1"/>
                <w:bCs w:val="1"/>
                <w:color w:val="auto"/>
              </w:rPr>
              <w:t>Total liabilities and</w:t>
            </w:r>
          </w:p>
        </w:tc>
        <w:tc>
          <w:tcPr>
            <w:tcW w:w="8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180" w:type="dxa"/>
            <w:vAlign w:val="bottom"/>
            <w:shd w:val="clear" w:color="auto" w:fill="F0FFFF"/>
          </w:tcPr>
          <w:p>
            <w:pPr>
              <w:ind w:left="480"/>
              <w:spacing w:after="0"/>
              <w:rPr>
                <w:sz w:val="20"/>
                <w:szCs w:val="20"/>
                <w:color w:val="auto"/>
              </w:rPr>
            </w:pPr>
            <w:r>
              <w:rPr>
                <w:rFonts w:ascii="Arial" w:cs="Arial" w:eastAsia="Arial" w:hAnsi="Arial"/>
                <w:sz w:val="18"/>
                <w:szCs w:val="18"/>
                <w:b w:val="1"/>
                <w:bCs w:val="1"/>
                <w:color w:val="auto"/>
                <w:w w:val="95"/>
              </w:rPr>
              <w:t>shareholders’ equity</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$ 7,435,646</w:t>
            </w:r>
          </w:p>
        </w:tc>
        <w:tc>
          <w:tcPr>
            <w:tcW w:w="14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680" w:type="dxa"/>
            <w:vAlign w:val="bottom"/>
            <w:shd w:val="clear" w:color="auto" w:fill="F0FFFF"/>
          </w:tcPr>
          <w:p>
            <w:pPr>
              <w:spacing w:after="0"/>
              <w:rPr>
                <w:sz w:val="23"/>
                <w:szCs w:val="23"/>
                <w:color w:val="auto"/>
              </w:rPr>
            </w:pPr>
          </w:p>
        </w:tc>
        <w:tc>
          <w:tcPr>
            <w:tcW w:w="240" w:type="dxa"/>
            <w:vAlign w:val="bottom"/>
            <w:shd w:val="clear" w:color="auto" w:fill="F0FFFF"/>
          </w:tcPr>
          <w:p>
            <w:pPr>
              <w:spacing w:after="0"/>
              <w:rPr>
                <w:sz w:val="23"/>
                <w:szCs w:val="23"/>
                <w:color w:val="auto"/>
              </w:rPr>
            </w:pPr>
          </w:p>
        </w:tc>
        <w:tc>
          <w:tcPr>
            <w:tcW w:w="78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$ 7,073,999</w:t>
            </w:r>
          </w:p>
        </w:tc>
        <w:tc>
          <w:tcPr>
            <w:tcW w:w="2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68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78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86"/>
              </w:rPr>
              <w:t>$ 6,865,051</w:t>
            </w:r>
          </w:p>
        </w:tc>
        <w:tc>
          <w:tcPr>
            <w:tcW w:w="80" w:type="dxa"/>
            <w:vAlign w:val="bottom"/>
            <w:shd w:val="clear" w:color="auto" w:fill="F0FFFF"/>
          </w:tcPr>
          <w:p>
            <w:pPr>
              <w:spacing w:after="0"/>
              <w:rPr>
                <w:sz w:val="23"/>
                <w:szCs w:val="23"/>
                <w:color w:val="auto"/>
              </w:rPr>
            </w:pPr>
          </w:p>
        </w:tc>
        <w:tc>
          <w:tcPr>
            <w:tcW w:w="8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78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interest revenue</w:t>
            </w: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F0FFFF"/>
            </w:tcBorders>
            <w:gridSpan w:val="2"/>
          </w:tcPr>
          <w:p>
            <w:pPr>
              <w:jc w:val="right"/>
              <w:ind w:right="240"/>
              <w:spacing w:after="0"/>
              <w:rPr>
                <w:sz w:val="20"/>
                <w:szCs w:val="20"/>
                <w:color w:val="auto"/>
              </w:rPr>
            </w:pPr>
            <w:r>
              <w:rPr>
                <w:rFonts w:ascii="Arial" w:cs="Arial" w:eastAsia="Arial" w:hAnsi="Arial"/>
                <w:sz w:val="18"/>
                <w:szCs w:val="18"/>
                <w:color w:val="auto"/>
              </w:rPr>
              <w:t>224,418</w:t>
            </w:r>
          </w:p>
        </w:tc>
        <w:tc>
          <w:tcPr>
            <w:tcW w:w="78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219,641</w:t>
            </w:r>
          </w:p>
        </w:tc>
        <w:tc>
          <w:tcPr>
            <w:tcW w:w="22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229,758</w:t>
            </w:r>
          </w:p>
        </w:tc>
        <w:tc>
          <w:tcPr>
            <w:tcW w:w="78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Net interest-rate spread</w:t>
            </w:r>
          </w:p>
        </w:tc>
        <w:tc>
          <w:tcPr>
            <w:tcW w:w="8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3.13%</w:t>
            </w:r>
          </w:p>
        </w:tc>
        <w:tc>
          <w:tcPr>
            <w:tcW w:w="8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3.16%</w:t>
            </w:r>
          </w:p>
        </w:tc>
        <w:tc>
          <w:tcPr>
            <w:tcW w:w="8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6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6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7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tcPr>
          <w:p>
            <w:pPr>
              <w:spacing w:after="0" w:line="210" w:lineRule="exact"/>
              <w:rPr>
                <w:sz w:val="20"/>
                <w:szCs w:val="20"/>
                <w:color w:val="auto"/>
              </w:rPr>
            </w:pPr>
            <w:r>
              <w:rPr>
                <w:rFonts w:ascii="Arial" w:cs="Arial" w:eastAsia="Arial" w:hAnsi="Arial"/>
                <w:sz w:val="15"/>
                <w:szCs w:val="15"/>
                <w:color w:val="auto"/>
              </w:rPr>
              <w:t xml:space="preserve">Net interest margin </w:t>
            </w:r>
            <w:r>
              <w:rPr>
                <w:rFonts w:ascii="Arial" w:cs="Arial" w:eastAsia="Arial" w:hAnsi="Arial"/>
                <w:sz w:val="24"/>
                <w:szCs w:val="24"/>
                <w:color w:val="auto"/>
                <w:vertAlign w:val="superscript"/>
              </w:rPr>
              <w:t>(4)</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80" w:hanging="332"/>
        <w:spacing w:after="0" w:line="194" w:lineRule="auto"/>
        <w:tabs>
          <w:tab w:leader="none" w:pos="281"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rate and the federal tax adjusted state tax rate.</w:t>
      </w:r>
    </w:p>
    <w:p>
      <w:pPr>
        <w:ind w:left="280" w:hanging="272"/>
        <w:spacing w:after="0" w:line="180" w:lineRule="auto"/>
        <w:tabs>
          <w:tab w:leader="none" w:pos="28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w:t>
      </w:r>
    </w:p>
    <w:p>
      <w:pPr>
        <w:spacing w:after="0" w:line="15" w:lineRule="exact"/>
        <w:rPr>
          <w:rFonts w:ascii="Arial" w:cs="Arial" w:eastAsia="Arial" w:hAnsi="Arial"/>
          <w:sz w:val="25"/>
          <w:szCs w:val="25"/>
          <w:color w:val="auto"/>
          <w:vertAlign w:val="superscript"/>
        </w:rPr>
      </w:pPr>
    </w:p>
    <w:p>
      <w:pPr>
        <w:ind w:left="500" w:hanging="492"/>
        <w:spacing w:after="0" w:line="186" w:lineRule="auto"/>
        <w:tabs>
          <w:tab w:leader="none" w:pos="5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Securities available for sale are shown at amortized cost. Pretax unrealized gains of $3.36 million, $4.36 million and $23.6 million in 2014, 2013</w:t>
      </w:r>
    </w:p>
    <w:p>
      <w:pPr>
        <w:sectPr>
          <w:pgSz w:w="11900" w:h="16838" w:orient="portrait"/>
          <w:cols w:equalWidth="0" w:num="1">
            <w:col w:w="11420"/>
          </w:cols>
          <w:pgMar w:left="240" w:top="1098" w:right="239" w:bottom="0" w:gutter="0" w:footer="0" w:header="0"/>
        </w:sectPr>
      </w:pPr>
    </w:p>
    <w:bookmarkStart w:id="38" w:name="page39"/>
    <w:bookmarkEnd w:id="38"/>
    <w:p>
      <w:pPr>
        <w:ind w:left="492"/>
        <w:spacing w:after="0"/>
        <w:rPr>
          <w:sz w:val="20"/>
          <w:szCs w:val="20"/>
          <w:color w:val="auto"/>
        </w:rPr>
      </w:pPr>
      <w:r>
        <w:rPr>
          <w:rFonts w:ascii="Arial" w:cs="Arial" w:eastAsia="Arial" w:hAnsi="Arial"/>
          <w:sz w:val="18"/>
          <w:szCs w:val="18"/>
          <w:color w:val="auto"/>
        </w:rPr>
        <w:t>and 2012, respectively, are included in other assets for purposes of this presentation.</w:t>
      </w:r>
    </w:p>
    <w:p>
      <w:pPr>
        <w:spacing w:after="0" w:line="11" w:lineRule="exact"/>
        <w:rPr>
          <w:sz w:val="20"/>
          <w:szCs w:val="20"/>
          <w:color w:val="auto"/>
        </w:rPr>
      </w:pPr>
    </w:p>
    <w:p>
      <w:pPr>
        <w:ind w:left="5612" w:right="2459" w:hanging="5612"/>
        <w:spacing w:after="0" w:line="647" w:lineRule="auto"/>
        <w:tabs>
          <w:tab w:leader="none" w:pos="261"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Net interest margin is taxable equivalent net-interest revenue divided by average interest-earning assets.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-370205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125" w:right="1440"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The following table shows the relative effect on net interest revenue of changes in the average outstanding balances (volume) of earning assets and interest bearing liabilities and the rates earned and paid by United on such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Change in Interest Revenue and Interest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2014 Compared to 2013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7"/>
          </w:tcPr>
          <w:p>
            <w:pPr>
              <w:jc w:val="center"/>
              <w:ind w:left="610"/>
              <w:spacing w:after="0"/>
              <w:rPr>
                <w:sz w:val="20"/>
                <w:szCs w:val="20"/>
                <w:color w:val="auto"/>
              </w:rPr>
            </w:pPr>
            <w:r>
              <w:rPr>
                <w:rFonts w:ascii="Arial" w:cs="Arial" w:eastAsia="Arial" w:hAnsi="Arial"/>
                <w:sz w:val="18"/>
                <w:szCs w:val="18"/>
                <w:b w:val="1"/>
                <w:bCs w:val="1"/>
                <w:color w:val="auto"/>
                <w:w w:val="90"/>
              </w:rPr>
              <w:t>2013 Compared to 2012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6"/>
              </w:rPr>
              <w:t>Increase (decrease)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6"/>
              </w:rPr>
              <w:t>Increase (decrease)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6"/>
              </w:rPr>
              <w:t>due to changes in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6"/>
              </w:rPr>
              <w:t>due to changes in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Volume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19"/>
                <w:szCs w:val="19"/>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9,030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(13,269)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(4,239)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4,552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(20,979)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1,650</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5,774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7,424</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(5,444)</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Tax-exempt securities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Federal funds sold and other interest-</w:t>
            </w: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40" w:type="dxa"/>
            <w:vAlign w:val="bottom"/>
            <w:tcBorders>
              <w:lef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earning assets</w:t>
            </w:r>
          </w:p>
        </w:tc>
        <w:tc>
          <w:tcPr>
            <w:tcW w:w="180" w:type="dxa"/>
            <w:vAlign w:val="bottom"/>
            <w:shd w:val="clear" w:color="auto" w:fill="F0FFFF"/>
          </w:tcPr>
          <w:p>
            <w:pPr>
              <w:spacing w:after="0"/>
              <w:rPr>
                <w:sz w:val="20"/>
                <w:szCs w:val="20"/>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(1,145)</w:t>
            </w:r>
          </w:p>
        </w:tc>
        <w:tc>
          <w:tcPr>
            <w:tcW w:w="240" w:type="dxa"/>
            <w:vAlign w:val="bottom"/>
            <w:tcBorders>
              <w:left w:val="single" w:sz="8" w:color="F0FFFF"/>
            </w:tcBorders>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lef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Total interest-earning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(6,766)</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(25,195)</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NOW</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Money Market</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Savings deposits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Time deposits less than $100,000</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(1,336)</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(2,214)</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(2,473)</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Time deposits greater than $100,000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(1,845)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Brokered deposits</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(2,143)</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lef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(1,196)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(7,432)</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Federal funds purchased, repurchase</w:t>
            </w:r>
          </w:p>
        </w:tc>
        <w:tc>
          <w:tcPr>
            <w:tcW w:w="18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40" w:type="dxa"/>
            <w:vAlign w:val="bottom"/>
            <w:tcBorders>
              <w:left w:val="single" w:sz="8" w:color="F0FFFF"/>
            </w:tcBorders>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agreements &amp; other short-term</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F0FFFF"/>
          </w:tcPr>
          <w:p>
            <w:pPr>
              <w:spacing w:after="0"/>
              <w:rPr>
                <w:sz w:val="20"/>
                <w:szCs w:val="20"/>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left w:val="single" w:sz="8" w:color="F0FFFF"/>
            </w:tcBorders>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lef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borrowed funds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ind w:left="320"/>
              <w:spacing w:after="0"/>
              <w:rPr>
                <w:sz w:val="20"/>
                <w:szCs w:val="20"/>
                <w:color w:val="auto"/>
              </w:rPr>
            </w:pPr>
            <w:r>
              <w:rPr>
                <w:rFonts w:ascii="Arial" w:cs="Arial" w:eastAsia="Arial" w:hAnsi="Arial"/>
                <w:sz w:val="18"/>
                <w:szCs w:val="18"/>
                <w:b w:val="1"/>
                <w:bCs w:val="1"/>
                <w:color w:val="auto"/>
              </w:rPr>
              <w:t>Total interest-bearing liabilities</w:t>
            </w: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Borders>
              <w:left w:val="single" w:sz="8" w:color="F0FFFF"/>
            </w:tcBorders>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(1,452)</w:t>
            </w: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(2,131)</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(2,439)</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(7,788)</w:t>
            </w:r>
          </w:p>
        </w:tc>
        <w:tc>
          <w:tcPr>
            <w:tcW w:w="24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F0FFFF"/>
          </w:tcPr>
          <w:p>
            <w:pPr>
              <w:ind w:left="480"/>
              <w:spacing w:after="0" w:line="198" w:lineRule="exact"/>
              <w:rPr>
                <w:sz w:val="20"/>
                <w:szCs w:val="20"/>
                <w:color w:val="auto"/>
              </w:rPr>
            </w:pPr>
            <w:r>
              <w:rPr>
                <w:rFonts w:ascii="Arial" w:cs="Arial" w:eastAsia="Arial" w:hAnsi="Arial"/>
                <w:sz w:val="18"/>
                <w:szCs w:val="18"/>
                <w:b w:val="1"/>
                <w:bCs w:val="1"/>
                <w:color w:val="auto"/>
                <w:w w:val="96"/>
              </w:rPr>
              <w:t>Increase (decrease) in net interest</w:t>
            </w: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40" w:type="dxa"/>
            <w:vAlign w:val="bottom"/>
            <w:tcBorders>
              <w:lef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shd w:val="clear" w:color="auto" w:fill="F0FFFF"/>
          </w:tcPr>
          <w:p>
            <w:pPr>
              <w:ind w:left="48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10,091</w:t>
            </w:r>
          </w:p>
        </w:tc>
        <w:tc>
          <w:tcPr>
            <w:tcW w:w="480" w:type="dxa"/>
            <w:vAlign w:val="bottom"/>
            <w:tcBorders>
              <w:lef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(5,314)</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4,777</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7,290</w:t>
            </w:r>
          </w:p>
        </w:tc>
        <w:tc>
          <w:tcPr>
            <w:tcW w:w="3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(17,407)</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Any variance attributable jointly to volume and rate changes is allocated to the volume and rate variance in proportion to the relationship of the absolute dollar amount of the change in each.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provision for credit losses is based on management’s evaluation of probable incurred losses in the loan portfolio and unfunded loan commitments as measured by analysis of the allowance for credit losses at the end of each reporting period. The provision for credit losses was $8.50 million in 2014, compared with $65.5 million in 2013, and $62.5 million in 2012. As a percentage of average outstanding loans (excluding loans covered by loss sharing agreements with the FDIC), the provision for credit losses was .19%, 1.55% and 1.52%, respectively, in 2014, 2013 and 2012. The amount of provision recorded in each year was the amount required such that the total allowance for credit losses reflected the appropriate balance, in the estimation of management, and was sufficient to cover incurred losses in the loan portfolio. In 2014, the provision for loan losses was down substantially reflecting the significant improvement in credit measures following the second quarter 2013 sale of classified assets. The 2013 provision was higher than the 2012 provision due to the increase level of charge-offs associated with the second quarter 2013 classified asset disposition. The ratio of net loan charge-offs to average outstanding loans for 2013 was .31% compared with 2.22% for 2013 and 1.69% for 2012.</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fourth quarter of 2013, United established an allowance for unfunded loan commitments which is included in other liabilities in the consolidated balance sheet. The allowance for unfunded loan commitments represents probable incurred losses on unfunded loan commitments that are expected to result in outstanding loan balances. The allowance for unfunded loan commitments was established through the provision for credit losses. At December 31, 2014, the allowance for unfunded commitments was $1.93 million compared with $2.17 million at December 31, 2013.</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past two years, United has experienced a significant improvement in credit quality and corresponding credit measures. During the second quarter of 2013, United sold classified assets totaling approximately $172 million, including a bulk sale of $131 million. The classified asset sales and a general improving trend reduced United’s nonperforming assets to $31.0 million as of December 31, 2013. Credit quality continued to improve through 2014 with nonperforming assets decreasing further to $19.6 million at December 31, 2014. Additional discussion on credit quality and the allowance for loan losses is included in the “Asset Quality and Risk Elements” and “Critical Accounting Polices” sections of this report, as well as Note 1 to the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 revenue was $55.6 million in 2014, compared with $56.6 million in 2013 and $56.1 million in 2012. The following table presents the components of fee revenue.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4 - Fee Revenue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2012</w:t>
            </w:r>
          </w:p>
        </w:tc>
        <w:tc>
          <w:tcPr>
            <w:tcW w:w="20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2014-2013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7"/>
                <w:szCs w:val="17"/>
                <w:color w:val="auto"/>
              </w:rPr>
              <w:t>Overdraft fees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11,871</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12,425</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13,302</w:t>
            </w:r>
          </w:p>
        </w:tc>
        <w:tc>
          <w:tcPr>
            <w:tcW w:w="2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ATM and debit card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15,295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14,509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13,108</w:t>
            </w: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7"/>
                <w:szCs w:val="17"/>
                <w:color w:val="auto"/>
              </w:rPr>
              <w:t>Other service charges and fees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5,907</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5,063</w:t>
            </w: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5,260</w:t>
            </w:r>
          </w:p>
        </w:tc>
        <w:tc>
          <w:tcPr>
            <w:tcW w:w="11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7"/>
                <w:szCs w:val="17"/>
                <w:color w:val="auto"/>
              </w:rPr>
              <w:t>Service charges and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31,997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31,670</w:t>
            </w:r>
          </w:p>
        </w:tc>
        <w:tc>
          <w:tcPr>
            <w:tcW w:w="114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7"/>
                <w:szCs w:val="17"/>
                <w:color w:val="auto"/>
              </w:rPr>
              <w:t>Mortgage loan and related fees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7,520</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9,925</w:t>
            </w: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10,483</w:t>
            </w:r>
          </w:p>
        </w:tc>
        <w:tc>
          <w:tcPr>
            <w:tcW w:w="13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Brokerage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4,465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3,082</w:t>
            </w:r>
          </w:p>
        </w:tc>
        <w:tc>
          <w:tcPr>
            <w:tcW w:w="1140" w:type="dxa"/>
            <w:vAlign w:val="bottom"/>
          </w:tcPr>
          <w:p>
            <w:pPr>
              <w:jc w:val="right"/>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7"/>
                <w:szCs w:val="17"/>
                <w:color w:val="auto"/>
              </w:rPr>
              <w:t>Gains from sales of SBA loans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2,615</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Customer derivatives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1,599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524</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7"/>
                <w:szCs w:val="17"/>
                <w:color w:val="auto"/>
              </w:rPr>
              <w:t>Securities gains, net</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4,871</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186</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7,078</w:t>
            </w:r>
          </w:p>
        </w:tc>
        <w:tc>
          <w:tcPr>
            <w:tcW w:w="1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Losses on prepayment of borrowings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(4,446)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(6,681)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6,385</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8,426</w:t>
            </w: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9,956</w:t>
            </w:r>
          </w:p>
        </w:tc>
        <w:tc>
          <w:tcPr>
            <w:tcW w:w="13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7"/>
                <w:szCs w:val="17"/>
                <w:color w:val="auto"/>
              </w:rPr>
              <w:t>Total fee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55,554</w:t>
            </w:r>
          </w:p>
        </w:tc>
        <w:tc>
          <w:tcPr>
            <w:tcW w:w="140" w:type="dxa"/>
            <w:vAlign w:val="bottom"/>
          </w:tcPr>
          <w:p>
            <w:pPr>
              <w:spacing w:after="0"/>
              <w:rPr>
                <w:sz w:val="18"/>
                <w:szCs w:val="18"/>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56,598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56,112</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Service charges and fees of $33.1 million were up $1.08 million, or 3%, from 2013. The increase was primarily due to higher debit card interchange fees which have grown due to higher transaction volume. Overdraft fees continue to decline as customer utilization of our courtesy overdraft services decreases. The increase in other service charges from 2013 to 2014 was due to new service fees introduced on January 1, 2014. United also introduced new service fees on low balance demand deposit accounts in January 2012. The decrease in other service charges and fees from 2012 to 2013 reflects changes in customer behavior to avoid the new fees which included maintaining higher account balances.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Mortgage loan and related fees of $7.52 million were down $2.41 million, or 24%, from 2013. In 2014, United closed 1,639 mortgage loans totaling $276 million compared with 1,918 loans totaling $297 million in 2013. Over the past two years, mortgage refinancing activity has reacted to changes in long-term interest rates. United has continued to invest in its mortgage business by hiring new lenders in select markets. This has allowed United to increase the volume of new purchase mortgages to offset the decline in refinancing activity. In 2014, new home purchase mortgages of $174 million accounted for 63% of production volume compared with $144 million, or 48%, of production volume in 2013 and $118 million, or 33%, of production volume in 2012.</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Brokerage fees of $4.81 million increased $342,000, or 8%, from 2013. In late 2012, United added new leadership to its brokerage business and added new brokers in select markets. Brokerage fees have increased over the last two years as a result of United’s focus in growing its advisory services business.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2014, United completed its acquisition of Business Carolina, Inc., a specialty lending business headquartered in Columbia, South Carolina that specializes in SBA and USDA lending. At the same time, United brought in new leadership, including lenders and support staff, in its specialized lending area to increase its share of government guaranteed lending programs. United’s SBA and USDA lending strategy includes the selective sale of the guaranteed portion of certain loans at attractive premiums. In 2014, United recognized gains of $2.62 million from the sale of the guaranteed portion of SBA and USDA loans.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Fees from customer swap transactions earned under United’s back-to-back customer swap program of $729,000 were down $870,000 in 2014 from 2013 due to weakening demand for this product following strong growth in 2013 compared to 2012. United provides interest rate swaps to commercial customers who desire fixed rate loans. United makes a floating rate loan to those customers and enters into an interest rate swap contract with the customer to swap the floating rate to a fixed rate. United then enters into an offsetting swap with a swap dealer with terms that mirror the customer swap. The fixed and variable legs of the customer and dealer swaps offset leaving United with a variable rate loan.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recognized net securities gains of $4.87 million, $186,000 and $7.08 million during 2014, 2013 and 2012, respectively. United also recognized losses from the prepayment of structured repurchase agreements totaling $4.45 million in 2014 and losses from the prepayment of FHLB advances and structured repurchase agreements of $6.68 million in 2012. The losses were part of the same balance sheet management activities and had the effect of offsetting the securities gains in each respective period.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Other fee revenue of $6.39 million for 2014 was down $2.04 million from 2013, mostly due to non-core items that were comprised of $1.45 million in gains from bank owned life insurance and $468,000 in gains from the sale of low income housing tax credits that were included in other fee revenue in 2013. Other fee revenue for 2012 also reflected non-core items that included $1.10 million in interest on a prior year tax refund that resulted from a net operating loss carry back claim and $728,000 in gains from the sale of low income housing tax credits.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9"/>
        </w:trPr>
        <w:tc>
          <w:tcPr>
            <w:tcW w:w="6160" w:type="dxa"/>
            <w:vAlign w:val="bottom"/>
            <w:gridSpan w:val="2"/>
          </w:tcPr>
          <w:p>
            <w:pPr>
              <w:spacing w:after="0"/>
              <w:rPr>
                <w:sz w:val="20"/>
                <w:szCs w:val="20"/>
                <w:color w:val="auto"/>
              </w:rPr>
            </w:pPr>
            <w:r>
              <w:rPr>
                <w:rFonts w:ascii="Arial" w:cs="Arial" w:eastAsia="Arial" w:hAnsi="Arial"/>
                <w:sz w:val="18"/>
                <w:szCs w:val="18"/>
                <w:color w:val="auto"/>
              </w:rPr>
              <w:t>The following table presents the components of operating expenses.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45"/>
        </w:trPr>
        <w:tc>
          <w:tcPr>
            <w:tcW w:w="616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5 - Operating Expenses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6160" w:type="dxa"/>
            <w:vAlign w:val="bottom"/>
            <w:gridSpan w:val="2"/>
          </w:tcPr>
          <w:p>
            <w:pPr>
              <w:ind w:left="580"/>
              <w:spacing w:after="0"/>
              <w:rPr>
                <w:sz w:val="20"/>
                <w:szCs w:val="20"/>
                <w:color w:val="auto"/>
              </w:rPr>
            </w:pPr>
            <w:r>
              <w:rPr>
                <w:rFonts w:ascii="Arial" w:cs="Arial" w:eastAsia="Arial" w:hAnsi="Arial"/>
                <w:sz w:val="18"/>
                <w:szCs w:val="18"/>
                <w:color w:val="auto"/>
              </w:rPr>
              <w:t>For the Years Ended December 31,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6160" w:type="dxa"/>
            <w:vAlign w:val="bottom"/>
            <w:gridSpan w:val="2"/>
          </w:tcPr>
          <w:p>
            <w:pPr>
              <w:ind w:left="58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r>
      <w:tr>
        <w:trPr>
          <w:trHeight w:val="241"/>
        </w:trPr>
        <w:tc>
          <w:tcPr>
            <w:tcW w:w="5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2014-2013</w:t>
            </w:r>
          </w:p>
        </w:tc>
        <w:tc>
          <w:tcPr>
            <w:tcW w:w="2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Salaries and employee benefits</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100,941</w:t>
            </w: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96,233</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96,026</w:t>
            </w:r>
          </w:p>
        </w:tc>
        <w:tc>
          <w:tcPr>
            <w:tcW w:w="140" w:type="dxa"/>
            <w:vAlign w:val="bottom"/>
            <w:shd w:val="clear" w:color="auto" w:fill="F0FFFF"/>
          </w:tcPr>
          <w:p>
            <w:pPr>
              <w:spacing w:after="0"/>
              <w:rPr>
                <w:sz w:val="18"/>
                <w:szCs w:val="18"/>
                <w:color w:val="auto"/>
              </w:rPr>
            </w:pPr>
          </w:p>
        </w:tc>
        <w:tc>
          <w:tcPr>
            <w:tcW w:w="14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12,940</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580" w:type="dxa"/>
            <w:vAlign w:val="bottom"/>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Occupancy</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13,513</w:t>
            </w: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13,930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14,304</w:t>
            </w:r>
          </w:p>
        </w:tc>
        <w:tc>
          <w:tcPr>
            <w:tcW w:w="158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5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3,855</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580" w:type="dxa"/>
            <w:vAlign w:val="bottom"/>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Postage, printing and supplies</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3,542</w:t>
            </w: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3,899</w:t>
            </w:r>
          </w:p>
        </w:tc>
        <w:tc>
          <w:tcPr>
            <w:tcW w:w="1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F0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8,792</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r>
      <w:tr>
        <w:trPr>
          <w:trHeight w:val="216"/>
        </w:trPr>
        <w:tc>
          <w:tcPr>
            <w:tcW w:w="580" w:type="dxa"/>
            <w:vAlign w:val="bottom"/>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Foreclosed property - foreclosure and carrying costs</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3,163</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5,118</w:t>
            </w:r>
          </w:p>
        </w:tc>
        <w:tc>
          <w:tcPr>
            <w:tcW w:w="158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(58)</w:t>
            </w:r>
          </w:p>
        </w:tc>
      </w:tr>
      <w:tr>
        <w:trPr>
          <w:trHeight w:val="216"/>
        </w:trPr>
        <w:tc>
          <w:tcPr>
            <w:tcW w:w="5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Foreclosed property - writedowns and losses from sales</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8,875</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(115)</w:t>
            </w:r>
          </w:p>
        </w:tc>
      </w:tr>
      <w:tr>
        <w:trPr>
          <w:trHeight w:val="216"/>
        </w:trPr>
        <w:tc>
          <w:tcPr>
            <w:tcW w:w="580" w:type="dxa"/>
            <w:vAlign w:val="bottom"/>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FDIC assessments and other regulatory charges</w:t>
            </w: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9,219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10,097</w:t>
            </w:r>
          </w:p>
        </w:tc>
        <w:tc>
          <w:tcPr>
            <w:tcW w:w="158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(48)</w:t>
            </w:r>
          </w:p>
        </w:tc>
      </w:tr>
      <w:tr>
        <w:trPr>
          <w:trHeight w:val="216"/>
        </w:trPr>
        <w:tc>
          <w:tcPr>
            <w:tcW w:w="5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2,917</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(34)</w:t>
            </w:r>
          </w:p>
        </w:tc>
      </w:tr>
      <w:tr>
        <w:trPr>
          <w:trHeight w:val="223"/>
        </w:trPr>
        <w:tc>
          <w:tcPr>
            <w:tcW w:w="580" w:type="dxa"/>
            <w:vAlign w:val="bottom"/>
          </w:tcPr>
          <w:p>
            <w:pPr>
              <w:spacing w:after="0"/>
              <w:rPr>
                <w:sz w:val="19"/>
                <w:szCs w:val="19"/>
                <w:color w:val="auto"/>
              </w:rPr>
            </w:pPr>
          </w:p>
        </w:tc>
        <w:tc>
          <w:tcPr>
            <w:tcW w:w="55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F0FFFF"/>
          </w:tcPr>
          <w:p>
            <w:pPr>
              <w:spacing w:after="0"/>
              <w:rPr>
                <w:sz w:val="19"/>
                <w:szCs w:val="19"/>
                <w:color w:val="auto"/>
              </w:rPr>
            </w:pP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14,204</w:t>
            </w:r>
          </w:p>
        </w:tc>
        <w:tc>
          <w:tcPr>
            <w:tcW w:w="100" w:type="dxa"/>
            <w:vAlign w:val="bottom"/>
            <w:tcBorders>
              <w:bottom w:val="single" w:sz="8" w:color="F0FFFF"/>
            </w:tcBorders>
            <w:shd w:val="clear" w:color="auto" w:fill="F0FFFF"/>
          </w:tcPr>
          <w:p>
            <w:pPr>
              <w:spacing w:after="0"/>
              <w:rPr>
                <w:sz w:val="19"/>
                <w:szCs w:val="19"/>
                <w:color w:val="auto"/>
              </w:rPr>
            </w:pPr>
          </w:p>
        </w:tc>
        <w:tc>
          <w:tcPr>
            <w:tcW w:w="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15,171</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19,951</w:t>
            </w:r>
          </w:p>
        </w:tc>
        <w:tc>
          <w:tcPr>
            <w:tcW w:w="1580" w:type="dxa"/>
            <w:vAlign w:val="bottom"/>
            <w:tcBorders>
              <w:bottom w:val="single" w:sz="8" w:color="F0FFFF"/>
            </w:tcBorders>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(6)</w:t>
            </w:r>
          </w:p>
        </w:tc>
      </w:tr>
      <w:tr>
        <w:trPr>
          <w:trHeight w:val="216"/>
        </w:trPr>
        <w:tc>
          <w:tcPr>
            <w:tcW w:w="5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162,865</w:t>
            </w:r>
          </w:p>
        </w:tc>
        <w:tc>
          <w:tcPr>
            <w:tcW w:w="100" w:type="dxa"/>
            <w:vAlign w:val="bottom"/>
          </w:tcPr>
          <w:p>
            <w:pPr>
              <w:spacing w:after="0"/>
              <w:rPr>
                <w:sz w:val="18"/>
                <w:szCs w:val="18"/>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174,304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186,774</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r>
      <w:tr>
        <w:trPr>
          <w:trHeight w:val="21"/>
        </w:trPr>
        <w:tc>
          <w:tcPr>
            <w:tcW w:w="5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were $163 million in 2014 as compared to $174 million in 2013 and $187 million in 2012. The decrease mostly reflects lower foreclosed property losses and write downs associated with the declining volume of foreclosed properties following the classified asset sales in the second quarter of 2013 as well as lower FDIC insurance assessments resulting from improvement in United’s credit measures.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Salaries and employee benefits expense for 2014 was $101 million, an increase of $4.71 million, or 5%, from 2013. The increase reflects United’s strategic investment in new businesses, particularly its specialized lending area, and expansion into new markets as well as higher production and performance incentives. Headcount totaled 1,532 at December 31, 2014 compared to 1,506 at December 31, 2013, an increase of 26 positions.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and equipment expense of $12.5 million for 2014 was down $710,000, or 5%, from 2013. The decrease reflects lower software maintenance costs and lower equipment rental charges. The decrease in equipment rental charges reflects United’s shift from leasing copier and printing equipment to purchasing those items.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Occupancy expense of $13.5 million for 2014 was down $417,000, or 3%, compared to 2013. The decrease was primarily related to a $400,000 charge in 2013 to write off leasehold improvements on a branch lease that was consolidated into another branch.</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and public relations expense for 2014 was $3.46 million, a decrease of $257,000, or 7%, from 2013. The decrease was due to continued efforts to reduce discretionary spending.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Postage, printing and supplies expense for 2014 was $3.54 million, an increase of $259,000, or 8%, from 2013. The increase was primarily due to higher printing and forms charges related to increased business activity.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Professional fees were $7.91 million for 2014, down $1.71 million, or 18%, from 2013. The decrease is mostly due to lower legal fees as legal costs associated with the classified asset sales in the second quarter of 2013 caused professional fees to be higher in 2013.</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Foreclosed property expenses include foreclosure and carrying costs and realized losses and write-downs of foreclosed properties. Foreclosure and carrying costs for 2014 were $1.34 million, a decrease of $1.83 million from 2013, primarily due to a lower number of foreclosed properties. The foreclosure and carrying costs category includes legal fees, property taxes, marketing costs, utility services, and maintenance and repair charges. Realized losses and write-downs on foreclosed property totaled a net gain of $704,000 for the year ended December 31, 2014, compared to a net loss of $4.71 million for 2013. Foreclosed property costs declined in 2014 as the balance of foreclosed properties has stabilized following the accelerated sales of classified assets in the second quarter of 2013. Foreclosed property costs in 2013 were down from 2012 due to the declining volume of foreclosed properties and improving credit conditions.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2" w:name="page43"/>
    <w:bookmarkEnd w:id="42"/>
    <w:p>
      <w:pPr>
        <w:jc w:val="both"/>
        <w:spacing w:after="0" w:line="308" w:lineRule="auto"/>
        <w:rPr>
          <w:sz w:val="20"/>
          <w:szCs w:val="20"/>
          <w:color w:val="auto"/>
        </w:rPr>
      </w:pPr>
      <w:r>
        <w:rPr>
          <w:rFonts w:ascii="Arial" w:cs="Arial" w:eastAsia="Arial" w:hAnsi="Arial"/>
          <w:sz w:val="17"/>
          <w:szCs w:val="17"/>
          <w:color w:val="auto"/>
        </w:rPr>
        <w:t>FDIC assessments and other regulatory charges expense for 2014 was $4.79 million, a decrease of $4.43 million, or 48%, from 2013 due to improving credit measures. Amortization of intangibles continues to decrease as core deposit intangibles related to past acquisitions become fully amortized.</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expenses totaled $14.2 million for 2014, a decrease of $967,000, or 6%, from 2013, reflecting the release of $1.20 million of the litigation reserve established in 2012. The decrease from 2012 to 2013 is primarily due to a $4.00 million charge in 2012 to establish the litigation reserve for potential losses related to threatened litigation.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was $39.5 million in 2014, compared to income tax benefit of $238 million in 2013 and income tax expense of $1.05 million in 2012, respectively. Income tax expense for 2014 represents an effective tax rate of 36.8%. The 2013 tax benefit was primarily due to the second quarter reversal of $272 million of the deferred tax valuation allowance. The 2012 income tax provision mostly reflects alternative minimum taxes payable by United as United had a full valuation allowance on its deferred tax asset at the time and therefore did not report a full tax provision. The effective tax rates (as a percentage of pre-tax earnings) were not meaningful for 2013 and 2012 due to the valuation allowance on United’s deferred tax asset and the subsequent reversal of the valuation allowance in the second quarter of 2013. The tax rate for 2015 is expected to be approximately 37.8% reflecting the mix of taxable and tax-exempt income.</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and their respective tax basis including operating losses and tax credit carryforwards. Net deferred tax assets (deferred tax assets net of deferred tax liabilities and valuation allowance) are reported in the consolidated balance sheet as a component of total assets.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 Each quarter, management considers both positive and negative evidence and analyzes changes in near-term market conditions as well as other factors which may impact future operating results.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all evidence considered, as of December 31, 2014 and 2013, management concluded that it was more likely than not that the net deferred tax asset would be realized. With continuous improvements in credit quality, quarterly earnings for the past thirteen quarters have closely followed management’s forecast for these periods, excluding the impact of the discretionary sales of classified assets in the second quarter of 2013. The improvement in management’s ability to produce reliable forecasts, continuous and significant improvements in credit quality, and a sustained period of profitability were given appropriate weighting in our analysis, and such evidence was considered sufficient to overcome the weight of the negative evidence related to the significant operating losses in prior years.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such positive evidence at December 31, 2014, United has also reduced the amount of credit risk inherent in its loan portfolio by reducing its concentration of construction loans and improving its overall loan portfolio diversification. These changes place United in a strong position to manage through the ongoing weakness in the economy. United also has a long record of positive earnings and accurate earnings forecasts prior to the economic downturn and is currently in a strong capital position.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expects to generate higher levels of future taxable income and believes this will allow for full utilization of United’s net operating loss carryforwards within four to six years, which is well within the statutory carryforward periods. In determining whether management’s projections of future taxable income are reliable, management considered objective evidence supporting the forecast assumptions as well as recent experience demonstrating management’s ability to reasonably project future results of operations. Further, while the banking environment is expected to remain challenging due to economic and other uncertainties, management believes that it can confidently forecast future taxable income at sufficient levels over the future period of time that United has available to realize its December 31, 2014 deferred tax asset.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Fourth Quarter 2014 Discussion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Taxable equivalent net interest revenue for the fourth quarter of 2014 increased $2.45 million, or 4%, to $58.3 million from the same period a year ago, primarily due to growth in the loan portfolio and a higher average yield in the investment securities portfolio, partially offset by a one basis point increase in the rate on interest-bearing liabilities. The net interest margin increased 5 basis points from the fourth quarter of 2013 to 3.31% for the fourth quarter of 2014. The increase in the net interest margin reflects the positive impact of balance sheet restructuring activities in the second quarter of 2014.</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fourth quarter of 2014 provision for credit losses was $1.80 million, compared to $3.00 million for the fourth quarter of 2013. Nonperforming assets totaled $19.6 million, down $11.4 million from a year ago. Nonperforming assets as a percentage of total assets were .26% at December 31, 2014, compared with .42% at December 31, 2013. Changes from a year ago reflect ongoing improvement in credit measures.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fee revenue for the fourth quarters of 2014 and 2013.</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6 - Quarterly Fee Revenue</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6"/>
              </w:rPr>
              <w:t>Three Months Ended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F0FFFF"/>
          </w:tcPr>
          <w:p>
            <w:pPr>
              <w:spacing w:after="0"/>
              <w:rPr>
                <w:sz w:val="20"/>
                <w:szCs w:val="20"/>
                <w:color w:val="auto"/>
              </w:rPr>
            </w:pPr>
            <w:r>
              <w:rPr>
                <w:rFonts w:ascii="Arial" w:cs="Arial" w:eastAsia="Arial" w:hAnsi="Arial"/>
                <w:sz w:val="18"/>
                <w:szCs w:val="18"/>
                <w:color w:val="auto"/>
              </w:rPr>
              <w:t>Overdraft fees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2,936</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3,199</w:t>
            </w: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 %</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 service charges and fees</w:t>
            </w:r>
          </w:p>
        </w:tc>
        <w:tc>
          <w:tcPr>
            <w:tcW w:w="20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1,533</w:t>
            </w:r>
          </w:p>
        </w:tc>
        <w:tc>
          <w:tcPr>
            <w:tcW w:w="1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1,276</w:t>
            </w:r>
          </w:p>
        </w:tc>
        <w:tc>
          <w:tcPr>
            <w:tcW w:w="120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F0FFFF"/>
            </w:tcBorders>
            <w:shd w:val="clear" w:color="auto" w:fill="F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Service charges and fees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F0FFFF"/>
          </w:tcPr>
          <w:p>
            <w:pPr>
              <w:spacing w:after="0"/>
              <w:rPr>
                <w:sz w:val="20"/>
                <w:szCs w:val="20"/>
                <w:color w:val="auto"/>
              </w:rPr>
            </w:pPr>
            <w:r>
              <w:rPr>
                <w:rFonts w:ascii="Arial" w:cs="Arial" w:eastAsia="Arial" w:hAnsi="Arial"/>
                <w:sz w:val="18"/>
                <w:szCs w:val="18"/>
                <w:color w:val="auto"/>
              </w:rPr>
              <w:t>Mortgage loan and related fees</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2,111</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1,713</w:t>
            </w:r>
          </w:p>
        </w:tc>
        <w:tc>
          <w:tcPr>
            <w:tcW w:w="1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Brokerage fees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560" w:type="dxa"/>
            <w:vAlign w:val="bottom"/>
            <w:shd w:val="clear" w:color="auto" w:fill="F0FFFF"/>
          </w:tcPr>
          <w:p>
            <w:pPr>
              <w:spacing w:after="0"/>
              <w:rPr>
                <w:sz w:val="20"/>
                <w:szCs w:val="20"/>
                <w:color w:val="auto"/>
              </w:rPr>
            </w:pPr>
            <w:r>
              <w:rPr>
                <w:rFonts w:ascii="Arial" w:cs="Arial" w:eastAsia="Arial" w:hAnsi="Arial"/>
                <w:sz w:val="18"/>
                <w:szCs w:val="18"/>
                <w:color w:val="auto"/>
              </w:rPr>
              <w:t>Gains on sales of SBA loans</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Customer derivatives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6560" w:type="dxa"/>
            <w:vAlign w:val="bottom"/>
            <w:shd w:val="clear" w:color="auto" w:fill="F0FFFF"/>
          </w:tcPr>
          <w:p>
            <w:pPr>
              <w:spacing w:after="0"/>
              <w:rPr>
                <w:sz w:val="20"/>
                <w:szCs w:val="20"/>
                <w:color w:val="auto"/>
              </w:rPr>
            </w:pPr>
            <w:r>
              <w:rPr>
                <w:rFonts w:ascii="Arial" w:cs="Arial" w:eastAsia="Arial" w:hAnsi="Arial"/>
                <w:sz w:val="18"/>
                <w:szCs w:val="18"/>
                <w:color w:val="auto"/>
              </w:rPr>
              <w:t>Securities gains, net</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w:t>
            </w:r>
          </w:p>
        </w:tc>
        <w:tc>
          <w:tcPr>
            <w:tcW w:w="1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560" w:type="dxa"/>
            <w:vAlign w:val="bottom"/>
            <w:tcBorders>
              <w:bottom w:val="single" w:sz="8" w:color="F0FFFF"/>
            </w:tcBorders>
            <w:shd w:val="clear" w:color="auto" w:fill="F0FFFF"/>
          </w:tcPr>
          <w:p>
            <w:pPr>
              <w:ind w:left="200"/>
              <w:spacing w:after="0"/>
              <w:rPr>
                <w:sz w:val="20"/>
                <w:szCs w:val="20"/>
                <w:color w:val="auto"/>
              </w:rPr>
            </w:pPr>
            <w:r>
              <w:rPr>
                <w:rFonts w:ascii="Arial" w:cs="Arial" w:eastAsia="Arial" w:hAnsi="Arial"/>
                <w:sz w:val="18"/>
                <w:szCs w:val="18"/>
                <w:color w:val="auto"/>
              </w:rPr>
              <w:t>Total fee revenue</w:t>
            </w: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14,823</w:t>
            </w:r>
          </w:p>
        </w:tc>
        <w:tc>
          <w:tcPr>
            <w:tcW w:w="18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13,519</w:t>
            </w:r>
          </w:p>
        </w:tc>
        <w:tc>
          <w:tcPr>
            <w:tcW w:w="120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F0FFFF"/>
            </w:tcBorders>
            <w:shd w:val="clear" w:color="auto" w:fill="F0FFFF"/>
          </w:tcPr>
          <w:p>
            <w:pPr>
              <w:spacing w:after="0"/>
              <w:rPr>
                <w:sz w:val="22"/>
                <w:szCs w:val="22"/>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Fee revenue for the fourth quarter of 2014 of $14.8 million increased $1.30 million, or 10%, from $13.5 million for the fourth quarter of 2013. Service charges and fees on deposit accounts of $8.45 million increased $280,000, or 3%, from $8.17 million for the fourth quarter of 2013. The increase was due to higher debit card interchange fees resulting from higher transaction volume and higher other service charges and fees resulting from new service fees initiated in January of 2014, partially offset by continued lower utilization of our courtesy overdraft services. Mortgage fees of $2.11 million increased $398,000, or 23%, from $1.71 million in the fourth quarter of 2013 due to an increase in new home purchase mortgages. United closed $77.4 million in mortgage loans in the fourth quarter of 2014, of which 63% were for new home purchases, compared to $55.5 million in the fourth quarter of 2013, of which 48% were for new home purchases. Brokerage fees of $1.18 million decreased $185,000, or 14%, from the fourth quarter of 2013. United began selling some of its SBA loan production for attractive premiums beginning in the second quarter of 2014. Gains recognized on those sales in the fourth quarter of 2014 totaled $926,000. United did not have any gains from sales of SBA loans in the fourth quarter of 2013. Customer derivative fees were down in the fourth quarter of 2014, compared with a year ago due to a decrease in customer demand for the product. Other fee revenue of $1.88 million increased $86,000, or 5%, from the fourth quarter of 2013.</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The following table presents operating expenses for the fourth quarters of 2014 and 2013.</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45"/>
        </w:trPr>
        <w:tc>
          <w:tcPr>
            <w:tcW w:w="718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7 - Quarterly Operating Expenses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7180" w:type="dxa"/>
            <w:vAlign w:val="bottom"/>
            <w:gridSpan w:val="2"/>
          </w:tcPr>
          <w:p>
            <w:pPr>
              <w:ind w:left="58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8"/>
              </w:rPr>
              <w:t>Three Months Ended</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41"/>
        </w:trPr>
        <w:tc>
          <w:tcPr>
            <w:tcW w:w="5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6600" w:type="dxa"/>
            <w:vAlign w:val="bottom"/>
            <w:shd w:val="clear" w:color="auto" w:fill="F0FFFF"/>
          </w:tcPr>
          <w:p>
            <w:pPr>
              <w:spacing w:after="0"/>
              <w:rPr>
                <w:sz w:val="20"/>
                <w:szCs w:val="20"/>
                <w:color w:val="auto"/>
              </w:rPr>
            </w:pPr>
            <w:r>
              <w:rPr>
                <w:rFonts w:ascii="Arial" w:cs="Arial" w:eastAsia="Arial" w:hAnsi="Arial"/>
                <w:sz w:val="18"/>
                <w:szCs w:val="18"/>
                <w:color w:val="auto"/>
              </w:rPr>
              <w:t>Salaries and employee benefits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26,592</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24,817</w:t>
            </w: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5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3,414</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18"/>
                <w:szCs w:val="18"/>
                <w:color w:val="auto"/>
              </w:rPr>
            </w:pPr>
          </w:p>
        </w:tc>
        <w:tc>
          <w:tcPr>
            <w:tcW w:w="6600" w:type="dxa"/>
            <w:vAlign w:val="bottom"/>
            <w:shd w:val="clear" w:color="auto" w:fill="F0FFFF"/>
          </w:tcPr>
          <w:p>
            <w:pPr>
              <w:spacing w:after="0"/>
              <w:rPr>
                <w:sz w:val="20"/>
                <w:szCs w:val="20"/>
                <w:color w:val="auto"/>
              </w:rPr>
            </w:pPr>
            <w:r>
              <w:rPr>
                <w:rFonts w:ascii="Arial" w:cs="Arial" w:eastAsia="Arial" w:hAnsi="Arial"/>
                <w:sz w:val="18"/>
                <w:szCs w:val="18"/>
                <w:color w:val="auto"/>
              </w:rPr>
              <w:t>Occupancy</w:t>
            </w: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3,448</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3,735</w:t>
            </w: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6600" w:type="dxa"/>
            <w:vAlign w:val="bottom"/>
            <w:shd w:val="clear" w:color="auto" w:fill="F0FFFF"/>
          </w:tcPr>
          <w:p>
            <w:pPr>
              <w:spacing w:after="0"/>
              <w:rPr>
                <w:sz w:val="20"/>
                <w:szCs w:val="20"/>
                <w:color w:val="auto"/>
              </w:rPr>
            </w:pPr>
            <w:r>
              <w:rPr>
                <w:rFonts w:ascii="Arial" w:cs="Arial" w:eastAsia="Arial" w:hAnsi="Arial"/>
                <w:sz w:val="18"/>
                <w:szCs w:val="18"/>
                <w:color w:val="auto"/>
              </w:rPr>
              <w:t>Postage, printing and supplies</w:t>
            </w:r>
          </w:p>
        </w:tc>
        <w:tc>
          <w:tcPr>
            <w:tcW w:w="200" w:type="dxa"/>
            <w:vAlign w:val="bottom"/>
            <w:shd w:val="clear" w:color="auto" w:fill="F0FFFF"/>
          </w:tcPr>
          <w:p>
            <w:pPr>
              <w:spacing w:after="0"/>
              <w:rPr>
                <w:sz w:val="21"/>
                <w:szCs w:val="21"/>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1,086</w:t>
            </w:r>
          </w:p>
        </w:tc>
        <w:tc>
          <w:tcPr>
            <w:tcW w:w="14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882</w:t>
            </w:r>
          </w:p>
        </w:tc>
        <w:tc>
          <w:tcPr>
            <w:tcW w:w="160" w:type="dxa"/>
            <w:vAlign w:val="bottom"/>
            <w:shd w:val="clear" w:color="auto" w:fill="F0FFFF"/>
          </w:tcPr>
          <w:p>
            <w:pPr>
              <w:spacing w:after="0"/>
              <w:rPr>
                <w:sz w:val="21"/>
                <w:szCs w:val="21"/>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F0FFFF"/>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580" w:type="dxa"/>
            <w:vAlign w:val="bottom"/>
          </w:tcPr>
          <w:p>
            <w:pPr>
              <w:spacing w:after="0"/>
              <w:rPr>
                <w:sz w:val="18"/>
                <w:szCs w:val="18"/>
                <w:color w:val="auto"/>
              </w:rPr>
            </w:pPr>
          </w:p>
        </w:tc>
        <w:tc>
          <w:tcPr>
            <w:tcW w:w="6600" w:type="dxa"/>
            <w:vAlign w:val="bottom"/>
            <w:shd w:val="clear" w:color="auto" w:fill="F0FFFF"/>
          </w:tcPr>
          <w:p>
            <w:pPr>
              <w:spacing w:after="0"/>
              <w:rPr>
                <w:sz w:val="20"/>
                <w:szCs w:val="20"/>
                <w:color w:val="auto"/>
              </w:rPr>
            </w:pPr>
            <w:r>
              <w:rPr>
                <w:rFonts w:ascii="Arial" w:cs="Arial" w:eastAsia="Arial" w:hAnsi="Arial"/>
                <w:sz w:val="18"/>
                <w:szCs w:val="18"/>
                <w:color w:val="auto"/>
              </w:rPr>
              <w:t>Foreclosed property - foreclosure and carrying costs</w:t>
            </w: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(49)</w:t>
            </w:r>
          </w:p>
        </w:tc>
      </w:tr>
      <w:tr>
        <w:trPr>
          <w:trHeight w:val="216"/>
        </w:trPr>
        <w:tc>
          <w:tcPr>
            <w:tcW w:w="5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Foreclosed property - writedowns, (gains) losses from sales, net</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r>
      <w:tr>
        <w:trPr>
          <w:trHeight w:val="216"/>
        </w:trPr>
        <w:tc>
          <w:tcPr>
            <w:tcW w:w="580" w:type="dxa"/>
            <w:vAlign w:val="bottom"/>
          </w:tcPr>
          <w:p>
            <w:pPr>
              <w:spacing w:after="0"/>
              <w:rPr>
                <w:sz w:val="18"/>
                <w:szCs w:val="18"/>
                <w:color w:val="auto"/>
              </w:rPr>
            </w:pPr>
          </w:p>
        </w:tc>
        <w:tc>
          <w:tcPr>
            <w:tcW w:w="6600" w:type="dxa"/>
            <w:vAlign w:val="bottom"/>
            <w:shd w:val="clear" w:color="auto" w:fill="F0FFFF"/>
          </w:tcPr>
          <w:p>
            <w:pPr>
              <w:spacing w:after="0"/>
              <w:rPr>
                <w:sz w:val="20"/>
                <w:szCs w:val="20"/>
                <w:color w:val="auto"/>
              </w:rPr>
            </w:pPr>
            <w:r>
              <w:rPr>
                <w:rFonts w:ascii="Arial" w:cs="Arial" w:eastAsia="Arial" w:hAnsi="Arial"/>
                <w:sz w:val="18"/>
                <w:szCs w:val="18"/>
                <w:color w:val="auto"/>
              </w:rPr>
              <w:t>FDIC assessments and other regulatory charges</w:t>
            </w: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883</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(51)</w:t>
            </w:r>
          </w:p>
        </w:tc>
      </w:tr>
      <w:tr>
        <w:trPr>
          <w:trHeight w:val="216"/>
        </w:trPr>
        <w:tc>
          <w:tcPr>
            <w:tcW w:w="5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23"/>
        </w:trPr>
        <w:tc>
          <w:tcPr>
            <w:tcW w:w="580" w:type="dxa"/>
            <w:vAlign w:val="bottom"/>
          </w:tcPr>
          <w:p>
            <w:pPr>
              <w:spacing w:after="0"/>
              <w:rPr>
                <w:sz w:val="19"/>
                <w:szCs w:val="19"/>
                <w:color w:val="auto"/>
              </w:rPr>
            </w:pPr>
          </w:p>
        </w:tc>
        <w:tc>
          <w:tcPr>
            <w:tcW w:w="6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3,503</w:t>
            </w:r>
          </w:p>
        </w:tc>
        <w:tc>
          <w:tcPr>
            <w:tcW w:w="14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3,480</w:t>
            </w:r>
          </w:p>
        </w:tc>
        <w:tc>
          <w:tcPr>
            <w:tcW w:w="160" w:type="dxa"/>
            <w:vAlign w:val="bottom"/>
            <w:tcBorders>
              <w:bottom w:val="single" w:sz="8" w:color="F0FFFF"/>
            </w:tcBorders>
            <w:shd w:val="clear" w:color="auto" w:fill="F0FFFF"/>
          </w:tcPr>
          <w:p>
            <w:pPr>
              <w:spacing w:after="0"/>
              <w:rPr>
                <w:sz w:val="19"/>
                <w:szCs w:val="19"/>
                <w:color w:val="auto"/>
              </w:rPr>
            </w:pPr>
          </w:p>
        </w:tc>
        <w:tc>
          <w:tcPr>
            <w:tcW w:w="9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F0FFFF"/>
            </w:tcBorders>
            <w:shd w:val="clear" w:color="auto" w:fill="F0FFFF"/>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66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41,919</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41,614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r>
      <w:tr>
        <w:trPr>
          <w:trHeight w:val="21"/>
        </w:trPr>
        <w:tc>
          <w:tcPr>
            <w:tcW w:w="5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Operating expenses of $41.9 million increased $305,000 from $41.6 million for the fourth quarter of 2013, a 1% increase. Salaries and employee benefit costs of $26.6 million were up $1.78 million from the fourth quarter of 2013, due primarily to investment in revenue producers to support new businesses and expansion into new markets as well as incentives paid for achieving strategic goals and financial targets. Salaries and employee benefits in the fourth quarter of 2014 also included $350,000 in severance charges. Communications and equipment expenses of $3.15 million were down $261,000, or 8%, from $3.41 million for the fourth quarter of 2013 due to lower equipment rental expense. Occupancy expense of $3.45 million was down $287,000 for the fourth quarter of 2014 compared to 2013, primarily due to a $400,000 write-off in 2013 of leasehold improvements on a branch lease for a branch that was consolidated into another branch. Foreclosed property - foreclosure and carrying costs of $317,000 decreased $309,000 from $626,000 for the fourth quarter of 2013, due to a lower number of foreclosed properties held. Write-downs and net gains from sales of foreclosed property totaled a net gain of $186,000 for the fourth quarter of 2014 compared with a net gain of $435,000 for the fourth quarter of 2013. FDIC assessments and other regulatory charges decreased from $1.80 million during the fourth quarter of 2013 to $883,000 for the same period in 2014 due to improvement in credit measures. Other expenses of $3.50 million were up less than 1% from the fourth quarter of 2013. In the fourth quarter of 2014, United reversed $1.20 million of a previously established litigation reserve. The reversal of the litigation reserve was partially offset by a $492,000 charge to reimburse the FDIC for interest incorrectly claimed on an earlier loss sharing certificate, $127,000 in make whole claims on mortgage loans, and higher lending support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assets at December 31, 2014 were $7.57 billion, an increase of $142 million, or 2%, from December 31, 2013. On a daily average basis, total assets increased $362 million, or 5%, from 2013 to 2014. Average interest earning assets for 2014 and 2013 were $6.88 billion and $6.65 billion,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Substantially all of United’s loans are to customers located in the immediate market areas of its community banks in Georgia, North Carolina, South Carolina and Tennessee, including customers who have a seasonal residence in United’s market areas. More than 75% of the loans are secured by real estate. Despite the weak economy and lagging loan demand, United has continued to pursue lending opportunities. The rate of decrease in the loan portfolio dropped significantly following the disposition of problem loans in the first quarter of 2011 and has continued to stabilize, resulting in modest growth in 2012 and 2013. In 2014, loan growth began to return to pre-crisis levels reflecting United’s specialized lending initiatives which resulted in increases in commercial lending. Consumer installment loans also increased due to purchases of indirect auto loans. Total loans averaged $4.45 billion in 2014, compared with $4.25 billion in 2013, an increase of 5%. At December 31, 2014, total loans were $4.67 billion, excluding loans acquired from SCB that are covered by loss sharing agreements with the FDIC, an increase of $343 million, or 8%, from December 31, 2013.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presents the composition of United’s loan portfolio for the last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Loans by Category</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1,163,480</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1,133,543</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1,131,544</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1,111,502</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980,673</w:t>
            </w: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598,537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623,167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681,821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709,912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780,751</w:t>
            </w:r>
          </w:p>
        </w:tc>
      </w:tr>
      <w:tr>
        <w:trPr>
          <w:trHeight w:val="216"/>
        </w:trPr>
        <w:tc>
          <w:tcPr>
            <w:tcW w:w="20" w:type="dxa"/>
            <w:vAlign w:val="bottom"/>
          </w:tcPr>
          <w:p>
            <w:pPr>
              <w:spacing w:after="0"/>
              <w:rPr>
                <w:sz w:val="18"/>
                <w:szCs w:val="18"/>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710,256</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471,961</w:t>
            </w: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458,246</w:t>
            </w: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428,249</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441,518</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196,030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148,903</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154,769</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164,155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296,582</w:t>
            </w:r>
          </w:p>
        </w:tc>
      </w:tr>
      <w:tr>
        <w:trPr>
          <w:trHeight w:val="216"/>
        </w:trPr>
        <w:tc>
          <w:tcPr>
            <w:tcW w:w="20" w:type="dxa"/>
            <w:vAlign w:val="bottom"/>
          </w:tcPr>
          <w:p>
            <w:pPr>
              <w:spacing w:after="0"/>
              <w:rPr>
                <w:sz w:val="18"/>
                <w:szCs w:val="18"/>
                <w:color w:val="auto"/>
              </w:rPr>
            </w:pPr>
          </w:p>
        </w:tc>
        <w:tc>
          <w:tcPr>
            <w:tcW w:w="46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Total commercial</w:t>
            </w:r>
          </w:p>
        </w:tc>
        <w:tc>
          <w:tcPr>
            <w:tcW w:w="2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2,668,303</w:t>
            </w:r>
          </w:p>
        </w:tc>
        <w:tc>
          <w:tcPr>
            <w:tcW w:w="26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2,377,574</w:t>
            </w: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2,426,380</w:t>
            </w:r>
          </w:p>
        </w:tc>
        <w:tc>
          <w:tcPr>
            <w:tcW w:w="2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2,413,818</w:t>
            </w: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2,499,524</w:t>
            </w: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Residential mortgage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865,789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875,077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829,566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834,759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943,404</w:t>
            </w:r>
          </w:p>
        </w:tc>
      </w:tr>
      <w:tr>
        <w:trPr>
          <w:trHeight w:val="230"/>
        </w:trPr>
        <w:tc>
          <w:tcPr>
            <w:tcW w:w="20" w:type="dxa"/>
            <w:vAlign w:val="bottom"/>
          </w:tcPr>
          <w:p>
            <w:pPr>
              <w:spacing w:after="0"/>
              <w:rPr>
                <w:sz w:val="19"/>
                <w:szCs w:val="19"/>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6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465,872</w:t>
            </w:r>
          </w:p>
        </w:tc>
        <w:tc>
          <w:tcPr>
            <w:tcW w:w="26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440,887</w:t>
            </w:r>
          </w:p>
        </w:tc>
        <w:tc>
          <w:tcPr>
            <w:tcW w:w="24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384,637</w:t>
            </w:r>
          </w:p>
        </w:tc>
        <w:tc>
          <w:tcPr>
            <w:tcW w:w="24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300,143</w:t>
            </w:r>
          </w:p>
        </w:tc>
        <w:tc>
          <w:tcPr>
            <w:tcW w:w="24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335,376</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298,627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328,579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381,677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448,391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695,166</w:t>
            </w:r>
          </w:p>
        </w:tc>
      </w:tr>
      <w:tr>
        <w:trPr>
          <w:trHeight w:val="216"/>
        </w:trPr>
        <w:tc>
          <w:tcPr>
            <w:tcW w:w="20" w:type="dxa"/>
            <w:vAlign w:val="bottom"/>
          </w:tcPr>
          <w:p>
            <w:pPr>
              <w:spacing w:after="0"/>
              <w:rPr>
                <w:sz w:val="18"/>
                <w:szCs w:val="18"/>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104,899</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111,045</w:t>
            </w: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114,309</w:t>
            </w: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112,503</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130,656</w:t>
            </w: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Indirect auto</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268,629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196,104</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38,439</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F0FFFF"/>
            </w:tcBorders>
            <w:shd w:val="clear" w:color="auto" w:fill="F0FFFF"/>
          </w:tcPr>
          <w:p>
            <w:pPr>
              <w:ind w:left="80"/>
              <w:spacing w:after="0"/>
              <w:rPr>
                <w:sz w:val="20"/>
                <w:szCs w:val="20"/>
                <w:color w:val="auto"/>
              </w:rPr>
            </w:pPr>
            <w:r>
              <w:rPr>
                <w:rFonts w:ascii="Arial" w:cs="Arial" w:eastAsia="Arial" w:hAnsi="Arial"/>
                <w:sz w:val="18"/>
                <w:szCs w:val="18"/>
                <w:color w:val="auto"/>
              </w:rPr>
              <w:t>Total loans</w:t>
            </w: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4,672,119</w:t>
            </w:r>
          </w:p>
        </w:tc>
        <w:tc>
          <w:tcPr>
            <w:tcW w:w="2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4,329,266</w:t>
            </w:r>
          </w:p>
        </w:tc>
        <w:tc>
          <w:tcPr>
            <w:tcW w:w="2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4,175,008</w:t>
            </w:r>
          </w:p>
        </w:tc>
        <w:tc>
          <w:tcPr>
            <w:tcW w:w="2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4,109,614</w:t>
            </w:r>
          </w:p>
        </w:tc>
        <w:tc>
          <w:tcPr>
            <w:tcW w:w="2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4,604,126</w:t>
            </w:r>
          </w:p>
        </w:tc>
        <w:tc>
          <w:tcPr>
            <w:tcW w:w="100" w:type="dxa"/>
            <w:vAlign w:val="bottom"/>
            <w:tcBorders>
              <w:bottom w:val="single" w:sz="8" w:color="F0FFFF"/>
            </w:tcBorders>
            <w:shd w:val="clear" w:color="auto" w:fill="F0FFFF"/>
          </w:tcPr>
          <w:p>
            <w:pPr>
              <w:spacing w:after="0"/>
              <w:rPr>
                <w:sz w:val="22"/>
                <w:szCs w:val="22"/>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6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Loans by Market</w:t>
            </w:r>
          </w:p>
        </w:tc>
        <w:tc>
          <w:tcPr>
            <w:tcW w:w="28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F0FFFF"/>
            </w:tcBorders>
            <w:shd w:val="clear" w:color="auto" w:fill="F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North Georgia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1,163,479</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1,240,234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1,363,723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1,425,811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1,688,586</w:t>
            </w:r>
          </w:p>
        </w:tc>
      </w:tr>
      <w:tr>
        <w:trPr>
          <w:trHeight w:val="216"/>
        </w:trPr>
        <w:tc>
          <w:tcPr>
            <w:tcW w:w="20" w:type="dxa"/>
            <w:vAlign w:val="bottom"/>
          </w:tcPr>
          <w:p>
            <w:pPr>
              <w:spacing w:after="0"/>
              <w:rPr>
                <w:sz w:val="18"/>
                <w:szCs w:val="18"/>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8"/>
                <w:szCs w:val="18"/>
                <w:color w:val="auto"/>
              </w:rPr>
              <w:t>Atlanta MSA</w:t>
            </w:r>
          </w:p>
        </w:tc>
        <w:tc>
          <w:tcPr>
            <w:tcW w:w="2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1,281,753</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1,275,139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1,249,470</w:t>
            </w:r>
          </w:p>
        </w:tc>
        <w:tc>
          <w:tcPr>
            <w:tcW w:w="2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1,219,652</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1,310,222</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North Carolina</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552,766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571,971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579,085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597,446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701,798</w:t>
            </w:r>
          </w:p>
        </w:tc>
      </w:tr>
      <w:tr>
        <w:trPr>
          <w:trHeight w:val="216"/>
        </w:trPr>
        <w:tc>
          <w:tcPr>
            <w:tcW w:w="20" w:type="dxa"/>
            <w:vAlign w:val="bottom"/>
          </w:tcPr>
          <w:p>
            <w:pPr>
              <w:spacing w:after="0"/>
              <w:rPr>
                <w:sz w:val="18"/>
                <w:szCs w:val="18"/>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8"/>
                <w:szCs w:val="18"/>
                <w:color w:val="auto"/>
              </w:rPr>
              <w:t>Coastal Georgia</w:t>
            </w:r>
          </w:p>
        </w:tc>
        <w:tc>
          <w:tcPr>
            <w:tcW w:w="2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455,709</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423,045</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400,022</w:t>
            </w: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346,189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335,020</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Gainesville MSA</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257,449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254,655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261,406</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264,567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312,049</w:t>
            </w:r>
          </w:p>
        </w:tc>
      </w:tr>
      <w:tr>
        <w:trPr>
          <w:trHeight w:val="216"/>
        </w:trPr>
        <w:tc>
          <w:tcPr>
            <w:tcW w:w="20" w:type="dxa"/>
            <w:vAlign w:val="bottom"/>
          </w:tcPr>
          <w:p>
            <w:pPr>
              <w:spacing w:after="0"/>
              <w:rPr>
                <w:sz w:val="18"/>
                <w:szCs w:val="18"/>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8"/>
                <w:szCs w:val="18"/>
                <w:color w:val="auto"/>
              </w:rPr>
              <w:t>East Tennessee</w:t>
            </w:r>
          </w:p>
        </w:tc>
        <w:tc>
          <w:tcPr>
            <w:tcW w:w="2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280,312</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279,587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282,863</w:t>
            </w: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255,949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256,451</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South Carolina / Specialized Lending</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412,022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88,531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268,629</w:t>
            </w: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196,104</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38,439</w:t>
            </w: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68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Total loans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4,672,119</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4,329,266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4,175,008</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4,109,614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4,604,126</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2014, United’s 25 largest credit relationships consisted of loans and loan commitments ranging from $11 million to $50 million, with an aggregate total credit exposure of $447 million. Total credit exposure includes $64.2 million in unfunded commitments and $383 million in balances outstanding, excluding participations sold. United had only eight lending relationships whose total credit exposure exceeded $20 million of which only three relationships were in excess of $25 million.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after one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Loan Portfolio Maturity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ind w:left="100"/>
              <w:spacing w:after="0"/>
              <w:rPr>
                <w:sz w:val="20"/>
                <w:szCs w:val="20"/>
                <w:color w:val="auto"/>
              </w:rPr>
            </w:pPr>
            <w:r>
              <w:rPr>
                <w:rFonts w:ascii="Arial" w:cs="Arial" w:eastAsia="Arial" w:hAnsi="Arial"/>
                <w:sz w:val="18"/>
                <w:szCs w:val="18"/>
                <w:b w:val="1"/>
                <w:bCs w:val="1"/>
                <w:color w:val="auto"/>
              </w:rPr>
              <w:t>Rate Structure for Loans</w:t>
            </w: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Maturity</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ind w:left="100"/>
              <w:spacing w:after="0"/>
              <w:rPr>
                <w:sz w:val="20"/>
                <w:szCs w:val="20"/>
                <w:color w:val="auto"/>
              </w:rPr>
            </w:pPr>
            <w:r>
              <w:rPr>
                <w:rFonts w:ascii="Arial" w:cs="Arial" w:eastAsia="Arial" w:hAnsi="Arial"/>
                <w:sz w:val="18"/>
                <w:szCs w:val="18"/>
                <w:b w:val="1"/>
                <w:bCs w:val="1"/>
                <w:color w:val="auto"/>
              </w:rPr>
              <w:t>Maturing Over One Year</w:t>
            </w: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8"/>
              </w:rPr>
              <w:t>One Year</w:t>
            </w: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One through</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7"/>
              </w:rPr>
              <w:t>Over Five</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Fixed</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1"/>
              </w:rPr>
              <w:t>Floating</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or Less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Five Years</w:t>
            </w:r>
          </w:p>
        </w:tc>
        <w:tc>
          <w:tcPr>
            <w:tcW w:w="14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Rate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Rate</w:t>
            </w: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Commercial (commercial and industrial)</w:t>
            </w: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162,708</w:t>
            </w:r>
          </w:p>
        </w:tc>
        <w:tc>
          <w:tcPr>
            <w:tcW w:w="24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412,795</w:t>
            </w:r>
          </w:p>
        </w:tc>
        <w:tc>
          <w:tcPr>
            <w:tcW w:w="2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134,753</w:t>
            </w:r>
          </w:p>
        </w:tc>
        <w:tc>
          <w:tcPr>
            <w:tcW w:w="22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710,256</w:t>
            </w: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243,282</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304,266</w:t>
            </w:r>
          </w:p>
        </w:tc>
        <w:tc>
          <w:tcPr>
            <w:tcW w:w="10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Construction (commercial and residential)</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165,002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247,986</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81,669</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494,657</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168,778</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160,877</w:t>
            </w:r>
          </w:p>
        </w:tc>
      </w:tr>
      <w:tr>
        <w:trPr>
          <w:trHeight w:val="257"/>
        </w:trPr>
        <w:tc>
          <w:tcPr>
            <w:tcW w:w="20" w:type="dxa"/>
            <w:vAlign w:val="bottom"/>
          </w:tcPr>
          <w:p>
            <w:pPr>
              <w:spacing w:after="0"/>
              <w:rPr>
                <w:sz w:val="22"/>
                <w:szCs w:val="22"/>
                <w:color w:val="auto"/>
              </w:rPr>
            </w:pPr>
          </w:p>
        </w:tc>
        <w:tc>
          <w:tcPr>
            <w:tcW w:w="3320" w:type="dxa"/>
            <w:vAlign w:val="bottom"/>
            <w:tcBorders>
              <w:bottom w:val="single" w:sz="8" w:color="F0FFFF"/>
            </w:tcBorders>
            <w:shd w:val="clear" w:color="auto" w:fill="F0FF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327,710</w:t>
            </w:r>
          </w:p>
        </w:tc>
        <w:tc>
          <w:tcPr>
            <w:tcW w:w="2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660,781</w:t>
            </w:r>
          </w:p>
        </w:tc>
        <w:tc>
          <w:tcPr>
            <w:tcW w:w="2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216,422</w:t>
            </w:r>
          </w:p>
        </w:tc>
        <w:tc>
          <w:tcPr>
            <w:tcW w:w="2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1,204,913</w:t>
            </w:r>
          </w:p>
        </w:tc>
        <w:tc>
          <w:tcPr>
            <w:tcW w:w="20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412,060</w:t>
            </w:r>
          </w:p>
        </w:tc>
        <w:tc>
          <w:tcPr>
            <w:tcW w:w="22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465,143</w:t>
            </w:r>
          </w:p>
        </w:tc>
        <w:tc>
          <w:tcPr>
            <w:tcW w:w="100" w:type="dxa"/>
            <w:vAlign w:val="bottom"/>
            <w:tcBorders>
              <w:bottom w:val="single" w:sz="8" w:color="F0FFFF"/>
            </w:tcBorders>
            <w:shd w:val="clear" w:color="auto" w:fill="F0FFFF"/>
          </w:tcPr>
          <w:p>
            <w:pPr>
              <w:spacing w:after="0"/>
              <w:rPr>
                <w:sz w:val="22"/>
                <w:szCs w:val="22"/>
                <w:color w:val="auto"/>
              </w:rPr>
            </w:pPr>
          </w:p>
        </w:tc>
      </w:tr>
      <w:tr>
        <w:trPr>
          <w:trHeight w:val="669"/>
        </w:trPr>
        <w:tc>
          <w:tcPr>
            <w:tcW w:w="20" w:type="dxa"/>
            <w:vAlign w:val="bottom"/>
          </w:tcPr>
          <w:p>
            <w:pPr>
              <w:spacing w:after="0"/>
              <w:rPr>
                <w:sz w:val="24"/>
                <w:szCs w:val="24"/>
                <w:color w:val="auto"/>
              </w:rPr>
            </w:pPr>
          </w:p>
        </w:tc>
        <w:tc>
          <w:tcPr>
            <w:tcW w:w="33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7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of the community banks. Additional information on United’s credit administration function is included in Item 1 under the heading “Loan Review and Nonperforming Assets.”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December 31, 2014 and 2013, the funded portion of home equity lines totaled $466 million and $441 million, respectively. Approximately 3% of the home equity loans at December 31, 2014 were amortizing. Of the $466 million in balances outstanding at December 31, 2014, $289 million, or 62%, were first liens. At December 31, 2014, 60% of the total available home equity lines were drawn upon.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years.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Table 10 - Performing Substandard Loans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720" w:type="dxa"/>
            <w:vAlign w:val="bottom"/>
          </w:tcPr>
          <w:p>
            <w:pPr>
              <w:spacing w:after="0"/>
              <w:rPr>
                <w:sz w:val="20"/>
                <w:szCs w:val="20"/>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260" w:type="dxa"/>
            <w:vAlign w:val="bottom"/>
          </w:tcPr>
          <w:p>
            <w:pPr>
              <w:spacing w:after="0"/>
              <w:rPr>
                <w:sz w:val="20"/>
                <w:szCs w:val="20"/>
                <w:color w:val="auto"/>
              </w:rPr>
            </w:pP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20"/>
                <w:szCs w:val="20"/>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20"/>
                <w:szCs w:val="20"/>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46,401</w:t>
            </w:r>
          </w:p>
        </w:tc>
        <w:tc>
          <w:tcPr>
            <w:tcW w:w="5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43,083</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64,936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78,969</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20,560</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34,642</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52,607</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64,089</w:t>
            </w:r>
          </w:p>
        </w:tc>
        <w:tc>
          <w:tcPr>
            <w:tcW w:w="360" w:type="dxa"/>
            <w:vAlign w:val="bottom"/>
            <w:gridSpan w:val="2"/>
            <w:shd w:val="clear" w:color="auto" w:fill="F0FF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18,477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3,566</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16,758</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19,285</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18,510</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90,745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F0FFFF"/>
          </w:tcPr>
          <w:p>
            <w:pPr>
              <w:spacing w:after="0"/>
              <w:rPr>
                <w:sz w:val="2"/>
                <w:szCs w:val="2"/>
                <w:color w:val="auto"/>
              </w:rPr>
            </w:pPr>
          </w:p>
        </w:tc>
        <w:tc>
          <w:tcPr>
            <w:tcW w:w="7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Total commercial</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104,072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155,305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177,321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31,831</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44,022</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55,355</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65,649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Home equity</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9,824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10,920</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14,104</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37,804</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71,955</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158,770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Consumer installment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574</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F0FFFF"/>
          </w:tcPr>
          <w:p>
            <w:pPr>
              <w:spacing w:after="0"/>
              <w:rPr>
                <w:sz w:val="2"/>
                <w:szCs w:val="2"/>
                <w:color w:val="auto"/>
              </w:rPr>
            </w:pPr>
          </w:p>
        </w:tc>
        <w:tc>
          <w:tcPr>
            <w:tcW w:w="7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128,393</w:t>
            </w:r>
          </w:p>
        </w:tc>
        <w:tc>
          <w:tcPr>
            <w:tcW w:w="5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172,703</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261,941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328,469</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512,147</w:t>
            </w:r>
          </w:p>
        </w:tc>
        <w:tc>
          <w:tcPr>
            <w:tcW w:w="0" w:type="dxa"/>
            <w:vAlign w:val="bottom"/>
          </w:tcPr>
          <w:p>
            <w:pPr>
              <w:spacing w:after="0"/>
              <w:rPr>
                <w:sz w:val="1"/>
                <w:szCs w:val="1"/>
                <w:color w:val="auto"/>
              </w:rPr>
            </w:pPr>
          </w:p>
        </w:tc>
      </w:tr>
      <w:tr>
        <w:trPr>
          <w:trHeight w:val="21"/>
        </w:trPr>
        <w:tc>
          <w:tcPr>
            <w:tcW w:w="39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North Georgia</w:t>
            </w:r>
          </w:p>
        </w:tc>
        <w:tc>
          <w:tcPr>
            <w:tcW w:w="9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55,821</w:t>
            </w:r>
          </w:p>
        </w:tc>
        <w:tc>
          <w:tcPr>
            <w:tcW w:w="500" w:type="dxa"/>
            <w:vAlign w:val="bottom"/>
            <w:gridSpan w:val="2"/>
            <w:shd w:val="clear" w:color="auto" w:fill="F0FF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69,510</w:t>
            </w:r>
          </w:p>
        </w:tc>
        <w:tc>
          <w:tcPr>
            <w:tcW w:w="360" w:type="dxa"/>
            <w:vAlign w:val="bottom"/>
            <w:gridSpan w:val="2"/>
            <w:shd w:val="clear" w:color="auto" w:fill="F0FFFF"/>
          </w:tcPr>
          <w:p>
            <w:pPr>
              <w:jc w:val="right"/>
              <w:ind w:right="7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105,851</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134,945</w:t>
            </w:r>
          </w:p>
        </w:tc>
        <w:tc>
          <w:tcPr>
            <w:tcW w:w="360" w:type="dxa"/>
            <w:vAlign w:val="bottom"/>
            <w:gridSpan w:val="2"/>
            <w:shd w:val="clear" w:color="auto" w:fill="F0FF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212,992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Atlanta MSA</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77,630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99,453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North Carolina</w:t>
            </w: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16,479</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18,954</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28,657</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40,302</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Coastal Georgia</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15,642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17,421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Gainesville MSA</w:t>
            </w: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1,109</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14,916</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19,251</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17,338</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East Tennessee</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13,131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South Carolina / Specialized Lending</w:t>
            </w: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1,239</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Indirect auto</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60" w:type="dxa"/>
            <w:vAlign w:val="bottom"/>
            <w:tcBorders>
              <w:bottom w:val="single" w:sz="8" w:color="F0FFFF"/>
            </w:tcBorders>
            <w:shd w:val="clear" w:color="auto" w:fill="F0FFFF"/>
          </w:tcPr>
          <w:p>
            <w:pPr>
              <w:ind w:left="80"/>
              <w:spacing w:after="0"/>
              <w:rPr>
                <w:sz w:val="20"/>
                <w:szCs w:val="20"/>
                <w:color w:val="auto"/>
              </w:rPr>
            </w:pPr>
            <w:r>
              <w:rPr>
                <w:rFonts w:ascii="Arial" w:cs="Arial" w:eastAsia="Arial" w:hAnsi="Arial"/>
                <w:sz w:val="18"/>
                <w:szCs w:val="18"/>
                <w:color w:val="auto"/>
              </w:rPr>
              <w:t>Total loans</w:t>
            </w:r>
          </w:p>
        </w:tc>
        <w:tc>
          <w:tcPr>
            <w:tcW w:w="7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128,393</w:t>
            </w:r>
          </w:p>
        </w:tc>
        <w:tc>
          <w:tcPr>
            <w:tcW w:w="2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172,703</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261,941</w:t>
            </w:r>
          </w:p>
        </w:tc>
        <w:tc>
          <w:tcPr>
            <w:tcW w:w="2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328,469</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512,147</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December 31, 2014, performing substandard loans totaled $128 million and decreased $44.3 million from December 31, 2013. The decrease from 2013 reflects a general declining trend. Performing substandard loans have been on a downward trend as credit conditions have continued to improve and problem credits are resolved. Most of the decrease from a year ago occurred in United’s Atlanta, Georgia, north Georgia and Gainesville, Georgia markets. Income producing commercial real estate, commercial construction, residential mortgage and residential construction showed the most significant decreases.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Reviews of substandard performing and non-performing loans, TDRs, past due loans and larger credits, are conducted on a regular basis and reported to management each quarter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United’s internal loan review, United also uses external loan review to ensure the independence of the loan review process.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declining level of the allowance for loan losses compared to the previous periods reflects stabilizing trends in substandard and nonperforming loans as well as charge-off levels. Further, the declining balance of the allowance for loan losses over the last several quarters reflects an overall improving trend in the credit quality of the loan portfolio. A general improvement in economic conditions in United’s market also contributed to the lower level of provision and allowance for loan losses.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allocation of the allowance for credit losses is based on historical data, subjective judgment and estimates and, therefore, is not necessarily indicative of the specific amounts or loan categories in which charge-offs may ultimately occur. In 2014, United incorporated a loss emergence period into its allowance for loan losses analysis. The increase in precision resulting from the loss emergence period resulted in full allocation of the previously unallocated portion of the allowance.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credit losses for each of the past five years.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gridSpan w:val="7"/>
          </w:tcPr>
          <w:p>
            <w:pPr>
              <w:spacing w:after="0"/>
              <w:rPr>
                <w:sz w:val="20"/>
                <w:szCs w:val="20"/>
                <w:color w:val="auto"/>
              </w:rPr>
            </w:pPr>
            <w:r>
              <w:rPr>
                <w:rFonts w:ascii="Arial" w:cs="Arial" w:eastAsia="Arial" w:hAnsi="Arial"/>
                <w:sz w:val="18"/>
                <w:szCs w:val="18"/>
                <w:b w:val="1"/>
                <w:bCs w:val="1"/>
                <w:color w:val="auto"/>
              </w:rPr>
              <w:t>Table 11 - Allocation of Allowance for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Credit Losses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As of December 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7"/>
              </w:rPr>
              <w:t>Amount</w:t>
            </w: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Amount</w:t>
            </w:r>
          </w:p>
        </w:tc>
        <w:tc>
          <w:tcPr>
            <w:tcW w:w="5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Amount</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Amount</w:t>
            </w: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w w:val="94"/>
              </w:rPr>
              <w:t>Amount</w:t>
            </w:r>
          </w:p>
        </w:tc>
        <w:tc>
          <w:tcPr>
            <w:tcW w:w="5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Commercial (secured by real</w:t>
            </w:r>
          </w:p>
        </w:tc>
        <w:tc>
          <w:tcPr>
            <w:tcW w:w="16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40" w:type="dxa"/>
            <w:vAlign w:val="bottom"/>
            <w:tcBorders>
              <w:top w:val="single" w:sz="8" w:color="auto"/>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4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54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52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2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estate)</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w w:val="94"/>
              </w:rPr>
              <w:t>26,337</w:t>
            </w:r>
          </w:p>
        </w:tc>
        <w:tc>
          <w:tcPr>
            <w:tcW w:w="160" w:type="dxa"/>
            <w:vAlign w:val="bottom"/>
            <w:shd w:val="clear" w:color="auto" w:fill="F0FFFF"/>
          </w:tcPr>
          <w:p>
            <w:pPr>
              <w:spacing w:after="0"/>
              <w:rPr>
                <w:sz w:val="20"/>
                <w:szCs w:val="20"/>
                <w:color w:val="auto"/>
              </w:rPr>
            </w:pPr>
          </w:p>
        </w:tc>
        <w:tc>
          <w:tcPr>
            <w:tcW w:w="6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94"/>
              </w:rPr>
              <w:t>24,338</w:t>
            </w:r>
          </w:p>
        </w:tc>
        <w:tc>
          <w:tcPr>
            <w:tcW w:w="160" w:type="dxa"/>
            <w:vAlign w:val="bottom"/>
            <w:shd w:val="clear" w:color="auto" w:fill="F0FFFF"/>
          </w:tcPr>
          <w:p>
            <w:pPr>
              <w:spacing w:after="0"/>
              <w:rPr>
                <w:sz w:val="20"/>
                <w:szCs w:val="20"/>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27,847</w:t>
            </w:r>
          </w:p>
        </w:tc>
        <w:tc>
          <w:tcPr>
            <w:tcW w:w="140" w:type="dxa"/>
            <w:vAlign w:val="bottom"/>
            <w:shd w:val="clear" w:color="auto" w:fill="F0FFFF"/>
          </w:tcPr>
          <w:p>
            <w:pPr>
              <w:spacing w:after="0"/>
              <w:rPr>
                <w:sz w:val="20"/>
                <w:szCs w:val="20"/>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31,644</w:t>
            </w:r>
          </w:p>
        </w:tc>
        <w:tc>
          <w:tcPr>
            <w:tcW w:w="160" w:type="dxa"/>
            <w:vAlign w:val="bottom"/>
            <w:shd w:val="clear" w:color="auto" w:fill="F0FFFF"/>
          </w:tcPr>
          <w:p>
            <w:pPr>
              <w:spacing w:after="0"/>
              <w:rPr>
                <w:sz w:val="20"/>
                <w:szCs w:val="20"/>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F0FFFF"/>
          </w:tcPr>
          <w:p>
            <w:pPr>
              <w:spacing w:after="0"/>
              <w:rPr>
                <w:sz w:val="20"/>
                <w:szCs w:val="20"/>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31,191</w:t>
            </w:r>
          </w:p>
        </w:tc>
        <w:tc>
          <w:tcPr>
            <w:tcW w:w="160" w:type="dxa"/>
            <w:vAlign w:val="bottom"/>
            <w:shd w:val="clear" w:color="auto" w:fill="F0FFFF"/>
          </w:tcPr>
          <w:p>
            <w:pPr>
              <w:spacing w:after="0"/>
              <w:rPr>
                <w:sz w:val="20"/>
                <w:szCs w:val="20"/>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3,255</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6,527</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5,537</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5,681</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7,580</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4,747</w:t>
            </w:r>
          </w:p>
        </w:tc>
        <w:tc>
          <w:tcPr>
            <w:tcW w:w="1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3,669</w:t>
            </w:r>
          </w:p>
        </w:tc>
        <w:tc>
          <w:tcPr>
            <w:tcW w:w="16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8,389</w:t>
            </w: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6,097</w:t>
            </w:r>
          </w:p>
        </w:tc>
        <w:tc>
          <w:tcPr>
            <w:tcW w:w="16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6,780</w:t>
            </w:r>
          </w:p>
        </w:tc>
        <w:tc>
          <w:tcPr>
            <w:tcW w:w="16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4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34,339</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34,534</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41,773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43,422</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45,551</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w w:val="94"/>
              </w:rPr>
              <w:t>24,885</w:t>
            </w:r>
          </w:p>
        </w:tc>
        <w:tc>
          <w:tcPr>
            <w:tcW w:w="1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94"/>
              </w:rPr>
              <w:t>20,974</w:t>
            </w:r>
          </w:p>
        </w:tc>
        <w:tc>
          <w:tcPr>
            <w:tcW w:w="16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26,642</w:t>
            </w:r>
          </w:p>
        </w:tc>
        <w:tc>
          <w:tcPr>
            <w:tcW w:w="14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29,076</w:t>
            </w:r>
          </w:p>
        </w:tc>
        <w:tc>
          <w:tcPr>
            <w:tcW w:w="16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22,305</w:t>
            </w:r>
          </w:p>
        </w:tc>
        <w:tc>
          <w:tcPr>
            <w:tcW w:w="16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10,603</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12,532</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26,662</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30,379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92,571</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1,792</w:t>
            </w:r>
          </w:p>
        </w:tc>
        <w:tc>
          <w:tcPr>
            <w:tcW w:w="1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2,479</w:t>
            </w:r>
          </w:p>
        </w:tc>
        <w:tc>
          <w:tcPr>
            <w:tcW w:w="16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2,747</w:t>
            </w: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2,124</w:t>
            </w:r>
          </w:p>
        </w:tc>
        <w:tc>
          <w:tcPr>
            <w:tcW w:w="16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3,030</w:t>
            </w:r>
          </w:p>
        </w:tc>
        <w:tc>
          <w:tcPr>
            <w:tcW w:w="16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6,243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9,467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11,238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F0FFFF"/>
          </w:tcPr>
          <w:p>
            <w:pPr>
              <w:ind w:left="80"/>
              <w:spacing w:after="0" w:line="201" w:lineRule="exact"/>
              <w:rPr>
                <w:sz w:val="20"/>
                <w:szCs w:val="20"/>
                <w:color w:val="auto"/>
              </w:rPr>
            </w:pPr>
            <w:r>
              <w:rPr>
                <w:rFonts w:ascii="Arial" w:cs="Arial" w:eastAsia="Arial" w:hAnsi="Arial"/>
                <w:sz w:val="18"/>
                <w:szCs w:val="18"/>
                <w:color w:val="auto"/>
              </w:rPr>
              <w:t>Total allowance for loan</w:t>
            </w:r>
          </w:p>
        </w:tc>
        <w:tc>
          <w:tcPr>
            <w:tcW w:w="16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40" w:type="dxa"/>
            <w:vAlign w:val="bottom"/>
            <w:tcBorders>
              <w:top w:val="single" w:sz="8" w:color="auto"/>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4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54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52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2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2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w w:val="94"/>
              </w:rPr>
              <w:t>71,619</w:t>
            </w:r>
          </w:p>
        </w:tc>
        <w:tc>
          <w:tcPr>
            <w:tcW w:w="160" w:type="dxa"/>
            <w:vAlign w:val="bottom"/>
            <w:shd w:val="clear" w:color="auto" w:fill="F0FFFF"/>
          </w:tcPr>
          <w:p>
            <w:pPr>
              <w:spacing w:after="0"/>
              <w:rPr>
                <w:sz w:val="23"/>
                <w:szCs w:val="23"/>
                <w:color w:val="auto"/>
              </w:rPr>
            </w:pPr>
          </w:p>
        </w:tc>
        <w:tc>
          <w:tcPr>
            <w:tcW w:w="6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94"/>
              </w:rPr>
              <w:t>76,762</w:t>
            </w:r>
          </w:p>
        </w:tc>
        <w:tc>
          <w:tcPr>
            <w:tcW w:w="160" w:type="dxa"/>
            <w:vAlign w:val="bottom"/>
            <w:shd w:val="clear" w:color="auto" w:fill="F0FFFF"/>
          </w:tcPr>
          <w:p>
            <w:pPr>
              <w:spacing w:after="0"/>
              <w:rPr>
                <w:sz w:val="23"/>
                <w:szCs w:val="23"/>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89"/>
              </w:rPr>
              <w:t>107,137</w:t>
            </w:r>
          </w:p>
        </w:tc>
        <w:tc>
          <w:tcPr>
            <w:tcW w:w="140" w:type="dxa"/>
            <w:vAlign w:val="bottom"/>
            <w:shd w:val="clear" w:color="auto" w:fill="F0FFFF"/>
          </w:tcPr>
          <w:p>
            <w:pPr>
              <w:spacing w:after="0"/>
              <w:rPr>
                <w:sz w:val="23"/>
                <w:szCs w:val="23"/>
                <w:color w:val="auto"/>
              </w:rPr>
            </w:pPr>
          </w:p>
        </w:tc>
        <w:tc>
          <w:tcPr>
            <w:tcW w:w="7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F0FFFF"/>
          </w:tcPr>
          <w:p>
            <w:pPr>
              <w:spacing w:after="0"/>
              <w:rPr>
                <w:sz w:val="23"/>
                <w:szCs w:val="23"/>
                <w:color w:val="auto"/>
              </w:rPr>
            </w:pP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w w:val="89"/>
              </w:rPr>
              <w:t>114,468</w:t>
            </w:r>
          </w:p>
        </w:tc>
        <w:tc>
          <w:tcPr>
            <w:tcW w:w="160" w:type="dxa"/>
            <w:vAlign w:val="bottom"/>
            <w:shd w:val="clear" w:color="auto" w:fill="F0FFFF"/>
          </w:tcPr>
          <w:p>
            <w:pPr>
              <w:spacing w:after="0"/>
              <w:rPr>
                <w:sz w:val="23"/>
                <w:szCs w:val="23"/>
                <w:color w:val="auto"/>
              </w:rPr>
            </w:pPr>
          </w:p>
        </w:tc>
        <w:tc>
          <w:tcPr>
            <w:tcW w:w="6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89"/>
              </w:rPr>
              <w:t>174,695</w:t>
            </w:r>
          </w:p>
        </w:tc>
        <w:tc>
          <w:tcPr>
            <w:tcW w:w="160" w:type="dxa"/>
            <w:vAlign w:val="bottom"/>
            <w:shd w:val="clear" w:color="auto" w:fill="F0FFFF"/>
          </w:tcPr>
          <w:p>
            <w:pPr>
              <w:spacing w:after="0"/>
              <w:rPr>
                <w:sz w:val="23"/>
                <w:szCs w:val="23"/>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Borders>
              <w:top w:val="single" w:sz="8" w:color="F0FFFF"/>
            </w:tcBorders>
          </w:tcPr>
          <w:p>
            <w:pPr>
              <w:ind w:left="60"/>
              <w:spacing w:after="0" w:line="195" w:lineRule="exact"/>
              <w:rPr>
                <w:sz w:val="20"/>
                <w:szCs w:val="20"/>
                <w:color w:val="auto"/>
              </w:rPr>
            </w:pPr>
            <w:r>
              <w:rPr>
                <w:rFonts w:ascii="Arial" w:cs="Arial" w:eastAsia="Arial" w:hAnsi="Arial"/>
                <w:sz w:val="18"/>
                <w:szCs w:val="18"/>
                <w:color w:val="auto"/>
              </w:rPr>
              <w:t>Allowance for unfunded</w:t>
            </w:r>
          </w:p>
        </w:tc>
        <w:tc>
          <w:tcPr>
            <w:tcW w:w="160" w:type="dxa"/>
            <w:vAlign w:val="bottom"/>
            <w:tcBorders>
              <w:top w:val="single" w:sz="8" w:color="F0FFFF"/>
            </w:tcBorders>
          </w:tcPr>
          <w:p>
            <w:pPr>
              <w:spacing w:after="0"/>
              <w:rPr>
                <w:sz w:val="16"/>
                <w:szCs w:val="16"/>
                <w:color w:val="auto"/>
              </w:rPr>
            </w:pPr>
          </w:p>
        </w:tc>
        <w:tc>
          <w:tcPr>
            <w:tcW w:w="160" w:type="dxa"/>
            <w:vAlign w:val="bottom"/>
            <w:tcBorders>
              <w:top w:val="single" w:sz="8" w:color="F0FFFF"/>
            </w:tcBorders>
          </w:tcPr>
          <w:p>
            <w:pPr>
              <w:spacing w:after="0"/>
              <w:rPr>
                <w:sz w:val="16"/>
                <w:szCs w:val="16"/>
                <w:color w:val="auto"/>
              </w:rPr>
            </w:pPr>
          </w:p>
        </w:tc>
        <w:tc>
          <w:tcPr>
            <w:tcW w:w="540" w:type="dxa"/>
            <w:vAlign w:val="bottom"/>
            <w:tcBorders>
              <w:top w:val="single" w:sz="8" w:color="F0FFFF"/>
            </w:tcBorders>
          </w:tcPr>
          <w:p>
            <w:pPr>
              <w:spacing w:after="0"/>
              <w:rPr>
                <w:sz w:val="16"/>
                <w:szCs w:val="16"/>
                <w:color w:val="auto"/>
              </w:rPr>
            </w:pPr>
          </w:p>
        </w:tc>
        <w:tc>
          <w:tcPr>
            <w:tcW w:w="260" w:type="dxa"/>
            <w:vAlign w:val="bottom"/>
            <w:tcBorders>
              <w:top w:val="single" w:sz="8" w:color="F0FF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540" w:type="dxa"/>
            <w:vAlign w:val="bottom"/>
            <w:tcBorders>
              <w:top w:val="single" w:sz="8" w:color="F0FFFF"/>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600" w:type="dxa"/>
            <w:vAlign w:val="bottom"/>
            <w:tcBorders>
              <w:top w:val="single" w:sz="8" w:color="F0FFFF"/>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600" w:type="dxa"/>
            <w:vAlign w:val="bottom"/>
            <w:tcBorders>
              <w:top w:val="single" w:sz="8" w:color="F0FFFF"/>
            </w:tcBorders>
          </w:tcPr>
          <w:p>
            <w:pPr>
              <w:spacing w:after="0"/>
              <w:rPr>
                <w:sz w:val="16"/>
                <w:szCs w:val="16"/>
                <w:color w:val="auto"/>
              </w:rPr>
            </w:pPr>
          </w:p>
        </w:tc>
        <w:tc>
          <w:tcPr>
            <w:tcW w:w="200" w:type="dxa"/>
            <w:vAlign w:val="bottom"/>
            <w:tcBorders>
              <w:top w:val="single" w:sz="8" w:color="F0FF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600" w:type="dxa"/>
            <w:vAlign w:val="bottom"/>
            <w:tcBorders>
              <w:top w:val="single" w:sz="8" w:color="F0FFFF"/>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1,930</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2,165</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F0FFFF"/>
          </w:tcPr>
          <w:p>
            <w:pPr>
              <w:ind w:left="80"/>
              <w:spacing w:after="0" w:line="201" w:lineRule="exact"/>
              <w:rPr>
                <w:sz w:val="20"/>
                <w:szCs w:val="20"/>
                <w:color w:val="auto"/>
              </w:rPr>
            </w:pPr>
            <w:r>
              <w:rPr>
                <w:rFonts w:ascii="Arial" w:cs="Arial" w:eastAsia="Arial" w:hAnsi="Arial"/>
                <w:sz w:val="18"/>
                <w:szCs w:val="18"/>
                <w:color w:val="auto"/>
              </w:rPr>
              <w:t>Total allowance for credit</w:t>
            </w:r>
          </w:p>
        </w:tc>
        <w:tc>
          <w:tcPr>
            <w:tcW w:w="16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540" w:type="dxa"/>
            <w:vAlign w:val="bottom"/>
            <w:tcBorders>
              <w:top w:val="single" w:sz="8" w:color="auto"/>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54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2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F0FFFF"/>
          </w:tcPr>
          <w:p>
            <w:pPr>
              <w:spacing w:after="0"/>
              <w:rPr>
                <w:sz w:val="21"/>
                <w:szCs w:val="21"/>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w w:val="94"/>
              </w:rPr>
              <w:t>73,549</w:t>
            </w:r>
          </w:p>
        </w:tc>
        <w:tc>
          <w:tcPr>
            <w:tcW w:w="160" w:type="dxa"/>
            <w:vAlign w:val="bottom"/>
            <w:shd w:val="clear" w:color="auto" w:fill="F0FFFF"/>
          </w:tcPr>
          <w:p>
            <w:pPr>
              <w:spacing w:after="0"/>
              <w:rPr>
                <w:sz w:val="21"/>
                <w:szCs w:val="21"/>
                <w:color w:val="auto"/>
              </w:rPr>
            </w:pPr>
          </w:p>
        </w:tc>
        <w:tc>
          <w:tcPr>
            <w:tcW w:w="5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94"/>
              </w:rPr>
              <w:t>78,927</w:t>
            </w:r>
          </w:p>
        </w:tc>
        <w:tc>
          <w:tcPr>
            <w:tcW w:w="160" w:type="dxa"/>
            <w:vAlign w:val="bottom"/>
            <w:shd w:val="clear" w:color="auto" w:fill="F0FFFF"/>
          </w:tcPr>
          <w:p>
            <w:pPr>
              <w:spacing w:after="0"/>
              <w:rPr>
                <w:sz w:val="21"/>
                <w:szCs w:val="21"/>
                <w:color w:val="auto"/>
              </w:rPr>
            </w:pPr>
          </w:p>
        </w:tc>
        <w:tc>
          <w:tcPr>
            <w:tcW w:w="5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89"/>
              </w:rPr>
              <w:t>107,137</w:t>
            </w:r>
          </w:p>
        </w:tc>
        <w:tc>
          <w:tcPr>
            <w:tcW w:w="140" w:type="dxa"/>
            <w:vAlign w:val="bottom"/>
            <w:shd w:val="clear" w:color="auto" w:fill="F0FFFF"/>
          </w:tcPr>
          <w:p>
            <w:pPr>
              <w:spacing w:after="0"/>
              <w:rPr>
                <w:sz w:val="21"/>
                <w:szCs w:val="21"/>
                <w:color w:val="auto"/>
              </w:rPr>
            </w:pPr>
          </w:p>
        </w:tc>
        <w:tc>
          <w:tcPr>
            <w:tcW w:w="5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w w:val="89"/>
              </w:rPr>
              <w:t>114,468</w:t>
            </w:r>
          </w:p>
        </w:tc>
        <w:tc>
          <w:tcPr>
            <w:tcW w:w="160" w:type="dxa"/>
            <w:vAlign w:val="bottom"/>
            <w:shd w:val="clear" w:color="auto" w:fill="F0FFFF"/>
          </w:tcPr>
          <w:p>
            <w:pPr>
              <w:spacing w:after="0"/>
              <w:rPr>
                <w:sz w:val="21"/>
                <w:szCs w:val="21"/>
                <w:color w:val="auto"/>
              </w:rPr>
            </w:pPr>
          </w:p>
        </w:tc>
        <w:tc>
          <w:tcPr>
            <w:tcW w:w="5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89"/>
              </w:rPr>
              <w:t>174,695</w:t>
            </w:r>
          </w:p>
        </w:tc>
        <w:tc>
          <w:tcPr>
            <w:tcW w:w="160" w:type="dxa"/>
            <w:vAlign w:val="bottom"/>
            <w:shd w:val="clear" w:color="auto" w:fill="F0FFFF"/>
          </w:tcPr>
          <w:p>
            <w:pPr>
              <w:spacing w:after="0"/>
              <w:rPr>
                <w:sz w:val="21"/>
                <w:szCs w:val="21"/>
                <w:color w:val="auto"/>
              </w:rPr>
            </w:pPr>
          </w:p>
        </w:tc>
        <w:tc>
          <w:tcPr>
            <w:tcW w:w="5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5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5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5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5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5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Loan balance in each category, expressed as a percentage of total loans.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 presents a summary of changes in the allowance for credit losses for each of the past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76,762</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114,468</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174,695</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155,602</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Charge-offs: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3,136</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24,965</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10,280</w:t>
            </w: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50,401</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12,782</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9,067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2,145</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18,914</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2,424</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24,890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6,483</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5,411</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55,730</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7,502</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8,840</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12,885</w:t>
            </w: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46,439</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3,437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7,268</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3,176</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23,049</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24,260</w:t>
            </w: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118,916</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136,666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2,184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3,594</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Indirect auto</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Total loans charged-off</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22,667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99,654</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74,633</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316,305</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Recoveries:</w:t>
            </w: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1,305</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640</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1,888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967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1,678</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1,226</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1,114</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1,044</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F0FFFF"/>
            </w:tcBorders>
            <w:shd w:val="clear" w:color="auto" w:fill="F0FFFF"/>
          </w:tcPr>
          <w:p>
            <w:pPr>
              <w:ind w:left="340"/>
              <w:spacing w:after="0"/>
              <w:rPr>
                <w:sz w:val="20"/>
                <w:szCs w:val="20"/>
                <w:color w:val="auto"/>
              </w:rPr>
            </w:pPr>
            <w:r>
              <w:rPr>
                <w:rFonts w:ascii="Arial" w:cs="Arial" w:eastAsia="Arial" w:hAnsi="Arial"/>
                <w:sz w:val="18"/>
                <w:szCs w:val="18"/>
                <w:color w:val="auto"/>
              </w:rPr>
              <w:t>Total recoveries</w:t>
            </w: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8,789</w:t>
            </w:r>
          </w:p>
        </w:tc>
        <w:tc>
          <w:tcPr>
            <w:tcW w:w="260" w:type="dxa"/>
            <w:vAlign w:val="bottom"/>
            <w:tcBorders>
              <w:bottom w:val="single" w:sz="8" w:color="F0FFFF"/>
              <w:right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5,944</w:t>
            </w:r>
          </w:p>
        </w:tc>
        <w:tc>
          <w:tcPr>
            <w:tcW w:w="2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4,802</w:t>
            </w:r>
          </w:p>
        </w:tc>
        <w:tc>
          <w:tcPr>
            <w:tcW w:w="2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5,078</w:t>
            </w:r>
          </w:p>
        </w:tc>
        <w:tc>
          <w:tcPr>
            <w:tcW w:w="260" w:type="dxa"/>
            <w:vAlign w:val="bottom"/>
            <w:tcBorders>
              <w:bottom w:val="single" w:sz="8" w:color="F0FFFF"/>
              <w:right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20,816</w:t>
            </w: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Net charge-offs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93,710</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69,831</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311,227</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203,907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8,735</w:t>
            </w:r>
          </w:p>
        </w:tc>
        <w:tc>
          <w:tcPr>
            <w:tcW w:w="260" w:type="dxa"/>
            <w:vAlign w:val="bottom"/>
            <w:tcBorders>
              <w:bottom w:val="single" w:sz="8" w:color="F0FFFF"/>
              <w:right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63,335</w:t>
            </w:r>
          </w:p>
        </w:tc>
        <w:tc>
          <w:tcPr>
            <w:tcW w:w="2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62,500</w:t>
            </w:r>
          </w:p>
        </w:tc>
        <w:tc>
          <w:tcPr>
            <w:tcW w:w="2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251,000</w:t>
            </w:r>
          </w:p>
        </w:tc>
        <w:tc>
          <w:tcPr>
            <w:tcW w:w="260" w:type="dxa"/>
            <w:vAlign w:val="bottom"/>
            <w:tcBorders>
              <w:bottom w:val="single" w:sz="8" w:color="F0FFFF"/>
              <w:right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223,000</w:t>
            </w: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Allowance for loan losses at end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76,762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107,137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114,468</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174,695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Allowance for unfunded commitments at beginning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Provision for unfunded commitments</w:t>
            </w:r>
          </w:p>
        </w:tc>
        <w:tc>
          <w:tcPr>
            <w:tcW w:w="240" w:type="dxa"/>
            <w:vAlign w:val="bottom"/>
            <w:shd w:val="clear" w:color="auto" w:fill="F0FFFF"/>
          </w:tcPr>
          <w:p>
            <w:pPr>
              <w:spacing w:after="0"/>
              <w:rPr>
                <w:sz w:val="18"/>
                <w:szCs w:val="18"/>
                <w:color w:val="auto"/>
              </w:rPr>
            </w:pPr>
          </w:p>
        </w:tc>
        <w:tc>
          <w:tcPr>
            <w:tcW w:w="11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Allowance for unfunded commitments at end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2,165</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73,549</w:t>
            </w:r>
          </w:p>
        </w:tc>
        <w:tc>
          <w:tcPr>
            <w:tcW w:w="260" w:type="dxa"/>
            <w:vAlign w:val="bottom"/>
            <w:tcBorders>
              <w:bottom w:val="single" w:sz="8" w:color="F0FFFF"/>
              <w:right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78,927</w:t>
            </w:r>
          </w:p>
        </w:tc>
        <w:tc>
          <w:tcPr>
            <w:tcW w:w="2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2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114,468</w:t>
            </w:r>
          </w:p>
        </w:tc>
        <w:tc>
          <w:tcPr>
            <w:tcW w:w="260" w:type="dxa"/>
            <w:vAlign w:val="bottom"/>
            <w:tcBorders>
              <w:bottom w:val="single" w:sz="8" w:color="F0FFFF"/>
              <w:right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174,695</w:t>
            </w:r>
          </w:p>
        </w:tc>
        <w:tc>
          <w:tcPr>
            <w:tcW w:w="16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F0FFFF"/>
          </w:tcPr>
          <w:p>
            <w:pPr>
              <w:spacing w:after="0" w:line="216" w:lineRule="exact"/>
              <w:rPr>
                <w:sz w:val="20"/>
                <w:szCs w:val="20"/>
                <w:color w:val="auto"/>
              </w:rPr>
            </w:pPr>
            <w:r>
              <w:rPr>
                <w:rFonts w:ascii="Arial" w:cs="Arial" w:eastAsia="Arial" w:hAnsi="Arial"/>
                <w:sz w:val="16"/>
                <w:szCs w:val="16"/>
                <w:color w:val="auto"/>
              </w:rPr>
              <w:t xml:space="preserve">Total loans </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At year-end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4,672,119</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4,329,266</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4,175,008</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4,109,614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4,604,126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20"/>
              <w:spacing w:after="0"/>
              <w:rPr>
                <w:sz w:val="20"/>
                <w:szCs w:val="20"/>
                <w:color w:val="auto"/>
              </w:rPr>
            </w:pPr>
            <w:r>
              <w:rPr>
                <w:rFonts w:ascii="Arial" w:cs="Arial" w:eastAsia="Arial" w:hAnsi="Arial"/>
                <w:sz w:val="18"/>
                <w:szCs w:val="18"/>
                <w:color w:val="auto"/>
              </w:rPr>
              <w:t>Average</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4,440,868</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4,228,235</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4,123,530</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4,244,305</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4,884,330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Allowance for loan losses as a percentage of year-</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end loans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As a percentage of average loans: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ind w:left="120"/>
              <w:spacing w:after="0"/>
              <w:rPr>
                <w:sz w:val="20"/>
                <w:szCs w:val="20"/>
                <w:color w:val="auto"/>
              </w:rPr>
            </w:pPr>
            <w:r>
              <w:rPr>
                <w:rFonts w:ascii="Arial" w:cs="Arial" w:eastAsia="Arial" w:hAnsi="Arial"/>
                <w:sz w:val="18"/>
                <w:szCs w:val="18"/>
                <w:color w:val="auto"/>
              </w:rPr>
              <w:t>Net charge-offs</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7.33</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Excludes loans acquired through the FDIC assisted acquisition of Southern Community Bank that are covered by loss sharing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credit losses, which includes a portion related to unfunded commitments, totaled $73.5 million at December 31, 2014 compared with $78.9 million at December 31, 2013. At December 31, 2014, the allowance for loan losses was $71.6 million, or 1.53% of total loans, compared with $76.8 million, or 1.77% of loans at December 31, 2013. The decrease in the allowance for credit losses is consistent with the overall improving trends in credit quality of the loan portfolio.</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believes that the allowance for credit losses at December 31, 2014 reflects the probable incurred losses in the loan portfolio and unfunded loan commitments. This assessment involves uncertainty and judgment; therefore, the adequacy of the allowance for credit losses cannot be determined with precision and may be subject to change in future periods. The amount of any changes could be significant if management’s assessment of loan quality or collateral values changes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credit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248"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Nonperforming loans totaled $17.9 million at December 31, 2014, compared with $26.8 million at December 31, 2013. There were no accruing loans more than 90 days past due at December 31, 2014 and 2013. At December 31, 2014 and 2013, the ratio of nonperforming loans to total loans was .38% and .62%, respectively. Nonperforming loans have steadily decreased in dollar amount and as a percentage of total loans since 2011. Nonperforming assets, which include nonperforming loans and foreclosed properties, totaled $19.6 million at December 31, 2014, compared with $31.0 million at December 31, 2013. United sold $12.5 million and $31.9 million respectively, of foreclosed properties during 2014 and 2013, which lowered the balance of foreclosed properties by 59% compared to December 31, 2013.</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original contractual loan terms or when the loan becomes 90 days past due and is not well secured and in the process of collection or restructure. When a loan is placed on nonaccrual status, interest previously accrued but not collected is reversed against current interest revenue. Interest payments received on nonaccrual loans are applied to reduce outstanding principal.</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were no commitments to lend additional funds to customers whose loans were on nonaccrual status at December 31, 2014, although in certain isolated cases, United executed forbearance agreements whereby United will continue to fund construction loans to completion or other lines of credit as long as the borrower meets the conditions of the forbearance agreement. United may also fund other amounts necessary to protect the Bank’s collateral such as amounts to pay past due property taxes and insurance coverage. The table below summarizes nonperforming assets at year-end for the last five years. It excludes assets acquired through the acquisition of SCB in 2009 that are covered by loss-sharing agreements with the FDIC. These assets have been excluded from the review of nonperforming assets, as the loss-sharing agreements with the FDIC and purchase price adjustments to reflect credit losses, effectively eliminate the likelihood of recognizing losses on the covered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Nonaccrual loans (NPLs)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26,819</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109,894</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127,479</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179,094</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Foreclosed properties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4,221</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18,264</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32,859</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142,208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40" w:type="dxa"/>
            <w:vAlign w:val="bottom"/>
            <w:tcBorders>
              <w:bottom w:val="single" w:sz="8" w:color="F0FFFF"/>
            </w:tcBorders>
            <w:shd w:val="clear" w:color="auto" w:fill="F0FFFF"/>
          </w:tcPr>
          <w:p>
            <w:pPr>
              <w:ind w:left="200"/>
              <w:spacing w:after="0"/>
              <w:rPr>
                <w:sz w:val="20"/>
                <w:szCs w:val="20"/>
                <w:color w:val="auto"/>
              </w:rPr>
            </w:pPr>
            <w:r>
              <w:rPr>
                <w:rFonts w:ascii="Arial" w:cs="Arial" w:eastAsia="Arial" w:hAnsi="Arial"/>
                <w:sz w:val="18"/>
                <w:szCs w:val="18"/>
                <w:color w:val="auto"/>
              </w:rPr>
              <w:t>Total nonperforming assets (NPAs)</w:t>
            </w: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19,607</w:t>
            </w:r>
          </w:p>
        </w:tc>
        <w:tc>
          <w:tcPr>
            <w:tcW w:w="28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31,040</w:t>
            </w:r>
          </w:p>
        </w:tc>
        <w:tc>
          <w:tcPr>
            <w:tcW w:w="2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128,158</w:t>
            </w:r>
          </w:p>
        </w:tc>
        <w:tc>
          <w:tcPr>
            <w:tcW w:w="2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160,338</w:t>
            </w:r>
          </w:p>
        </w:tc>
        <w:tc>
          <w:tcPr>
            <w:tcW w:w="2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321,302</w:t>
            </w:r>
          </w:p>
        </w:tc>
        <w:tc>
          <w:tcPr>
            <w:tcW w:w="16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NPLs as a percentage of total loans</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9"/>
              </w:rPr>
              <w:t>NPAs as a percentage of loans and foreclosed properties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NPAs as a percentage of total assets</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2014 and 2013 United had $85.1 million and $87.0 million, respectively, in loans with terms that have been modified in a TDR. Included therein were $3.78 million and $8.25 million, respectively, of TDRs that were not performing in accordance with their modified terms and were included in nonperforming loans. The remaining TDRs with an aggregate balance of $81.3 million and $78.7 million, respectively, were performing according to their modified terms and are therefore not considered to be nonperforming assets.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At December 31, 2014 and 2013, there were $106 million and $115 million, respectively, of loans classified as impaired under the definition outlined in the Accounting Standards Codification including TDRs which are by definition considered impaired. Included in impaired loans at December 31, 2014 and 2013 were $25.5 million and $38.9 million, respectively, that did not require specific reserves or had previously been charged down to net realizable value. The balance of impaired loans at December 31, 2014 of $81.0 million had specific reserves that totaled $9.88 million and the balance of impaired loans at December 31, 2013 of $75.7 million had specific reserves that totaled $6.02 million. The average recorded investment in impaired loans for 2014, 2013 and 2012 was $109 million, $115 million and $276 million, respectively. During 2014, 2013 and 2012, United recognized $5.04 million, $6.72 million and $9.53 million in interest revenue on impaired loans. United’s policy is to discontinue the recognition of interest revenue for loans classified as impaired under ASC 310-10-35,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when a loan meets the criteria for nonaccrual status. Impaired loans decreased 7% from 2013 to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50" w:name="page51"/>
    <w:bookmarkEnd w:id="50"/>
    <w:p>
      <w:pPr>
        <w:jc w:val="both"/>
        <w:ind w:right="20"/>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by quarter. Assets covered by the loss-sharing agreement with the FDIC related to the acquisition of SCB are not included in this table.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14 - Nonperforming Assets by Quarter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September 30, 2014</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0"/>
              </w:rPr>
              <w:t>June 30, 2014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0"/>
              </w:rPr>
              <w:t>March 31, 2014</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Nonaccrual</w:t>
            </w:r>
          </w:p>
        </w:tc>
        <w:tc>
          <w:tcPr>
            <w:tcW w:w="820" w:type="dxa"/>
            <w:vAlign w:val="bottom"/>
            <w:tcBorders>
              <w:right w:val="single" w:sz="8" w:color="auto"/>
            </w:tcBorders>
            <w:gridSpan w:val="3"/>
          </w:tcPr>
          <w:p>
            <w:pPr>
              <w:jc w:val="right"/>
              <w:ind w:right="200"/>
              <w:spacing w:after="0" w:line="135" w:lineRule="exact"/>
              <w:rPr>
                <w:sz w:val="20"/>
                <w:szCs w:val="20"/>
                <w:color w:val="auto"/>
              </w:rPr>
            </w:pPr>
            <w:r>
              <w:rPr>
                <w:rFonts w:ascii="Arial" w:cs="Arial" w:eastAsia="Arial" w:hAnsi="Arial"/>
                <w:sz w:val="14"/>
                <w:szCs w:val="14"/>
                <w:b w:val="1"/>
                <w:bCs w:val="1"/>
                <w:color w:val="auto"/>
                <w:w w:val="80"/>
              </w:rPr>
              <w:t>Foreclosed</w:t>
            </w:r>
          </w:p>
        </w:tc>
        <w:tc>
          <w:tcPr>
            <w:tcW w:w="10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Nonaccrual</w:t>
            </w:r>
          </w:p>
        </w:tc>
        <w:tc>
          <w:tcPr>
            <w:tcW w:w="84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Foreclosed</w:t>
            </w:r>
          </w:p>
        </w:tc>
        <w:tc>
          <w:tcPr>
            <w:tcW w:w="80" w:type="dxa"/>
            <w:vAlign w:val="bottom"/>
          </w:tcPr>
          <w:p>
            <w:pPr>
              <w:spacing w:after="0"/>
              <w:rPr>
                <w:sz w:val="11"/>
                <w:szCs w:val="11"/>
                <w:color w:val="auto"/>
              </w:rPr>
            </w:pPr>
          </w:p>
        </w:tc>
        <w:tc>
          <w:tcPr>
            <w:tcW w:w="600" w:type="dxa"/>
            <w:vAlign w:val="bottom"/>
            <w:tcBorders>
              <w:right w:val="single" w:sz="8" w:color="auto"/>
            </w:tcBorders>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Nonaccrual</w:t>
            </w:r>
          </w:p>
        </w:tc>
        <w:tc>
          <w:tcPr>
            <w:tcW w:w="84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1"/>
                <w:szCs w:val="11"/>
                <w:color w:val="auto"/>
              </w:rPr>
            </w:pPr>
          </w:p>
        </w:tc>
        <w:tc>
          <w:tcPr>
            <w:tcW w:w="600" w:type="dxa"/>
            <w:vAlign w:val="bottom"/>
            <w:tcBorders>
              <w:right w:val="single" w:sz="8" w:color="auto"/>
            </w:tcBorders>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Nonaccrual</w:t>
            </w:r>
          </w:p>
        </w:tc>
        <w:tc>
          <w:tcPr>
            <w:tcW w:w="84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Foreclosed</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Loans</w:t>
            </w:r>
          </w:p>
        </w:tc>
        <w:tc>
          <w:tcPr>
            <w:tcW w:w="8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3"/>
              </w:rPr>
              <w:t>Properties</w:t>
            </w:r>
          </w:p>
        </w:tc>
        <w:tc>
          <w:tcPr>
            <w:tcW w:w="10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5"/>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Loans</w:t>
            </w: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5"/>
              </w:rPr>
              <w:t>NPAs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92"/>
              </w:rPr>
              <w:t>Loans</w:t>
            </w:r>
          </w:p>
        </w:tc>
        <w:tc>
          <w:tcPr>
            <w:tcW w:w="8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5"/>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2"/>
              </w:rPr>
              <w:t>Loans</w:t>
            </w:r>
          </w:p>
        </w:tc>
        <w:tc>
          <w:tcPr>
            <w:tcW w:w="8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0"/>
              </w:rPr>
              <w:t>NPAs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BY CATEGORY</w:t>
            </w:r>
          </w:p>
        </w:tc>
        <w:tc>
          <w:tcPr>
            <w:tcW w:w="100" w:type="dxa"/>
            <w:vAlign w:val="bottom"/>
            <w:tcBorders>
              <w:top w:val="single" w:sz="8" w:color="auto"/>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440" w:type="dxa"/>
            <w:vAlign w:val="bottom"/>
            <w:tcBorders>
              <w:top w:val="single" w:sz="8" w:color="auto"/>
            </w:tcBorders>
            <w:shd w:val="clear" w:color="auto" w:fill="F0FFFF"/>
          </w:tcPr>
          <w:p>
            <w:pPr>
              <w:spacing w:after="0"/>
              <w:rPr>
                <w:sz w:val="12"/>
                <w:szCs w:val="12"/>
                <w:color w:val="auto"/>
              </w:rPr>
            </w:pPr>
          </w:p>
        </w:tc>
        <w:tc>
          <w:tcPr>
            <w:tcW w:w="200" w:type="dxa"/>
            <w:vAlign w:val="bottom"/>
            <w:tcBorders>
              <w:right w:val="single" w:sz="8" w:color="auto"/>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440" w:type="dxa"/>
            <w:vAlign w:val="bottom"/>
            <w:tcBorders>
              <w:top w:val="single" w:sz="8" w:color="auto"/>
            </w:tcBorders>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44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460" w:type="dxa"/>
            <w:vAlign w:val="bottom"/>
            <w:tcBorders>
              <w:top w:val="single" w:sz="8" w:color="auto"/>
            </w:tcBorders>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0" w:type="dxa"/>
            <w:vAlign w:val="bottom"/>
            <w:tcBorders>
              <w:top w:val="single" w:sz="8" w:color="auto"/>
            </w:tcBorders>
            <w:shd w:val="clear" w:color="auto" w:fill="F0FFFF"/>
          </w:tcPr>
          <w:p>
            <w:pPr>
              <w:spacing w:after="0"/>
              <w:rPr>
                <w:sz w:val="12"/>
                <w:szCs w:val="12"/>
                <w:color w:val="auto"/>
              </w:rPr>
            </w:pPr>
          </w:p>
        </w:tc>
        <w:tc>
          <w:tcPr>
            <w:tcW w:w="42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440" w:type="dxa"/>
            <w:vAlign w:val="bottom"/>
            <w:tcBorders>
              <w:top w:val="single" w:sz="8" w:color="auto"/>
            </w:tcBorders>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00" w:type="dxa"/>
            <w:vAlign w:val="bottom"/>
            <w:tcBorders>
              <w:top w:val="single" w:sz="8" w:color="auto"/>
            </w:tcBorders>
            <w:shd w:val="clear" w:color="auto" w:fill="F0FFFF"/>
          </w:tcPr>
          <w:p>
            <w:pPr>
              <w:spacing w:after="0"/>
              <w:rPr>
                <w:sz w:val="12"/>
                <w:szCs w:val="12"/>
                <w:color w:val="auto"/>
              </w:rPr>
            </w:pPr>
          </w:p>
        </w:tc>
        <w:tc>
          <w:tcPr>
            <w:tcW w:w="42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80" w:type="dxa"/>
            <w:vAlign w:val="bottom"/>
          </w:tcPr>
          <w:p>
            <w:pPr>
              <w:spacing w:after="0" w:line="137" w:lineRule="exact"/>
              <w:rPr>
                <w:sz w:val="20"/>
                <w:szCs w:val="20"/>
                <w:color w:val="auto"/>
              </w:rPr>
            </w:pPr>
            <w:r>
              <w:rPr>
                <w:rFonts w:ascii="Arial" w:cs="Arial" w:eastAsia="Arial" w:hAnsi="Arial"/>
                <w:sz w:val="14"/>
                <w:szCs w:val="14"/>
                <w:color w:val="auto"/>
              </w:rPr>
              <w:t>Owner occupied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w w:val="90"/>
              </w:rPr>
              <w:t>commercial real estate</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4,133</w:t>
            </w:r>
          </w:p>
        </w:tc>
        <w:tc>
          <w:tcPr>
            <w:tcW w:w="180" w:type="dxa"/>
            <w:vAlign w:val="bottom"/>
          </w:tcPr>
          <w:p>
            <w:pPr>
              <w:jc w:val="right"/>
              <w:ind w:right="63"/>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355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4,488</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2,156</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1,024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3,180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color w:val="auto"/>
              </w:rPr>
              <w:t>2,975</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653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3,628</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52"/>
              <w:spacing w:after="0"/>
              <w:rPr>
                <w:sz w:val="20"/>
                <w:szCs w:val="20"/>
                <w:color w:val="auto"/>
              </w:rPr>
            </w:pPr>
            <w:r>
              <w:rPr>
                <w:rFonts w:ascii="Arial" w:cs="Arial" w:eastAsia="Arial" w:hAnsi="Arial"/>
                <w:sz w:val="14"/>
                <w:szCs w:val="14"/>
                <w:color w:val="auto"/>
              </w:rPr>
              <w:t>3,868</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1,167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80" w:type="dxa"/>
            <w:vAlign w:val="bottom"/>
            <w:tcBorders>
              <w:right w:val="single" w:sz="8" w:color="F0FFFF"/>
            </w:tcBorders>
            <w:shd w:val="clear" w:color="auto" w:fill="F0FFFF"/>
          </w:tcPr>
          <w:p>
            <w:pPr>
              <w:spacing w:after="0" w:line="137" w:lineRule="exact"/>
              <w:rPr>
                <w:sz w:val="20"/>
                <w:szCs w:val="20"/>
                <w:color w:val="auto"/>
              </w:rPr>
            </w:pPr>
            <w:r>
              <w:rPr>
                <w:rFonts w:ascii="Arial" w:cs="Arial" w:eastAsia="Arial" w:hAnsi="Arial"/>
                <w:sz w:val="14"/>
                <w:szCs w:val="14"/>
                <w:color w:val="auto"/>
              </w:rPr>
              <w:t>Income producing</w:t>
            </w:r>
          </w:p>
        </w:tc>
        <w:tc>
          <w:tcPr>
            <w:tcW w:w="10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20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6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w w:val="90"/>
              </w:rPr>
              <w:t>commercial real estate</w:t>
            </w:r>
          </w:p>
        </w:tc>
        <w:tc>
          <w:tcPr>
            <w:tcW w:w="100" w:type="dxa"/>
            <w:vAlign w:val="bottom"/>
            <w:shd w:val="clear" w:color="auto" w:fill="F0FFFF"/>
          </w:tcPr>
          <w:p>
            <w:pPr>
              <w:spacing w:after="0"/>
              <w:rPr>
                <w:sz w:val="13"/>
                <w:szCs w:val="13"/>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717</w:t>
            </w:r>
          </w:p>
        </w:tc>
        <w:tc>
          <w:tcPr>
            <w:tcW w:w="220" w:type="dxa"/>
            <w:vAlign w:val="bottom"/>
            <w:tcBorders>
              <w:right w:val="single" w:sz="8" w:color="F0FFFF"/>
            </w:tcBorders>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5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717</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1,742</w:t>
            </w:r>
          </w:p>
        </w:tc>
        <w:tc>
          <w:tcPr>
            <w:tcW w:w="180" w:type="dxa"/>
            <w:vAlign w:val="bottom"/>
            <w:shd w:val="clear" w:color="auto" w:fill="F0FFFF"/>
          </w:tcPr>
          <w:p>
            <w:pPr>
              <w:spacing w:after="0"/>
              <w:rPr>
                <w:sz w:val="13"/>
                <w:szCs w:val="13"/>
                <w:color w:val="auto"/>
              </w:rPr>
            </w:pPr>
          </w:p>
        </w:tc>
        <w:tc>
          <w:tcPr>
            <w:tcW w:w="6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42</w:t>
            </w:r>
          </w:p>
        </w:tc>
        <w:tc>
          <w:tcPr>
            <w:tcW w:w="80" w:type="dxa"/>
            <w:vAlign w:val="bottom"/>
            <w:shd w:val="clear" w:color="auto" w:fill="F0FFFF"/>
          </w:tcPr>
          <w:p>
            <w:pPr>
              <w:spacing w:after="0"/>
              <w:rPr>
                <w:sz w:val="13"/>
                <w:szCs w:val="13"/>
                <w:color w:val="auto"/>
              </w:rPr>
            </w:pPr>
          </w:p>
        </w:tc>
        <w:tc>
          <w:tcPr>
            <w:tcW w:w="60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1,784</w:t>
            </w:r>
          </w:p>
        </w:tc>
        <w:tc>
          <w:tcPr>
            <w:tcW w:w="1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132"/>
              <w:spacing w:after="0"/>
              <w:rPr>
                <w:sz w:val="20"/>
                <w:szCs w:val="20"/>
                <w:color w:val="auto"/>
              </w:rPr>
            </w:pPr>
            <w:r>
              <w:rPr>
                <w:rFonts w:ascii="Arial" w:cs="Arial" w:eastAsia="Arial" w:hAnsi="Arial"/>
                <w:sz w:val="14"/>
                <w:szCs w:val="14"/>
                <w:color w:val="auto"/>
              </w:rPr>
              <w:t>1,032</w:t>
            </w:r>
          </w:p>
        </w:tc>
        <w:tc>
          <w:tcPr>
            <w:tcW w:w="20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F0FFFF"/>
          </w:tcPr>
          <w:p>
            <w:pPr>
              <w:spacing w:after="0"/>
              <w:rPr>
                <w:sz w:val="13"/>
                <w:szCs w:val="13"/>
                <w:color w:val="auto"/>
              </w:rPr>
            </w:pPr>
          </w:p>
        </w:tc>
        <w:tc>
          <w:tcPr>
            <w:tcW w:w="6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1,274</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152"/>
              <w:spacing w:after="0"/>
              <w:rPr>
                <w:sz w:val="20"/>
                <w:szCs w:val="20"/>
                <w:color w:val="auto"/>
              </w:rPr>
            </w:pPr>
            <w:r>
              <w:rPr>
                <w:rFonts w:ascii="Arial" w:cs="Arial" w:eastAsia="Arial" w:hAnsi="Arial"/>
                <w:sz w:val="14"/>
                <w:szCs w:val="14"/>
                <w:color w:val="auto"/>
              </w:rPr>
              <w:t>1,278</w:t>
            </w:r>
          </w:p>
        </w:tc>
        <w:tc>
          <w:tcPr>
            <w:tcW w:w="20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1,645</w:t>
            </w:r>
          </w:p>
        </w:tc>
        <w:tc>
          <w:tcPr>
            <w:tcW w:w="80" w:type="dxa"/>
            <w:vAlign w:val="bottom"/>
            <w:shd w:val="clear" w:color="auto" w:fill="F0FFFF"/>
          </w:tcPr>
          <w:p>
            <w:pPr>
              <w:spacing w:after="0"/>
              <w:rPr>
                <w:sz w:val="13"/>
                <w:szCs w:val="13"/>
                <w:color w:val="auto"/>
              </w:rPr>
            </w:pPr>
          </w:p>
        </w:tc>
        <w:tc>
          <w:tcPr>
            <w:tcW w:w="62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w w:val="97"/>
              </w:rPr>
              <w:t>Commercial &amp; industrial</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1,571</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1,571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1,593</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1,593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1,102</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1,102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822</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w w:val="93"/>
              </w:rPr>
              <w:t>Commercial construction</w:t>
            </w:r>
          </w:p>
        </w:tc>
        <w:tc>
          <w:tcPr>
            <w:tcW w:w="10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15</w:t>
            </w:r>
          </w:p>
        </w:tc>
        <w:tc>
          <w:tcPr>
            <w:tcW w:w="20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98</w:t>
            </w: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148</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95</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95</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479</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Total commercial</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6,504</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370</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6,874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5,639</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1,066</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6,705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5,204</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895</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6,099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6,447</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2,812</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9,259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8,196</w:t>
            </w:r>
          </w:p>
        </w:tc>
        <w:tc>
          <w:tcPr>
            <w:tcW w:w="18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1,183</w:t>
            </w:r>
          </w:p>
        </w:tc>
        <w:tc>
          <w:tcPr>
            <w:tcW w:w="100" w:type="dxa"/>
            <w:vAlign w:val="bottom"/>
            <w:shd w:val="clear" w:color="auto" w:fill="F0FFFF"/>
          </w:tcPr>
          <w:p>
            <w:pPr>
              <w:spacing w:after="0"/>
              <w:rPr>
                <w:sz w:val="12"/>
                <w:szCs w:val="12"/>
                <w:color w:val="auto"/>
              </w:rPr>
            </w:pP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9,379</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8,350</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1,769</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10,119</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10,201</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1,426</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w w:val="97"/>
              </w:rPr>
              <w:t>11,627</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13,307</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2,146</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15,453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Home equity</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735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720</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810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510</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128</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638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1,106</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362</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w w:val="96"/>
              </w:rPr>
              <w:t>Residential construction</w:t>
            </w:r>
          </w:p>
        </w:tc>
        <w:tc>
          <w:tcPr>
            <w:tcW w:w="10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2,006</w:t>
            </w:r>
          </w:p>
        </w:tc>
        <w:tc>
          <w:tcPr>
            <w:tcW w:w="18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133</w:t>
            </w:r>
          </w:p>
        </w:tc>
        <w:tc>
          <w:tcPr>
            <w:tcW w:w="100" w:type="dxa"/>
            <w:vAlign w:val="bottom"/>
            <w:shd w:val="clear" w:color="auto" w:fill="F0FFFF"/>
          </w:tcPr>
          <w:p>
            <w:pPr>
              <w:spacing w:after="0"/>
              <w:rPr>
                <w:sz w:val="12"/>
                <w:szCs w:val="12"/>
                <w:color w:val="auto"/>
              </w:rPr>
            </w:pP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2,139</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3,543</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221</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3,764</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4,248</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520</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4,768</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3,805</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274</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171</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171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291</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Indirect auto</w:t>
            </w:r>
          </w:p>
        </w:tc>
        <w:tc>
          <w:tcPr>
            <w:tcW w:w="10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346</w:t>
            </w: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346</w:t>
            </w: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354</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354</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390</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390</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294</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NPAs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17,881</w:t>
            </w:r>
          </w:p>
        </w:tc>
        <w:tc>
          <w:tcPr>
            <w:tcW w:w="22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1,726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w w:val="97"/>
              </w:rPr>
              <w:t>19,607</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18,745</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3,146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21,891</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20,724</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2,969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7"/>
              </w:rPr>
              <w:t>23,693</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25,250</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5,594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30,844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ind w:left="160"/>
              <w:spacing w:after="0" w:line="142" w:lineRule="exact"/>
              <w:rPr>
                <w:sz w:val="20"/>
                <w:szCs w:val="20"/>
                <w:color w:val="auto"/>
              </w:rPr>
            </w:pPr>
            <w:r>
              <w:rPr>
                <w:rFonts w:ascii="Arial" w:cs="Arial" w:eastAsia="Arial" w:hAnsi="Arial"/>
                <w:sz w:val="14"/>
                <w:szCs w:val="14"/>
                <w:b w:val="1"/>
                <w:bCs w:val="1"/>
                <w:color w:val="auto"/>
              </w:rPr>
              <w:t>Balance as a % of</w:t>
            </w:r>
          </w:p>
        </w:tc>
        <w:tc>
          <w:tcPr>
            <w:tcW w:w="10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20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Unpaid Principal</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69.9%</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54.1%</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68.1%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68.6%</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54.5%</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66.1%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66.5%</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50.4%</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63.9%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65.8%</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53.9%</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8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20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b w:val="1"/>
                <w:bCs w:val="1"/>
                <w:color w:val="auto"/>
              </w:rPr>
              <w:t>BY MARKET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North Georgia</w:t>
            </w:r>
          </w:p>
        </w:tc>
        <w:tc>
          <w:tcPr>
            <w:tcW w:w="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5,669</w:t>
            </w:r>
          </w:p>
        </w:tc>
        <w:tc>
          <w:tcPr>
            <w:tcW w:w="180" w:type="dxa"/>
            <w:vAlign w:val="bottom"/>
            <w:shd w:val="clear" w:color="auto" w:fill="F0FFFF"/>
          </w:tcPr>
          <w:p>
            <w:pPr>
              <w:jc w:val="right"/>
              <w:ind w:right="63"/>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711</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6,380</w:t>
            </w:r>
          </w:p>
        </w:tc>
        <w:tc>
          <w:tcPr>
            <w:tcW w:w="200" w:type="dxa"/>
            <w:vAlign w:val="bottom"/>
            <w:gridSpan w:val="2"/>
            <w:shd w:val="clear" w:color="auto" w:fill="F0FF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7,392</w:t>
            </w:r>
          </w:p>
        </w:tc>
        <w:tc>
          <w:tcPr>
            <w:tcW w:w="1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1,717</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9,109</w:t>
            </w:r>
          </w:p>
        </w:tc>
        <w:tc>
          <w:tcPr>
            <w:tcW w:w="22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8,216</w:t>
            </w:r>
          </w:p>
        </w:tc>
        <w:tc>
          <w:tcPr>
            <w:tcW w:w="2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1,392</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9,608</w:t>
            </w:r>
          </w:p>
        </w:tc>
        <w:tc>
          <w:tcPr>
            <w:tcW w:w="200" w:type="dxa"/>
            <w:vAlign w:val="bottom"/>
            <w:gridSpan w:val="2"/>
            <w:shd w:val="clear" w:color="auto" w:fill="F0FF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12,166</w:t>
            </w:r>
          </w:p>
        </w:tc>
        <w:tc>
          <w:tcPr>
            <w:tcW w:w="2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2,058</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14,224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Atlanta MSA</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1,837</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372</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2,209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1,724</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364</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2,088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3,883</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510</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4,393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2,916</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904</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3,820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North Carolina</w:t>
            </w:r>
          </w:p>
        </w:tc>
        <w:tc>
          <w:tcPr>
            <w:tcW w:w="10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5,221</w:t>
            </w:r>
          </w:p>
        </w:tc>
        <w:tc>
          <w:tcPr>
            <w:tcW w:w="18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234</w:t>
            </w:r>
          </w:p>
        </w:tc>
        <w:tc>
          <w:tcPr>
            <w:tcW w:w="100" w:type="dxa"/>
            <w:vAlign w:val="bottom"/>
            <w:shd w:val="clear" w:color="auto" w:fill="F0FFFF"/>
          </w:tcPr>
          <w:p>
            <w:pPr>
              <w:spacing w:after="0"/>
              <w:rPr>
                <w:sz w:val="12"/>
                <w:szCs w:val="12"/>
                <w:color w:val="auto"/>
              </w:rPr>
            </w:pP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5,455</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4,919</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398</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5,317</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5,314</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615</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5,929</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6,501</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866</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7,367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Coastal Georgia</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904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781</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160</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941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782</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862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800</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1,607</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Gainesville MSA</w:t>
            </w:r>
          </w:p>
        </w:tc>
        <w:tc>
          <w:tcPr>
            <w:tcW w:w="10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1,310</w:t>
            </w:r>
          </w:p>
        </w:tc>
        <w:tc>
          <w:tcPr>
            <w:tcW w:w="18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F0FFFF"/>
          </w:tcPr>
          <w:p>
            <w:pPr>
              <w:spacing w:after="0"/>
              <w:rPr>
                <w:sz w:val="12"/>
                <w:szCs w:val="12"/>
                <w:color w:val="auto"/>
              </w:rPr>
            </w:pP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1,391</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1,403</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1,488</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921</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970</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1,145</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East Tennessee</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1,414</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201</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1,615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1,227</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245</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1,472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1,218</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323</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1,541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1,428</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159</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80" w:type="dxa"/>
            <w:vAlign w:val="bottom"/>
            <w:tcBorders>
              <w:right w:val="single" w:sz="8" w:color="F0FFFF"/>
            </w:tcBorders>
            <w:shd w:val="clear" w:color="auto" w:fill="F0FFFF"/>
          </w:tcPr>
          <w:p>
            <w:pPr>
              <w:spacing w:after="0" w:line="137" w:lineRule="exact"/>
              <w:rPr>
                <w:sz w:val="20"/>
                <w:szCs w:val="20"/>
                <w:color w:val="auto"/>
              </w:rPr>
            </w:pPr>
            <w:r>
              <w:rPr>
                <w:rFonts w:ascii="Arial" w:cs="Arial" w:eastAsia="Arial" w:hAnsi="Arial"/>
                <w:sz w:val="14"/>
                <w:szCs w:val="14"/>
                <w:color w:val="auto"/>
              </w:rPr>
              <w:t>South Carolina /</w:t>
            </w:r>
          </w:p>
        </w:tc>
        <w:tc>
          <w:tcPr>
            <w:tcW w:w="10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20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6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Specialized Lending</w:t>
            </w:r>
          </w:p>
        </w:tc>
        <w:tc>
          <w:tcPr>
            <w:tcW w:w="100" w:type="dxa"/>
            <w:vAlign w:val="bottom"/>
            <w:shd w:val="clear" w:color="auto" w:fill="F0FFFF"/>
          </w:tcPr>
          <w:p>
            <w:pPr>
              <w:spacing w:after="0"/>
              <w:rPr>
                <w:sz w:val="13"/>
                <w:szCs w:val="13"/>
                <w:color w:val="auto"/>
              </w:rPr>
            </w:pPr>
          </w:p>
        </w:tc>
        <w:tc>
          <w:tcPr>
            <w:tcW w:w="7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1,285</w:t>
            </w:r>
          </w:p>
        </w:tc>
        <w:tc>
          <w:tcPr>
            <w:tcW w:w="18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F0FFFF"/>
          </w:tcPr>
          <w:p>
            <w:pPr>
              <w:spacing w:after="0"/>
              <w:rPr>
                <w:sz w:val="13"/>
                <w:szCs w:val="13"/>
                <w:color w:val="auto"/>
              </w:rPr>
            </w:pPr>
          </w:p>
        </w:tc>
        <w:tc>
          <w:tcPr>
            <w:tcW w:w="5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1,307</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945</w:t>
            </w:r>
          </w:p>
        </w:tc>
        <w:tc>
          <w:tcPr>
            <w:tcW w:w="180" w:type="dxa"/>
            <w:vAlign w:val="bottom"/>
            <w:shd w:val="clear" w:color="auto" w:fill="F0FFFF"/>
          </w:tcPr>
          <w:p>
            <w:pPr>
              <w:spacing w:after="0"/>
              <w:rPr>
                <w:sz w:val="13"/>
                <w:szCs w:val="13"/>
                <w:color w:val="auto"/>
              </w:rPr>
            </w:pPr>
          </w:p>
        </w:tc>
        <w:tc>
          <w:tcPr>
            <w:tcW w:w="6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177</w:t>
            </w:r>
          </w:p>
        </w:tc>
        <w:tc>
          <w:tcPr>
            <w:tcW w:w="80" w:type="dxa"/>
            <w:vAlign w:val="bottom"/>
            <w:shd w:val="clear" w:color="auto" w:fill="F0FFFF"/>
          </w:tcPr>
          <w:p>
            <w:pPr>
              <w:spacing w:after="0"/>
              <w:rPr>
                <w:sz w:val="13"/>
                <w:szCs w:val="13"/>
                <w:color w:val="auto"/>
              </w:rPr>
            </w:pPr>
          </w:p>
        </w:tc>
        <w:tc>
          <w:tcPr>
            <w:tcW w:w="60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6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152"/>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62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Indirect auto</w:t>
            </w:r>
          </w:p>
        </w:tc>
        <w:tc>
          <w:tcPr>
            <w:tcW w:w="10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346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354</w:t>
            </w:r>
          </w:p>
        </w:tc>
        <w:tc>
          <w:tcPr>
            <w:tcW w:w="18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354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390</w:t>
            </w:r>
          </w:p>
        </w:tc>
        <w:tc>
          <w:tcPr>
            <w:tcW w:w="2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390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294</w:t>
            </w:r>
          </w:p>
        </w:tc>
        <w:tc>
          <w:tcPr>
            <w:tcW w:w="2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tcBorders>
              <w:bottom w:val="single" w:sz="8" w:color="F0FFFF"/>
              <w:right w:val="single" w:sz="8" w:color="F0FFFF"/>
            </w:tcBorders>
            <w:shd w:val="clear" w:color="auto" w:fill="F0FFFF"/>
          </w:tcPr>
          <w:p>
            <w:pPr>
              <w:ind w:left="160"/>
              <w:spacing w:after="0" w:line="149" w:lineRule="exact"/>
              <w:rPr>
                <w:sz w:val="20"/>
                <w:szCs w:val="20"/>
                <w:color w:val="auto"/>
              </w:rPr>
            </w:pPr>
            <w:r>
              <w:rPr>
                <w:rFonts w:ascii="Arial" w:cs="Arial" w:eastAsia="Arial" w:hAnsi="Arial"/>
                <w:sz w:val="14"/>
                <w:szCs w:val="14"/>
                <w:b w:val="1"/>
                <w:bCs w:val="1"/>
                <w:color w:val="auto"/>
              </w:rPr>
              <w:t>Total NPAs</w:t>
            </w:r>
          </w:p>
        </w:tc>
        <w:tc>
          <w:tcPr>
            <w:tcW w:w="10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17,881</w:t>
            </w:r>
          </w:p>
        </w:tc>
        <w:tc>
          <w:tcPr>
            <w:tcW w:w="220" w:type="dxa"/>
            <w:vAlign w:val="bottom"/>
            <w:tcBorders>
              <w:bottom w:val="single" w:sz="8" w:color="F0FFFF"/>
              <w:right w:val="single" w:sz="8" w:color="F0FFFF"/>
            </w:tcBorders>
            <w:shd w:val="clear" w:color="auto" w:fill="F0FFFF"/>
          </w:tcPr>
          <w:p>
            <w:pPr>
              <w:spacing w:after="0"/>
              <w:rPr>
                <w:sz w:val="16"/>
                <w:szCs w:val="16"/>
                <w:color w:val="auto"/>
              </w:rPr>
            </w:pPr>
          </w:p>
        </w:tc>
        <w:tc>
          <w:tcPr>
            <w:tcW w:w="180" w:type="dxa"/>
            <w:vAlign w:val="bottom"/>
            <w:tcBorders>
              <w:top w:val="single" w:sz="8" w:color="auto"/>
              <w:bottom w:val="single" w:sz="8" w:color="auto"/>
            </w:tcBorders>
            <w:shd w:val="clear" w:color="auto" w:fill="F0FFFF"/>
          </w:tcPr>
          <w:p>
            <w:pPr>
              <w:jc w:val="right"/>
              <w:ind w:right="63"/>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1,726</w:t>
            </w:r>
          </w:p>
        </w:tc>
        <w:tc>
          <w:tcPr>
            <w:tcW w:w="200" w:type="dxa"/>
            <w:vAlign w:val="bottom"/>
            <w:tcBorders>
              <w:bottom w:val="single" w:sz="8" w:color="F0FFFF"/>
              <w:right w:val="single" w:sz="8" w:color="auto"/>
            </w:tcBorders>
            <w:shd w:val="clear" w:color="auto" w:fill="F0FFFF"/>
          </w:tcPr>
          <w:p>
            <w:pPr>
              <w:spacing w:after="0"/>
              <w:rPr>
                <w:sz w:val="16"/>
                <w:szCs w:val="16"/>
                <w:color w:val="auto"/>
              </w:rPr>
            </w:pPr>
          </w:p>
        </w:tc>
        <w:tc>
          <w:tcPr>
            <w:tcW w:w="1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7"/>
              </w:rPr>
              <w:t>19,607</w:t>
            </w:r>
          </w:p>
        </w:tc>
        <w:tc>
          <w:tcPr>
            <w:tcW w:w="140" w:type="dxa"/>
            <w:vAlign w:val="bottom"/>
            <w:tcBorders>
              <w:bottom w:val="single" w:sz="8" w:color="F0FFFF"/>
              <w:right w:val="single" w:sz="8" w:color="auto"/>
            </w:tcBorders>
            <w:shd w:val="clear" w:color="auto" w:fill="F0FFFF"/>
          </w:tcPr>
          <w:p>
            <w:pPr>
              <w:spacing w:after="0"/>
              <w:rPr>
                <w:sz w:val="16"/>
                <w:szCs w:val="16"/>
                <w:color w:val="auto"/>
              </w:rPr>
            </w:pPr>
          </w:p>
        </w:tc>
        <w:tc>
          <w:tcPr>
            <w:tcW w:w="8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18,745</w:t>
            </w:r>
          </w:p>
        </w:tc>
        <w:tc>
          <w:tcPr>
            <w:tcW w:w="220" w:type="dxa"/>
            <w:vAlign w:val="bottom"/>
            <w:tcBorders>
              <w:bottom w:val="single" w:sz="8" w:color="F0FFFF"/>
              <w:right w:val="single" w:sz="8" w:color="F0FFFF"/>
            </w:tcBorders>
            <w:shd w:val="clear" w:color="auto" w:fill="F0FFFF"/>
          </w:tcPr>
          <w:p>
            <w:pPr>
              <w:spacing w:after="0"/>
              <w:rPr>
                <w:sz w:val="16"/>
                <w:szCs w:val="16"/>
                <w:color w:val="auto"/>
              </w:rPr>
            </w:pPr>
          </w:p>
        </w:tc>
        <w:tc>
          <w:tcPr>
            <w:tcW w:w="18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3,146</w:t>
            </w:r>
          </w:p>
        </w:tc>
        <w:tc>
          <w:tcPr>
            <w:tcW w:w="220" w:type="dxa"/>
            <w:vAlign w:val="bottom"/>
            <w:tcBorders>
              <w:bottom w:val="single" w:sz="8" w:color="F0FFFF"/>
              <w:right w:val="single" w:sz="8" w:color="auto"/>
            </w:tcBorders>
            <w:shd w:val="clear" w:color="auto" w:fill="F0FFFF"/>
          </w:tcPr>
          <w:p>
            <w:pPr>
              <w:spacing w:after="0"/>
              <w:rPr>
                <w:sz w:val="16"/>
                <w:szCs w:val="16"/>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21,891</w:t>
            </w:r>
          </w:p>
        </w:tc>
        <w:tc>
          <w:tcPr>
            <w:tcW w:w="140" w:type="dxa"/>
            <w:vAlign w:val="bottom"/>
            <w:tcBorders>
              <w:bottom w:val="single" w:sz="8" w:color="F0FFFF"/>
              <w:right w:val="single" w:sz="8" w:color="auto"/>
            </w:tcBorders>
            <w:shd w:val="clear" w:color="auto" w:fill="F0FFFF"/>
          </w:tcPr>
          <w:p>
            <w:pPr>
              <w:spacing w:after="0"/>
              <w:rPr>
                <w:sz w:val="16"/>
                <w:szCs w:val="16"/>
                <w:color w:val="auto"/>
              </w:rPr>
            </w:pPr>
          </w:p>
        </w:tc>
        <w:tc>
          <w:tcPr>
            <w:tcW w:w="10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20,724</w:t>
            </w:r>
          </w:p>
        </w:tc>
        <w:tc>
          <w:tcPr>
            <w:tcW w:w="200" w:type="dxa"/>
            <w:vAlign w:val="bottom"/>
            <w:tcBorders>
              <w:bottom w:val="single" w:sz="8" w:color="F0FFFF"/>
            </w:tcBorders>
            <w:shd w:val="clear" w:color="auto" w:fill="F0FFFF"/>
          </w:tcPr>
          <w:p>
            <w:pPr>
              <w:spacing w:after="0"/>
              <w:rPr>
                <w:sz w:val="16"/>
                <w:szCs w:val="16"/>
                <w:color w:val="auto"/>
              </w:rPr>
            </w:pPr>
          </w:p>
        </w:tc>
        <w:tc>
          <w:tcPr>
            <w:tcW w:w="20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2,969</w:t>
            </w:r>
          </w:p>
        </w:tc>
        <w:tc>
          <w:tcPr>
            <w:tcW w:w="220" w:type="dxa"/>
            <w:vAlign w:val="bottom"/>
            <w:tcBorders>
              <w:bottom w:val="single" w:sz="8" w:color="F0FFFF"/>
              <w:right w:val="single" w:sz="8" w:color="auto"/>
            </w:tcBorders>
            <w:shd w:val="clear" w:color="auto" w:fill="F0FFFF"/>
          </w:tcPr>
          <w:p>
            <w:pPr>
              <w:spacing w:after="0"/>
              <w:rPr>
                <w:sz w:val="16"/>
                <w:szCs w:val="16"/>
                <w:color w:val="auto"/>
              </w:rPr>
            </w:pPr>
          </w:p>
        </w:tc>
        <w:tc>
          <w:tcPr>
            <w:tcW w:w="1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7"/>
              </w:rPr>
              <w:t>23,693</w:t>
            </w:r>
          </w:p>
        </w:tc>
        <w:tc>
          <w:tcPr>
            <w:tcW w:w="160" w:type="dxa"/>
            <w:vAlign w:val="bottom"/>
            <w:tcBorders>
              <w:bottom w:val="single" w:sz="8" w:color="F0FFFF"/>
              <w:right w:val="single" w:sz="8" w:color="auto"/>
            </w:tcBorders>
            <w:shd w:val="clear" w:color="auto" w:fill="F0FFFF"/>
          </w:tcPr>
          <w:p>
            <w:pPr>
              <w:spacing w:after="0"/>
              <w:rPr>
                <w:sz w:val="16"/>
                <w:szCs w:val="16"/>
                <w:color w:val="auto"/>
              </w:rPr>
            </w:pPr>
          </w:p>
        </w:tc>
        <w:tc>
          <w:tcPr>
            <w:tcW w:w="8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25,250</w:t>
            </w:r>
          </w:p>
        </w:tc>
        <w:tc>
          <w:tcPr>
            <w:tcW w:w="220" w:type="dxa"/>
            <w:vAlign w:val="bottom"/>
            <w:tcBorders>
              <w:bottom w:val="single" w:sz="8" w:color="F0FFFF"/>
            </w:tcBorders>
            <w:shd w:val="clear" w:color="auto" w:fill="F0FFFF"/>
          </w:tcPr>
          <w:p>
            <w:pPr>
              <w:spacing w:after="0"/>
              <w:rPr>
                <w:sz w:val="16"/>
                <w:szCs w:val="16"/>
                <w:color w:val="auto"/>
              </w:rPr>
            </w:pPr>
          </w:p>
        </w:tc>
        <w:tc>
          <w:tcPr>
            <w:tcW w:w="20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5,594</w:t>
            </w:r>
          </w:p>
        </w:tc>
        <w:tc>
          <w:tcPr>
            <w:tcW w:w="220" w:type="dxa"/>
            <w:vAlign w:val="bottom"/>
            <w:tcBorders>
              <w:bottom w:val="single" w:sz="8" w:color="F0FFFF"/>
              <w:right w:val="single" w:sz="8" w:color="auto"/>
            </w:tcBorders>
            <w:shd w:val="clear" w:color="auto" w:fill="F0FFFF"/>
          </w:tcPr>
          <w:p>
            <w:pPr>
              <w:spacing w:after="0"/>
              <w:rPr>
                <w:sz w:val="16"/>
                <w:szCs w:val="16"/>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30,844</w:t>
            </w:r>
          </w:p>
        </w:tc>
        <w:tc>
          <w:tcPr>
            <w:tcW w:w="140" w:type="dxa"/>
            <w:vAlign w:val="bottom"/>
            <w:tcBorders>
              <w:bottom w:val="single" w:sz="8" w:color="F0FFFF"/>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September 30, 2013</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0"/>
              </w:rPr>
              <w:t>June 30, 2013</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0"/>
              </w:rPr>
              <w:t>March 31, 2013</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Nonaccrual</w:t>
            </w:r>
          </w:p>
        </w:tc>
        <w:tc>
          <w:tcPr>
            <w:tcW w:w="820" w:type="dxa"/>
            <w:vAlign w:val="bottom"/>
            <w:tcBorders>
              <w:right w:val="single" w:sz="8" w:color="auto"/>
            </w:tcBorders>
            <w:gridSpan w:val="3"/>
          </w:tcPr>
          <w:p>
            <w:pPr>
              <w:jc w:val="right"/>
              <w:ind w:right="200"/>
              <w:spacing w:after="0" w:line="135" w:lineRule="exact"/>
              <w:rPr>
                <w:sz w:val="20"/>
                <w:szCs w:val="20"/>
                <w:color w:val="auto"/>
              </w:rPr>
            </w:pPr>
            <w:r>
              <w:rPr>
                <w:rFonts w:ascii="Arial" w:cs="Arial" w:eastAsia="Arial" w:hAnsi="Arial"/>
                <w:sz w:val="14"/>
                <w:szCs w:val="14"/>
                <w:b w:val="1"/>
                <w:bCs w:val="1"/>
                <w:color w:val="auto"/>
                <w:w w:val="80"/>
              </w:rPr>
              <w:t>Foreclosed</w:t>
            </w:r>
          </w:p>
        </w:tc>
        <w:tc>
          <w:tcPr>
            <w:tcW w:w="10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Nonaccrual</w:t>
            </w:r>
          </w:p>
        </w:tc>
        <w:tc>
          <w:tcPr>
            <w:tcW w:w="84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Foreclosed</w:t>
            </w:r>
          </w:p>
        </w:tc>
        <w:tc>
          <w:tcPr>
            <w:tcW w:w="80" w:type="dxa"/>
            <w:vAlign w:val="bottom"/>
          </w:tcPr>
          <w:p>
            <w:pPr>
              <w:spacing w:after="0"/>
              <w:rPr>
                <w:sz w:val="11"/>
                <w:szCs w:val="11"/>
                <w:color w:val="auto"/>
              </w:rPr>
            </w:pPr>
          </w:p>
        </w:tc>
        <w:tc>
          <w:tcPr>
            <w:tcW w:w="600" w:type="dxa"/>
            <w:vAlign w:val="bottom"/>
            <w:tcBorders>
              <w:right w:val="single" w:sz="8" w:color="auto"/>
            </w:tcBorders>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Nonaccrual</w:t>
            </w:r>
          </w:p>
        </w:tc>
        <w:tc>
          <w:tcPr>
            <w:tcW w:w="84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1"/>
                <w:szCs w:val="11"/>
                <w:color w:val="auto"/>
              </w:rPr>
            </w:pPr>
          </w:p>
        </w:tc>
        <w:tc>
          <w:tcPr>
            <w:tcW w:w="600" w:type="dxa"/>
            <w:vAlign w:val="bottom"/>
            <w:tcBorders>
              <w:right w:val="single" w:sz="8" w:color="auto"/>
            </w:tcBorders>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Nonaccrual</w:t>
            </w:r>
          </w:p>
        </w:tc>
        <w:tc>
          <w:tcPr>
            <w:tcW w:w="84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Foreclosed</w:t>
            </w:r>
          </w:p>
        </w:tc>
        <w:tc>
          <w:tcPr>
            <w:tcW w:w="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Loans</w:t>
            </w:r>
          </w:p>
        </w:tc>
        <w:tc>
          <w:tcPr>
            <w:tcW w:w="8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3"/>
              </w:rPr>
              <w:t>Properties</w:t>
            </w:r>
          </w:p>
        </w:tc>
        <w:tc>
          <w:tcPr>
            <w:tcW w:w="10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5"/>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Loans</w:t>
            </w: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5"/>
              </w:rPr>
              <w:t>NPAs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92"/>
              </w:rPr>
              <w:t>Loans</w:t>
            </w:r>
          </w:p>
        </w:tc>
        <w:tc>
          <w:tcPr>
            <w:tcW w:w="8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5"/>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2"/>
              </w:rPr>
              <w:t>Loans</w:t>
            </w:r>
          </w:p>
        </w:tc>
        <w:tc>
          <w:tcPr>
            <w:tcW w:w="84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0"/>
              </w:rPr>
              <w:t>NPAs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BY CATEGORY</w:t>
            </w:r>
          </w:p>
        </w:tc>
        <w:tc>
          <w:tcPr>
            <w:tcW w:w="100" w:type="dxa"/>
            <w:vAlign w:val="bottom"/>
            <w:tcBorders>
              <w:top w:val="single" w:sz="8" w:color="auto"/>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440" w:type="dxa"/>
            <w:vAlign w:val="bottom"/>
            <w:tcBorders>
              <w:top w:val="single" w:sz="8" w:color="auto"/>
            </w:tcBorders>
            <w:shd w:val="clear" w:color="auto" w:fill="F0FFFF"/>
          </w:tcPr>
          <w:p>
            <w:pPr>
              <w:spacing w:after="0"/>
              <w:rPr>
                <w:sz w:val="12"/>
                <w:szCs w:val="12"/>
                <w:color w:val="auto"/>
              </w:rPr>
            </w:pPr>
          </w:p>
        </w:tc>
        <w:tc>
          <w:tcPr>
            <w:tcW w:w="200" w:type="dxa"/>
            <w:vAlign w:val="bottom"/>
            <w:tcBorders>
              <w:right w:val="single" w:sz="8" w:color="auto"/>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440" w:type="dxa"/>
            <w:vAlign w:val="bottom"/>
            <w:tcBorders>
              <w:top w:val="single" w:sz="8" w:color="auto"/>
            </w:tcBorders>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44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460" w:type="dxa"/>
            <w:vAlign w:val="bottom"/>
            <w:tcBorders>
              <w:top w:val="single" w:sz="8" w:color="auto"/>
            </w:tcBorders>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0" w:type="dxa"/>
            <w:vAlign w:val="bottom"/>
            <w:tcBorders>
              <w:top w:val="single" w:sz="8" w:color="auto"/>
            </w:tcBorders>
            <w:shd w:val="clear" w:color="auto" w:fill="F0FFFF"/>
          </w:tcPr>
          <w:p>
            <w:pPr>
              <w:spacing w:after="0"/>
              <w:rPr>
                <w:sz w:val="12"/>
                <w:szCs w:val="12"/>
                <w:color w:val="auto"/>
              </w:rPr>
            </w:pPr>
          </w:p>
        </w:tc>
        <w:tc>
          <w:tcPr>
            <w:tcW w:w="42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440" w:type="dxa"/>
            <w:vAlign w:val="bottom"/>
            <w:tcBorders>
              <w:top w:val="single" w:sz="8" w:color="auto"/>
            </w:tcBorders>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46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80" w:type="dxa"/>
            <w:vAlign w:val="bottom"/>
          </w:tcPr>
          <w:p>
            <w:pPr>
              <w:spacing w:after="0" w:line="137" w:lineRule="exact"/>
              <w:rPr>
                <w:sz w:val="20"/>
                <w:szCs w:val="20"/>
                <w:color w:val="auto"/>
              </w:rPr>
            </w:pPr>
            <w:r>
              <w:rPr>
                <w:rFonts w:ascii="Arial" w:cs="Arial" w:eastAsia="Arial" w:hAnsi="Arial"/>
                <w:sz w:val="14"/>
                <w:szCs w:val="14"/>
                <w:color w:val="auto"/>
              </w:rPr>
              <w:t>Owner occupied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w w:val="90"/>
              </w:rPr>
              <w:t>commercial real estate</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5,822</w:t>
            </w:r>
          </w:p>
        </w:tc>
        <w:tc>
          <w:tcPr>
            <w:tcW w:w="180" w:type="dxa"/>
            <w:vAlign w:val="bottom"/>
          </w:tcPr>
          <w:p>
            <w:pPr>
              <w:jc w:val="right"/>
              <w:ind w:right="63"/>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832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6,654</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6,358</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591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6,949</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color w:val="auto"/>
              </w:rPr>
              <w:t>5,283</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547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5,830</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52"/>
              <w:spacing w:after="0"/>
              <w:rPr>
                <w:sz w:val="20"/>
                <w:szCs w:val="20"/>
                <w:color w:val="auto"/>
              </w:rPr>
            </w:pPr>
            <w:r>
              <w:rPr>
                <w:rFonts w:ascii="Arial" w:cs="Arial" w:eastAsia="Arial" w:hAnsi="Arial"/>
                <w:sz w:val="14"/>
                <w:szCs w:val="14"/>
                <w:color w:val="auto"/>
              </w:rPr>
              <w:t>8,142</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4,750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12,892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80" w:type="dxa"/>
            <w:vAlign w:val="bottom"/>
            <w:tcBorders>
              <w:right w:val="single" w:sz="8" w:color="F0FFFF"/>
            </w:tcBorders>
            <w:shd w:val="clear" w:color="auto" w:fill="F0FFFF"/>
          </w:tcPr>
          <w:p>
            <w:pPr>
              <w:spacing w:after="0" w:line="137" w:lineRule="exact"/>
              <w:rPr>
                <w:sz w:val="20"/>
                <w:szCs w:val="20"/>
                <w:color w:val="auto"/>
              </w:rPr>
            </w:pPr>
            <w:r>
              <w:rPr>
                <w:rFonts w:ascii="Arial" w:cs="Arial" w:eastAsia="Arial" w:hAnsi="Arial"/>
                <w:sz w:val="14"/>
                <w:szCs w:val="14"/>
                <w:color w:val="auto"/>
              </w:rPr>
              <w:t>Income producing</w:t>
            </w:r>
          </w:p>
        </w:tc>
        <w:tc>
          <w:tcPr>
            <w:tcW w:w="10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20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6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w w:val="90"/>
              </w:rPr>
              <w:t>commercial real estate</w:t>
            </w:r>
          </w:p>
        </w:tc>
        <w:tc>
          <w:tcPr>
            <w:tcW w:w="100" w:type="dxa"/>
            <w:vAlign w:val="bottom"/>
            <w:shd w:val="clear" w:color="auto" w:fill="F0FFFF"/>
          </w:tcPr>
          <w:p>
            <w:pPr>
              <w:spacing w:after="0"/>
              <w:rPr>
                <w:sz w:val="13"/>
                <w:szCs w:val="13"/>
                <w:color w:val="auto"/>
              </w:rPr>
            </w:pPr>
          </w:p>
        </w:tc>
        <w:tc>
          <w:tcPr>
            <w:tcW w:w="7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2,518</w:t>
            </w:r>
          </w:p>
        </w:tc>
        <w:tc>
          <w:tcPr>
            <w:tcW w:w="18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5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2,518</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1,657</w:t>
            </w:r>
          </w:p>
        </w:tc>
        <w:tc>
          <w:tcPr>
            <w:tcW w:w="180" w:type="dxa"/>
            <w:vAlign w:val="bottom"/>
            <w:shd w:val="clear" w:color="auto" w:fill="F0FFFF"/>
          </w:tcPr>
          <w:p>
            <w:pPr>
              <w:spacing w:after="0"/>
              <w:rPr>
                <w:sz w:val="13"/>
                <w:szCs w:val="13"/>
                <w:color w:val="auto"/>
              </w:rPr>
            </w:pPr>
          </w:p>
        </w:tc>
        <w:tc>
          <w:tcPr>
            <w:tcW w:w="6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139</w:t>
            </w:r>
          </w:p>
        </w:tc>
        <w:tc>
          <w:tcPr>
            <w:tcW w:w="80" w:type="dxa"/>
            <w:vAlign w:val="bottom"/>
            <w:shd w:val="clear" w:color="auto" w:fill="F0FFFF"/>
          </w:tcPr>
          <w:p>
            <w:pPr>
              <w:spacing w:after="0"/>
              <w:rPr>
                <w:sz w:val="13"/>
                <w:szCs w:val="13"/>
                <w:color w:val="auto"/>
              </w:rPr>
            </w:pPr>
          </w:p>
        </w:tc>
        <w:tc>
          <w:tcPr>
            <w:tcW w:w="60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132"/>
              <w:spacing w:after="0"/>
              <w:rPr>
                <w:sz w:val="20"/>
                <w:szCs w:val="20"/>
                <w:color w:val="auto"/>
              </w:rPr>
            </w:pPr>
            <w:r>
              <w:rPr>
                <w:rFonts w:ascii="Arial" w:cs="Arial" w:eastAsia="Arial" w:hAnsi="Arial"/>
                <w:sz w:val="14"/>
                <w:szCs w:val="14"/>
                <w:color w:val="auto"/>
              </w:rPr>
              <w:t>1,954</w:t>
            </w:r>
          </w:p>
        </w:tc>
        <w:tc>
          <w:tcPr>
            <w:tcW w:w="20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6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1,954</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152"/>
              <w:spacing w:after="0"/>
              <w:rPr>
                <w:sz w:val="20"/>
                <w:szCs w:val="20"/>
                <w:color w:val="auto"/>
              </w:rPr>
            </w:pPr>
            <w:r>
              <w:rPr>
                <w:rFonts w:ascii="Arial" w:cs="Arial" w:eastAsia="Arial" w:hAnsi="Arial"/>
                <w:sz w:val="14"/>
                <w:szCs w:val="14"/>
                <w:color w:val="auto"/>
              </w:rPr>
              <w:t>9,162</w:t>
            </w:r>
          </w:p>
        </w:tc>
        <w:tc>
          <w:tcPr>
            <w:tcW w:w="160" w:type="dxa"/>
            <w:vAlign w:val="bottom"/>
            <w:shd w:val="clear" w:color="auto" w:fill="F0FFFF"/>
          </w:tcPr>
          <w:p>
            <w:pPr>
              <w:spacing w:after="0"/>
              <w:rPr>
                <w:sz w:val="13"/>
                <w:szCs w:val="13"/>
                <w:color w:val="auto"/>
              </w:rPr>
            </w:pPr>
          </w:p>
        </w:tc>
        <w:tc>
          <w:tcPr>
            <w:tcW w:w="68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834</w:t>
            </w:r>
          </w:p>
        </w:tc>
        <w:tc>
          <w:tcPr>
            <w:tcW w:w="80" w:type="dxa"/>
            <w:vAlign w:val="bottom"/>
            <w:shd w:val="clear" w:color="auto" w:fill="F0FFFF"/>
          </w:tcPr>
          <w:p>
            <w:pPr>
              <w:spacing w:after="0"/>
              <w:rPr>
                <w:sz w:val="13"/>
                <w:szCs w:val="13"/>
                <w:color w:val="auto"/>
              </w:rPr>
            </w:pPr>
          </w:p>
        </w:tc>
        <w:tc>
          <w:tcPr>
            <w:tcW w:w="62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9,996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w w:val="97"/>
              </w:rPr>
              <w:t>Commercial &amp; industrial</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427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609</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609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548</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548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29,545</w:t>
            </w:r>
          </w:p>
        </w:tc>
        <w:tc>
          <w:tcPr>
            <w:tcW w:w="1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29,545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w w:val="93"/>
              </w:rPr>
              <w:t>Commercial construction</w:t>
            </w:r>
          </w:p>
        </w:tc>
        <w:tc>
          <w:tcPr>
            <w:tcW w:w="10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361</w:t>
            </w: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361</w:t>
            </w: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343</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376</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719</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504</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376</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880</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22,359</w:t>
            </w:r>
          </w:p>
        </w:tc>
        <w:tc>
          <w:tcPr>
            <w:tcW w:w="160" w:type="dxa"/>
            <w:vAlign w:val="bottom"/>
            <w:shd w:val="clear" w:color="auto" w:fill="F0FFFF"/>
          </w:tcPr>
          <w:p>
            <w:pPr>
              <w:spacing w:after="0"/>
              <w:rPr>
                <w:sz w:val="12"/>
                <w:szCs w:val="12"/>
                <w:color w:val="auto"/>
              </w:rPr>
            </w:pPr>
          </w:p>
        </w:tc>
        <w:tc>
          <w:tcPr>
            <w:tcW w:w="68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3,027</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25,386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60"/>
              <w:spacing w:after="0" w:line="149" w:lineRule="exact"/>
              <w:rPr>
                <w:sz w:val="20"/>
                <w:szCs w:val="20"/>
                <w:color w:val="auto"/>
              </w:rPr>
            </w:pPr>
            <w:r>
              <w:rPr>
                <w:rFonts w:ascii="Arial" w:cs="Arial" w:eastAsia="Arial" w:hAnsi="Arial"/>
                <w:sz w:val="14"/>
                <w:szCs w:val="14"/>
                <w:color w:val="auto"/>
              </w:rPr>
              <w:t>Total commercial</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9,128</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832</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9,960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8,967</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1,106</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10,073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8,289</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923</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9,212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69,208</w:t>
            </w:r>
          </w:p>
        </w:tc>
        <w:tc>
          <w:tcPr>
            <w:tcW w:w="1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8,611</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77,819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11,730</w:t>
            </w: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2,684</w:t>
            </w:r>
          </w:p>
        </w:tc>
        <w:tc>
          <w:tcPr>
            <w:tcW w:w="100" w:type="dxa"/>
            <w:vAlign w:val="bottom"/>
            <w:shd w:val="clear" w:color="auto" w:fill="F0FFFF"/>
          </w:tcPr>
          <w:p>
            <w:pPr>
              <w:spacing w:after="0"/>
              <w:rPr>
                <w:sz w:val="12"/>
                <w:szCs w:val="12"/>
                <w:color w:val="auto"/>
              </w:rPr>
            </w:pP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w w:val="97"/>
              </w:rPr>
              <w:t>14,414</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11,335</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1,679</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13,014</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12,847</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1,303</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w w:val="97"/>
              </w:rPr>
              <w:t>14,150</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10,901</w:t>
            </w:r>
          </w:p>
        </w:tc>
        <w:tc>
          <w:tcPr>
            <w:tcW w:w="160" w:type="dxa"/>
            <w:vAlign w:val="bottom"/>
            <w:shd w:val="clear" w:color="auto" w:fill="F0FFFF"/>
          </w:tcPr>
          <w:p>
            <w:pPr>
              <w:spacing w:after="0"/>
              <w:rPr>
                <w:sz w:val="12"/>
                <w:szCs w:val="12"/>
                <w:color w:val="auto"/>
              </w:rPr>
            </w:pPr>
          </w:p>
        </w:tc>
        <w:tc>
          <w:tcPr>
            <w:tcW w:w="68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3,463</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14,364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Home equity</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1,448</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389</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1,837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1,169</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475</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1,644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1,491</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1,631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916</w:t>
            </w:r>
          </w:p>
        </w:tc>
        <w:tc>
          <w:tcPr>
            <w:tcW w:w="1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w w:val="96"/>
              </w:rPr>
              <w:t>Residential construction</w:t>
            </w:r>
          </w:p>
        </w:tc>
        <w:tc>
          <w:tcPr>
            <w:tcW w:w="10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4,264</w:t>
            </w:r>
          </w:p>
        </w:tc>
        <w:tc>
          <w:tcPr>
            <w:tcW w:w="18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316</w:t>
            </w:r>
          </w:p>
        </w:tc>
        <w:tc>
          <w:tcPr>
            <w:tcW w:w="100" w:type="dxa"/>
            <w:vAlign w:val="bottom"/>
            <w:shd w:val="clear" w:color="auto" w:fill="F0FFFF"/>
          </w:tcPr>
          <w:p>
            <w:pPr>
              <w:spacing w:after="0"/>
              <w:rPr>
                <w:sz w:val="12"/>
                <w:szCs w:val="12"/>
                <w:color w:val="auto"/>
              </w:rPr>
            </w:pP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4,580</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4,097</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1,207</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5,304</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4,838</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1,570</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6,408</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14,592</w:t>
            </w:r>
          </w:p>
        </w:tc>
        <w:tc>
          <w:tcPr>
            <w:tcW w:w="160" w:type="dxa"/>
            <w:vAlign w:val="bottom"/>
            <w:shd w:val="clear" w:color="auto" w:fill="F0FFFF"/>
          </w:tcPr>
          <w:p>
            <w:pPr>
              <w:spacing w:after="0"/>
              <w:rPr>
                <w:sz w:val="12"/>
                <w:szCs w:val="12"/>
                <w:color w:val="auto"/>
              </w:rPr>
            </w:pPr>
          </w:p>
        </w:tc>
        <w:tc>
          <w:tcPr>
            <w:tcW w:w="68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4,660</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19,252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249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520</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520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399</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399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389</w:t>
            </w:r>
          </w:p>
        </w:tc>
        <w:tc>
          <w:tcPr>
            <w:tcW w:w="1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Indirect auto</w:t>
            </w:r>
          </w:p>
        </w:tc>
        <w:tc>
          <w:tcPr>
            <w:tcW w:w="10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68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NPAs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26,819</w:t>
            </w:r>
          </w:p>
        </w:tc>
        <w:tc>
          <w:tcPr>
            <w:tcW w:w="22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4,221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w w:val="97"/>
              </w:rPr>
              <w:t>31,040</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26,088</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4,467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30,555</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27,864</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3,936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w w:val="97"/>
              </w:rPr>
              <w:t>31,800</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96,006</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16,734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w w:val="90"/>
              </w:rPr>
              <w:t>112,740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ind w:left="160"/>
              <w:spacing w:after="0" w:line="142" w:lineRule="exact"/>
              <w:rPr>
                <w:sz w:val="20"/>
                <w:szCs w:val="20"/>
                <w:color w:val="auto"/>
              </w:rPr>
            </w:pPr>
            <w:r>
              <w:rPr>
                <w:rFonts w:ascii="Arial" w:cs="Arial" w:eastAsia="Arial" w:hAnsi="Arial"/>
                <w:sz w:val="14"/>
                <w:szCs w:val="14"/>
                <w:b w:val="1"/>
                <w:bCs w:val="1"/>
                <w:color w:val="auto"/>
              </w:rPr>
              <w:t>Balance as a % of</w:t>
            </w:r>
          </w:p>
        </w:tc>
        <w:tc>
          <w:tcPr>
            <w:tcW w:w="10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20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16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220" w:type="dxa"/>
            <w:vAlign w:val="bottom"/>
            <w:tcBorders>
              <w:right w:val="single" w:sz="8" w:color="auto"/>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40" w:type="dxa"/>
            <w:vAlign w:val="bottom"/>
            <w:tcBorders>
              <w:right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Unpaid Principal</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65.3%</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44.5%</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61.4%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61.6%</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41.5%</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57.6%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62.6%</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31.6%</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55.8%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66.3%</w:t>
            </w:r>
          </w:p>
        </w:tc>
        <w:tc>
          <w:tcPr>
            <w:tcW w:w="1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45.0%</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48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200" w:type="dxa"/>
            <w:vAlign w:val="bottom"/>
            <w:tcBorders>
              <w:right w:val="single" w:sz="8" w:color="auto"/>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140" w:type="dxa"/>
            <w:vAlign w:val="bottom"/>
            <w:tcBorders>
              <w:right w:val="single" w:sz="8" w:color="auto"/>
            </w:tcBorders>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220" w:type="dxa"/>
            <w:vAlign w:val="bottom"/>
            <w:tcBorders>
              <w:right w:val="single" w:sz="8" w:color="auto"/>
            </w:tcBorders>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140" w:type="dxa"/>
            <w:vAlign w:val="bottom"/>
            <w:tcBorders>
              <w:right w:val="single" w:sz="8" w:color="auto"/>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220" w:type="dxa"/>
            <w:vAlign w:val="bottom"/>
            <w:tcBorders>
              <w:right w:val="single" w:sz="8" w:color="auto"/>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40" w:type="dxa"/>
            <w:vAlign w:val="bottom"/>
            <w:shd w:val="clear" w:color="auto" w:fill="F0FFFF"/>
          </w:tcPr>
          <w:p>
            <w:pPr>
              <w:spacing w:after="0"/>
              <w:rPr>
                <w:sz w:val="14"/>
                <w:szCs w:val="14"/>
                <w:color w:val="auto"/>
              </w:rPr>
            </w:pPr>
          </w:p>
        </w:tc>
        <w:tc>
          <w:tcPr>
            <w:tcW w:w="160" w:type="dxa"/>
            <w:vAlign w:val="bottom"/>
            <w:tcBorders>
              <w:right w:val="single" w:sz="8" w:color="auto"/>
            </w:tcBorders>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460" w:type="dxa"/>
            <w:vAlign w:val="bottom"/>
            <w:shd w:val="clear" w:color="auto" w:fill="F0FFFF"/>
          </w:tcPr>
          <w:p>
            <w:pPr>
              <w:spacing w:after="0"/>
              <w:rPr>
                <w:sz w:val="14"/>
                <w:szCs w:val="14"/>
                <w:color w:val="auto"/>
              </w:rPr>
            </w:pPr>
          </w:p>
        </w:tc>
        <w:tc>
          <w:tcPr>
            <w:tcW w:w="220" w:type="dxa"/>
            <w:vAlign w:val="bottom"/>
            <w:tcBorders>
              <w:right w:val="single" w:sz="8" w:color="auto"/>
            </w:tcBorders>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40" w:type="dxa"/>
            <w:vAlign w:val="bottom"/>
            <w:tcBorders>
              <w:right w:val="single" w:sz="8" w:color="auto"/>
            </w:tcBorders>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b w:val="1"/>
                <w:bCs w:val="1"/>
                <w:color w:val="auto"/>
              </w:rPr>
              <w:t>BY MARKET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North Georgia</w:t>
            </w:r>
          </w:p>
        </w:tc>
        <w:tc>
          <w:tcPr>
            <w:tcW w:w="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12,352</w:t>
            </w: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jc w:val="right"/>
              <w:ind w:right="63"/>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2,494</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w w:val="97"/>
              </w:rPr>
              <w:t>14,846</w:t>
            </w:r>
          </w:p>
        </w:tc>
        <w:tc>
          <w:tcPr>
            <w:tcW w:w="200" w:type="dxa"/>
            <w:vAlign w:val="bottom"/>
            <w:gridSpan w:val="2"/>
            <w:shd w:val="clear" w:color="auto" w:fill="F0FF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13,652</w:t>
            </w:r>
          </w:p>
        </w:tc>
        <w:tc>
          <w:tcPr>
            <w:tcW w:w="1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1,726</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15,378</w:t>
            </w:r>
          </w:p>
        </w:tc>
        <w:tc>
          <w:tcPr>
            <w:tcW w:w="220" w:type="dxa"/>
            <w:vAlign w:val="bottom"/>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12,830</w:t>
            </w:r>
          </w:p>
        </w:tc>
        <w:tc>
          <w:tcPr>
            <w:tcW w:w="2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1,617</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w w:val="97"/>
              </w:rPr>
              <w:t>14,447</w:t>
            </w:r>
          </w:p>
        </w:tc>
        <w:tc>
          <w:tcPr>
            <w:tcW w:w="200" w:type="dxa"/>
            <w:vAlign w:val="bottom"/>
            <w:gridSpan w:val="2"/>
            <w:shd w:val="clear" w:color="auto" w:fill="F0FF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63,210</w:t>
            </w:r>
          </w:p>
        </w:tc>
        <w:tc>
          <w:tcPr>
            <w:tcW w:w="1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6,616</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69,826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Atlanta MSA</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2,830</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684</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3,514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3,096</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1,026</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4,122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3,803</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1,197</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17,380</w:t>
            </w:r>
          </w:p>
        </w:tc>
        <w:tc>
          <w:tcPr>
            <w:tcW w:w="1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3,524</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20,904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North Carolina</w:t>
            </w:r>
          </w:p>
        </w:tc>
        <w:tc>
          <w:tcPr>
            <w:tcW w:w="10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6,567</w:t>
            </w:r>
          </w:p>
        </w:tc>
        <w:tc>
          <w:tcPr>
            <w:tcW w:w="18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683</w:t>
            </w:r>
          </w:p>
        </w:tc>
        <w:tc>
          <w:tcPr>
            <w:tcW w:w="100" w:type="dxa"/>
            <w:vAlign w:val="bottom"/>
            <w:shd w:val="clear" w:color="auto" w:fill="F0FFFF"/>
          </w:tcPr>
          <w:p>
            <w:pPr>
              <w:spacing w:after="0"/>
              <w:rPr>
                <w:sz w:val="12"/>
                <w:szCs w:val="12"/>
                <w:color w:val="auto"/>
              </w:rPr>
            </w:pP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7,250</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5,680</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762</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6,442</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6,512</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295</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6,807</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8,519</w:t>
            </w:r>
          </w:p>
        </w:tc>
        <w:tc>
          <w:tcPr>
            <w:tcW w:w="160" w:type="dxa"/>
            <w:vAlign w:val="bottom"/>
            <w:shd w:val="clear" w:color="auto" w:fill="F0FFFF"/>
          </w:tcPr>
          <w:p>
            <w:pPr>
              <w:spacing w:after="0"/>
              <w:rPr>
                <w:sz w:val="12"/>
                <w:szCs w:val="12"/>
                <w:color w:val="auto"/>
              </w:rPr>
            </w:pPr>
          </w:p>
        </w:tc>
        <w:tc>
          <w:tcPr>
            <w:tcW w:w="68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2,533</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11,052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Coastal Georgia</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2,342</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173</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2,515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995</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928</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1,923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2,588</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627</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3,215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3,523</w:t>
            </w:r>
          </w:p>
        </w:tc>
        <w:tc>
          <w:tcPr>
            <w:tcW w:w="1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1,449</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4,972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Gainesville MSA</w:t>
            </w:r>
          </w:p>
        </w:tc>
        <w:tc>
          <w:tcPr>
            <w:tcW w:w="100" w:type="dxa"/>
            <w:vAlign w:val="bottom"/>
            <w:shd w:val="clear" w:color="auto" w:fill="F0FFFF"/>
          </w:tcPr>
          <w:p>
            <w:pPr>
              <w:spacing w:after="0"/>
              <w:rPr>
                <w:sz w:val="12"/>
                <w:szCs w:val="12"/>
                <w:color w:val="auto"/>
              </w:rPr>
            </w:pPr>
          </w:p>
        </w:tc>
        <w:tc>
          <w:tcPr>
            <w:tcW w:w="5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928</w:t>
            </w: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58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928</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1,036</w:t>
            </w:r>
          </w:p>
        </w:tc>
        <w:tc>
          <w:tcPr>
            <w:tcW w:w="180" w:type="dxa"/>
            <w:vAlign w:val="bottom"/>
            <w:shd w:val="clear" w:color="auto" w:fill="F0FFFF"/>
          </w:tcPr>
          <w:p>
            <w:pPr>
              <w:spacing w:after="0"/>
              <w:rPr>
                <w:sz w:val="12"/>
                <w:szCs w:val="12"/>
                <w:color w:val="auto"/>
              </w:rPr>
            </w:pPr>
          </w:p>
        </w:tc>
        <w:tc>
          <w:tcPr>
            <w:tcW w:w="66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1,036</w:t>
            </w: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32"/>
              <w:spacing w:after="0" w:line="149" w:lineRule="exact"/>
              <w:rPr>
                <w:sz w:val="20"/>
                <w:szCs w:val="20"/>
                <w:color w:val="auto"/>
              </w:rPr>
            </w:pPr>
            <w:r>
              <w:rPr>
                <w:rFonts w:ascii="Arial" w:cs="Arial" w:eastAsia="Arial" w:hAnsi="Arial"/>
                <w:sz w:val="14"/>
                <w:szCs w:val="14"/>
                <w:color w:val="auto"/>
              </w:rPr>
              <w:t>1,008</w:t>
            </w:r>
          </w:p>
        </w:tc>
        <w:tc>
          <w:tcPr>
            <w:tcW w:w="200" w:type="dxa"/>
            <w:vAlign w:val="bottom"/>
            <w:shd w:val="clear" w:color="auto" w:fill="F0FFFF"/>
          </w:tcPr>
          <w:p>
            <w:pPr>
              <w:spacing w:after="0"/>
              <w:rPr>
                <w:sz w:val="12"/>
                <w:szCs w:val="12"/>
                <w:color w:val="auto"/>
              </w:rPr>
            </w:pPr>
          </w:p>
        </w:tc>
        <w:tc>
          <w:tcPr>
            <w:tcW w:w="64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600" w:type="dxa"/>
            <w:vAlign w:val="bottom"/>
            <w:tcBorders>
              <w:right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1,008</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52"/>
              <w:spacing w:after="0" w:line="149" w:lineRule="exact"/>
              <w:rPr>
                <w:sz w:val="20"/>
                <w:szCs w:val="20"/>
                <w:color w:val="auto"/>
              </w:rPr>
            </w:pPr>
            <w:r>
              <w:rPr>
                <w:rFonts w:ascii="Arial" w:cs="Arial" w:eastAsia="Arial" w:hAnsi="Arial"/>
                <w:sz w:val="14"/>
                <w:szCs w:val="14"/>
                <w:color w:val="auto"/>
              </w:rPr>
              <w:t>911</w:t>
            </w:r>
          </w:p>
        </w:tc>
        <w:tc>
          <w:tcPr>
            <w:tcW w:w="160" w:type="dxa"/>
            <w:vAlign w:val="bottom"/>
            <w:shd w:val="clear" w:color="auto" w:fill="F0FFFF"/>
          </w:tcPr>
          <w:p>
            <w:pPr>
              <w:spacing w:after="0"/>
              <w:rPr>
                <w:sz w:val="12"/>
                <w:szCs w:val="12"/>
                <w:color w:val="auto"/>
              </w:rPr>
            </w:pPr>
          </w:p>
        </w:tc>
        <w:tc>
          <w:tcPr>
            <w:tcW w:w="680" w:type="dxa"/>
            <w:vAlign w:val="bottom"/>
            <w:tcBorders>
              <w:right w:val="single" w:sz="8" w:color="auto"/>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370</w:t>
            </w:r>
          </w:p>
        </w:tc>
        <w:tc>
          <w:tcPr>
            <w:tcW w:w="80" w:type="dxa"/>
            <w:vAlign w:val="bottom"/>
            <w:shd w:val="clear" w:color="auto" w:fill="F0FFFF"/>
          </w:tcPr>
          <w:p>
            <w:pPr>
              <w:spacing w:after="0"/>
              <w:rPr>
                <w:sz w:val="12"/>
                <w:szCs w:val="12"/>
                <w:color w:val="auto"/>
              </w:rPr>
            </w:pPr>
          </w:p>
        </w:tc>
        <w:tc>
          <w:tcPr>
            <w:tcW w:w="620" w:type="dxa"/>
            <w:vAlign w:val="bottom"/>
            <w:tcBorders>
              <w:right w:val="single" w:sz="8" w:color="auto"/>
            </w:tcBorders>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East Tennessee</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1,800</w:t>
            </w:r>
          </w:p>
        </w:tc>
        <w:tc>
          <w:tcPr>
            <w:tcW w:w="18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187</w:t>
            </w:r>
          </w:p>
        </w:tc>
        <w:tc>
          <w:tcPr>
            <w:tcW w:w="100" w:type="dxa"/>
            <w:vAlign w:val="bottom"/>
          </w:tcPr>
          <w:p>
            <w:pPr>
              <w:spacing w:after="0"/>
              <w:rPr>
                <w:sz w:val="12"/>
                <w:szCs w:val="12"/>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1,987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1,629</w:t>
            </w:r>
          </w:p>
        </w:tc>
        <w:tc>
          <w:tcPr>
            <w:tcW w:w="18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1,654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1,123</w:t>
            </w:r>
          </w:p>
        </w:tc>
        <w:tc>
          <w:tcPr>
            <w:tcW w:w="2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1,323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2,463</w:t>
            </w:r>
          </w:p>
        </w:tc>
        <w:tc>
          <w:tcPr>
            <w:tcW w:w="1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2,242</w:t>
            </w:r>
          </w:p>
        </w:tc>
        <w:tc>
          <w:tcPr>
            <w:tcW w:w="8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4,705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80" w:type="dxa"/>
            <w:vAlign w:val="bottom"/>
            <w:tcBorders>
              <w:right w:val="single" w:sz="8" w:color="F0FFFF"/>
            </w:tcBorders>
            <w:shd w:val="clear" w:color="auto" w:fill="F0FFFF"/>
          </w:tcPr>
          <w:p>
            <w:pPr>
              <w:spacing w:after="0" w:line="137" w:lineRule="exact"/>
              <w:rPr>
                <w:sz w:val="20"/>
                <w:szCs w:val="20"/>
                <w:color w:val="auto"/>
              </w:rPr>
            </w:pPr>
            <w:r>
              <w:rPr>
                <w:rFonts w:ascii="Arial" w:cs="Arial" w:eastAsia="Arial" w:hAnsi="Arial"/>
                <w:sz w:val="14"/>
                <w:szCs w:val="14"/>
                <w:color w:val="auto"/>
              </w:rPr>
              <w:t>South Carolina /</w:t>
            </w:r>
          </w:p>
        </w:tc>
        <w:tc>
          <w:tcPr>
            <w:tcW w:w="10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20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6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22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Specialized Lending</w:t>
            </w:r>
          </w:p>
        </w:tc>
        <w:tc>
          <w:tcPr>
            <w:tcW w:w="100" w:type="dxa"/>
            <w:vAlign w:val="bottom"/>
            <w:shd w:val="clear" w:color="auto" w:fill="F0FFFF"/>
          </w:tcPr>
          <w:p>
            <w:pPr>
              <w:spacing w:after="0"/>
              <w:rPr>
                <w:sz w:val="13"/>
                <w:szCs w:val="13"/>
                <w:color w:val="auto"/>
              </w:rPr>
            </w:pPr>
          </w:p>
        </w:tc>
        <w:tc>
          <w:tcPr>
            <w:tcW w:w="7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5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3"/>
                <w:szCs w:val="13"/>
                <w:color w:val="auto"/>
              </w:rPr>
            </w:pPr>
          </w:p>
        </w:tc>
        <w:tc>
          <w:tcPr>
            <w:tcW w:w="6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60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3"/>
                <w:szCs w:val="13"/>
                <w:color w:val="auto"/>
              </w:rPr>
            </w:pPr>
          </w:p>
        </w:tc>
        <w:tc>
          <w:tcPr>
            <w:tcW w:w="64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6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152"/>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3"/>
                <w:szCs w:val="13"/>
                <w:color w:val="auto"/>
              </w:rPr>
            </w:pPr>
          </w:p>
        </w:tc>
        <w:tc>
          <w:tcPr>
            <w:tcW w:w="68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62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tcPr>
          <w:p>
            <w:pPr>
              <w:spacing w:after="0" w:line="149" w:lineRule="exact"/>
              <w:rPr>
                <w:sz w:val="20"/>
                <w:szCs w:val="20"/>
                <w:color w:val="auto"/>
              </w:rPr>
            </w:pPr>
            <w:r>
              <w:rPr>
                <w:rFonts w:ascii="Arial" w:cs="Arial" w:eastAsia="Arial" w:hAnsi="Arial"/>
                <w:sz w:val="14"/>
                <w:szCs w:val="14"/>
                <w:color w:val="auto"/>
              </w:rPr>
              <w:t>Indirect auto</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80" w:type="dxa"/>
            <w:vAlign w:val="bottom"/>
            <w:tcBorders>
              <w:bottom w:val="single" w:sz="8" w:color="F0FFFF"/>
              <w:right w:val="single" w:sz="8" w:color="F0FFFF"/>
            </w:tcBorders>
            <w:shd w:val="clear" w:color="auto" w:fill="F0FFFF"/>
          </w:tcPr>
          <w:p>
            <w:pPr>
              <w:ind w:left="160"/>
              <w:spacing w:after="0" w:line="149" w:lineRule="exact"/>
              <w:rPr>
                <w:sz w:val="20"/>
                <w:szCs w:val="20"/>
                <w:color w:val="auto"/>
              </w:rPr>
            </w:pPr>
            <w:r>
              <w:rPr>
                <w:rFonts w:ascii="Arial" w:cs="Arial" w:eastAsia="Arial" w:hAnsi="Arial"/>
                <w:sz w:val="14"/>
                <w:szCs w:val="14"/>
                <w:b w:val="1"/>
                <w:bCs w:val="1"/>
                <w:color w:val="auto"/>
              </w:rPr>
              <w:t>Total NPAs</w:t>
            </w:r>
          </w:p>
        </w:tc>
        <w:tc>
          <w:tcPr>
            <w:tcW w:w="10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26,819</w:t>
            </w:r>
          </w:p>
        </w:tc>
        <w:tc>
          <w:tcPr>
            <w:tcW w:w="220" w:type="dxa"/>
            <w:vAlign w:val="bottom"/>
            <w:tcBorders>
              <w:bottom w:val="single" w:sz="8" w:color="F0FFFF"/>
              <w:right w:val="single" w:sz="8" w:color="F0FFFF"/>
            </w:tcBorders>
            <w:shd w:val="clear" w:color="auto" w:fill="F0FFFF"/>
          </w:tcPr>
          <w:p>
            <w:pPr>
              <w:spacing w:after="0"/>
              <w:rPr>
                <w:sz w:val="16"/>
                <w:szCs w:val="16"/>
                <w:color w:val="auto"/>
              </w:rPr>
            </w:pPr>
          </w:p>
        </w:tc>
        <w:tc>
          <w:tcPr>
            <w:tcW w:w="180" w:type="dxa"/>
            <w:vAlign w:val="bottom"/>
            <w:tcBorders>
              <w:top w:val="single" w:sz="8" w:color="auto"/>
              <w:bottom w:val="single" w:sz="8" w:color="auto"/>
            </w:tcBorders>
            <w:shd w:val="clear" w:color="auto" w:fill="F0FFFF"/>
          </w:tcPr>
          <w:p>
            <w:pPr>
              <w:jc w:val="right"/>
              <w:ind w:right="63"/>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4,221</w:t>
            </w:r>
          </w:p>
        </w:tc>
        <w:tc>
          <w:tcPr>
            <w:tcW w:w="200" w:type="dxa"/>
            <w:vAlign w:val="bottom"/>
            <w:tcBorders>
              <w:bottom w:val="single" w:sz="8" w:color="F0FFFF"/>
              <w:right w:val="single" w:sz="8" w:color="auto"/>
            </w:tcBorders>
            <w:shd w:val="clear" w:color="auto" w:fill="F0FFFF"/>
          </w:tcPr>
          <w:p>
            <w:pPr>
              <w:spacing w:after="0"/>
              <w:rPr>
                <w:sz w:val="16"/>
                <w:szCs w:val="16"/>
                <w:color w:val="auto"/>
              </w:rPr>
            </w:pPr>
          </w:p>
        </w:tc>
        <w:tc>
          <w:tcPr>
            <w:tcW w:w="1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7"/>
              </w:rPr>
              <w:t>31,040</w:t>
            </w:r>
          </w:p>
        </w:tc>
        <w:tc>
          <w:tcPr>
            <w:tcW w:w="140" w:type="dxa"/>
            <w:vAlign w:val="bottom"/>
            <w:tcBorders>
              <w:bottom w:val="single" w:sz="8" w:color="F0FFFF"/>
              <w:right w:val="single" w:sz="8" w:color="auto"/>
            </w:tcBorders>
            <w:shd w:val="clear" w:color="auto" w:fill="F0FFFF"/>
          </w:tcPr>
          <w:p>
            <w:pPr>
              <w:spacing w:after="0"/>
              <w:rPr>
                <w:sz w:val="16"/>
                <w:szCs w:val="16"/>
                <w:color w:val="auto"/>
              </w:rPr>
            </w:pPr>
          </w:p>
        </w:tc>
        <w:tc>
          <w:tcPr>
            <w:tcW w:w="8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26,088</w:t>
            </w:r>
          </w:p>
        </w:tc>
        <w:tc>
          <w:tcPr>
            <w:tcW w:w="220" w:type="dxa"/>
            <w:vAlign w:val="bottom"/>
            <w:tcBorders>
              <w:bottom w:val="single" w:sz="8" w:color="F0FFFF"/>
              <w:right w:val="single" w:sz="8" w:color="F0FFFF"/>
            </w:tcBorders>
            <w:shd w:val="clear" w:color="auto" w:fill="F0FFFF"/>
          </w:tcPr>
          <w:p>
            <w:pPr>
              <w:spacing w:after="0"/>
              <w:rPr>
                <w:sz w:val="16"/>
                <w:szCs w:val="16"/>
                <w:color w:val="auto"/>
              </w:rPr>
            </w:pPr>
          </w:p>
        </w:tc>
        <w:tc>
          <w:tcPr>
            <w:tcW w:w="18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4,467</w:t>
            </w:r>
          </w:p>
        </w:tc>
        <w:tc>
          <w:tcPr>
            <w:tcW w:w="220" w:type="dxa"/>
            <w:vAlign w:val="bottom"/>
            <w:tcBorders>
              <w:bottom w:val="single" w:sz="8" w:color="F0FFFF"/>
              <w:right w:val="single" w:sz="8" w:color="auto"/>
            </w:tcBorders>
            <w:shd w:val="clear" w:color="auto" w:fill="F0FFFF"/>
          </w:tcPr>
          <w:p>
            <w:pPr>
              <w:spacing w:after="0"/>
              <w:rPr>
                <w:sz w:val="16"/>
                <w:szCs w:val="16"/>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30,555</w:t>
            </w:r>
          </w:p>
        </w:tc>
        <w:tc>
          <w:tcPr>
            <w:tcW w:w="140" w:type="dxa"/>
            <w:vAlign w:val="bottom"/>
            <w:tcBorders>
              <w:bottom w:val="single" w:sz="8" w:color="F0FFFF"/>
              <w:right w:val="single" w:sz="8" w:color="auto"/>
            </w:tcBorders>
            <w:shd w:val="clear" w:color="auto" w:fill="F0FFFF"/>
          </w:tcPr>
          <w:p>
            <w:pPr>
              <w:spacing w:after="0"/>
              <w:rPr>
                <w:sz w:val="16"/>
                <w:szCs w:val="16"/>
                <w:color w:val="auto"/>
              </w:rPr>
            </w:pPr>
          </w:p>
        </w:tc>
        <w:tc>
          <w:tcPr>
            <w:tcW w:w="10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27,864</w:t>
            </w:r>
          </w:p>
        </w:tc>
        <w:tc>
          <w:tcPr>
            <w:tcW w:w="200" w:type="dxa"/>
            <w:vAlign w:val="bottom"/>
            <w:tcBorders>
              <w:bottom w:val="single" w:sz="8" w:color="F0FFFF"/>
            </w:tcBorders>
            <w:shd w:val="clear" w:color="auto" w:fill="F0FFFF"/>
          </w:tcPr>
          <w:p>
            <w:pPr>
              <w:spacing w:after="0"/>
              <w:rPr>
                <w:sz w:val="16"/>
                <w:szCs w:val="16"/>
                <w:color w:val="auto"/>
              </w:rPr>
            </w:pPr>
          </w:p>
        </w:tc>
        <w:tc>
          <w:tcPr>
            <w:tcW w:w="20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3,936</w:t>
            </w:r>
          </w:p>
        </w:tc>
        <w:tc>
          <w:tcPr>
            <w:tcW w:w="220" w:type="dxa"/>
            <w:vAlign w:val="bottom"/>
            <w:tcBorders>
              <w:bottom w:val="single" w:sz="8" w:color="F0FFFF"/>
              <w:right w:val="single" w:sz="8" w:color="auto"/>
            </w:tcBorders>
            <w:shd w:val="clear" w:color="auto" w:fill="F0FFFF"/>
          </w:tcPr>
          <w:p>
            <w:pPr>
              <w:spacing w:after="0"/>
              <w:rPr>
                <w:sz w:val="16"/>
                <w:szCs w:val="16"/>
                <w:color w:val="auto"/>
              </w:rPr>
            </w:pPr>
          </w:p>
        </w:tc>
        <w:tc>
          <w:tcPr>
            <w:tcW w:w="1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7"/>
              </w:rPr>
              <w:t>31,800</w:t>
            </w:r>
          </w:p>
        </w:tc>
        <w:tc>
          <w:tcPr>
            <w:tcW w:w="160" w:type="dxa"/>
            <w:vAlign w:val="bottom"/>
            <w:tcBorders>
              <w:bottom w:val="single" w:sz="8" w:color="F0FFFF"/>
              <w:right w:val="single" w:sz="8" w:color="auto"/>
            </w:tcBorders>
            <w:shd w:val="clear" w:color="auto" w:fill="F0FFFF"/>
          </w:tcPr>
          <w:p>
            <w:pPr>
              <w:spacing w:after="0"/>
              <w:rPr>
                <w:sz w:val="16"/>
                <w:szCs w:val="16"/>
                <w:color w:val="auto"/>
              </w:rPr>
            </w:pPr>
          </w:p>
        </w:tc>
        <w:tc>
          <w:tcPr>
            <w:tcW w:w="8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96,006</w:t>
            </w:r>
          </w:p>
        </w:tc>
        <w:tc>
          <w:tcPr>
            <w:tcW w:w="220" w:type="dxa"/>
            <w:vAlign w:val="bottom"/>
            <w:tcBorders>
              <w:bottom w:val="single" w:sz="8" w:color="F0FFFF"/>
            </w:tcBorders>
            <w:shd w:val="clear" w:color="auto" w:fill="F0FFFF"/>
          </w:tcPr>
          <w:p>
            <w:pPr>
              <w:spacing w:after="0"/>
              <w:rPr>
                <w:sz w:val="16"/>
                <w:szCs w:val="16"/>
                <w:color w:val="auto"/>
              </w:rPr>
            </w:pPr>
          </w:p>
        </w:tc>
        <w:tc>
          <w:tcPr>
            <w:tcW w:w="160" w:type="dxa"/>
            <w:vAlign w:val="bottom"/>
            <w:tcBorders>
              <w:top w:val="single" w:sz="8" w:color="auto"/>
              <w:bottom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16,734</w:t>
            </w:r>
          </w:p>
        </w:tc>
        <w:tc>
          <w:tcPr>
            <w:tcW w:w="220" w:type="dxa"/>
            <w:vAlign w:val="bottom"/>
            <w:tcBorders>
              <w:bottom w:val="single" w:sz="8" w:color="F0FFFF"/>
              <w:right w:val="single" w:sz="8" w:color="auto"/>
            </w:tcBorders>
            <w:shd w:val="clear" w:color="auto" w:fill="F0FFFF"/>
          </w:tcPr>
          <w:p>
            <w:pPr>
              <w:spacing w:after="0"/>
              <w:rPr>
                <w:sz w:val="16"/>
                <w:szCs w:val="16"/>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0"/>
              </w:rPr>
              <w:t>112,740</w:t>
            </w:r>
          </w:p>
        </w:tc>
        <w:tc>
          <w:tcPr>
            <w:tcW w:w="140" w:type="dxa"/>
            <w:vAlign w:val="bottom"/>
            <w:tcBorders>
              <w:bottom w:val="single" w:sz="8" w:color="F0FFFF"/>
              <w:right w:val="single" w:sz="8" w:color="auto"/>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2013, United executed a plan to accelerate the disposition of classified assets including performing classified loans, nonperforming loans and foreclosed properties. The purpose of the accelerated classified asset disposition plan was to clean up legacy credit problems remaining from the recent financial crisis and to accelerate the improvement of United’s credit measures toward pre-crisis levels. The classified asset sales included individual note and foreclosed property sales and a large bulk sale of classified assets to a single investor. The bulk sale included performing and nonperforming classified loans and foreclosed properties. The assets were divided into four separate pools that were bid for separately by potential buyers. A single purchaser was the high bidder for each of the four pools.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following table summarizes activity in nonperforming assets by year.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15 - Activity in Nonperforming Assets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3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5"/>
              </w:rPr>
              <w:t xml:space="preserve">2014 </w:t>
            </w:r>
            <w:r>
              <w:rPr>
                <w:rFonts w:ascii="Arial" w:cs="Arial" w:eastAsia="Arial" w:hAnsi="Arial"/>
                <w:sz w:val="23"/>
                <w:szCs w:val="23"/>
                <w:color w:val="auto"/>
                <w:w w:val="85"/>
                <w:vertAlign w:val="superscript"/>
              </w:rPr>
              <w:t>(1)</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5"/>
              </w:rPr>
              <w:t xml:space="preserve">2013 </w:t>
            </w:r>
            <w:r>
              <w:rPr>
                <w:rFonts w:ascii="Arial" w:cs="Arial" w:eastAsia="Arial" w:hAnsi="Arial"/>
                <w:sz w:val="23"/>
                <w:szCs w:val="23"/>
                <w:color w:val="auto"/>
                <w:w w:val="85"/>
                <w:vertAlign w:val="superscript"/>
              </w:rPr>
              <w:t>(1)</w:t>
            </w: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 xml:space="preserve">2012 </w:t>
            </w:r>
            <w:r>
              <w:rPr>
                <w:rFonts w:ascii="Arial" w:cs="Arial" w:eastAsia="Arial" w:hAnsi="Arial"/>
                <w:sz w:val="23"/>
                <w:szCs w:val="23"/>
                <w:color w:val="auto"/>
                <w:w w:val="85"/>
                <w:vertAlign w:val="superscript"/>
              </w:rPr>
              <w:t>(1)</w:t>
            </w: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r>
      <w:tr>
        <w:trPr>
          <w:trHeight w:val="231"/>
        </w:trPr>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Nonaccrual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Foreclosed</w:t>
            </w: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Foreclosed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Foreclosed</w:t>
            </w:r>
          </w:p>
        </w:tc>
        <w:tc>
          <w:tcPr>
            <w:tcW w:w="18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08"/>
        </w:trPr>
        <w:tc>
          <w:tcPr>
            <w:tcW w:w="1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Properties</w:t>
            </w:r>
          </w:p>
        </w:tc>
        <w:tc>
          <w:tcPr>
            <w:tcW w:w="12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Properties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Properties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NPAs</w:t>
            </w:r>
          </w:p>
        </w:tc>
      </w:tr>
      <w:tr>
        <w:trPr>
          <w:trHeight w:val="216"/>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16"/>
        </w:trPr>
        <w:tc>
          <w:tcPr>
            <w:tcW w:w="1300" w:type="dxa"/>
            <w:vAlign w:val="bottom"/>
            <w:shd w:val="clear" w:color="auto" w:fill="F0FFFF"/>
          </w:tcPr>
          <w:p>
            <w:pPr>
              <w:spacing w:after="0"/>
              <w:rPr>
                <w:sz w:val="20"/>
                <w:szCs w:val="20"/>
                <w:color w:val="auto"/>
              </w:rPr>
            </w:pPr>
            <w:r>
              <w:rPr>
                <w:rFonts w:ascii="Arial" w:cs="Arial" w:eastAsia="Arial" w:hAnsi="Arial"/>
                <w:sz w:val="14"/>
                <w:szCs w:val="14"/>
                <w:b w:val="1"/>
                <w:bCs w:val="1"/>
                <w:color w:val="auto"/>
              </w:rPr>
              <w:t>Beginning Balance</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26,819</w:t>
            </w:r>
          </w:p>
        </w:tc>
        <w:tc>
          <w:tcPr>
            <w:tcW w:w="12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4,221</w:t>
            </w:r>
          </w:p>
        </w:tc>
        <w:tc>
          <w:tcPr>
            <w:tcW w:w="12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31,040</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109,894</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18,264</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128,158</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127,479</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32,859</w:t>
            </w: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160,338</w:t>
            </w:r>
          </w:p>
        </w:tc>
      </w:tr>
      <w:tr>
        <w:trPr>
          <w:trHeight w:val="130"/>
        </w:trPr>
        <w:tc>
          <w:tcPr>
            <w:tcW w:w="1300" w:type="dxa"/>
            <w:vAlign w:val="bottom"/>
          </w:tcPr>
          <w:p>
            <w:pPr>
              <w:spacing w:after="0" w:line="130" w:lineRule="exact"/>
              <w:rPr>
                <w:sz w:val="20"/>
                <w:szCs w:val="20"/>
                <w:color w:val="auto"/>
              </w:rPr>
            </w:pPr>
            <w:r>
              <w:rPr>
                <w:rFonts w:ascii="Arial" w:cs="Arial" w:eastAsia="Arial" w:hAnsi="Arial"/>
                <w:sz w:val="14"/>
                <w:szCs w:val="14"/>
                <w:color w:val="auto"/>
              </w:rPr>
              <w:t>Loans placed on</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r>
      <w:tr>
        <w:trPr>
          <w:trHeight w:val="167"/>
        </w:trPr>
        <w:tc>
          <w:tcPr>
            <w:tcW w:w="1300" w:type="dxa"/>
            <w:vAlign w:val="bottom"/>
          </w:tcPr>
          <w:p>
            <w:pPr>
              <w:ind w:left="180"/>
              <w:spacing w:after="0"/>
              <w:rPr>
                <w:sz w:val="20"/>
                <w:szCs w:val="20"/>
                <w:color w:val="auto"/>
              </w:rPr>
            </w:pPr>
            <w:r>
              <w:rPr>
                <w:rFonts w:ascii="Arial" w:cs="Arial" w:eastAsia="Arial" w:hAnsi="Arial"/>
                <w:sz w:val="14"/>
                <w:szCs w:val="14"/>
                <w:color w:val="auto"/>
              </w:rPr>
              <w:t>non-accrual</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33,637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33,637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43,867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43,867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112,547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112,547</w:t>
            </w:r>
          </w:p>
        </w:tc>
      </w:tr>
      <w:tr>
        <w:trPr>
          <w:trHeight w:val="216"/>
        </w:trPr>
        <w:tc>
          <w:tcPr>
            <w:tcW w:w="1300" w:type="dxa"/>
            <w:vAlign w:val="bottom"/>
            <w:shd w:val="clear" w:color="auto" w:fill="F0FFFF"/>
          </w:tcPr>
          <w:p>
            <w:pPr>
              <w:spacing w:after="0"/>
              <w:rPr>
                <w:sz w:val="20"/>
                <w:szCs w:val="20"/>
                <w:color w:val="auto"/>
              </w:rPr>
            </w:pPr>
            <w:r>
              <w:rPr>
                <w:rFonts w:ascii="Arial" w:cs="Arial" w:eastAsia="Arial" w:hAnsi="Arial"/>
                <w:sz w:val="14"/>
                <w:szCs w:val="14"/>
                <w:color w:val="auto"/>
              </w:rPr>
              <w:t>Payments received</w:t>
            </w:r>
          </w:p>
        </w:tc>
        <w:tc>
          <w:tcPr>
            <w:tcW w:w="8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(14,108)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(14,108)</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(60,035)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(60,035)</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(31,076)</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FFF"/>
          </w:tcPr>
          <w:p>
            <w:pPr>
              <w:spacing w:after="0"/>
              <w:rPr>
                <w:sz w:val="18"/>
                <w:szCs w:val="18"/>
                <w:color w:val="auto"/>
              </w:rPr>
            </w:pPr>
          </w:p>
        </w:tc>
        <w:tc>
          <w:tcPr>
            <w:tcW w:w="8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(31,076)</w:t>
            </w:r>
          </w:p>
        </w:tc>
      </w:tr>
      <w:tr>
        <w:trPr>
          <w:trHeight w:val="216"/>
        </w:trPr>
        <w:tc>
          <w:tcPr>
            <w:tcW w:w="1300" w:type="dxa"/>
            <w:vAlign w:val="bottom"/>
          </w:tcPr>
          <w:p>
            <w:pPr>
              <w:spacing w:after="0"/>
              <w:rPr>
                <w:sz w:val="20"/>
                <w:szCs w:val="20"/>
                <w:color w:val="auto"/>
              </w:rPr>
            </w:pPr>
            <w:r>
              <w:rPr>
                <w:rFonts w:ascii="Arial" w:cs="Arial" w:eastAsia="Arial" w:hAnsi="Arial"/>
                <w:sz w:val="14"/>
                <w:szCs w:val="14"/>
                <w:color w:val="auto"/>
              </w:rPr>
              <w:t>Loan charge-offs</w:t>
            </w: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(19,374)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(19,374)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(44,444)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(44,444)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(65,064)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(65,064)</w:t>
            </w:r>
          </w:p>
        </w:tc>
      </w:tr>
      <w:tr>
        <w:trPr>
          <w:trHeight w:val="216"/>
        </w:trPr>
        <w:tc>
          <w:tcPr>
            <w:tcW w:w="1300" w:type="dxa"/>
            <w:vAlign w:val="bottom"/>
            <w:shd w:val="clear" w:color="auto" w:fill="F0FFFF"/>
          </w:tcPr>
          <w:p>
            <w:pPr>
              <w:spacing w:after="0"/>
              <w:rPr>
                <w:sz w:val="20"/>
                <w:szCs w:val="20"/>
                <w:color w:val="auto"/>
              </w:rPr>
            </w:pPr>
            <w:r>
              <w:rPr>
                <w:rFonts w:ascii="Arial" w:cs="Arial" w:eastAsia="Arial" w:hAnsi="Arial"/>
                <w:sz w:val="14"/>
                <w:szCs w:val="14"/>
                <w:color w:val="auto"/>
              </w:rPr>
              <w:t>Foreclosures</w:t>
            </w:r>
          </w:p>
        </w:tc>
        <w:tc>
          <w:tcPr>
            <w:tcW w:w="8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(9,093)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9,093</w:t>
            </w:r>
          </w:p>
        </w:tc>
        <w:tc>
          <w:tcPr>
            <w:tcW w:w="12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(22,463)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22,463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(33,992)</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33,992</w:t>
            </w:r>
          </w:p>
        </w:tc>
        <w:tc>
          <w:tcPr>
            <w:tcW w:w="180" w:type="dxa"/>
            <w:vAlign w:val="bottom"/>
            <w:shd w:val="clear" w:color="auto" w:fill="F0FFFF"/>
          </w:tcPr>
          <w:p>
            <w:pPr>
              <w:spacing w:after="0"/>
              <w:rPr>
                <w:sz w:val="18"/>
                <w:szCs w:val="18"/>
                <w:color w:val="auto"/>
              </w:rPr>
            </w:pPr>
          </w:p>
        </w:tc>
        <w:tc>
          <w:tcPr>
            <w:tcW w:w="840" w:type="dxa"/>
            <w:vAlign w:val="bottom"/>
            <w:tcBorders>
              <w:right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1300" w:type="dxa"/>
            <w:vAlign w:val="bottom"/>
          </w:tcPr>
          <w:p>
            <w:pPr>
              <w:spacing w:after="0"/>
              <w:rPr>
                <w:sz w:val="20"/>
                <w:szCs w:val="20"/>
                <w:color w:val="auto"/>
              </w:rPr>
            </w:pPr>
            <w:r>
              <w:rPr>
                <w:rFonts w:ascii="Arial" w:cs="Arial" w:eastAsia="Arial" w:hAnsi="Arial"/>
                <w:sz w:val="14"/>
                <w:szCs w:val="14"/>
                <w:color w:val="auto"/>
              </w:rPr>
              <w:t>Capitalized costs</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1,047</w:t>
            </w:r>
          </w:p>
        </w:tc>
        <w:tc>
          <w:tcPr>
            <w:tcW w:w="18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1,047</w:t>
            </w:r>
          </w:p>
        </w:tc>
      </w:tr>
      <w:tr>
        <w:trPr>
          <w:trHeight w:val="130"/>
        </w:trPr>
        <w:tc>
          <w:tcPr>
            <w:tcW w:w="13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Note / property</w:t>
            </w:r>
          </w:p>
        </w:tc>
        <w:tc>
          <w:tcPr>
            <w:tcW w:w="8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tcBorders>
              <w:right w:val="single" w:sz="8" w:color="auto"/>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200" w:type="dxa"/>
            <w:vAlign w:val="bottom"/>
            <w:tcBorders>
              <w:right w:val="single" w:sz="8" w:color="auto"/>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00" w:type="dxa"/>
            <w:vAlign w:val="bottom"/>
            <w:tcBorders>
              <w:right w:val="single" w:sz="8" w:color="auto"/>
            </w:tcBorders>
            <w:shd w:val="clear" w:color="auto" w:fill="F0FFFF"/>
          </w:tcPr>
          <w:p>
            <w:pPr>
              <w:spacing w:after="0"/>
              <w:rPr>
                <w:sz w:val="11"/>
                <w:szCs w:val="11"/>
                <w:color w:val="auto"/>
              </w:rPr>
            </w:pPr>
          </w:p>
        </w:tc>
      </w:tr>
      <w:tr>
        <w:trPr>
          <w:trHeight w:val="167"/>
        </w:trPr>
        <w:tc>
          <w:tcPr>
            <w:tcW w:w="1300" w:type="dxa"/>
            <w:vAlign w:val="bottom"/>
            <w:shd w:val="clear" w:color="auto" w:fill="F0FFFF"/>
          </w:tcPr>
          <w:p>
            <w:pPr>
              <w:ind w:left="180"/>
              <w:spacing w:after="0"/>
              <w:rPr>
                <w:sz w:val="20"/>
                <w:szCs w:val="20"/>
                <w:color w:val="auto"/>
              </w:rPr>
            </w:pPr>
            <w:r>
              <w:rPr>
                <w:rFonts w:ascii="Arial" w:cs="Arial" w:eastAsia="Arial" w:hAnsi="Arial"/>
                <w:sz w:val="14"/>
                <w:szCs w:val="14"/>
                <w:color w:val="auto"/>
              </w:rPr>
              <w:t>sales</w:t>
            </w:r>
          </w:p>
        </w:tc>
        <w:tc>
          <w:tcPr>
            <w:tcW w:w="8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(12,501)</w:t>
            </w:r>
          </w:p>
        </w:tc>
        <w:tc>
          <w:tcPr>
            <w:tcW w:w="120" w:type="dxa"/>
            <w:vAlign w:val="bottom"/>
            <w:tcBorders>
              <w:right w:val="single" w:sz="8" w:color="auto"/>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8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(12,501)</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4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(31,915)</w:t>
            </w: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(31,915)</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(40,759)</w:t>
            </w:r>
          </w:p>
        </w:tc>
        <w:tc>
          <w:tcPr>
            <w:tcW w:w="180" w:type="dxa"/>
            <w:vAlign w:val="bottom"/>
            <w:shd w:val="clear" w:color="auto" w:fill="F0FFFF"/>
          </w:tcPr>
          <w:p>
            <w:pPr>
              <w:spacing w:after="0"/>
              <w:rPr>
                <w:sz w:val="14"/>
                <w:szCs w:val="14"/>
                <w:color w:val="auto"/>
              </w:rPr>
            </w:pPr>
          </w:p>
        </w:tc>
        <w:tc>
          <w:tcPr>
            <w:tcW w:w="8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(40,759)</w:t>
            </w:r>
          </w:p>
        </w:tc>
      </w:tr>
      <w:tr>
        <w:trPr>
          <w:trHeight w:val="216"/>
        </w:trPr>
        <w:tc>
          <w:tcPr>
            <w:tcW w:w="1300" w:type="dxa"/>
            <w:vAlign w:val="bottom"/>
          </w:tcPr>
          <w:p>
            <w:pPr>
              <w:spacing w:after="0"/>
              <w:rPr>
                <w:sz w:val="20"/>
                <w:szCs w:val="20"/>
                <w:color w:val="auto"/>
              </w:rPr>
            </w:pPr>
            <w:r>
              <w:rPr>
                <w:rFonts w:ascii="Arial" w:cs="Arial" w:eastAsia="Arial" w:hAnsi="Arial"/>
                <w:sz w:val="14"/>
                <w:szCs w:val="14"/>
                <w:color w:val="auto"/>
              </w:rPr>
              <w:t>Write downs</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(691)</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(3,065)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(3,065)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(6,951)</w:t>
            </w:r>
          </w:p>
        </w:tc>
        <w:tc>
          <w:tcPr>
            <w:tcW w:w="18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(6,951)</w:t>
            </w:r>
          </w:p>
        </w:tc>
      </w:tr>
      <w:tr>
        <w:trPr>
          <w:trHeight w:val="130"/>
        </w:trPr>
        <w:tc>
          <w:tcPr>
            <w:tcW w:w="13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Net gains (losses)</w:t>
            </w:r>
          </w:p>
        </w:tc>
        <w:tc>
          <w:tcPr>
            <w:tcW w:w="8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tcBorders>
              <w:right w:val="single" w:sz="8" w:color="auto"/>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40" w:type="dxa"/>
            <w:vAlign w:val="bottom"/>
            <w:tcBorders>
              <w:right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tcBorders>
              <w:right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200" w:type="dxa"/>
            <w:vAlign w:val="bottom"/>
            <w:tcBorders>
              <w:right w:val="single" w:sz="8" w:color="auto"/>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00" w:type="dxa"/>
            <w:vAlign w:val="bottom"/>
            <w:tcBorders>
              <w:right w:val="single" w:sz="8" w:color="auto"/>
            </w:tcBorders>
            <w:shd w:val="clear" w:color="auto" w:fill="F0FFFF"/>
          </w:tcPr>
          <w:p>
            <w:pPr>
              <w:spacing w:after="0"/>
              <w:rPr>
                <w:sz w:val="11"/>
                <w:szCs w:val="11"/>
                <w:color w:val="auto"/>
              </w:rPr>
            </w:pPr>
          </w:p>
        </w:tc>
      </w:tr>
      <w:tr>
        <w:trPr>
          <w:trHeight w:val="167"/>
        </w:trPr>
        <w:tc>
          <w:tcPr>
            <w:tcW w:w="1300" w:type="dxa"/>
            <w:vAlign w:val="bottom"/>
            <w:shd w:val="clear" w:color="auto" w:fill="F0FFFF"/>
          </w:tcPr>
          <w:p>
            <w:pPr>
              <w:ind w:left="180"/>
              <w:spacing w:after="0"/>
              <w:rPr>
                <w:sz w:val="20"/>
                <w:szCs w:val="20"/>
                <w:color w:val="auto"/>
              </w:rPr>
            </w:pPr>
            <w:r>
              <w:rPr>
                <w:rFonts w:ascii="Arial" w:cs="Arial" w:eastAsia="Arial" w:hAnsi="Arial"/>
                <w:sz w:val="14"/>
                <w:szCs w:val="14"/>
                <w:color w:val="auto"/>
              </w:rPr>
              <w:t>on sales</w:t>
            </w:r>
          </w:p>
        </w:tc>
        <w:tc>
          <w:tcPr>
            <w:tcW w:w="8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1,395</w:t>
            </w:r>
          </w:p>
        </w:tc>
        <w:tc>
          <w:tcPr>
            <w:tcW w:w="120" w:type="dxa"/>
            <w:vAlign w:val="bottom"/>
            <w:tcBorders>
              <w:right w:val="single" w:sz="8" w:color="auto"/>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8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4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(1,642)</w:t>
            </w:r>
          </w:p>
        </w:tc>
        <w:tc>
          <w:tcPr>
            <w:tcW w:w="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2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(1,924)</w:t>
            </w:r>
          </w:p>
        </w:tc>
        <w:tc>
          <w:tcPr>
            <w:tcW w:w="180" w:type="dxa"/>
            <w:vAlign w:val="bottom"/>
            <w:shd w:val="clear" w:color="auto" w:fill="F0FFFF"/>
          </w:tcPr>
          <w:p>
            <w:pPr>
              <w:spacing w:after="0"/>
              <w:rPr>
                <w:sz w:val="14"/>
                <w:szCs w:val="14"/>
                <w:color w:val="auto"/>
              </w:rPr>
            </w:pPr>
          </w:p>
        </w:tc>
        <w:tc>
          <w:tcPr>
            <w:tcW w:w="8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(1,924)</w:t>
            </w:r>
          </w:p>
        </w:tc>
      </w:tr>
      <w:tr>
        <w:trPr>
          <w:trHeight w:val="27"/>
        </w:trPr>
        <w:tc>
          <w:tcPr>
            <w:tcW w:w="13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tcBorders>
              <w:right w:val="single" w:sz="8" w:color="auto"/>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F0FFFF"/>
          </w:tcPr>
          <w:p>
            <w:pPr>
              <w:spacing w:after="0"/>
              <w:rPr>
                <w:sz w:val="2"/>
                <w:szCs w:val="2"/>
                <w:color w:val="auto"/>
              </w:rPr>
            </w:pPr>
          </w:p>
        </w:tc>
      </w:tr>
      <w:tr>
        <w:trPr>
          <w:trHeight w:val="216"/>
        </w:trPr>
        <w:tc>
          <w:tcPr>
            <w:tcW w:w="1300" w:type="dxa"/>
            <w:vAlign w:val="bottom"/>
          </w:tcPr>
          <w:p>
            <w:pPr>
              <w:ind w:left="180"/>
              <w:spacing w:after="0"/>
              <w:rPr>
                <w:sz w:val="20"/>
                <w:szCs w:val="20"/>
                <w:color w:val="auto"/>
              </w:rPr>
            </w:pPr>
            <w:r>
              <w:rPr>
                <w:rFonts w:ascii="Arial" w:cs="Arial" w:eastAsia="Arial" w:hAnsi="Arial"/>
                <w:sz w:val="14"/>
                <w:szCs w:val="14"/>
                <w:b w:val="1"/>
                <w:bCs w:val="1"/>
                <w:color w:val="auto"/>
              </w:rPr>
              <w:t>Ending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19,607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26,819</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4,221</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31,040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109,894</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18,264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128,158</w:t>
            </w:r>
          </w:p>
        </w:tc>
      </w:tr>
      <w:tr>
        <w:trPr>
          <w:trHeight w:val="21"/>
        </w:trPr>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Excludes nonperforming loans and foreclosed property covered by loss sharing agreements with the FDIC related to the acquisition of SCB.</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6"/>
          <w:szCs w:val="16"/>
          <w:i w:val="1"/>
          <w:iCs w:val="1"/>
          <w:color w:val="auto"/>
        </w:rPr>
        <w:t>Real Estate Sales.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2013 and 2012, United transferred $9.09 million, $22.5 million and $34.0 million, respectively, of loans into foreclosed property. During 2014, 2013 and 2012, proceeds from sales of foreclosed properties were $12.5 million, $31.9 million, and $40.8 million, respectively, which includes $2.50 million, $3.49 million, and $9.40 million, respectively, of sales that were financed by United.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gross additional interest income that would have been earned if the loans classified as nonaccrual had performed in accordance with the original terms was approximately $1.71 million, $2.11 million and $6.81 million in 2014, 2013 and 2012, respectively. The gross additional interest income that would have been earned in 2014, 2013 and 2012 had performing TDRs performed in accordance with the original terms is immaterial.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December 31, 2014 decreased $114 million from a year ago.</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2014 and December 31, 2013, United had securities held-to-maturity with a carrying value of $415 million and $480 million, respectively, and securities available-for-sale totaling $1.78 billion and $1.83 billion, respectively. At December 31, 2014 and 2013, the securities portfolio represented approximately 29% and 31%, respectively, of total assets. At December 31, 2014, the average life of the investment portfolio was shorter, with an effective duration of 2.46 years compared with 2.96 years at December 31, 2013.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w w:val="96"/>
              </w:rPr>
              <w:t>The following table shows the carrying value of United’s investment securities.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00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Table 16 - Carrying Value of Investment Securities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1140"/>
              <w:spacing w:after="0"/>
              <w:rPr>
                <w:sz w:val="20"/>
                <w:szCs w:val="20"/>
                <w:color w:val="auto"/>
              </w:rPr>
            </w:pPr>
            <w:r>
              <w:rPr>
                <w:rFonts w:ascii="Arial" w:cs="Arial" w:eastAsia="Arial" w:hAnsi="Arial"/>
                <w:sz w:val="18"/>
                <w:szCs w:val="18"/>
                <w:i w:val="1"/>
                <w:iCs w:val="1"/>
                <w:color w:val="auto"/>
              </w:rPr>
              <w:t>As of December 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14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4"/>
              </w:rPr>
              <w:t>Available-for-Sale Held-to-Maturity</w:t>
            </w:r>
          </w:p>
        </w:tc>
        <w:tc>
          <w:tcPr>
            <w:tcW w:w="1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Total Securities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80" w:type="dxa"/>
            <w:vAlign w:val="bottom"/>
            <w:tcBorders>
              <w:top w:val="single" w:sz="8" w:color="auto"/>
            </w:tcBorders>
            <w:gridSpan w:val="2"/>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U.S. Treasuries</w:t>
            </w:r>
          </w:p>
        </w:tc>
        <w:tc>
          <w:tcPr>
            <w:tcW w:w="3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58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20,233</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48,157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68,390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996,820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1,363,930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165,628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165,628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455,928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F0FFFF"/>
            </w:tcBorders>
            <w:shd w:val="clear" w:color="auto" w:fill="F0FFFF"/>
          </w:tcPr>
          <w:p>
            <w:pPr>
              <w:spacing w:after="0"/>
              <w:rPr>
                <w:sz w:val="19"/>
                <w:szCs w:val="19"/>
                <w:color w:val="auto"/>
              </w:rPr>
            </w:pPr>
          </w:p>
        </w:tc>
        <w:tc>
          <w:tcPr>
            <w:tcW w:w="36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34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Total securities</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1,782,734</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415,267</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2,198,001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4"/>
              </w:rPr>
              <w:t>Available-for-Sale Held-to-Maturity</w:t>
            </w:r>
          </w:p>
        </w:tc>
        <w:tc>
          <w:tcPr>
            <w:tcW w:w="1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Total Securities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80" w:type="dxa"/>
            <w:vAlign w:val="bottom"/>
            <w:tcBorders>
              <w:top w:val="single" w:sz="8" w:color="auto"/>
            </w:tcBorders>
            <w:gridSpan w:val="2"/>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gridSpan w:val="2"/>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gridSpan w:val="2"/>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3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23,242</w:t>
            </w:r>
          </w:p>
        </w:tc>
        <w:tc>
          <w:tcPr>
            <w:tcW w:w="58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51,733</w:t>
            </w:r>
          </w:p>
        </w:tc>
        <w:tc>
          <w:tcPr>
            <w:tcW w:w="46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74,975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1,145,347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1,573,356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250,296</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250,296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F0FFFF"/>
            </w:tcBorders>
            <w:shd w:val="clear" w:color="auto" w:fill="F0FFFF"/>
          </w:tcPr>
          <w:p>
            <w:pPr>
              <w:spacing w:after="0"/>
              <w:rPr>
                <w:sz w:val="19"/>
                <w:szCs w:val="19"/>
                <w:color w:val="auto"/>
              </w:rPr>
            </w:pPr>
          </w:p>
        </w:tc>
        <w:tc>
          <w:tcPr>
            <w:tcW w:w="36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34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Total securities</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1,832,217</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479,742</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2,311,959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investment securities portfolio primarily consists of U.S.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December 31, 2014 primarily reflect the effect of changes in interest rates. United did not recognize any other than temporary impairment losses on its investment securities in 2014, 2013 or 2012.</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2014, United had 62% of its total investment securities portfolio in mortgage backed securities, compared with 68% at December 31, 2013. United has continued to purchase mortgage-backed securities in order to obtain a favorable yield with low risk. United did not have securities of any issuer in excess of 10% of equity at year-end 2014 or 2013, excluding U.S. Government sponsored entities. Less than 1% of the securities portfolio is rated below “A” or unrated and 48% of securities, excluding non-government agency securities, are rated “Aaa”. See Note 6 to the consolidated financial statements for further discussion of investment portfolio and related fair value and maturity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core deposit intangibles representing the value of United’s acquired deposit base, are amortizing intangible assets that are required to be tested for impairment only when events or circumstances indicate that impairment may exist. There were no events or circumstances that lead management to believe that any impairment exists in United’s other intangible assets.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United’s goodwill represents the premium paid for acquired companies above the fair value of the assets acquired and liabilities assumed, including separately identifiable intangible assets. United evaluates its goodwill annually, or more frequently if necessary, to determine if any impairment exists.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initiated several deposit programs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United’s high level of service, as evidenced by its strong customer satisfaction scores, has been instrumental in attracting and retaining deposits.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customer deposits, excluding brokered deposits, as of December 31, 2014 were $5.90 billion, an increase of $125 million from December 31, 2013. Total core deposits (demand, NOW, money market and savings deposits, excluding public funds deposits) of $3.69 billion increased $252 million, or 7%, due to the success of core deposit incentive programs.</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time deposits, excluding brokered deposits, as of December 31, 2014 were $1.26 billion, down $225 million from December 31, 2013. Time deposits less than $100,000 totaled $748 million, a decrease of $144 million, or 16%, from a year ago. Time deposits of $100,000 and greater totaled $508 million as of December 31, 2014, a decrease of $80 million, or 14%, from December 31, 2013. United continued to offer low rates on certificates of deposit, allowing balances to decline as United’s funding needs declined due to weak loan demand and a shift to lower cost transaction account deposits.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Brokered deposits totaled $425 million as of December 31, 2014, equal to a year ago and included Now accounts, money market deposits and certificates of deposit. Brokered certificates of deposit account for $273 million of the balance at both December 31, 2014 and 2013. United has actively added long-term deposits to diversify our funding base. These are typically swapped to LIBOR minus a spread, which achieves low cost funding within our interest rate risk parameters.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scheduled maturities of time deposits of $100,000 and greater and brokered time deposits.</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17 - Maturities of Time Deposits of $100,000 and Greater and Brokered Time Deposits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540" w:type="dxa"/>
            <w:vAlign w:val="bottom"/>
            <w:gridSpan w:val="2"/>
          </w:tcPr>
          <w:p>
            <w:pPr>
              <w:spacing w:after="0"/>
              <w:rPr>
                <w:sz w:val="20"/>
                <w:szCs w:val="20"/>
                <w:color w:val="auto"/>
              </w:rPr>
            </w:pPr>
            <w:r>
              <w:rPr>
                <w:rFonts w:ascii="Arial" w:cs="Arial" w:eastAsia="Arial" w:hAnsi="Arial"/>
                <w:sz w:val="18"/>
                <w:szCs w:val="18"/>
                <w:color w:val="auto"/>
              </w:rPr>
              <w:t>$100,000 and greater:</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Three months or less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120,167</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116,875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Three to six months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98,443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Six to twelve months</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182,936</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195,064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Over one year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tcBorders>
              <w:bottom w:val="single" w:sz="8" w:color="F0FFFF"/>
            </w:tcBorders>
            <w:shd w:val="clear" w:color="auto" w:fill="F0FFFF"/>
          </w:tcPr>
          <w:p>
            <w:pPr>
              <w:ind w:left="3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508,228</w:t>
            </w:r>
          </w:p>
        </w:tc>
        <w:tc>
          <w:tcPr>
            <w:tcW w:w="1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588,689</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F0FFFF"/>
          </w:tcPr>
          <w:p>
            <w:pPr>
              <w:spacing w:after="0"/>
              <w:rPr>
                <w:sz w:val="20"/>
                <w:szCs w:val="20"/>
                <w:color w:val="auto"/>
              </w:rPr>
            </w:pPr>
            <w:r>
              <w:rPr>
                <w:rFonts w:ascii="Arial" w:cs="Arial" w:eastAsia="Arial" w:hAnsi="Arial"/>
                <w:sz w:val="18"/>
                <w:szCs w:val="18"/>
                <w:color w:val="auto"/>
              </w:rPr>
              <w:t>Brokered time deposits:</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Three months or less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Three to six months</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Six to twelve months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F0FFFF"/>
            </w:tcBorders>
            <w:shd w:val="clear" w:color="auto" w:fill="F0FFFF"/>
          </w:tcPr>
          <w:p>
            <w:pPr>
              <w:ind w:left="120"/>
              <w:spacing w:after="0"/>
              <w:rPr>
                <w:sz w:val="20"/>
                <w:szCs w:val="20"/>
                <w:color w:val="auto"/>
              </w:rPr>
            </w:pPr>
            <w:r>
              <w:rPr>
                <w:rFonts w:ascii="Arial" w:cs="Arial" w:eastAsia="Arial" w:hAnsi="Arial"/>
                <w:sz w:val="18"/>
                <w:szCs w:val="18"/>
                <w:color w:val="auto"/>
              </w:rPr>
              <w:t>Over one year</w:t>
            </w: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272,834</w:t>
            </w:r>
          </w:p>
        </w:tc>
        <w:tc>
          <w:tcPr>
            <w:tcW w:w="1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273,166</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272,834</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Bank is a shareholder in the Federal Home Loan Bank of Atlanta (“FHLB”). Through this affiliation, FHLB secured advances totaling $270 million and $120 million at December 31, 2014 and 2013, respectively. United anticipates continued use of this short and long-term source of funds. FHLB advances outstanding at December 31, 2014 had fixed interest rates of .24% or less. United will prepay advances from time to time as funding needs change. Additional information regarding FHLB advances, including scheduled maturities, is provided in Note 12 to the consolidated financial statements.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2014 and 2013, United had $6.00 million and $53.2 million in repurchase agreements outstanding. During the second quarters of 2014 and 2012, United prepaid $44 million and $50 million, respectively, in structured repurchase agreements and incurred prepayment charges of $4.45 million and $4.48 million, respectively. United takes advantage of these additional sources of liquidity when rates are favorable compared to other forms of short-term borrowings, such as FHLB advances and brokered deposits.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the ability to raise additional funds by increasing liabilities. Liquidity management involves maintaining United’s ability to meet the daily cash flow requirements of the Bank’s customers, both depositors and borrowers.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4" w:name="page55"/>
    <w:bookmarkEnd w:id="54"/>
    <w:p>
      <w:pPr>
        <w:jc w:val="both"/>
        <w:spacing w:after="0" w:line="276" w:lineRule="auto"/>
        <w:rPr>
          <w:sz w:val="20"/>
          <w:szCs w:val="20"/>
          <w:color w:val="auto"/>
        </w:rPr>
      </w:pPr>
      <w:r>
        <w:rPr>
          <w:rFonts w:ascii="Arial" w:cs="Arial" w:eastAsia="Arial" w:hAnsi="Arial"/>
          <w:sz w:val="17"/>
          <w:szCs w:val="17"/>
          <w:color w:val="auto"/>
        </w:rPr>
        <w:t>In addition, because United is a separate entity and apart from the Bank, it must provide for its own liquidity. United is responsible for the payment of dividends declared for its shareholders, and interest and principal on any outstanding debt or trust preferred securities. United currently has internal capital resources to meet these obligations. Substantially all of United’s liquidity is obtained from subsidiary service fees and dividends from the Bank, which are limited by applicable law. Until 2013, the Bank was unable to pay dividends to United and liquidity was obtained from external sources (debt and equity issuances) to meet its needs. In 2014 and 2013, the Bank paid dividends of $129 million and $50 million, respectively, to United.</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interest revenue. Daily monitoring of the sources and uses of funds is necessary to maintain a position that meets both requirements.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$13.7 million at December 31, 2014, and typically turn over every 45 days as closed loans are sold to investors in the secondary market.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are used as necessary to fund asset growth and meet other short-term liquidity needs.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United’s short-term borrowings over the last three years.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3520" w:type="dxa"/>
            <w:vAlign w:val="bottom"/>
            <w:gridSpan w:val="6"/>
          </w:tcPr>
          <w:p>
            <w:pPr>
              <w:spacing w:after="0"/>
              <w:rPr>
                <w:sz w:val="20"/>
                <w:szCs w:val="20"/>
                <w:color w:val="auto"/>
              </w:rPr>
            </w:pPr>
            <w:r>
              <w:rPr>
                <w:rFonts w:ascii="Arial" w:cs="Arial" w:eastAsia="Arial" w:hAnsi="Arial"/>
                <w:sz w:val="18"/>
                <w:szCs w:val="18"/>
                <w:b w:val="1"/>
                <w:bCs w:val="1"/>
                <w:color w:val="auto"/>
              </w:rPr>
              <w:t>Table 18 - Short-Term Borrowings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As of 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restart"/>
          </w:tcPr>
          <w:p>
            <w:pPr>
              <w:jc w:val="center"/>
              <w:ind w:right="5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Period end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4"/>
              </w:rPr>
              <w:t>Maximum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amounts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0"/>
              </w:rPr>
              <w:t>Period-end</w:t>
            </w: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89"/>
              </w:rPr>
              <w:t>at any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2"/>
              </w:rPr>
              <w:t>during the</w:t>
            </w: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average rate</w:t>
            </w:r>
          </w:p>
        </w:tc>
        <w:tc>
          <w:tcPr>
            <w:tcW w:w="0" w:type="dxa"/>
            <w:vAlign w:val="bottom"/>
          </w:tcPr>
          <w:p>
            <w:pPr>
              <w:spacing w:after="0"/>
              <w:rPr>
                <w:sz w:val="1"/>
                <w:szCs w:val="1"/>
                <w:color w:val="auto"/>
              </w:rPr>
            </w:pPr>
          </w:p>
        </w:tc>
      </w:tr>
      <w:tr>
        <w:trPr>
          <w:trHeight w:val="190"/>
        </w:trPr>
        <w:tc>
          <w:tcPr>
            <w:tcW w:w="2380" w:type="dxa"/>
            <w:vAlign w:val="bottom"/>
            <w:gridSpan w:val="3"/>
          </w:tcPr>
          <w:p>
            <w:pPr>
              <w:spacing w:after="0" w:line="190" w:lineRule="exact"/>
              <w:rPr>
                <w:sz w:val="20"/>
                <w:szCs w:val="20"/>
                <w:color w:val="auto"/>
              </w:rPr>
            </w:pPr>
            <w:r>
              <w:rPr>
                <w:rFonts w:ascii="Arial" w:cs="Arial" w:eastAsia="Arial" w:hAnsi="Arial"/>
                <w:sz w:val="18"/>
                <w:szCs w:val="18"/>
                <w:color w:val="auto"/>
              </w:rPr>
              <w:t>December 31, 2014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6"/>
                <w:szCs w:val="16"/>
                <w:color w:val="auto"/>
              </w:rPr>
            </w:pPr>
          </w:p>
        </w:tc>
        <w:tc>
          <w:tcPr>
            <w:tcW w:w="132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88"/>
              </w:rPr>
              <w:t>interest rate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0"/>
              <w:spacing w:after="0" w:line="190" w:lineRule="exact"/>
              <w:rPr>
                <w:sz w:val="20"/>
                <w:szCs w:val="20"/>
                <w:color w:val="auto"/>
              </w:rPr>
            </w:pPr>
            <w:r>
              <w:rPr>
                <w:rFonts w:ascii="Arial" w:cs="Arial" w:eastAsia="Arial" w:hAnsi="Arial"/>
                <w:sz w:val="18"/>
                <w:szCs w:val="18"/>
                <w:color w:val="auto"/>
                <w:w w:val="90"/>
              </w:rPr>
              <w:t>month-end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0"/>
              <w:spacing w:after="0" w:line="190" w:lineRule="exact"/>
              <w:rPr>
                <w:sz w:val="20"/>
                <w:szCs w:val="20"/>
                <w:color w:val="auto"/>
              </w:rPr>
            </w:pPr>
            <w:r>
              <w:rPr>
                <w:rFonts w:ascii="Arial" w:cs="Arial" w:eastAsia="Arial" w:hAnsi="Arial"/>
                <w:sz w:val="18"/>
                <w:szCs w:val="18"/>
                <w:color w:val="auto"/>
                <w:w w:val="85"/>
              </w:rPr>
              <w:t>year</w:t>
            </w:r>
          </w:p>
        </w:tc>
        <w:tc>
          <w:tcPr>
            <w:tcW w:w="220" w:type="dxa"/>
            <w:vAlign w:val="bottom"/>
          </w:tcPr>
          <w:p>
            <w:pPr>
              <w:spacing w:after="0"/>
              <w:rPr>
                <w:sz w:val="16"/>
                <w:szCs w:val="16"/>
                <w:color w:val="auto"/>
              </w:rPr>
            </w:pPr>
          </w:p>
        </w:tc>
        <w:tc>
          <w:tcPr>
            <w:tcW w:w="134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0"/>
              </w:rPr>
              <w:t>for the year</w:t>
            </w:r>
          </w:p>
        </w:tc>
        <w:tc>
          <w:tcPr>
            <w:tcW w:w="0" w:type="dxa"/>
            <w:vAlign w:val="bottom"/>
          </w:tcPr>
          <w:p>
            <w:pPr>
              <w:spacing w:after="0"/>
              <w:rPr>
                <w:sz w:val="1"/>
                <w:szCs w:val="1"/>
                <w:color w:val="auto"/>
              </w:rPr>
            </w:pPr>
          </w:p>
        </w:tc>
      </w:tr>
      <w:tr>
        <w:trPr>
          <w:trHeight w:val="28"/>
        </w:trPr>
        <w:tc>
          <w:tcPr>
            <w:tcW w:w="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Federal funds purchased</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ind w:left="9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65,000</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22,795</w:t>
            </w:r>
          </w:p>
        </w:tc>
        <w:tc>
          <w:tcPr>
            <w:tcW w:w="22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shd w:val="clear" w:color="auto" w:fill="F0FFFF"/>
          </w:tcPr>
          <w:p>
            <w:pPr>
              <w:spacing w:after="0"/>
              <w:rPr>
                <w:sz w:val="19"/>
                <w:szCs w:val="19"/>
                <w:color w:val="auto"/>
              </w:rPr>
            </w:pPr>
          </w:p>
        </w:tc>
        <w:tc>
          <w:tcPr>
            <w:tcW w:w="13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23,178</w:t>
            </w:r>
          </w:p>
        </w:tc>
        <w:tc>
          <w:tcPr>
            <w:tcW w:w="138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74,541</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Federal funds purchased</w:t>
            </w: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ind w:left="9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70,000</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13,327</w:t>
            </w:r>
          </w:p>
        </w:tc>
        <w:tc>
          <w:tcPr>
            <w:tcW w:w="15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54,164</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00" w:type="dxa"/>
            <w:vAlign w:val="bottom"/>
            <w:tcBorders>
              <w:bottom w:val="single" w:sz="8" w:color="F0FFFF"/>
            </w:tcBorders>
            <w:shd w:val="clear" w:color="auto" w:fill="F0FFFF"/>
          </w:tcPr>
          <w:p>
            <w:pPr>
              <w:spacing w:after="0"/>
              <w:rPr>
                <w:sz w:val="22"/>
                <w:szCs w:val="22"/>
                <w:color w:val="auto"/>
              </w:rPr>
            </w:pPr>
          </w:p>
        </w:tc>
        <w:tc>
          <w:tcPr>
            <w:tcW w:w="960" w:type="dxa"/>
            <w:vAlign w:val="bottom"/>
            <w:tcBorders>
              <w:bottom w:val="single" w:sz="8" w:color="F0FFFF"/>
            </w:tcBorders>
            <w:shd w:val="clear" w:color="auto" w:fill="F0FFFF"/>
          </w:tcPr>
          <w:p>
            <w:pPr>
              <w:spacing w:after="0"/>
              <w:rPr>
                <w:sz w:val="22"/>
                <w:szCs w:val="22"/>
                <w:color w:val="auto"/>
              </w:rPr>
            </w:pPr>
          </w:p>
        </w:tc>
        <w:tc>
          <w:tcPr>
            <w:tcW w:w="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53,241</w:t>
            </w:r>
          </w:p>
        </w:tc>
        <w:tc>
          <w:tcPr>
            <w:tcW w:w="180" w:type="dxa"/>
            <w:vAlign w:val="bottom"/>
            <w:tcBorders>
              <w:bottom w:val="single" w:sz="8" w:color="F0FFFF"/>
            </w:tcBorders>
            <w:shd w:val="clear" w:color="auto" w:fill="F0FFFF"/>
          </w:tcPr>
          <w:p>
            <w:pPr>
              <w:spacing w:after="0"/>
              <w:rPr>
                <w:sz w:val="22"/>
                <w:szCs w:val="22"/>
                <w:color w:val="auto"/>
              </w:rPr>
            </w:pPr>
          </w:p>
        </w:tc>
        <w:tc>
          <w:tcPr>
            <w:tcW w:w="112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02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66,561</w:t>
            </w:r>
          </w:p>
        </w:tc>
        <w:tc>
          <w:tcPr>
            <w:tcW w:w="220" w:type="dxa"/>
            <w:vAlign w:val="bottom"/>
            <w:tcBorders>
              <w:bottom w:val="single" w:sz="8" w:color="F0FFFF"/>
            </w:tcBorders>
            <w:shd w:val="clear" w:color="auto" w:fill="F0FFFF"/>
          </w:tcPr>
          <w:p>
            <w:pPr>
              <w:spacing w:after="0"/>
              <w:rPr>
                <w:sz w:val="22"/>
                <w:szCs w:val="22"/>
                <w:color w:val="auto"/>
              </w:rPr>
            </w:pPr>
          </w:p>
        </w:tc>
        <w:tc>
          <w:tcPr>
            <w:tcW w:w="116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60" w:type="dxa"/>
            <w:vAlign w:val="bottom"/>
            <w:gridSpan w:val="2"/>
            <w:shd w:val="clear" w:color="auto" w:fill="F0FFFF"/>
          </w:tcPr>
          <w:p>
            <w:pPr>
              <w:spacing w:after="0" w:line="176" w:lineRule="exact"/>
              <w:rPr>
                <w:sz w:val="20"/>
                <w:szCs w:val="20"/>
                <w:color w:val="auto"/>
              </w:rPr>
            </w:pPr>
            <w:r>
              <w:rPr>
                <w:rFonts w:ascii="Arial" w:cs="Arial" w:eastAsia="Arial" w:hAnsi="Arial"/>
                <w:sz w:val="18"/>
                <w:szCs w:val="18"/>
                <w:color w:val="auto"/>
              </w:rPr>
              <w:t>December 31, 2012</w:t>
            </w:r>
          </w:p>
        </w:tc>
        <w:tc>
          <w:tcPr>
            <w:tcW w:w="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6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00" w:type="dxa"/>
            <w:vAlign w:val="bottom"/>
            <w:tcBorders>
              <w:top w:val="single" w:sz="8" w:color="auto"/>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52,574</w:t>
            </w:r>
          </w:p>
        </w:tc>
        <w:tc>
          <w:tcPr>
            <w:tcW w:w="130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103,551</w:t>
            </w:r>
          </w:p>
        </w:tc>
        <w:tc>
          <w:tcPr>
            <w:tcW w:w="2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75,593</w:t>
            </w:r>
          </w:p>
        </w:tc>
        <w:tc>
          <w:tcPr>
            <w:tcW w:w="138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52,574</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80,593</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2014, United had sufficient qualifying collateral to increase FHLB advances by $791 million and Federal Reserve discount window capacity of $753 million. United also has the ability to raise substantial funds through brokered deposits. In addition to these wholesale sources, United has the ability to attract retail deposits at any time by competing more aggressively on pricing.</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$102 million for the year ended December 31, 2014. Net income of $67.6 million for the year included the deferred income tax expense of $38.2 million, non-cash expenses for provision for credit losses of $8.50 million, non-cash depreciation, amortization and accretion of $20.0 million. Accrued expenses and other liabilities decreased $15.4 million, along with other assets and accrued interest receivable increase of $16.8 million. Net cash used in investing activities of $237 million consisted primarily of $611 million of purchases of securities, a net increase in loans of $326 million, purchases of premises and equipment of $5.05 million and net cash paid for the BCI acquisition of $31.3 million, that were offset by proceeds from sales of securities of $421 million, maturities and calls of investment securities of $295 million, proceeds from note sales of $4.56 million, and net proceeds from sales of other real estate of $10.2 million. The $99.4 million of net cash provided financing activities consisted primarily of a net increase in deposits of $125 million and a $150 million net increase in FHLB advances. Cash from financing activities was also increased by $12.2 million in proceeds from the issuance of common stock. This increase was offset by $122 million paid to retire preferred stock, a $51.7 million reduction in short-term borrowings and $12.0 million in cash used to repurchase an outstanding warrant. In the opinion of management, United’s liquidity position at December 31, 2014 was sufficient to meet its expected cash flow requirements.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following table shows United’s contractual obligations and other commitments.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680" w:type="dxa"/>
            <w:vAlign w:val="bottom"/>
            <w:gridSpan w:val="5"/>
          </w:tcPr>
          <w:p>
            <w:pPr>
              <w:spacing w:after="0"/>
              <w:rPr>
                <w:sz w:val="20"/>
                <w:szCs w:val="20"/>
                <w:color w:val="auto"/>
              </w:rPr>
            </w:pPr>
            <w:r>
              <w:rPr>
                <w:rFonts w:ascii="Arial" w:cs="Arial" w:eastAsia="Arial" w:hAnsi="Arial"/>
                <w:sz w:val="18"/>
                <w:szCs w:val="18"/>
                <w:b w:val="1"/>
                <w:bCs w:val="1"/>
                <w:color w:val="auto"/>
                <w:w w:val="91"/>
              </w:rPr>
              <w:t>Table 19 - Contractual Obligations and Other Commitments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As of December 31, 2014</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5"/>
            <w:vMerge w:val="restart"/>
          </w:tcPr>
          <w:p>
            <w:pPr>
              <w:jc w:val="right"/>
              <w:spacing w:after="0"/>
              <w:rPr>
                <w:sz w:val="20"/>
                <w:szCs w:val="20"/>
                <w:color w:val="auto"/>
              </w:rPr>
            </w:pPr>
            <w:r>
              <w:rPr>
                <w:rFonts w:ascii="Arial" w:cs="Arial" w:eastAsia="Arial" w:hAnsi="Arial"/>
                <w:sz w:val="18"/>
                <w:szCs w:val="18"/>
                <w:color w:val="auto"/>
              </w:rPr>
              <w:t>Maturity By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5"/>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86"/>
              </w:rPr>
              <w:t>1 or Less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w w:val="97"/>
              </w:rPr>
              <w:t>1 to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3 to 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w w:val="96"/>
              </w:rPr>
              <w:t>Over 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Contractual Cash Obligations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FHLB advances</w:t>
            </w:r>
          </w:p>
        </w:tc>
        <w:tc>
          <w:tcPr>
            <w:tcW w:w="360" w:type="dxa"/>
            <w:vAlign w:val="bottom"/>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270,125</w:t>
            </w:r>
          </w:p>
        </w:tc>
        <w:tc>
          <w:tcPr>
            <w:tcW w:w="6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270,000</w:t>
            </w:r>
          </w:p>
        </w:tc>
        <w:tc>
          <w:tcPr>
            <w:tcW w:w="34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w:t>
            </w:r>
          </w:p>
        </w:tc>
        <w:tc>
          <w:tcPr>
            <w:tcW w:w="34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129,865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auto"/>
            </w:tcBorders>
            <w:shd w:val="clear" w:color="auto" w:fill="F0FFFF"/>
          </w:tcPr>
          <w:p>
            <w:pPr>
              <w:spacing w:after="0"/>
              <w:rPr>
                <w:sz w:val="19"/>
                <w:szCs w:val="19"/>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10,877</w:t>
            </w:r>
          </w:p>
        </w:tc>
        <w:tc>
          <w:tcPr>
            <w:tcW w:w="6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1,741</w:t>
            </w: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4,523</w:t>
            </w:r>
          </w:p>
        </w:tc>
        <w:tc>
          <w:tcPr>
            <w:tcW w:w="4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20"/>
              <w:spacing w:after="0"/>
              <w:rPr>
                <w:sz w:val="20"/>
                <w:szCs w:val="20"/>
                <w:color w:val="auto"/>
              </w:rPr>
            </w:pPr>
            <w:r>
              <w:rPr>
                <w:rFonts w:ascii="Arial" w:cs="Arial" w:eastAsia="Arial" w:hAnsi="Arial"/>
                <w:sz w:val="18"/>
                <w:szCs w:val="18"/>
                <w:color w:val="auto"/>
                <w:w w:val="99"/>
              </w:rPr>
              <w:t>Total contractual cash obligations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410,867</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271,741</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37,832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41,906</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Other Commitments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Lines of credit</w:t>
            </w:r>
          </w:p>
        </w:tc>
        <w:tc>
          <w:tcPr>
            <w:tcW w:w="360" w:type="dxa"/>
            <w:vAlign w:val="bottom"/>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878,160</w:t>
            </w:r>
          </w:p>
        </w:tc>
        <w:tc>
          <w:tcPr>
            <w:tcW w:w="6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240,137</w:t>
            </w:r>
          </w:p>
        </w:tc>
        <w:tc>
          <w:tcPr>
            <w:tcW w:w="34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123,768</w:t>
            </w:r>
          </w:p>
        </w:tc>
        <w:tc>
          <w:tcPr>
            <w:tcW w:w="340" w:type="dxa"/>
            <w:vAlign w:val="bottom"/>
            <w:gridSpan w:val="3"/>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190,398</w:t>
            </w:r>
          </w:p>
        </w:tc>
        <w:tc>
          <w:tcPr>
            <w:tcW w:w="3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323,857</w:t>
            </w:r>
          </w:p>
        </w:tc>
        <w:tc>
          <w:tcPr>
            <w:tcW w:w="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Commercial letters of credit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Uncertain tax positions</w:t>
            </w:r>
          </w:p>
        </w:tc>
        <w:tc>
          <w:tcPr>
            <w:tcW w:w="360" w:type="dxa"/>
            <w:vAlign w:val="bottom"/>
            <w:tcBorders>
              <w:bottom w:val="single" w:sz="8" w:color="auto"/>
            </w:tcBorders>
            <w:shd w:val="clear" w:color="auto" w:fill="F0FFFF"/>
          </w:tcPr>
          <w:p>
            <w:pPr>
              <w:spacing w:after="0"/>
              <w:rPr>
                <w:sz w:val="19"/>
                <w:szCs w:val="19"/>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4,195</w:t>
            </w:r>
          </w:p>
        </w:tc>
        <w:tc>
          <w:tcPr>
            <w:tcW w:w="6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585</w:t>
            </w: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2,397</w:t>
            </w:r>
          </w:p>
        </w:tc>
        <w:tc>
          <w:tcPr>
            <w:tcW w:w="4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20"/>
              <w:spacing w:after="0"/>
              <w:rPr>
                <w:sz w:val="20"/>
                <w:szCs w:val="20"/>
                <w:color w:val="auto"/>
              </w:rPr>
            </w:pPr>
            <w:r>
              <w:rPr>
                <w:rFonts w:ascii="Arial" w:cs="Arial" w:eastAsia="Arial" w:hAnsi="Arial"/>
                <w:sz w:val="18"/>
                <w:szCs w:val="18"/>
                <w:color w:val="auto"/>
              </w:rPr>
              <w:t>Total other commitments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902,216</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258,948</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125,762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191,252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326,254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contractual maturity of investment securities by maturity date and average yields based on amortized cost (for all obligations on a fully taxable basis). The composition and maturity / repricing distribution of the securities portfolio is subject to change depending on rate sensitivity, capital and liquidity needs.</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Table 20 - Expected Maturity of Available-for-Sale and Held-to-Maturity Investment Securities</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 of December 31, 2014</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Maturity By Years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 or Less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30"/>
              <w:spacing w:after="0"/>
              <w:rPr>
                <w:sz w:val="20"/>
                <w:szCs w:val="20"/>
                <w:color w:val="auto"/>
              </w:rPr>
            </w:pPr>
            <w:r>
              <w:rPr>
                <w:rFonts w:ascii="Arial" w:cs="Arial" w:eastAsia="Arial" w:hAnsi="Arial"/>
                <w:sz w:val="18"/>
                <w:szCs w:val="18"/>
                <w:color w:val="auto"/>
              </w:rPr>
              <w:t>1 to 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 to 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Over 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F0FFFF"/>
          </w:tcPr>
          <w:p>
            <w:pPr>
              <w:spacing w:after="0"/>
              <w:rPr>
                <w:sz w:val="20"/>
                <w:szCs w:val="20"/>
                <w:color w:val="auto"/>
              </w:rPr>
            </w:pPr>
            <w:r>
              <w:rPr>
                <w:rFonts w:ascii="Arial" w:cs="Arial" w:eastAsia="Arial" w:hAnsi="Arial"/>
                <w:sz w:val="18"/>
                <w:szCs w:val="18"/>
                <w:color w:val="auto"/>
              </w:rPr>
              <w:t>U.S. Treasury securities</w:t>
            </w:r>
          </w:p>
        </w:tc>
        <w:tc>
          <w:tcPr>
            <w:tcW w:w="30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16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6"/>
              </w:rPr>
              <w:t>U.S. government agency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6,405</w:t>
            </w: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10,771</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2,165</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20,233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9,505</w:t>
            </w: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257,886</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58,966</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129,571</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455,928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line="216" w:lineRule="exact"/>
              <w:rPr>
                <w:sz w:val="20"/>
                <w:szCs w:val="20"/>
                <w:color w:val="auto"/>
              </w:rPr>
            </w:pPr>
            <w:r>
              <w:rPr>
                <w:rFonts w:ascii="Arial" w:cs="Arial" w:eastAsia="Arial" w:hAnsi="Arial"/>
                <w:sz w:val="16"/>
                <w:szCs w:val="16"/>
                <w:color w:val="auto"/>
              </w:rPr>
              <w:t xml:space="preserve">Other securities </w:t>
            </w:r>
            <w:r>
              <w:rPr>
                <w:rFonts w:ascii="Arial" w:cs="Arial" w:eastAsia="Arial" w:hAnsi="Arial"/>
                <w:sz w:val="25"/>
                <w:szCs w:val="25"/>
                <w:color w:val="auto"/>
                <w:vertAlign w:val="superscript"/>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Borders>
              <w:bottom w:val="single" w:sz="8" w:color="F0FFFF"/>
            </w:tcBorders>
            <w:shd w:val="clear" w:color="auto" w:fill="F0FFFF"/>
          </w:tcPr>
          <w:p>
            <w:pPr>
              <w:ind w:left="120"/>
              <w:spacing w:after="0"/>
              <w:rPr>
                <w:sz w:val="20"/>
                <w:szCs w:val="20"/>
                <w:color w:val="auto"/>
              </w:rPr>
            </w:pPr>
            <w:r>
              <w:rPr>
                <w:rFonts w:ascii="Arial" w:cs="Arial" w:eastAsia="Arial" w:hAnsi="Arial"/>
                <w:sz w:val="18"/>
                <w:szCs w:val="18"/>
                <w:color w:val="auto"/>
                <w:w w:val="98"/>
              </w:rPr>
              <w:t>Total securities available for sale</w:t>
            </w:r>
          </w:p>
        </w:tc>
        <w:tc>
          <w:tcPr>
            <w:tcW w:w="1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33,929</w:t>
            </w:r>
          </w:p>
        </w:tc>
        <w:tc>
          <w:tcPr>
            <w:tcW w:w="18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994,833</w:t>
            </w: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429,511</w:t>
            </w:r>
          </w:p>
        </w:tc>
        <w:tc>
          <w:tcPr>
            <w:tcW w:w="1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324,461</w:t>
            </w: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1,782,734</w:t>
            </w:r>
          </w:p>
        </w:tc>
        <w:tc>
          <w:tcPr>
            <w:tcW w:w="16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F0FFFF"/>
          </w:tcPr>
          <w:p>
            <w:pPr>
              <w:spacing w:after="0" w:line="216" w:lineRule="exact"/>
              <w:rPr>
                <w:sz w:val="20"/>
                <w:szCs w:val="20"/>
                <w:color w:val="auto"/>
              </w:rPr>
            </w:pPr>
            <w:r>
              <w:rPr>
                <w:rFonts w:ascii="Arial" w:cs="Arial" w:eastAsia="Arial" w:hAnsi="Arial"/>
                <w:sz w:val="16"/>
                <w:szCs w:val="16"/>
                <w:color w:val="auto"/>
              </w:rPr>
              <w:t xml:space="preserve">Weighted average yield </w:t>
            </w:r>
            <w:r>
              <w:rPr>
                <w:rFonts w:ascii="Arial" w:cs="Arial" w:eastAsia="Arial" w:hAnsi="Arial"/>
                <w:sz w:val="25"/>
                <w:szCs w:val="25"/>
                <w:color w:val="auto"/>
                <w:vertAlign w:val="superscript"/>
              </w:rPr>
              <w:t>(2)</w:t>
            </w: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Held to Maturity</w:t>
            </w: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18,582</w:t>
            </w:r>
          </w:p>
        </w:tc>
        <w:tc>
          <w:tcPr>
            <w:tcW w:w="16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19,573</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9,002</w:t>
            </w:r>
          </w:p>
        </w:tc>
        <w:tc>
          <w:tcPr>
            <w:tcW w:w="16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F0FFFF"/>
          </w:tcPr>
          <w:p>
            <w:pPr>
              <w:spacing w:after="0" w:line="216" w:lineRule="exact"/>
              <w:rPr>
                <w:sz w:val="20"/>
                <w:szCs w:val="20"/>
                <w:color w:val="auto"/>
              </w:rPr>
            </w:pPr>
            <w:r>
              <w:rPr>
                <w:rFonts w:ascii="Arial" w:cs="Arial" w:eastAsia="Arial" w:hAnsi="Arial"/>
                <w:sz w:val="16"/>
                <w:szCs w:val="16"/>
                <w:color w:val="auto"/>
              </w:rPr>
              <w:t xml:space="preserve">Other securities </w:t>
            </w:r>
            <w:r>
              <w:rPr>
                <w:rFonts w:ascii="Arial" w:cs="Arial" w:eastAsia="Arial" w:hAnsi="Arial"/>
                <w:sz w:val="25"/>
                <w:szCs w:val="25"/>
                <w:color w:val="auto"/>
                <w:vertAlign w:val="superscript"/>
              </w:rPr>
              <w:t>(1)</w:t>
            </w: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249,815</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111,603</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5,692</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367,110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w w:val="98"/>
              </w:rPr>
              <w:t>Total securities available for sale</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268,397</w:t>
            </w:r>
          </w:p>
        </w:tc>
        <w:tc>
          <w:tcPr>
            <w:tcW w:w="16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131,176</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14,694</w:t>
            </w:r>
          </w:p>
        </w:tc>
        <w:tc>
          <w:tcPr>
            <w:tcW w:w="16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415,267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tcPr>
          <w:p>
            <w:pPr>
              <w:spacing w:after="0" w:line="216" w:lineRule="exact"/>
              <w:rPr>
                <w:sz w:val="20"/>
                <w:szCs w:val="20"/>
                <w:color w:val="auto"/>
              </w:rPr>
            </w:pPr>
            <w:r>
              <w:rPr>
                <w:rFonts w:ascii="Arial" w:cs="Arial" w:eastAsia="Arial" w:hAnsi="Arial"/>
                <w:sz w:val="16"/>
                <w:szCs w:val="16"/>
                <w:color w:val="auto"/>
              </w:rPr>
              <w:t xml:space="preserve">Weighted average yield </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Combined Portfolio</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F0FFFF"/>
          </w:tcPr>
          <w:p>
            <w:pPr>
              <w:spacing w:after="0"/>
              <w:rPr>
                <w:sz w:val="20"/>
                <w:szCs w:val="20"/>
                <w:color w:val="auto"/>
              </w:rPr>
            </w:pPr>
            <w:r>
              <w:rPr>
                <w:rFonts w:ascii="Arial" w:cs="Arial" w:eastAsia="Arial" w:hAnsi="Arial"/>
                <w:sz w:val="18"/>
                <w:szCs w:val="18"/>
                <w:color w:val="auto"/>
              </w:rPr>
              <w:t>U.S. Treasury securities</w:t>
            </w:r>
          </w:p>
        </w:tc>
        <w:tc>
          <w:tcPr>
            <w:tcW w:w="30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16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w w:val="92"/>
              </w:rPr>
              <w:t>U.S. governement agency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7,405</w:t>
            </w: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29,353</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21,738</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9,894</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68,390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9,505</w:t>
            </w: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257,886</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58,966</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129,571</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455,928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line="216" w:lineRule="exact"/>
              <w:rPr>
                <w:sz w:val="20"/>
                <w:szCs w:val="20"/>
                <w:color w:val="auto"/>
              </w:rPr>
            </w:pPr>
            <w:r>
              <w:rPr>
                <w:rFonts w:ascii="Arial" w:cs="Arial" w:eastAsia="Arial" w:hAnsi="Arial"/>
                <w:sz w:val="16"/>
                <w:szCs w:val="16"/>
                <w:color w:val="auto"/>
              </w:rPr>
              <w:t xml:space="preserve">Other securities </w:t>
            </w:r>
            <w:r>
              <w:rPr>
                <w:rFonts w:ascii="Arial" w:cs="Arial" w:eastAsia="Arial" w:hAnsi="Arial"/>
                <w:sz w:val="25"/>
                <w:szCs w:val="25"/>
                <w:color w:val="auto"/>
                <w:vertAlign w:val="superscript"/>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1,366,046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Borders>
              <w:bottom w:val="single" w:sz="8" w:color="F0FFFF"/>
            </w:tcBorders>
            <w:shd w:val="clear" w:color="auto" w:fill="F0FFFF"/>
          </w:tcPr>
          <w:p>
            <w:pPr>
              <w:ind w:left="120"/>
              <w:spacing w:after="0"/>
              <w:rPr>
                <w:sz w:val="20"/>
                <w:szCs w:val="20"/>
                <w:color w:val="auto"/>
              </w:rPr>
            </w:pPr>
            <w:r>
              <w:rPr>
                <w:rFonts w:ascii="Arial" w:cs="Arial" w:eastAsia="Arial" w:hAnsi="Arial"/>
                <w:sz w:val="18"/>
                <w:szCs w:val="18"/>
                <w:color w:val="auto"/>
                <w:w w:val="98"/>
              </w:rPr>
              <w:t>Total securities available for sale</w:t>
            </w:r>
          </w:p>
        </w:tc>
        <w:tc>
          <w:tcPr>
            <w:tcW w:w="1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34,929</w:t>
            </w:r>
          </w:p>
        </w:tc>
        <w:tc>
          <w:tcPr>
            <w:tcW w:w="18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1,263,230</w:t>
            </w: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560,687</w:t>
            </w:r>
          </w:p>
        </w:tc>
        <w:tc>
          <w:tcPr>
            <w:tcW w:w="16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339,155</w:t>
            </w: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2,198,000</w:t>
            </w:r>
          </w:p>
        </w:tc>
        <w:tc>
          <w:tcPr>
            <w:tcW w:w="16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F0FFFF"/>
          </w:tcPr>
          <w:p>
            <w:pPr>
              <w:spacing w:after="0" w:line="216" w:lineRule="exact"/>
              <w:rPr>
                <w:sz w:val="20"/>
                <w:szCs w:val="20"/>
                <w:color w:val="auto"/>
              </w:rPr>
            </w:pPr>
            <w:r>
              <w:rPr>
                <w:rFonts w:ascii="Arial" w:cs="Arial" w:eastAsia="Arial" w:hAnsi="Arial"/>
                <w:sz w:val="16"/>
                <w:szCs w:val="16"/>
                <w:color w:val="auto"/>
              </w:rPr>
              <w:t xml:space="preserve">Weighted average yield </w:t>
            </w:r>
            <w:r>
              <w:rPr>
                <w:rFonts w:ascii="Arial" w:cs="Arial" w:eastAsia="Arial" w:hAnsi="Arial"/>
                <w:sz w:val="25"/>
                <w:szCs w:val="25"/>
                <w:color w:val="auto"/>
                <w:vertAlign w:val="superscript"/>
              </w:rPr>
              <w:t>(2)</w:t>
            </w:r>
          </w:p>
        </w:tc>
        <w:tc>
          <w:tcPr>
            <w:tcW w:w="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60" w:right="8380" w:firstLine="6"/>
        <w:spacing w:after="0" w:line="194" w:lineRule="auto"/>
        <w:tabs>
          <w:tab w:leader="none" w:pos="1125"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Includes mortgage-backed securities</w:t>
      </w:r>
    </w:p>
    <w:p>
      <w:pPr>
        <w:spacing w:after="0" w:line="133" w:lineRule="exact"/>
        <w:rPr>
          <w:rFonts w:ascii="Arial" w:cs="Arial" w:eastAsia="Arial" w:hAnsi="Arial"/>
          <w:sz w:val="30"/>
          <w:szCs w:val="30"/>
          <w:color w:val="auto"/>
          <w:vertAlign w:val="superscript"/>
        </w:rPr>
      </w:pPr>
    </w:p>
    <w:p>
      <w:pPr>
        <w:ind w:left="1080" w:hanging="214"/>
        <w:spacing w:after="0"/>
        <w:tabs>
          <w:tab w:leader="none" w:pos="108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Based on amortized cost, taxable equivalent basis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91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20 to the consolidated financial statements for additional information on off-balance sheet arrangements.</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December 31, 2014 and 2013, United had $375 million and $350 million, respectively, in offsetting repurchase agreements / reverse repurchase agreements that were netted in the consolidated balance sheet. United enters into these collateral swap arrangements from time to time as a source of additional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Shareholders’ equity at December 31, 2014 was $740 million, a decrease of $56.1 million from December 31, 2013. Accumulated other comprehensive income,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ratios. Excluding the change in the accumulated other comprehensive income, shareholders’ equity decreased $57.2 million, or 7%, from December 31, 2013. The decrease results from the redemption of $122 million in preferred stock in the first quarter of 2014. The preferred stock redemption was offset by 2014 earnings, net of dividend declared on common stock.</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accrued $439,000 and $12.1 million, respectively, in dividends, including discount accretion, on its Series A Preferred Stock, Series B Preferred Stock, and Series D Preferred Stock, for the years ended December 31, 2014 and 2013.</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December 31, 2013, United redeemed all of its outstanding Series A Preferred Stock in the principal amount of $217,000. The redemption price for shares of the Series A Preferred Stock was the stated value of $10 per share, plus any accrued and unpaid dividends that had been earned thereon through the redemption date. Following the redemption, there are no shares of United’s Series A Preferred Stock outstanding.</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27, 2013, United redeemed $75 million of its $180 million in outstanding Series B Preferred Stock. The redemption price for shares of the Series B Preferred Stock called for redemption was the stated liquidation value of $1,000 per share, plus any accrued and unpaid dividends that had been earned thereon to, but not including, the redemption date. As of December 31, 2013, $105 million of United’s Series B Preferred Stock was outstanding. The remaining $105 million of United’s Series B Preferred Stock was redeemed on January 10, 2014 on comparable terms. On March 3, 2014, United redeemed all of its outstanding $16.6 million in Series D preferred stock at par. United funded the redemptions by utilizing cash on hand, cash dividends from the Bank and short-term debt.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2014, United repurchased an outstanding warrant from Fletcher International Ltd. (“Fletcher”), for $12.0 million, its estimated fair value.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On August 12, 2013, holders elected to exercise warrants to purchase an aggregate 1,551,126 shares of United’s common stock at a price of 12.50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recognized net proceeds of approximately $19.4 million as a result of the exercises.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7" w:name="page58"/>
    <w:bookmarkEnd w:id="57"/>
    <w:p>
      <w:pPr>
        <w:jc w:val="both"/>
        <w:spacing w:after="0" w:line="276" w:lineRule="auto"/>
        <w:rPr>
          <w:sz w:val="20"/>
          <w:szCs w:val="20"/>
          <w:color w:val="auto"/>
        </w:rPr>
      </w:pPr>
      <w:r>
        <w:rPr>
          <w:rFonts w:ascii="Arial" w:cs="Arial" w:eastAsia="Arial" w:hAnsi="Arial"/>
          <w:sz w:val="17"/>
          <w:szCs w:val="17"/>
          <w:color w:val="auto"/>
        </w:rPr>
        <w:t>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 balance sheet. Under the guidelines, capital strength is measured in two tiers which are used in conjunction with risk-weighted assets to determine the risk-based capital ratios. The guidelines require an 8% Total risk-based capital ratio, of which 4% must be Tier 1 capital. However, to be considered well-capitalized under the guidelines, a 10% Total risk-based capital ratio is required, of which 6% must be Tier 1 capital.</w:t>
      </w:r>
    </w:p>
    <w:p>
      <w:pPr>
        <w:spacing w:after="0" w:line="20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Tier 1 capital consists of shareholders’ equity, excluding accumulated other comprehensive income, intangible assets (goodwill and deposit-based intangibles), and disallowed deferred tax assets, plus qualifying capital securities. United’s Tier 1 capital totaled $643 million at December 31, 2014. Tier 2 capital components include supplemental capital such as the qualifying portion of the allowance for loan losses and qualifying subordinated debt. Tier 1 capital plus Tier 2 capital is referred to as Total risk-based capital and was $709 million at December 31, 2014. The ratios, as calculated under the guidelines, were 12.06% and 13.31% for Tier 1 and Total risk-based capital, respectively, at December 31, 2014.</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1 capital divided by average assets adjusted for goodwill and deposit-based intangibles. Although a minimum leverage ratio of 3% is required, the Federal Reserve requires a bank holding company to maintain a leverage ratio of greater than 3% if it is experiencing or anticipating significant growth or is operating with less than well-diversified risks in the opinion of the Federal Reserve. The Federal Reserve uses the leverage and risk-based capital ratios to assess capital adequacy of banks and bank holding companies.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outstanding junior subordinated debentures related to trust preferred securities totaling $54.9 million at December 31, 2014. The related trust preferred securities of $53.2 million (excluding common securities) qualify as Tier 1 capital under risk-based capital guidelines provided that total trust preferred securities do not exceed certain quantitative limits. At December 31, 2014, all of United’s trust preferred securities qualified as Tier 1 capital. Further information on United’s trust preferred securities is provided in Note 13 to the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United’s capital ratios, as calculated under regulatory guidelines, at December 31, 2014 and 2013:</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w w:val="95"/>
              </w:rPr>
              <w:t>Table 21 - Capital Ratios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700" w:type="dxa"/>
            <w:vAlign w:val="bottom"/>
            <w:gridSpan w:val="4"/>
            <w:vMerge w:val="restart"/>
          </w:tcPr>
          <w:p>
            <w:pPr>
              <w:ind w:left="820"/>
              <w:spacing w:after="0"/>
              <w:rPr>
                <w:sz w:val="20"/>
                <w:szCs w:val="20"/>
                <w:color w:val="auto"/>
              </w:rPr>
            </w:pPr>
            <w:r>
              <w:rPr>
                <w:rFonts w:ascii="Arial" w:cs="Arial" w:eastAsia="Arial" w:hAnsi="Arial"/>
                <w:sz w:val="18"/>
                <w:szCs w:val="18"/>
                <w:b w:val="1"/>
                <w:bCs w:val="1"/>
                <w:color w:val="auto"/>
              </w:rPr>
              <w:t>Regulatory</w:t>
            </w:r>
          </w:p>
        </w:tc>
        <w:tc>
          <w:tcPr>
            <w:tcW w:w="2740" w:type="dxa"/>
            <w:vAlign w:val="bottom"/>
            <w:gridSpan w:val="6"/>
            <w:vMerge w:val="restart"/>
          </w:tcPr>
          <w:p>
            <w:pPr>
              <w:jc w:val="center"/>
              <w:ind w:right="180"/>
              <w:spacing w:after="0"/>
              <w:rPr>
                <w:sz w:val="20"/>
                <w:szCs w:val="20"/>
                <w:color w:val="auto"/>
              </w:rPr>
            </w:pPr>
            <w:r>
              <w:rPr>
                <w:rFonts w:ascii="Arial" w:cs="Arial" w:eastAsia="Arial" w:hAnsi="Arial"/>
                <w:sz w:val="18"/>
                <w:szCs w:val="18"/>
                <w:b w:val="1"/>
                <w:bCs w:val="1"/>
                <w:color w:val="auto"/>
                <w:w w:val="92"/>
              </w:rPr>
              <w:t>United Community Banks, Inc.</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740" w:type="dxa"/>
            <w:vAlign w:val="bottom"/>
            <w:gridSpan w:val="6"/>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Guidelines</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88"/>
              </w:rPr>
              <w:t>(Consolidated)</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United Community Bank</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Well</w:t>
            </w:r>
          </w:p>
        </w:tc>
        <w:tc>
          <w:tcPr>
            <w:tcW w:w="300" w:type="dxa"/>
            <w:vAlign w:val="bottom"/>
          </w:tcPr>
          <w:p>
            <w:pPr>
              <w:spacing w:after="0"/>
              <w:rPr>
                <w:sz w:val="24"/>
                <w:szCs w:val="24"/>
                <w:color w:val="auto"/>
              </w:rPr>
            </w:pPr>
          </w:p>
        </w:tc>
        <w:tc>
          <w:tcPr>
            <w:tcW w:w="24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4"/>
                <w:szCs w:val="24"/>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Minimum</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Capitalized</w:t>
            </w:r>
          </w:p>
        </w:tc>
        <w:tc>
          <w:tcPr>
            <w:tcW w:w="30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F0FFFF"/>
          </w:tcPr>
          <w:p>
            <w:pPr>
              <w:spacing w:after="0"/>
              <w:rPr>
                <w:sz w:val="20"/>
                <w:szCs w:val="20"/>
                <w:color w:val="auto"/>
              </w:rPr>
            </w:pPr>
            <w:r>
              <w:rPr>
                <w:rFonts w:ascii="Arial" w:cs="Arial" w:eastAsia="Arial" w:hAnsi="Arial"/>
                <w:sz w:val="18"/>
                <w:szCs w:val="18"/>
                <w:color w:val="auto"/>
              </w:rPr>
              <w:t>Risk-based ratios:</w:t>
            </w:r>
          </w:p>
        </w:tc>
        <w:tc>
          <w:tcPr>
            <w:tcW w:w="1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Tier 1 capital</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w w:val="87"/>
              </w:rPr>
              <w:t>4.0%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12.74%</w:t>
            </w: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capital</w:t>
            </w:r>
          </w:p>
        </w:tc>
        <w:tc>
          <w:tcPr>
            <w:tcW w:w="1180" w:type="dxa"/>
            <w:vAlign w:val="bottom"/>
            <w:shd w:val="clear" w:color="auto" w:fill="F0FFFF"/>
          </w:tcPr>
          <w:p>
            <w:pPr>
              <w:ind w:left="960"/>
              <w:spacing w:after="0"/>
              <w:rPr>
                <w:sz w:val="20"/>
                <w:szCs w:val="20"/>
                <w:color w:val="auto"/>
              </w:rPr>
            </w:pPr>
            <w:r>
              <w:rPr>
                <w:rFonts w:ascii="Arial" w:cs="Arial" w:eastAsia="Arial" w:hAnsi="Arial"/>
                <w:sz w:val="18"/>
                <w:szCs w:val="18"/>
                <w:color w:val="auto"/>
                <w:w w:val="79"/>
              </w:rPr>
              <w:t>8.0</w:t>
            </w:r>
          </w:p>
        </w:tc>
        <w:tc>
          <w:tcPr>
            <w:tcW w:w="16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13.99</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14.09</w:t>
            </w: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14.80</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Leverage ratio</w:t>
            </w:r>
          </w:p>
        </w:tc>
        <w:tc>
          <w:tcPr>
            <w:tcW w:w="1180" w:type="dxa"/>
            <w:vAlign w:val="bottom"/>
          </w:tcPr>
          <w:p>
            <w:pPr>
              <w:ind w:left="960"/>
              <w:spacing w:after="0"/>
              <w:rPr>
                <w:sz w:val="20"/>
                <w:szCs w:val="20"/>
                <w:color w:val="auto"/>
              </w:rPr>
            </w:pPr>
            <w:r>
              <w:rPr>
                <w:rFonts w:ascii="Arial" w:cs="Arial" w:eastAsia="Arial" w:hAnsi="Arial"/>
                <w:sz w:val="18"/>
                <w:szCs w:val="18"/>
                <w:color w:val="auto"/>
                <w:w w:val="79"/>
              </w:rPr>
              <w:t>3.0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Tier 1 capital</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642,663</w:t>
            </w:r>
          </w:p>
        </w:tc>
        <w:tc>
          <w:tcPr>
            <w:tcW w:w="16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649,162</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683,332</w:t>
            </w:r>
          </w:p>
        </w:tc>
        <w:tc>
          <w:tcPr>
            <w:tcW w:w="18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686,687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capital</w:t>
            </w:r>
          </w:p>
        </w:tc>
        <w:tc>
          <w:tcPr>
            <w:tcW w:w="1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709,408</w:t>
            </w: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713,063</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749,927</w:t>
            </w: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750,216</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Risk-weighted assets</w:t>
            </w:r>
          </w:p>
        </w:tc>
        <w:tc>
          <w:tcPr>
            <w:tcW w:w="1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5,332,822</w:t>
            </w:r>
          </w:p>
        </w:tc>
        <w:tc>
          <w:tcPr>
            <w:tcW w:w="1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5,097,091</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5,320,615</w:t>
            </w: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5,066,948</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rPr>
              <w:t>Average total assets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7,396,450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7,150,360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7,385,048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7,142,050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8" w:name="page59"/>
    <w:bookmarkEnd w:id="58"/>
    <w:p>
      <w:pPr>
        <w:spacing w:after="0"/>
        <w:tabs>
          <w:tab w:leader="none" w:pos="15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United’s net interest revenue, and the fair value of its financial instruments, are influenced by changes in the level of interest rates. United limits its exposure to fluctuations in interest rates through policies established by its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or decrease from 100 to 300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December 31, 2014 and 2013 made use of the down scenarios problematic. The following table presents United’s interest sensitivity position at December 31, 2014 and 2013.</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Table 22 - Interest Sensitivity</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380" w:type="dxa"/>
            <w:vAlign w:val="bottom"/>
            <w:gridSpan w:val="9"/>
          </w:tcPr>
          <w:p>
            <w:pPr>
              <w:jc w:val="right"/>
              <w:ind w:right="530"/>
              <w:spacing w:after="0"/>
              <w:rPr>
                <w:sz w:val="20"/>
                <w:szCs w:val="20"/>
                <w:color w:val="auto"/>
              </w:rPr>
            </w:pPr>
            <w:r>
              <w:rPr>
                <w:rFonts w:ascii="Arial" w:cs="Arial" w:eastAsia="Arial" w:hAnsi="Arial"/>
                <w:sz w:val="18"/>
                <w:szCs w:val="18"/>
                <w:b w:val="1"/>
                <w:bCs w:val="1"/>
                <w:color w:val="auto"/>
              </w:rPr>
              <w:t>Increase (Decrease) in Net Interest Revenue from Base Scenario at</w:t>
            </w: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9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2013</w:t>
            </w:r>
          </w:p>
        </w:tc>
        <w:tc>
          <w:tcPr>
            <w:tcW w:w="12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720"/>
              <w:spacing w:after="0"/>
              <w:rPr>
                <w:sz w:val="20"/>
                <w:szCs w:val="20"/>
                <w:color w:val="auto"/>
              </w:rPr>
            </w:pPr>
            <w:r>
              <w:rPr>
                <w:rFonts w:ascii="Arial" w:cs="Arial" w:eastAsia="Arial" w:hAnsi="Arial"/>
                <w:sz w:val="18"/>
                <w:szCs w:val="18"/>
                <w:b w:val="1"/>
                <w:bCs w:val="1"/>
                <w:color w:val="auto"/>
              </w:rPr>
              <w:t>Change in Rates</w:t>
            </w:r>
          </w:p>
        </w:tc>
        <w:tc>
          <w:tcPr>
            <w:tcW w:w="192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Shock</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Ramp</w:t>
            </w:r>
          </w:p>
        </w:tc>
        <w:tc>
          <w:tcPr>
            <w:tcW w:w="80" w:type="dxa"/>
            <w:vAlign w:val="bottom"/>
          </w:tcPr>
          <w:p>
            <w:pPr>
              <w:spacing w:after="0"/>
              <w:rPr>
                <w:sz w:val="19"/>
                <w:szCs w:val="19"/>
                <w:color w:val="auto"/>
              </w:rPr>
            </w:pPr>
          </w:p>
        </w:tc>
        <w:tc>
          <w:tcPr>
            <w:tcW w:w="2000" w:type="dxa"/>
            <w:vAlign w:val="bottom"/>
            <w:gridSpan w:val="3"/>
          </w:tcPr>
          <w:p>
            <w:pPr>
              <w:jc w:val="right"/>
              <w:ind w:right="1000"/>
              <w:spacing w:after="0"/>
              <w:rPr>
                <w:sz w:val="20"/>
                <w:szCs w:val="20"/>
                <w:color w:val="auto"/>
              </w:rPr>
            </w:pPr>
            <w:r>
              <w:rPr>
                <w:rFonts w:ascii="Arial" w:cs="Arial" w:eastAsia="Arial" w:hAnsi="Arial"/>
                <w:sz w:val="18"/>
                <w:szCs w:val="18"/>
                <w:b w:val="1"/>
                <w:bCs w:val="1"/>
                <w:color w:val="auto"/>
              </w:rPr>
              <w:t>Shock</w:t>
            </w: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Ramp</w:t>
            </w: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shd w:val="clear" w:color="auto" w:fill="F0FFFF"/>
          </w:tcPr>
          <w:p>
            <w:pPr>
              <w:ind w:left="40"/>
              <w:spacing w:after="0"/>
              <w:rPr>
                <w:sz w:val="20"/>
                <w:szCs w:val="20"/>
                <w:color w:val="auto"/>
              </w:rPr>
            </w:pPr>
            <w:r>
              <w:rPr>
                <w:rFonts w:ascii="Arial" w:cs="Arial" w:eastAsia="Arial" w:hAnsi="Arial"/>
                <w:sz w:val="18"/>
                <w:szCs w:val="18"/>
                <w:color w:val="auto"/>
              </w:rPr>
              <w:t>200 basis point increase</w:t>
            </w:r>
          </w:p>
        </w:tc>
        <w:tc>
          <w:tcPr>
            <w:tcW w:w="14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ind w:left="740"/>
              <w:spacing w:after="0"/>
              <w:rPr>
                <w:sz w:val="20"/>
                <w:szCs w:val="20"/>
                <w:color w:val="auto"/>
              </w:rPr>
            </w:pPr>
            <w:r>
              <w:rPr>
                <w:rFonts w:ascii="Arial" w:cs="Arial" w:eastAsia="Arial" w:hAnsi="Arial"/>
                <w:sz w:val="18"/>
                <w:szCs w:val="18"/>
                <w:color w:val="auto"/>
                <w:w w:val="87"/>
              </w:rPr>
              <w:t>2.0%</w:t>
            </w:r>
          </w:p>
        </w:tc>
        <w:tc>
          <w:tcPr>
            <w:tcW w:w="80" w:type="dxa"/>
            <w:vAlign w:val="bottom"/>
            <w:shd w:val="clear" w:color="auto" w:fill="F0FFFF"/>
          </w:tcPr>
          <w:p>
            <w:pPr>
              <w:spacing w:after="0"/>
              <w:rPr>
                <w:sz w:val="18"/>
                <w:szCs w:val="18"/>
                <w:color w:val="auto"/>
              </w:rPr>
            </w:pPr>
          </w:p>
        </w:tc>
        <w:tc>
          <w:tcPr>
            <w:tcW w:w="14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F0FFFF"/>
          </w:tcPr>
          <w:p>
            <w:pPr>
              <w:spacing w:after="0"/>
              <w:rPr>
                <w:sz w:val="18"/>
                <w:szCs w:val="18"/>
                <w:color w:val="auto"/>
              </w:rPr>
            </w:pPr>
          </w:p>
        </w:tc>
        <w:tc>
          <w:tcPr>
            <w:tcW w:w="440" w:type="dxa"/>
            <w:vAlign w:val="bottom"/>
            <w:tcBorders>
              <w:top w:val="single" w:sz="8" w:color="auto"/>
            </w:tcBorders>
            <w:shd w:val="clear" w:color="auto" w:fill="F0FFFF"/>
          </w:tcPr>
          <w:p>
            <w:pPr>
              <w:spacing w:after="0"/>
              <w:rPr>
                <w:sz w:val="18"/>
                <w:szCs w:val="18"/>
                <w:color w:val="auto"/>
              </w:rPr>
            </w:pPr>
          </w:p>
        </w:tc>
        <w:tc>
          <w:tcPr>
            <w:tcW w:w="12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9" w:name="page60"/>
    <w:bookmarkEnd w:id="59"/>
    <w:p>
      <w:pPr>
        <w:jc w:val="both"/>
        <w:spacing w:after="0" w:line="255" w:lineRule="auto"/>
        <w:rPr>
          <w:sz w:val="20"/>
          <w:szCs w:val="20"/>
          <w:color w:val="auto"/>
        </w:rPr>
      </w:pPr>
      <w:r>
        <w:rPr>
          <w:rFonts w:ascii="Arial" w:cs="Arial" w:eastAsia="Arial" w:hAnsi="Arial"/>
          <w:sz w:val="18"/>
          <w:szCs w:val="18"/>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are marked to market through earnings.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United will terminate hedging positions when conditions change and the position is no longer necessary to manage United’s overall sensitivity to changes in interest rates. In those situations where the terminated contract was in an effective cash flow hedging relationship at the time of termination, the resulting gain or loss is amortized over the remaining life of the original contract as long as the forecasted hedged cash flows are expected to remain probable. For swap contracts, the gain or loss is amortized over the remaining original contract term using the straight line method of amortization. At December 31, 2014, United had $4.74 million in losses from terminated derivative positions included in other comprehensive income that will be amortized into earnings over their remaining original contract terms. In addition, United’s one active cash flow hedge of floating rate liabilities that will begin interest settlements over the next twelve months. United expects that $3.34 million will be reclassified as an increase to deposit and wholesale borrowings interest expense over the next twelve months related to these terminated derivative positions and active cash flow hedges.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2013, United reclassified hedge ineffectiveness gains and losses from other fee revenue to net interest revenue. This reclassification has been reflected in all prior period results.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00" w:lineRule="exact"/>
        <w:rPr>
          <w:sz w:val="20"/>
          <w:szCs w:val="20"/>
          <w:color w:val="auto"/>
        </w:rPr>
      </w:pPr>
    </w:p>
    <w:p>
      <w:pPr>
        <w:spacing w:after="0" w:line="25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financial statements of the registrant and report of independent registered public accounting firm are included herein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3430270" cy="986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343027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248"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Management has assessed the effectiveness of the internal control over financial reporting as of December 31, 2014. In making this assessment, we used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assessment, management concluded that as of December 31, 2014, United Community Banks, Inc.’s internal control over financial reporting is effective based on those criteria.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accountants have audited the effectiveness of the company’s internal control over financial reporting as stated in their report, which is included in Item 8 of this Annual Report on Form 10-K.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Jimmy C. Tallent</w:t>
            </w:r>
          </w:p>
        </w:tc>
        <w:tc>
          <w:tcPr>
            <w:tcW w:w="206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Rex S. Schuette</w:t>
            </w:r>
          </w:p>
        </w:tc>
        <w:tc>
          <w:tcPr>
            <w:tcW w:w="1280" w:type="dxa"/>
            <w:vAlign w:val="bottom"/>
          </w:tcPr>
          <w:p>
            <w:pPr>
              <w:spacing w:after="0"/>
              <w:rPr>
                <w:sz w:val="20"/>
                <w:szCs w:val="20"/>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rPr>
              <w:t>Jimmy C. Tallent</w:t>
            </w:r>
          </w:p>
        </w:tc>
        <w:tc>
          <w:tcPr>
            <w:tcW w:w="206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Rex S. Schuette</w:t>
            </w:r>
          </w:p>
        </w:tc>
        <w:tc>
          <w:tcPr>
            <w:tcW w:w="1280" w:type="dxa"/>
            <w:vAlign w:val="bottom"/>
          </w:tcPr>
          <w:p>
            <w:pPr>
              <w:spacing w:after="0"/>
              <w:rPr>
                <w:sz w:val="17"/>
                <w:szCs w:val="17"/>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20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128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80" w:type="dxa"/>
            <w:vAlign w:val="bottom"/>
          </w:tcPr>
          <w:p>
            <w:pPr>
              <w:spacing w:after="0"/>
              <w:rPr>
                <w:sz w:val="20"/>
                <w:szCs w:val="20"/>
                <w:color w:val="auto"/>
              </w:rPr>
            </w:pPr>
          </w:p>
        </w:tc>
      </w:tr>
      <w:tr>
        <w:trPr>
          <w:trHeight w:val="648"/>
        </w:trPr>
        <w:tc>
          <w:tcPr>
            <w:tcW w:w="410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jc w:val="right"/>
              <w:ind w:right="270"/>
              <w:spacing w:after="0"/>
              <w:rPr>
                <w:sz w:val="20"/>
                <w:szCs w:val="20"/>
                <w:color w:val="auto"/>
              </w:rPr>
            </w:pPr>
            <w:r>
              <w:rPr>
                <w:rFonts w:ascii="Arial" w:cs="Arial" w:eastAsia="Arial" w:hAnsi="Arial"/>
                <w:sz w:val="18"/>
                <w:szCs w:val="18"/>
                <w:color w:val="auto"/>
              </w:rPr>
              <w:t>56</w:t>
            </w:r>
          </w:p>
        </w:tc>
        <w:tc>
          <w:tcPr>
            <w:tcW w:w="3980" w:type="dxa"/>
            <w:vAlign w:val="bottom"/>
            <w:tcBorders>
              <w:bottom w:val="single" w:sz="8" w:color="DCDCDC"/>
            </w:tcBorders>
          </w:tcPr>
          <w:p>
            <w:pPr>
              <w:spacing w:after="0"/>
              <w:rPr>
                <w:sz w:val="24"/>
                <w:szCs w:val="24"/>
                <w:color w:val="auto"/>
              </w:rPr>
            </w:pPr>
          </w:p>
        </w:tc>
        <w:tc>
          <w:tcPr>
            <w:tcW w:w="12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943610" cy="720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943610" cy="7200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DE6900"/>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United Community Banks, Inc.</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 and the related consolidated statement of income, of comprehensive income (loss), of changes in shareholders’ equity and of cash flows present fairly, in all material respects, the financial position of United Community Banks, Inc. and its subsidiaries at December 31, 2014 and December 31, 2013, and the results of their operations and their cash flows for each of the two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 provides a reasonable basis for our opinions.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3173095" cy="488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7309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25" w:lineRule="exact"/>
        <w:rPr>
          <w:sz w:val="20"/>
          <w:szCs w:val="20"/>
          <w:color w:val="auto"/>
        </w:rPr>
      </w:pPr>
    </w:p>
    <w:p>
      <w:pPr>
        <w:ind w:right="5560"/>
        <w:spacing w:after="0" w:line="277" w:lineRule="auto"/>
        <w:rPr>
          <w:sz w:val="20"/>
          <w:szCs w:val="20"/>
          <w:color w:val="auto"/>
        </w:rPr>
      </w:pPr>
      <w:r>
        <w:rPr>
          <w:rFonts w:ascii="Arial" w:cs="Arial" w:eastAsia="Arial" w:hAnsi="Arial"/>
          <w:sz w:val="18"/>
          <w:szCs w:val="18"/>
          <w:i w:val="1"/>
          <w:iCs w:val="1"/>
          <w:color w:val="auto"/>
        </w:rPr>
        <w:t>PricewaterhouseCoopers LLP, 1075 Peachtree St, Suite 2600, Atlanta, GA 30309 T: (678) 419 1000, F: (678) 419 1239, www.pwc.com/us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2858770</wp:posOffset>
            </wp:positionH>
            <wp:positionV relativeFrom="page">
              <wp:posOffset>440690</wp:posOffset>
            </wp:positionV>
            <wp:extent cx="1844040" cy="1080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84404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United Community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Blairsville, Georgia</w:t>
      </w:r>
    </w:p>
    <w:p>
      <w:pPr>
        <w:spacing w:after="0" w:line="35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statement of income, comprehensive income (loss), changes in shareholders’ equity, and cash flows for the year ended December 31, 2012 of United Community Banks, Inc. and subsidiaries (the “Company”). These consolidated financial statements are the responsibility of the Company’s management. Our responsibility is to express an opinion on these consolidated financial statements based on our audit.</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results of operations and cash flows of United Community Banks, Inc. and subsidiaries for the year ended December 31, 2012, in conformity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229485"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2948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17365D"/>
        </w:rPr>
        <w:t>235 Peachtree Street NE | Suite 1800 | Atlanta, Georgia 30303 | Phone 404.588.4200 | Fax 404.588.4222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spacing w:after="0"/>
              <w:rPr>
                <w:sz w:val="20"/>
                <w:szCs w:val="20"/>
                <w:color w:val="auto"/>
              </w:rPr>
            </w:pPr>
            <w:r>
              <w:rPr>
                <w:rFonts w:ascii="Arial" w:cs="Arial" w:eastAsia="Arial" w:hAnsi="Arial"/>
                <w:sz w:val="18"/>
                <w:szCs w:val="18"/>
                <w:color w:val="auto"/>
              </w:rPr>
              <w:t>Interest revenue: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Loans, including fees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196,279</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200,893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Taxable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47,755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40,331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Tax exempt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Deposits in banks and short-term investments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Total interest revenue</w:t>
            </w: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248,432</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245,840</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265,977</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Money market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3,060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2,210</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Time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10,464</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19,097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Total deposit interest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2,071</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10,554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10,977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27,682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260"/>
              <w:spacing w:after="0"/>
              <w:rPr>
                <w:sz w:val="20"/>
                <w:szCs w:val="20"/>
                <w:color w:val="auto"/>
              </w:rPr>
            </w:pPr>
            <w:r>
              <w:rPr>
                <w:rFonts w:ascii="Arial" w:cs="Arial" w:eastAsia="Arial" w:hAnsi="Arial"/>
                <w:sz w:val="18"/>
                <w:szCs w:val="18"/>
                <w:color w:val="auto"/>
              </w:rPr>
              <w:t>Net interest revenue</w:t>
            </w: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222,881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218,158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228,068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Net interest revenue after provision for credit losses</w:t>
            </w: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214,381</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152,658</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165,568</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Fee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Service charges and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33,073</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31,997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Mortgage loan and other related fees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Brokerage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Losses on prepayment of borrowings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Total fee revenue</w:t>
            </w: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55,554</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56,598</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56,112</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269,935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Salaries and employee benefits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100,941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96,233</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13,513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Communications and equipment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12,523</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13,233</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FDIC assessments and other regulatory charges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7,907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9,617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Postage, printing and supplies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60"/>
              <w:spacing w:after="0"/>
              <w:rPr>
                <w:sz w:val="20"/>
                <w:szCs w:val="20"/>
                <w:color w:val="auto"/>
              </w:rPr>
            </w:pPr>
            <w:r>
              <w:rPr>
                <w:rFonts w:ascii="Arial" w:cs="Arial" w:eastAsia="Arial" w:hAnsi="Arial"/>
                <w:sz w:val="18"/>
                <w:szCs w:val="18"/>
                <w:color w:val="auto"/>
              </w:rPr>
              <w:t>Advertising and public relations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3,461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3,718</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80"/>
              <w:spacing w:after="0"/>
              <w:rPr>
                <w:sz w:val="20"/>
                <w:szCs w:val="20"/>
                <w:color w:val="auto"/>
              </w:rPr>
            </w:pPr>
            <w:r>
              <w:rPr>
                <w:rFonts w:ascii="Arial" w:cs="Arial" w:eastAsia="Arial" w:hAnsi="Arial"/>
                <w:sz w:val="18"/>
                <w:szCs w:val="18"/>
                <w:color w:val="auto"/>
              </w:rPr>
              <w:t>Foreclosed property</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7,869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162,865</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174,304</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186,774</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107,070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39,450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(238,188)</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6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273,140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12,078</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60"/>
              <w:spacing w:after="0"/>
              <w:rPr>
                <w:sz w:val="20"/>
                <w:szCs w:val="20"/>
                <w:color w:val="auto"/>
              </w:rPr>
            </w:pPr>
            <w:r>
              <w:rPr>
                <w:rFonts w:ascii="Arial" w:cs="Arial" w:eastAsia="Arial" w:hAnsi="Arial"/>
                <w:sz w:val="18"/>
                <w:szCs w:val="18"/>
                <w:b w:val="1"/>
                <w:bCs w:val="1"/>
                <w:color w:val="auto"/>
              </w:rPr>
              <w:t>Net income available to common shareholders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67,181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261,062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21,708</w:t>
            </w:r>
          </w:p>
        </w:tc>
        <w:tc>
          <w:tcPr>
            <w:tcW w:w="0" w:type="dxa"/>
            <w:vAlign w:val="bottom"/>
          </w:tcPr>
          <w:p>
            <w:pPr>
              <w:spacing w:after="0"/>
              <w:rPr>
                <w:sz w:val="1"/>
                <w:szCs w:val="1"/>
                <w:color w:val="auto"/>
              </w:rPr>
            </w:pPr>
          </w:p>
        </w:tc>
      </w:tr>
      <w:tr>
        <w:trPr>
          <w:trHeight w:val="21"/>
        </w:trPr>
        <w:tc>
          <w:tcPr>
            <w:tcW w:w="7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F0FFFF"/>
          </w:tcPr>
          <w:p>
            <w:pPr>
              <w:spacing w:after="0"/>
              <w:rPr>
                <w:sz w:val="18"/>
                <w:szCs w:val="18"/>
                <w:color w:val="auto"/>
              </w:rPr>
            </w:pP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4.44</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60,588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60,590</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58,845</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57,857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072" w:gutter="0" w:footer="0" w:header="0"/>
        </w:sectPr>
      </w:pPr>
    </w:p>
    <w:bookmarkStart w:id="64" w:name="page65"/>
    <w:bookmarkEnd w:id="64"/>
    <w:p>
      <w:pPr>
        <w:jc w:val="center"/>
        <w:ind w:right="8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(in thousands,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2013</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3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Before-tax</w:t>
            </w:r>
          </w:p>
        </w:tc>
        <w:tc>
          <w:tcPr>
            <w:tcW w:w="8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2"/>
              </w:rPr>
              <w:t>(Expense)</w:t>
            </w:r>
          </w:p>
        </w:tc>
        <w:tc>
          <w:tcPr>
            <w:tcW w:w="8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Net of Tax</w:t>
            </w:r>
          </w:p>
        </w:tc>
        <w:tc>
          <w:tcPr>
            <w:tcW w:w="10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2"/>
              </w:rPr>
              <w:t>Before-tax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(Expense)</w:t>
            </w:r>
          </w:p>
        </w:tc>
        <w:tc>
          <w:tcPr>
            <w:tcW w:w="8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Net of 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3"/>
              </w:rPr>
              <w:t>Before-tax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Net of Tax</w:t>
            </w:r>
          </w:p>
        </w:tc>
      </w:tr>
      <w:tr>
        <w:trPr>
          <w:trHeight w:val="169"/>
        </w:trPr>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Benefit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8"/>
              </w:rPr>
              <w:t>Benefit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r>
      <w:tr>
        <w:trPr>
          <w:trHeight w:val="216"/>
        </w:trPr>
        <w:tc>
          <w:tcPr>
            <w:tcW w:w="33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107,070</w:t>
            </w:r>
          </w:p>
        </w:tc>
        <w:tc>
          <w:tcPr>
            <w:tcW w:w="8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(39,450)</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67,620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34,952</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238,188</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273,140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34,906</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(1,050)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33,856</w:t>
            </w: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tcBorders>
              <w:right w:val="single" w:sz="8" w:color="F0FFFF"/>
            </w:tcBorders>
            <w:shd w:val="clear" w:color="auto" w:fill="F0FFFF"/>
          </w:tcPr>
          <w:p>
            <w:pPr>
              <w:ind w:left="140"/>
              <w:spacing w:after="0"/>
              <w:rPr>
                <w:sz w:val="20"/>
                <w:szCs w:val="20"/>
                <w:color w:val="auto"/>
              </w:rPr>
            </w:pPr>
            <w:r>
              <w:rPr>
                <w:rFonts w:ascii="Arial" w:cs="Arial" w:eastAsia="Arial" w:hAnsi="Arial"/>
                <w:sz w:val="14"/>
                <w:szCs w:val="14"/>
                <w:color w:val="auto"/>
                <w:w w:val="88"/>
              </w:rPr>
              <w:t>Unrealized (losses) gains on available-for-sale securities:</w:t>
            </w:r>
          </w:p>
        </w:tc>
        <w:tc>
          <w:tcPr>
            <w:tcW w:w="10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137"/>
        </w:trPr>
        <w:tc>
          <w:tcPr>
            <w:tcW w:w="3300" w:type="dxa"/>
            <w:vAlign w:val="bottom"/>
          </w:tcPr>
          <w:p>
            <w:pPr>
              <w:ind w:left="280"/>
              <w:spacing w:after="0" w:line="137" w:lineRule="exact"/>
              <w:rPr>
                <w:sz w:val="20"/>
                <w:szCs w:val="20"/>
                <w:color w:val="auto"/>
              </w:rPr>
            </w:pPr>
            <w:r>
              <w:rPr>
                <w:rFonts w:ascii="Arial" w:cs="Arial" w:eastAsia="Arial" w:hAnsi="Arial"/>
                <w:sz w:val="14"/>
                <w:szCs w:val="14"/>
                <w:color w:val="auto"/>
              </w:rPr>
              <w:t>Unrealized holding gains (losses) arising during</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0"/>
        </w:trPr>
        <w:tc>
          <w:tcPr>
            <w:tcW w:w="3300" w:type="dxa"/>
            <w:vAlign w:val="bottom"/>
          </w:tcPr>
          <w:p>
            <w:pPr>
              <w:ind w:left="440"/>
              <w:spacing w:after="0"/>
              <w:rPr>
                <w:sz w:val="20"/>
                <w:szCs w:val="20"/>
                <w:color w:val="auto"/>
              </w:rPr>
            </w:pPr>
            <w:r>
              <w:rPr>
                <w:rFonts w:ascii="Arial" w:cs="Arial" w:eastAsia="Arial" w:hAnsi="Arial"/>
                <w:sz w:val="14"/>
                <w:szCs w:val="14"/>
                <w:color w:val="auto"/>
              </w:rPr>
              <w:t>period</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(4,676)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7,874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(22,421)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8,475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(13,946)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475</w:t>
            </w:r>
          </w:p>
        </w:tc>
      </w:tr>
      <w:tr>
        <w:trPr>
          <w:trHeight w:val="137"/>
        </w:trPr>
        <w:tc>
          <w:tcPr>
            <w:tcW w:w="3300" w:type="dxa"/>
            <w:vAlign w:val="bottom"/>
            <w:tcBorders>
              <w:right w:val="single" w:sz="8" w:color="F0FFFF"/>
            </w:tcBorders>
            <w:shd w:val="clear" w:color="auto" w:fill="F0FFFF"/>
          </w:tcPr>
          <w:p>
            <w:pPr>
              <w:ind w:left="280"/>
              <w:spacing w:after="0" w:line="137" w:lineRule="exact"/>
              <w:rPr>
                <w:sz w:val="20"/>
                <w:szCs w:val="20"/>
                <w:color w:val="auto"/>
              </w:rPr>
            </w:pPr>
            <w:r>
              <w:rPr>
                <w:rFonts w:ascii="Arial" w:cs="Arial" w:eastAsia="Arial" w:hAnsi="Arial"/>
                <w:sz w:val="14"/>
                <w:szCs w:val="14"/>
                <w:color w:val="auto"/>
                <w:w w:val="93"/>
              </w:rPr>
              <w:t>Reclassification of securities from available-for-sale</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r>
      <w:tr>
        <w:trPr>
          <w:trHeight w:val="160"/>
        </w:trPr>
        <w:tc>
          <w:tcPr>
            <w:tcW w:w="3300" w:type="dxa"/>
            <w:vAlign w:val="bottom"/>
            <w:tcBorders>
              <w:right w:val="single" w:sz="8" w:color="F0FFFF"/>
            </w:tcBorders>
            <w:shd w:val="clear" w:color="auto" w:fill="F0FFFF"/>
          </w:tcPr>
          <w:p>
            <w:pPr>
              <w:ind w:left="440"/>
              <w:spacing w:after="0"/>
              <w:rPr>
                <w:sz w:val="20"/>
                <w:szCs w:val="20"/>
                <w:color w:val="auto"/>
              </w:rPr>
            </w:pPr>
            <w:r>
              <w:rPr>
                <w:rFonts w:ascii="Arial" w:cs="Arial" w:eastAsia="Arial" w:hAnsi="Arial"/>
                <w:sz w:val="14"/>
                <w:szCs w:val="14"/>
                <w:color w:val="auto"/>
              </w:rPr>
              <w:t>to held-to-maturity</w:t>
            </w:r>
          </w:p>
        </w:tc>
        <w:tc>
          <w:tcPr>
            <w:tcW w:w="100" w:type="dxa"/>
            <w:vAlign w:val="bottom"/>
            <w:shd w:val="clear" w:color="auto" w:fill="F0FFFF"/>
          </w:tcPr>
          <w:p>
            <w:pPr>
              <w:spacing w:after="0"/>
              <w:rPr>
                <w:sz w:val="13"/>
                <w:szCs w:val="13"/>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8,306</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(3,119)</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5,187</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r>
      <w:tr>
        <w:trPr>
          <w:trHeight w:val="137"/>
        </w:trPr>
        <w:tc>
          <w:tcPr>
            <w:tcW w:w="3300" w:type="dxa"/>
            <w:vAlign w:val="bottom"/>
          </w:tcPr>
          <w:p>
            <w:pPr>
              <w:ind w:left="280"/>
              <w:spacing w:after="0" w:line="137" w:lineRule="exact"/>
              <w:rPr>
                <w:sz w:val="20"/>
                <w:szCs w:val="20"/>
                <w:color w:val="auto"/>
              </w:rPr>
            </w:pPr>
            <w:r>
              <w:rPr>
                <w:rFonts w:ascii="Arial" w:cs="Arial" w:eastAsia="Arial" w:hAnsi="Arial"/>
                <w:sz w:val="14"/>
                <w:szCs w:val="14"/>
                <w:color w:val="auto"/>
                <w:w w:val="92"/>
              </w:rPr>
              <w:t>Reclassification adjustment for gains included in net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0"/>
        </w:trPr>
        <w:tc>
          <w:tcPr>
            <w:tcW w:w="3300" w:type="dxa"/>
            <w:vAlign w:val="bottom"/>
          </w:tcPr>
          <w:p>
            <w:pPr>
              <w:ind w:left="440"/>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(4,871)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1,902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(2,969)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(7,078)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2,753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(4,325)</w:t>
            </w:r>
          </w:p>
        </w:tc>
      </w:tr>
      <w:tr>
        <w:trPr>
          <w:trHeight w:val="137"/>
        </w:trPr>
        <w:tc>
          <w:tcPr>
            <w:tcW w:w="3300" w:type="dxa"/>
            <w:vAlign w:val="bottom"/>
            <w:tcBorders>
              <w:right w:val="single" w:sz="8" w:color="F0FFFF"/>
            </w:tcBorders>
            <w:shd w:val="clear" w:color="auto" w:fill="F0FFFF"/>
          </w:tcPr>
          <w:p>
            <w:pPr>
              <w:ind w:left="280"/>
              <w:spacing w:after="0" w:line="137" w:lineRule="exact"/>
              <w:rPr>
                <w:sz w:val="20"/>
                <w:szCs w:val="20"/>
                <w:color w:val="auto"/>
              </w:rPr>
            </w:pPr>
            <w:r>
              <w:rPr>
                <w:rFonts w:ascii="Arial" w:cs="Arial" w:eastAsia="Arial" w:hAnsi="Arial"/>
                <w:sz w:val="14"/>
                <w:szCs w:val="14"/>
                <w:color w:val="auto"/>
                <w:w w:val="93"/>
              </w:rPr>
              <w:t>Adjustment of valuation allowance for the change in</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r>
      <w:tr>
        <w:trPr>
          <w:trHeight w:val="149"/>
        </w:trPr>
        <w:tc>
          <w:tcPr>
            <w:tcW w:w="3300" w:type="dxa"/>
            <w:vAlign w:val="bottom"/>
            <w:tcBorders>
              <w:right w:val="single" w:sz="8" w:color="F0FFFF"/>
            </w:tcBorders>
            <w:shd w:val="clear" w:color="auto" w:fill="F0FFFF"/>
          </w:tcPr>
          <w:p>
            <w:pPr>
              <w:ind w:left="440"/>
              <w:spacing w:after="0" w:line="149" w:lineRule="exact"/>
              <w:rPr>
                <w:sz w:val="20"/>
                <w:szCs w:val="20"/>
                <w:color w:val="auto"/>
              </w:rPr>
            </w:pPr>
            <w:r>
              <w:rPr>
                <w:rFonts w:ascii="Arial" w:cs="Arial" w:eastAsia="Arial" w:hAnsi="Arial"/>
                <w:sz w:val="14"/>
                <w:szCs w:val="14"/>
                <w:color w:val="auto"/>
                <w:w w:val="94"/>
              </w:rPr>
              <w:t>deferred taxes arising from unrealized gains and</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49"/>
        </w:trPr>
        <w:tc>
          <w:tcPr>
            <w:tcW w:w="3300" w:type="dxa"/>
            <w:vAlign w:val="bottom"/>
            <w:tcBorders>
              <w:right w:val="single" w:sz="8" w:color="F0FFFF"/>
            </w:tcBorders>
            <w:shd w:val="clear" w:color="auto" w:fill="F0FFFF"/>
          </w:tcPr>
          <w:p>
            <w:pPr>
              <w:ind w:left="440"/>
              <w:spacing w:after="0" w:line="149" w:lineRule="exact"/>
              <w:rPr>
                <w:sz w:val="20"/>
                <w:szCs w:val="20"/>
                <w:color w:val="auto"/>
              </w:rPr>
            </w:pPr>
            <w:r>
              <w:rPr>
                <w:rFonts w:ascii="Arial" w:cs="Arial" w:eastAsia="Arial" w:hAnsi="Arial"/>
                <w:sz w:val="14"/>
                <w:szCs w:val="14"/>
                <w:color w:val="auto"/>
                <w:w w:val="86"/>
              </w:rPr>
              <w:t>losses on available-for-sale securities and release of</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60"/>
        </w:trPr>
        <w:tc>
          <w:tcPr>
            <w:tcW w:w="3300" w:type="dxa"/>
            <w:vAlign w:val="bottom"/>
            <w:tcBorders>
              <w:right w:val="single" w:sz="8" w:color="F0FFFF"/>
            </w:tcBorders>
            <w:shd w:val="clear" w:color="auto" w:fill="F0FFFF"/>
          </w:tcPr>
          <w:p>
            <w:pPr>
              <w:ind w:left="440"/>
              <w:spacing w:after="0"/>
              <w:rPr>
                <w:sz w:val="20"/>
                <w:szCs w:val="20"/>
                <w:color w:val="auto"/>
              </w:rPr>
            </w:pPr>
            <w:r>
              <w:rPr>
                <w:rFonts w:ascii="Arial" w:cs="Arial" w:eastAsia="Arial" w:hAnsi="Arial"/>
                <w:sz w:val="14"/>
                <w:szCs w:val="14"/>
                <w:color w:val="auto"/>
              </w:rPr>
              <w:t>valuation allowance</w:t>
            </w:r>
          </w:p>
        </w:tc>
        <w:tc>
          <w:tcPr>
            <w:tcW w:w="10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(2,963)</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(2,963)</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(2,480)</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(2,480)</w:t>
            </w:r>
          </w:p>
        </w:tc>
      </w:tr>
      <w:tr>
        <w:trPr>
          <w:trHeight w:val="27"/>
        </w:trPr>
        <w:tc>
          <w:tcPr>
            <w:tcW w:w="330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r>
      <w:tr>
        <w:trPr>
          <w:trHeight w:val="216"/>
        </w:trPr>
        <w:tc>
          <w:tcPr>
            <w:tcW w:w="3300" w:type="dxa"/>
            <w:vAlign w:val="bottom"/>
          </w:tcPr>
          <w:p>
            <w:pPr>
              <w:ind w:left="280"/>
              <w:spacing w:after="0"/>
              <w:rPr>
                <w:sz w:val="20"/>
                <w:szCs w:val="20"/>
                <w:color w:val="auto"/>
              </w:rPr>
            </w:pPr>
            <w:r>
              <w:rPr>
                <w:rFonts w:ascii="Arial" w:cs="Arial" w:eastAsia="Arial" w:hAnsi="Arial"/>
                <w:sz w:val="14"/>
                <w:szCs w:val="14"/>
                <w:color w:val="auto"/>
              </w:rPr>
              <w:t>Net unrealized gains (losses)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(2,774)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4,905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(14,301)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2,465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(11,836)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(6,330)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(6,330)</w:t>
            </w:r>
          </w:p>
        </w:tc>
      </w:tr>
      <w:tr>
        <w:trPr>
          <w:trHeight w:val="137"/>
        </w:trPr>
        <w:tc>
          <w:tcPr>
            <w:tcW w:w="3300" w:type="dxa"/>
            <w:vAlign w:val="bottom"/>
            <w:tcBorders>
              <w:right w:val="single" w:sz="8" w:color="F0FFFF"/>
            </w:tcBorders>
            <w:shd w:val="clear" w:color="auto" w:fill="F0FFFF"/>
          </w:tcPr>
          <w:p>
            <w:pPr>
              <w:ind w:left="140"/>
              <w:spacing w:after="0" w:line="137" w:lineRule="exact"/>
              <w:rPr>
                <w:sz w:val="20"/>
                <w:szCs w:val="20"/>
                <w:color w:val="auto"/>
              </w:rPr>
            </w:pPr>
            <w:r>
              <w:rPr>
                <w:rFonts w:ascii="Arial" w:cs="Arial" w:eastAsia="Arial" w:hAnsi="Arial"/>
                <w:sz w:val="14"/>
                <w:szCs w:val="14"/>
                <w:color w:val="auto"/>
                <w:w w:val="94"/>
              </w:rPr>
              <w:t>Amortization of gains included in net income (loss) on</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rPr>
              <w:t>available-for-sale securities transferred to held</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60"/>
        </w:trPr>
        <w:tc>
          <w:tcPr>
            <w:tcW w:w="3300" w:type="dxa"/>
            <w:vAlign w:val="bottom"/>
            <w:tcBorders>
              <w:right w:val="single" w:sz="8" w:color="F0FFFF"/>
            </w:tcBorders>
            <w:shd w:val="clear" w:color="auto" w:fill="F0FFFF"/>
          </w:tcPr>
          <w:p>
            <w:pPr>
              <w:ind w:left="340"/>
              <w:spacing w:after="0"/>
              <w:rPr>
                <w:sz w:val="20"/>
                <w:szCs w:val="20"/>
                <w:color w:val="auto"/>
              </w:rPr>
            </w:pPr>
            <w:r>
              <w:rPr>
                <w:rFonts w:ascii="Arial" w:cs="Arial" w:eastAsia="Arial" w:hAnsi="Arial"/>
                <w:sz w:val="14"/>
                <w:szCs w:val="14"/>
                <w:color w:val="auto"/>
              </w:rPr>
              <w:t>to maturity</w:t>
            </w:r>
          </w:p>
        </w:tc>
        <w:tc>
          <w:tcPr>
            <w:tcW w:w="10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1,656</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(622)</w:t>
            </w: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(731)</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282</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(449)</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(1,988)</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773</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(1,215)</w:t>
            </w:r>
          </w:p>
        </w:tc>
      </w:tr>
      <w:tr>
        <w:trPr>
          <w:trHeight w:val="137"/>
        </w:trPr>
        <w:tc>
          <w:tcPr>
            <w:tcW w:w="3300" w:type="dxa"/>
            <w:vAlign w:val="bottom"/>
          </w:tcPr>
          <w:p>
            <w:pPr>
              <w:ind w:left="140"/>
              <w:spacing w:after="0" w:line="137" w:lineRule="exact"/>
              <w:rPr>
                <w:sz w:val="20"/>
                <w:szCs w:val="20"/>
                <w:color w:val="auto"/>
              </w:rPr>
            </w:pPr>
            <w:r>
              <w:rPr>
                <w:rFonts w:ascii="Arial" w:cs="Arial" w:eastAsia="Arial" w:hAnsi="Arial"/>
                <w:sz w:val="14"/>
                <w:szCs w:val="14"/>
                <w:color w:val="auto"/>
                <w:w w:val="92"/>
              </w:rPr>
              <w:t>Reclassification of securities from available- for-sale to</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0"/>
        </w:trPr>
        <w:tc>
          <w:tcPr>
            <w:tcW w:w="3300" w:type="dxa"/>
            <w:vAlign w:val="bottom"/>
          </w:tcPr>
          <w:p>
            <w:pPr>
              <w:ind w:left="340"/>
              <w:spacing w:after="0"/>
              <w:rPr>
                <w:sz w:val="20"/>
                <w:szCs w:val="20"/>
                <w:color w:val="auto"/>
              </w:rPr>
            </w:pPr>
            <w:r>
              <w:rPr>
                <w:rFonts w:ascii="Arial" w:cs="Arial" w:eastAsia="Arial" w:hAnsi="Arial"/>
                <w:sz w:val="14"/>
                <w:szCs w:val="14"/>
                <w:color w:val="auto"/>
              </w:rPr>
              <w:t>held-to-maturity</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(8,306)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3,119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(5,187)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37"/>
        </w:trPr>
        <w:tc>
          <w:tcPr>
            <w:tcW w:w="3300" w:type="dxa"/>
            <w:vAlign w:val="bottom"/>
            <w:tcBorders>
              <w:right w:val="single" w:sz="8" w:color="F0FFFF"/>
            </w:tcBorders>
            <w:shd w:val="clear" w:color="auto" w:fill="F0FFFF"/>
          </w:tcPr>
          <w:p>
            <w:pPr>
              <w:ind w:left="140"/>
              <w:spacing w:after="0" w:line="137" w:lineRule="exact"/>
              <w:rPr>
                <w:sz w:val="20"/>
                <w:szCs w:val="20"/>
                <w:color w:val="auto"/>
              </w:rPr>
            </w:pPr>
            <w:r>
              <w:rPr>
                <w:rFonts w:ascii="Arial" w:cs="Arial" w:eastAsia="Arial" w:hAnsi="Arial"/>
                <w:sz w:val="14"/>
                <w:szCs w:val="14"/>
                <w:color w:val="auto"/>
                <w:w w:val="97"/>
              </w:rPr>
              <w:t>Adjustment of valuation allowance for the change in</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w w:val="90"/>
              </w:rPr>
              <w:t>deferred taxes arising from the amortization of gains</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rPr>
              <w:t>included in net income on available-for-sale</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w w:val="89"/>
              </w:rPr>
              <w:t>securities transferred to held-to-maturity and release</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60"/>
        </w:trPr>
        <w:tc>
          <w:tcPr>
            <w:tcW w:w="3300" w:type="dxa"/>
            <w:vAlign w:val="bottom"/>
            <w:tcBorders>
              <w:right w:val="single" w:sz="8" w:color="F0FFFF"/>
            </w:tcBorders>
            <w:shd w:val="clear" w:color="auto" w:fill="F0FFFF"/>
          </w:tcPr>
          <w:p>
            <w:pPr>
              <w:ind w:left="340"/>
              <w:spacing w:after="0"/>
              <w:rPr>
                <w:sz w:val="20"/>
                <w:szCs w:val="20"/>
                <w:color w:val="auto"/>
              </w:rPr>
            </w:pPr>
            <w:r>
              <w:rPr>
                <w:rFonts w:ascii="Arial" w:cs="Arial" w:eastAsia="Arial" w:hAnsi="Arial"/>
                <w:sz w:val="14"/>
                <w:szCs w:val="14"/>
                <w:color w:val="auto"/>
              </w:rPr>
              <w:t>of valuation allowance</w:t>
            </w:r>
          </w:p>
        </w:tc>
        <w:tc>
          <w:tcPr>
            <w:tcW w:w="10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1,293</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1,293</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(773)</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(773)</w:t>
            </w:r>
          </w:p>
        </w:tc>
      </w:tr>
      <w:tr>
        <w:trPr>
          <w:trHeight w:val="27"/>
        </w:trPr>
        <w:tc>
          <w:tcPr>
            <w:tcW w:w="330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r>
      <w:tr>
        <w:trPr>
          <w:trHeight w:val="216"/>
        </w:trPr>
        <w:tc>
          <w:tcPr>
            <w:tcW w:w="3300" w:type="dxa"/>
            <w:vAlign w:val="bottom"/>
          </w:tcPr>
          <w:p>
            <w:pPr>
              <w:ind w:left="340"/>
              <w:spacing w:after="0"/>
              <w:rPr>
                <w:sz w:val="20"/>
                <w:szCs w:val="20"/>
                <w:color w:val="auto"/>
              </w:rPr>
            </w:pPr>
            <w:r>
              <w:rPr>
                <w:rFonts w:ascii="Arial" w:cs="Arial" w:eastAsia="Arial" w:hAnsi="Arial"/>
                <w:sz w:val="14"/>
                <w:szCs w:val="14"/>
                <w:color w:val="auto"/>
              </w:rPr>
              <w:t>Net unrealized gains (losses)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(9,037)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4,694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(4,343)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(1,988)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(1,988)</w:t>
            </w:r>
          </w:p>
        </w:tc>
      </w:tr>
      <w:tr>
        <w:trPr>
          <w:trHeight w:val="137"/>
        </w:trPr>
        <w:tc>
          <w:tcPr>
            <w:tcW w:w="3300" w:type="dxa"/>
            <w:vAlign w:val="bottom"/>
            <w:tcBorders>
              <w:right w:val="single" w:sz="8" w:color="F0FFFF"/>
            </w:tcBorders>
            <w:shd w:val="clear" w:color="auto" w:fill="F0FFFF"/>
          </w:tcPr>
          <w:p>
            <w:pPr>
              <w:ind w:left="140"/>
              <w:spacing w:after="0" w:line="137" w:lineRule="exact"/>
              <w:rPr>
                <w:sz w:val="20"/>
                <w:szCs w:val="20"/>
                <w:color w:val="auto"/>
              </w:rPr>
            </w:pPr>
            <w:r>
              <w:rPr>
                <w:rFonts w:ascii="Arial" w:cs="Arial" w:eastAsia="Arial" w:hAnsi="Arial"/>
                <w:sz w:val="14"/>
                <w:szCs w:val="14"/>
                <w:color w:val="auto"/>
              </w:rPr>
              <w:t>Amounts reclassified into net income on cash flow</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r>
      <w:tr>
        <w:trPr>
          <w:trHeight w:val="160"/>
        </w:trPr>
        <w:tc>
          <w:tcPr>
            <w:tcW w:w="3300" w:type="dxa"/>
            <w:vAlign w:val="bottom"/>
            <w:tcBorders>
              <w:right w:val="single" w:sz="8" w:color="F0FFFF"/>
            </w:tcBorders>
            <w:shd w:val="clear" w:color="auto" w:fill="F0FFFF"/>
          </w:tcPr>
          <w:p>
            <w:pPr>
              <w:ind w:left="340"/>
              <w:spacing w:after="0"/>
              <w:rPr>
                <w:sz w:val="20"/>
                <w:szCs w:val="20"/>
                <w:color w:val="auto"/>
              </w:rPr>
            </w:pPr>
            <w:r>
              <w:rPr>
                <w:rFonts w:ascii="Arial" w:cs="Arial" w:eastAsia="Arial" w:hAnsi="Arial"/>
                <w:sz w:val="14"/>
                <w:szCs w:val="14"/>
                <w:color w:val="auto"/>
              </w:rPr>
              <w:t>hedges</w:t>
            </w:r>
          </w:p>
        </w:tc>
        <w:tc>
          <w:tcPr>
            <w:tcW w:w="10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(782)</w:t>
            </w: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1,228</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(904)</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352</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(552)</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(3,712)</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1,444</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(2,268)</w:t>
            </w:r>
          </w:p>
        </w:tc>
      </w:tr>
      <w:tr>
        <w:trPr>
          <w:trHeight w:val="137"/>
        </w:trPr>
        <w:tc>
          <w:tcPr>
            <w:tcW w:w="3300" w:type="dxa"/>
            <w:vAlign w:val="bottom"/>
          </w:tcPr>
          <w:p>
            <w:pPr>
              <w:ind w:left="140"/>
              <w:spacing w:after="0" w:line="137" w:lineRule="exact"/>
              <w:rPr>
                <w:sz w:val="20"/>
                <w:szCs w:val="20"/>
                <w:color w:val="auto"/>
              </w:rPr>
            </w:pPr>
            <w:r>
              <w:rPr>
                <w:rFonts w:ascii="Arial" w:cs="Arial" w:eastAsia="Arial" w:hAnsi="Arial"/>
                <w:sz w:val="14"/>
                <w:szCs w:val="14"/>
                <w:color w:val="auto"/>
                <w:w w:val="95"/>
              </w:rPr>
              <w:t>Unrealized losses on derivative financial instruments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0"/>
        </w:trPr>
        <w:tc>
          <w:tcPr>
            <w:tcW w:w="3300" w:type="dxa"/>
            <w:vAlign w:val="bottom"/>
          </w:tcPr>
          <w:p>
            <w:pPr>
              <w:ind w:left="340"/>
              <w:spacing w:after="0"/>
              <w:rPr>
                <w:sz w:val="20"/>
                <w:szCs w:val="20"/>
                <w:color w:val="auto"/>
              </w:rPr>
            </w:pPr>
            <w:r>
              <w:rPr>
                <w:rFonts w:ascii="Arial" w:cs="Arial" w:eastAsia="Arial" w:hAnsi="Arial"/>
                <w:sz w:val="14"/>
                <w:szCs w:val="14"/>
                <w:color w:val="auto"/>
              </w:rPr>
              <w:t>accounted for as cash flow hedges</w:t>
            </w:r>
          </w:p>
        </w:tc>
        <w:tc>
          <w:tcPr>
            <w:tcW w:w="1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(8,437)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3,282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(5,155)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10,084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(3,923)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6,161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(8,739)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3,400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(5,339)</w:t>
            </w:r>
          </w:p>
        </w:tc>
      </w:tr>
      <w:tr>
        <w:trPr>
          <w:trHeight w:val="137"/>
        </w:trPr>
        <w:tc>
          <w:tcPr>
            <w:tcW w:w="3300" w:type="dxa"/>
            <w:vAlign w:val="bottom"/>
            <w:tcBorders>
              <w:right w:val="single" w:sz="8" w:color="F0FFFF"/>
            </w:tcBorders>
            <w:shd w:val="clear" w:color="auto" w:fill="F0FFFF"/>
          </w:tcPr>
          <w:p>
            <w:pPr>
              <w:ind w:left="140"/>
              <w:spacing w:after="0" w:line="137" w:lineRule="exact"/>
              <w:rPr>
                <w:sz w:val="20"/>
                <w:szCs w:val="20"/>
                <w:color w:val="auto"/>
              </w:rPr>
            </w:pPr>
            <w:r>
              <w:rPr>
                <w:rFonts w:ascii="Arial" w:cs="Arial" w:eastAsia="Arial" w:hAnsi="Arial"/>
                <w:sz w:val="14"/>
                <w:szCs w:val="14"/>
                <w:color w:val="auto"/>
                <w:w w:val="97"/>
              </w:rPr>
              <w:t>Adjustment of valuation allowance for the change in</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w w:val="97"/>
              </w:rPr>
              <w:t>deferred taxes arising from unrealized gains and</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w w:val="99"/>
              </w:rPr>
              <w:t>losses and amortization of gains included in net</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w w:val="88"/>
              </w:rPr>
              <w:t>income on cash flow hedges and release of valuation</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60"/>
        </w:trPr>
        <w:tc>
          <w:tcPr>
            <w:tcW w:w="3300" w:type="dxa"/>
            <w:vAlign w:val="bottom"/>
            <w:tcBorders>
              <w:right w:val="single" w:sz="8" w:color="F0FFFF"/>
            </w:tcBorders>
            <w:shd w:val="clear" w:color="auto" w:fill="F0FFFF"/>
          </w:tcPr>
          <w:p>
            <w:pPr>
              <w:ind w:left="340"/>
              <w:spacing w:after="0"/>
              <w:rPr>
                <w:sz w:val="20"/>
                <w:szCs w:val="20"/>
                <w:color w:val="auto"/>
              </w:rPr>
            </w:pPr>
            <w:r>
              <w:rPr>
                <w:rFonts w:ascii="Arial" w:cs="Arial" w:eastAsia="Arial" w:hAnsi="Arial"/>
                <w:sz w:val="14"/>
                <w:szCs w:val="14"/>
                <w:color w:val="auto"/>
              </w:rPr>
              <w:t>allowance</w:t>
            </w:r>
          </w:p>
        </w:tc>
        <w:tc>
          <w:tcPr>
            <w:tcW w:w="10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13,698</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13,698</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(4,844)</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(4,844)</w:t>
            </w:r>
          </w:p>
        </w:tc>
      </w:tr>
      <w:tr>
        <w:trPr>
          <w:trHeight w:val="27"/>
        </w:trPr>
        <w:tc>
          <w:tcPr>
            <w:tcW w:w="330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r>
      <w:tr>
        <w:trPr>
          <w:trHeight w:val="216"/>
        </w:trPr>
        <w:tc>
          <w:tcPr>
            <w:tcW w:w="3300" w:type="dxa"/>
            <w:vAlign w:val="bottom"/>
          </w:tcPr>
          <w:p>
            <w:pPr>
              <w:ind w:left="280"/>
              <w:spacing w:after="0"/>
              <w:rPr>
                <w:sz w:val="20"/>
                <w:szCs w:val="20"/>
                <w:color w:val="auto"/>
              </w:rPr>
            </w:pPr>
            <w:r>
              <w:rPr>
                <w:rFonts w:ascii="Arial" w:cs="Arial" w:eastAsia="Arial" w:hAnsi="Arial"/>
                <w:sz w:val="14"/>
                <w:szCs w:val="14"/>
                <w:color w:val="auto"/>
              </w:rPr>
              <w:t>Net unrealized gains (losses)</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(6,427)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(3,927)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9,180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10,127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19,307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(12,451)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(12,451)</w:t>
            </w:r>
          </w:p>
        </w:tc>
      </w:tr>
      <w:tr>
        <w:trPr>
          <w:trHeight w:val="137"/>
        </w:trPr>
        <w:tc>
          <w:tcPr>
            <w:tcW w:w="3300" w:type="dxa"/>
            <w:vAlign w:val="bottom"/>
            <w:tcBorders>
              <w:right w:val="single" w:sz="8" w:color="F0FFFF"/>
            </w:tcBorders>
            <w:shd w:val="clear" w:color="auto" w:fill="F0FFFF"/>
          </w:tcPr>
          <w:p>
            <w:pPr>
              <w:ind w:left="140"/>
              <w:spacing w:after="0" w:line="137" w:lineRule="exact"/>
              <w:rPr>
                <w:sz w:val="20"/>
                <w:szCs w:val="20"/>
                <w:color w:val="auto"/>
              </w:rPr>
            </w:pPr>
            <w:r>
              <w:rPr>
                <w:rFonts w:ascii="Arial" w:cs="Arial" w:eastAsia="Arial" w:hAnsi="Arial"/>
                <w:sz w:val="14"/>
                <w:szCs w:val="14"/>
                <w:color w:val="auto"/>
              </w:rPr>
              <w:t>Net actuarial gain (loss) on defined</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r>
      <w:tr>
        <w:trPr>
          <w:trHeight w:val="160"/>
        </w:trPr>
        <w:tc>
          <w:tcPr>
            <w:tcW w:w="3300" w:type="dxa"/>
            <w:vAlign w:val="bottom"/>
            <w:tcBorders>
              <w:right w:val="single" w:sz="8" w:color="F0FFFF"/>
            </w:tcBorders>
            <w:shd w:val="clear" w:color="auto" w:fill="F0FFFF"/>
          </w:tcPr>
          <w:p>
            <w:pPr>
              <w:ind w:left="340"/>
              <w:spacing w:after="0"/>
              <w:rPr>
                <w:sz w:val="20"/>
                <w:szCs w:val="20"/>
                <w:color w:val="auto"/>
              </w:rPr>
            </w:pPr>
            <w:r>
              <w:rPr>
                <w:rFonts w:ascii="Arial" w:cs="Arial" w:eastAsia="Arial" w:hAnsi="Arial"/>
                <w:sz w:val="14"/>
                <w:szCs w:val="14"/>
                <w:color w:val="auto"/>
              </w:rPr>
              <w:t>benefit pension plan</w:t>
            </w:r>
          </w:p>
        </w:tc>
        <w:tc>
          <w:tcPr>
            <w:tcW w:w="100" w:type="dxa"/>
            <w:vAlign w:val="bottom"/>
            <w:shd w:val="clear" w:color="auto" w:fill="F0FFFF"/>
          </w:tcPr>
          <w:p>
            <w:pPr>
              <w:spacing w:after="0"/>
              <w:rPr>
                <w:sz w:val="13"/>
                <w:szCs w:val="13"/>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(1,933)</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752</w:t>
            </w: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561</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(218)</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343</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(177)</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69</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(108)</w:t>
            </w:r>
          </w:p>
        </w:tc>
      </w:tr>
      <w:tr>
        <w:trPr>
          <w:trHeight w:val="137"/>
        </w:trPr>
        <w:tc>
          <w:tcPr>
            <w:tcW w:w="3300" w:type="dxa"/>
            <w:vAlign w:val="bottom"/>
          </w:tcPr>
          <w:p>
            <w:pPr>
              <w:ind w:left="140"/>
              <w:spacing w:after="0" w:line="137" w:lineRule="exact"/>
              <w:rPr>
                <w:sz w:val="20"/>
                <w:szCs w:val="20"/>
                <w:color w:val="auto"/>
              </w:rPr>
            </w:pPr>
            <w:r>
              <w:rPr>
                <w:rFonts w:ascii="Arial" w:cs="Arial" w:eastAsia="Arial" w:hAnsi="Arial"/>
                <w:sz w:val="14"/>
                <w:szCs w:val="14"/>
                <w:color w:val="auto"/>
                <w:w w:val="94"/>
              </w:rPr>
              <w:t>Amortization of prior service cost and actuarial losses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300" w:type="dxa"/>
            <w:vAlign w:val="bottom"/>
          </w:tcPr>
          <w:p>
            <w:pPr>
              <w:ind w:left="340"/>
              <w:spacing w:after="0" w:line="149" w:lineRule="exact"/>
              <w:rPr>
                <w:sz w:val="20"/>
                <w:szCs w:val="20"/>
                <w:color w:val="auto"/>
              </w:rPr>
            </w:pPr>
            <w:r>
              <w:rPr>
                <w:rFonts w:ascii="Arial" w:cs="Arial" w:eastAsia="Arial" w:hAnsi="Arial"/>
                <w:sz w:val="14"/>
                <w:szCs w:val="14"/>
                <w:color w:val="auto"/>
                <w:w w:val="98"/>
              </w:rPr>
              <w:t>included in net periodic pension cost for defined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3300" w:type="dxa"/>
            <w:vAlign w:val="bottom"/>
          </w:tcPr>
          <w:p>
            <w:pPr>
              <w:ind w:left="340"/>
              <w:spacing w:after="0"/>
              <w:rPr>
                <w:sz w:val="20"/>
                <w:szCs w:val="20"/>
                <w:color w:val="auto"/>
              </w:rPr>
            </w:pPr>
            <w:r>
              <w:rPr>
                <w:rFonts w:ascii="Arial" w:cs="Arial" w:eastAsia="Arial" w:hAnsi="Arial"/>
                <w:sz w:val="14"/>
                <w:szCs w:val="14"/>
                <w:color w:val="auto"/>
              </w:rPr>
              <w:t>benefit pension plan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375</w:t>
            </w:r>
          </w:p>
        </w:tc>
      </w:tr>
      <w:tr>
        <w:trPr>
          <w:trHeight w:val="137"/>
        </w:trPr>
        <w:tc>
          <w:tcPr>
            <w:tcW w:w="3300" w:type="dxa"/>
            <w:vAlign w:val="bottom"/>
            <w:tcBorders>
              <w:right w:val="single" w:sz="8" w:color="F0FFFF"/>
            </w:tcBorders>
            <w:shd w:val="clear" w:color="auto" w:fill="F0FFFF"/>
          </w:tcPr>
          <w:p>
            <w:pPr>
              <w:ind w:left="140"/>
              <w:spacing w:after="0" w:line="137" w:lineRule="exact"/>
              <w:rPr>
                <w:sz w:val="20"/>
                <w:szCs w:val="20"/>
                <w:color w:val="auto"/>
              </w:rPr>
            </w:pPr>
            <w:r>
              <w:rPr>
                <w:rFonts w:ascii="Arial" w:cs="Arial" w:eastAsia="Arial" w:hAnsi="Arial"/>
                <w:sz w:val="14"/>
                <w:szCs w:val="14"/>
                <w:color w:val="auto"/>
                <w:w w:val="97"/>
              </w:rPr>
              <w:t>Adjustment of valuation allowance for the change in</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rPr>
              <w:t>deferred taxes arising from reclassification of</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w w:val="92"/>
              </w:rPr>
              <w:t>unamortized prior service cost and actuarial losses</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49"/>
        </w:trPr>
        <w:tc>
          <w:tcPr>
            <w:tcW w:w="3300" w:type="dxa"/>
            <w:vAlign w:val="bottom"/>
            <w:tcBorders>
              <w:right w:val="single" w:sz="8" w:color="F0FFFF"/>
            </w:tcBorders>
            <w:shd w:val="clear" w:color="auto" w:fill="F0FFFF"/>
          </w:tcPr>
          <w:p>
            <w:pPr>
              <w:ind w:left="340"/>
              <w:spacing w:after="0" w:line="149" w:lineRule="exact"/>
              <w:rPr>
                <w:sz w:val="20"/>
                <w:szCs w:val="20"/>
                <w:color w:val="auto"/>
              </w:rPr>
            </w:pPr>
            <w:r>
              <w:rPr>
                <w:rFonts w:ascii="Arial" w:cs="Arial" w:eastAsia="Arial" w:hAnsi="Arial"/>
                <w:sz w:val="14"/>
                <w:szCs w:val="14"/>
                <w:color w:val="auto"/>
                <w:w w:val="93"/>
              </w:rPr>
              <w:t>and amortization of prior service cost and actuarial</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r>
      <w:tr>
        <w:trPr>
          <w:trHeight w:val="160"/>
        </w:trPr>
        <w:tc>
          <w:tcPr>
            <w:tcW w:w="3300" w:type="dxa"/>
            <w:vAlign w:val="bottom"/>
            <w:tcBorders>
              <w:right w:val="single" w:sz="8" w:color="F0FFFF"/>
            </w:tcBorders>
            <w:shd w:val="clear" w:color="auto" w:fill="F0FFFF"/>
          </w:tcPr>
          <w:p>
            <w:pPr>
              <w:ind w:left="340"/>
              <w:spacing w:after="0"/>
              <w:rPr>
                <w:sz w:val="20"/>
                <w:szCs w:val="20"/>
                <w:color w:val="auto"/>
              </w:rPr>
            </w:pPr>
            <w:r>
              <w:rPr>
                <w:rFonts w:ascii="Arial" w:cs="Arial" w:eastAsia="Arial" w:hAnsi="Arial"/>
                <w:sz w:val="14"/>
                <w:szCs w:val="14"/>
                <w:color w:val="auto"/>
              </w:rPr>
              <w:t>losses and release of valuation allowance</w:t>
            </w:r>
          </w:p>
        </w:tc>
        <w:tc>
          <w:tcPr>
            <w:tcW w:w="10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171</w:t>
            </w:r>
          </w:p>
        </w:tc>
        <w:tc>
          <w:tcPr>
            <w:tcW w:w="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171</w:t>
            </w:r>
          </w:p>
        </w:tc>
      </w:tr>
      <w:tr>
        <w:trPr>
          <w:trHeight w:val="27"/>
        </w:trPr>
        <w:tc>
          <w:tcPr>
            <w:tcW w:w="330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r>
      <w:tr>
        <w:trPr>
          <w:trHeight w:val="223"/>
        </w:trPr>
        <w:tc>
          <w:tcPr>
            <w:tcW w:w="3300" w:type="dxa"/>
            <w:vAlign w:val="bottom"/>
          </w:tcPr>
          <w:p>
            <w:pPr>
              <w:ind w:left="340"/>
              <w:spacing w:after="0"/>
              <w:rPr>
                <w:sz w:val="20"/>
                <w:szCs w:val="20"/>
                <w:color w:val="auto"/>
              </w:rPr>
            </w:pPr>
            <w:r>
              <w:rPr>
                <w:rFonts w:ascii="Arial" w:cs="Arial" w:eastAsia="Arial" w:hAnsi="Arial"/>
                <w:sz w:val="14"/>
                <w:szCs w:val="14"/>
                <w:color w:val="auto"/>
              </w:rPr>
              <w:t>Net defined benefit pension plan activity</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(1,568)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438</w:t>
            </w:r>
          </w:p>
        </w:tc>
      </w:tr>
      <w:tr>
        <w:trPr>
          <w:trHeight w:val="216"/>
        </w:trPr>
        <w:tc>
          <w:tcPr>
            <w:tcW w:w="3300" w:type="dxa"/>
            <w:vAlign w:val="bottom"/>
            <w:tcBorders>
              <w:right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23"/>
        </w:trPr>
        <w:tc>
          <w:tcPr>
            <w:tcW w:w="3300" w:type="dxa"/>
            <w:vAlign w:val="bottom"/>
          </w:tcPr>
          <w:p>
            <w:pPr>
              <w:ind w:left="280"/>
              <w:spacing w:after="0"/>
              <w:rPr>
                <w:sz w:val="20"/>
                <w:szCs w:val="20"/>
                <w:color w:val="auto"/>
              </w:rPr>
            </w:pPr>
            <w:r>
              <w:rPr>
                <w:rFonts w:ascii="Arial" w:cs="Arial" w:eastAsia="Arial" w:hAnsi="Arial"/>
                <w:sz w:val="14"/>
                <w:szCs w:val="14"/>
                <w:color w:val="auto"/>
              </w:rPr>
              <w:t>Total other comprehensive income (loss)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(13,065)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16,861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3,796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(20,331)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(20,331)</w:t>
            </w:r>
          </w:p>
        </w:tc>
      </w:tr>
      <w:tr>
        <w:trPr>
          <w:trHeight w:val="216"/>
        </w:trPr>
        <w:tc>
          <w:tcPr>
            <w:tcW w:w="3300" w:type="dxa"/>
            <w:vAlign w:val="bottom"/>
            <w:tcBorders>
              <w:right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3300" w:type="dxa"/>
            <w:vAlign w:val="bottom"/>
          </w:tcPr>
          <w:p>
            <w:pPr>
              <w:ind w:left="420"/>
              <w:spacing w:after="0"/>
              <w:rPr>
                <w:sz w:val="20"/>
                <w:szCs w:val="20"/>
                <w:color w:val="auto"/>
              </w:rPr>
            </w:pPr>
            <w:r>
              <w:rPr>
                <w:rFonts w:ascii="Arial" w:cs="Arial" w:eastAsia="Arial" w:hAnsi="Arial"/>
                <w:sz w:val="14"/>
                <w:szCs w:val="14"/>
                <w:color w:val="auto"/>
              </w:rPr>
              <w:t>Comprehensive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108,410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(39,736)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68,674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21,887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255,049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276,936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14,575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(1,050)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13,525</w:t>
            </w:r>
          </w:p>
        </w:tc>
      </w:tr>
      <w:tr>
        <w:trPr>
          <w:trHeight w:val="21"/>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060" w:type="dxa"/>
            <w:vAlign w:val="bottom"/>
            <w:gridSpan w:val="4"/>
          </w:tcPr>
          <w:p>
            <w:pPr>
              <w:jc w:val="center"/>
              <w:ind w:right="1260"/>
              <w:spacing w:after="0"/>
              <w:rPr>
                <w:sz w:val="20"/>
                <w:szCs w:val="20"/>
                <w:color w:val="auto"/>
              </w:rPr>
            </w:pPr>
            <w:r>
              <w:rPr>
                <w:rFonts w:ascii="Arial" w:cs="Arial" w:eastAsia="Arial" w:hAnsi="Arial"/>
                <w:sz w:val="18"/>
                <w:szCs w:val="18"/>
                <w:b w:val="1"/>
                <w:bCs w:val="1"/>
                <w:color w:val="auto"/>
                <w:w w:val="81"/>
              </w:rPr>
              <w:t>Assets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Cash and due from banks</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77,180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71,230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Interest-bearing deposits in banks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89,074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Short-term investments</w:t>
            </w:r>
          </w:p>
        </w:tc>
        <w:tc>
          <w:tcPr>
            <w:tcW w:w="44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26,401</w:t>
            </w:r>
          </w:p>
        </w:tc>
        <w:tc>
          <w:tcPr>
            <w:tcW w:w="8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top w:val="single" w:sz="8" w:color="F0FFFF"/>
            </w:tcBorders>
            <w:gridSpan w:val="5"/>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192,655</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228,898</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Securities available-for-sale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1,782,734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Securities held-to-maturity (fair value $425,233 and $485,585)</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415,267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Mortgage loans held for sale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13,737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Loans, net of unearned income</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4,672,119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4,329,266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Less allowance for loan losses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(71,619)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320"/>
              <w:spacing w:after="0"/>
              <w:rPr>
                <w:sz w:val="20"/>
                <w:szCs w:val="20"/>
                <w:color w:val="auto"/>
              </w:rPr>
            </w:pPr>
            <w:r>
              <w:rPr>
                <w:rFonts w:ascii="Arial" w:cs="Arial" w:eastAsia="Arial" w:hAnsi="Arial"/>
                <w:sz w:val="18"/>
                <w:szCs w:val="18"/>
                <w:color w:val="auto"/>
              </w:rPr>
              <w:t>Loans, net</w:t>
            </w:r>
          </w:p>
        </w:tc>
        <w:tc>
          <w:tcPr>
            <w:tcW w:w="44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4,600,500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4,252,504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Assets covered by loss sharing agreements with the FDIC</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Premises and equipment, net</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159,390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Bank owned life insurance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81,294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Accrued interest receivable</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20,103</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Net deferred tax asset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215,503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Derivative financial instruments</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20,599</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23,833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61,889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52,649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60" w:type="dxa"/>
            <w:vAlign w:val="bottom"/>
            <w:tcBorders>
              <w:bottom w:val="single" w:sz="8" w:color="F0FFFF"/>
            </w:tcBorders>
            <w:gridSpan w:val="5"/>
            <w:shd w:val="clear" w:color="auto" w:fill="F0FFFF"/>
          </w:tcPr>
          <w:p>
            <w:pPr>
              <w:ind w:left="6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7,566,986</w:t>
            </w:r>
          </w:p>
        </w:tc>
        <w:tc>
          <w:tcPr>
            <w:tcW w:w="1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7,425,419</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60" w:type="dxa"/>
            <w:vAlign w:val="bottom"/>
            <w:gridSpan w:val="5"/>
            <w:shd w:val="clear" w:color="auto" w:fill="F0FFFF"/>
          </w:tcPr>
          <w:p>
            <w:pPr>
              <w:jc w:val="center"/>
              <w:ind w:left="2950"/>
              <w:spacing w:after="0" w:line="170" w:lineRule="exact"/>
              <w:rPr>
                <w:sz w:val="20"/>
                <w:szCs w:val="20"/>
                <w:color w:val="auto"/>
              </w:rPr>
            </w:pPr>
            <w:r>
              <w:rPr>
                <w:rFonts w:ascii="Arial" w:cs="Arial" w:eastAsia="Arial" w:hAnsi="Arial"/>
                <w:sz w:val="18"/>
                <w:szCs w:val="18"/>
                <w:b w:val="1"/>
                <w:bCs w:val="1"/>
                <w:color w:val="auto"/>
                <w:w w:val="91"/>
              </w:rPr>
              <w:t>Liabilities and Shareholders’ Equity</w:t>
            </w:r>
          </w:p>
        </w:tc>
        <w:tc>
          <w:tcPr>
            <w:tcW w:w="4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Liabilities:</w:t>
            </w:r>
          </w:p>
        </w:tc>
        <w:tc>
          <w:tcPr>
            <w:tcW w:w="2800" w:type="dxa"/>
            <w:vAlign w:val="bottom"/>
            <w:tcBorders>
              <w:top w:val="single" w:sz="8" w:color="auto"/>
            </w:tcBorders>
            <w:gridSpan w:val="3"/>
          </w:tcPr>
          <w:p>
            <w:pPr>
              <w:spacing w:after="0"/>
              <w:rPr>
                <w:sz w:val="18"/>
                <w:szCs w:val="18"/>
                <w:color w:val="auto"/>
              </w:rPr>
            </w:pPr>
          </w:p>
        </w:tc>
        <w:tc>
          <w:tcPr>
            <w:tcW w:w="126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9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9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Deposits:</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ind w:left="320"/>
              <w:spacing w:after="0"/>
              <w:rPr>
                <w:sz w:val="20"/>
                <w:szCs w:val="20"/>
                <w:color w:val="auto"/>
              </w:rPr>
            </w:pPr>
            <w:r>
              <w:rPr>
                <w:rFonts w:ascii="Arial" w:cs="Arial" w:eastAsia="Arial" w:hAnsi="Arial"/>
                <w:sz w:val="18"/>
                <w:szCs w:val="18"/>
                <w:color w:val="auto"/>
              </w:rPr>
              <w:t>Demand</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1,574,317</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320"/>
              <w:spacing w:after="0"/>
              <w:rPr>
                <w:sz w:val="20"/>
                <w:szCs w:val="20"/>
                <w:color w:val="auto"/>
              </w:rPr>
            </w:pPr>
            <w:r>
              <w:rPr>
                <w:rFonts w:ascii="Arial" w:cs="Arial" w:eastAsia="Arial" w:hAnsi="Arial"/>
                <w:sz w:val="18"/>
                <w:szCs w:val="18"/>
                <w:color w:val="auto"/>
              </w:rPr>
              <w:t>NOW</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1,504,887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1,427,939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ind w:left="320"/>
              <w:spacing w:after="0"/>
              <w:rPr>
                <w:sz w:val="20"/>
                <w:szCs w:val="20"/>
                <w:color w:val="auto"/>
              </w:rPr>
            </w:pPr>
            <w:r>
              <w:rPr>
                <w:rFonts w:ascii="Arial" w:cs="Arial" w:eastAsia="Arial" w:hAnsi="Arial"/>
                <w:sz w:val="18"/>
                <w:szCs w:val="18"/>
                <w:color w:val="auto"/>
              </w:rPr>
              <w:t>Money market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1,273,283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320"/>
              <w:spacing w:after="0"/>
              <w:rPr>
                <w:sz w:val="20"/>
                <w:szCs w:val="20"/>
                <w:color w:val="auto"/>
              </w:rPr>
            </w:pPr>
            <w:r>
              <w:rPr>
                <w:rFonts w:ascii="Arial" w:cs="Arial" w:eastAsia="Arial" w:hAnsi="Arial"/>
                <w:sz w:val="18"/>
                <w:szCs w:val="18"/>
                <w:color w:val="auto"/>
              </w:rPr>
              <w:t>Savings</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292,308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ind w:left="320"/>
              <w:spacing w:after="0"/>
              <w:rPr>
                <w:sz w:val="20"/>
                <w:szCs w:val="20"/>
                <w:color w:val="auto"/>
              </w:rPr>
            </w:pPr>
            <w:r>
              <w:rPr>
                <w:rFonts w:ascii="Arial" w:cs="Arial" w:eastAsia="Arial" w:hAnsi="Arial"/>
                <w:sz w:val="18"/>
                <w:szCs w:val="18"/>
                <w:color w:val="auto"/>
              </w:rPr>
              <w:t>Time: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480"/>
              <w:spacing w:after="0"/>
              <w:rPr>
                <w:sz w:val="20"/>
                <w:szCs w:val="20"/>
                <w:color w:val="auto"/>
              </w:rPr>
            </w:pPr>
            <w:r>
              <w:rPr>
                <w:rFonts w:ascii="Arial" w:cs="Arial" w:eastAsia="Arial" w:hAnsi="Arial"/>
                <w:sz w:val="18"/>
                <w:szCs w:val="18"/>
                <w:color w:val="auto"/>
              </w:rPr>
              <w:t>Less than $100,000</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748,478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892,961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ind w:left="480"/>
              <w:spacing w:after="0"/>
              <w:rPr>
                <w:sz w:val="20"/>
                <w:szCs w:val="20"/>
                <w:color w:val="auto"/>
              </w:rPr>
            </w:pPr>
            <w:r>
              <w:rPr>
                <w:rFonts w:ascii="Arial" w:cs="Arial" w:eastAsia="Arial" w:hAnsi="Arial"/>
                <w:sz w:val="18"/>
                <w:szCs w:val="18"/>
                <w:color w:val="auto"/>
              </w:rPr>
              <w:t>Greater than $100,000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508,228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5"/>
            <w:shd w:val="clear" w:color="auto" w:fill="F0FFFF"/>
          </w:tcPr>
          <w:p>
            <w:pPr>
              <w:ind w:left="320"/>
              <w:spacing w:after="0"/>
              <w:rPr>
                <w:sz w:val="20"/>
                <w:szCs w:val="20"/>
                <w:color w:val="auto"/>
              </w:rPr>
            </w:pPr>
            <w:r>
              <w:rPr>
                <w:rFonts w:ascii="Arial" w:cs="Arial" w:eastAsia="Arial" w:hAnsi="Arial"/>
                <w:sz w:val="18"/>
                <w:szCs w:val="18"/>
                <w:color w:val="auto"/>
              </w:rPr>
              <w:t>Brokered</w:t>
            </w:r>
          </w:p>
        </w:tc>
        <w:tc>
          <w:tcPr>
            <w:tcW w:w="44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425,011</w:t>
            </w:r>
          </w:p>
        </w:tc>
        <w:tc>
          <w:tcPr>
            <w:tcW w:w="8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top w:val="single" w:sz="8" w:color="F0FFFF"/>
            </w:tcBorders>
            <w:gridSpan w:val="5"/>
          </w:tcPr>
          <w:p>
            <w:pPr>
              <w:ind w:left="640"/>
              <w:spacing w:after="0"/>
              <w:rPr>
                <w:sz w:val="20"/>
                <w:szCs w:val="20"/>
                <w:color w:val="auto"/>
              </w:rPr>
            </w:pPr>
            <w:r>
              <w:rPr>
                <w:rFonts w:ascii="Arial" w:cs="Arial" w:eastAsia="Arial" w:hAnsi="Arial"/>
                <w:sz w:val="18"/>
                <w:szCs w:val="18"/>
                <w:color w:val="auto"/>
              </w:rPr>
              <w:t>Total deposits</w:t>
            </w:r>
          </w:p>
        </w:tc>
        <w:tc>
          <w:tcPr>
            <w:tcW w:w="4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6,326,512</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6,201,505</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Repurchase agreements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Federal Home Loan Bank advances</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270,125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129,865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Derivative financial instruments</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31,997</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rPr>
              <w:t>Unsettled securities purchases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Accrued expenses and other liabilities</w:t>
            </w:r>
          </w:p>
        </w:tc>
        <w:tc>
          <w:tcPr>
            <w:tcW w:w="44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57,485</w:t>
            </w:r>
          </w:p>
        </w:tc>
        <w:tc>
          <w:tcPr>
            <w:tcW w:w="8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F0FFFF"/>
            </w:tcBorders>
          </w:tcPr>
          <w:p>
            <w:pPr>
              <w:spacing w:after="0"/>
              <w:rPr>
                <w:sz w:val="19"/>
                <w:szCs w:val="19"/>
                <w:color w:val="auto"/>
              </w:rPr>
            </w:pPr>
          </w:p>
        </w:tc>
        <w:tc>
          <w:tcPr>
            <w:tcW w:w="1160" w:type="dxa"/>
            <w:vAlign w:val="bottom"/>
            <w:tcBorders>
              <w:top w:val="single" w:sz="8" w:color="F0FFFF"/>
            </w:tcBorders>
          </w:tcPr>
          <w:p>
            <w:pPr>
              <w:spacing w:after="0"/>
              <w:rPr>
                <w:sz w:val="19"/>
                <w:szCs w:val="19"/>
                <w:color w:val="auto"/>
              </w:rPr>
            </w:pPr>
          </w:p>
        </w:tc>
        <w:tc>
          <w:tcPr>
            <w:tcW w:w="480" w:type="dxa"/>
            <w:vAlign w:val="bottom"/>
            <w:tcBorders>
              <w:top w:val="single" w:sz="8" w:color="F0FFFF"/>
            </w:tcBorders>
          </w:tcPr>
          <w:p>
            <w:pPr>
              <w:spacing w:after="0"/>
              <w:rPr>
                <w:sz w:val="19"/>
                <w:szCs w:val="19"/>
                <w:color w:val="auto"/>
              </w:rPr>
            </w:pPr>
          </w:p>
        </w:tc>
        <w:tc>
          <w:tcPr>
            <w:tcW w:w="1160" w:type="dxa"/>
            <w:vAlign w:val="bottom"/>
            <w:tcBorders>
              <w:top w:val="single" w:sz="8" w:color="F0FFFF"/>
            </w:tcBorders>
          </w:tcPr>
          <w:p>
            <w:pPr>
              <w:spacing w:after="0"/>
              <w:rPr>
                <w:sz w:val="19"/>
                <w:szCs w:val="19"/>
                <w:color w:val="auto"/>
              </w:rPr>
            </w:pPr>
          </w:p>
        </w:tc>
        <w:tc>
          <w:tcPr>
            <w:tcW w:w="1260" w:type="dxa"/>
            <w:vAlign w:val="bottom"/>
            <w:tcBorders>
              <w:top w:val="single" w:sz="8" w:color="F0FFFF"/>
            </w:tcBorders>
          </w:tcPr>
          <w:p>
            <w:pPr>
              <w:spacing w:after="0"/>
              <w:rPr>
                <w:sz w:val="19"/>
                <w:szCs w:val="19"/>
                <w:color w:val="auto"/>
              </w:rPr>
            </w:pPr>
          </w:p>
        </w:tc>
        <w:tc>
          <w:tcPr>
            <w:tcW w:w="440" w:type="dxa"/>
            <w:vAlign w:val="bottom"/>
            <w:tcBorders>
              <w:top w:val="single" w:sz="8" w:color="F0FF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F0FFFF"/>
            </w:tcBorders>
          </w:tcPr>
          <w:p>
            <w:pPr>
              <w:spacing w:after="0"/>
              <w:rPr>
                <w:sz w:val="19"/>
                <w:szCs w:val="19"/>
                <w:color w:val="auto"/>
              </w:rPr>
            </w:pPr>
          </w:p>
        </w:tc>
        <w:tc>
          <w:tcPr>
            <w:tcW w:w="80" w:type="dxa"/>
            <w:vAlign w:val="bottom"/>
            <w:tcBorders>
              <w:top w:val="single" w:sz="8" w:color="F0FF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bottom w:val="single" w:sz="8" w:color="F0FFFF"/>
            </w:tcBorders>
            <w:gridSpan w:val="5"/>
            <w:shd w:val="clear" w:color="auto" w:fill="F0FFFF"/>
          </w:tcPr>
          <w:p>
            <w:pPr>
              <w:ind w:left="64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6,827,409</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6,629,704</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Preferred stock, $1 par value; 10,000,000 shares authorized;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320"/>
              <w:spacing w:after="0"/>
              <w:rPr>
                <w:sz w:val="20"/>
                <w:szCs w:val="20"/>
                <w:color w:val="auto"/>
              </w:rPr>
            </w:pPr>
            <w:r>
              <w:rPr>
                <w:rFonts w:ascii="Arial" w:cs="Arial" w:eastAsia="Arial" w:hAnsi="Arial"/>
                <w:sz w:val="18"/>
                <w:szCs w:val="18"/>
                <w:color w:val="auto"/>
              </w:rPr>
              <w:t>Series B, $1,000 stated value; 0 and 105,000 shares issued and outstanding</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ind w:left="320"/>
              <w:spacing w:after="0"/>
              <w:rPr>
                <w:sz w:val="20"/>
                <w:szCs w:val="20"/>
                <w:color w:val="auto"/>
              </w:rPr>
            </w:pPr>
            <w:r>
              <w:rPr>
                <w:rFonts w:ascii="Arial" w:cs="Arial" w:eastAsia="Arial" w:hAnsi="Arial"/>
                <w:sz w:val="18"/>
                <w:szCs w:val="18"/>
                <w:color w:val="auto"/>
              </w:rPr>
              <w:t>Series D, $1,000 stated value; 0 and 16,613 shares issued and outstanding</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Common stock, $1 par value; 100,000,000 shares authorized;</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ind w:left="320"/>
              <w:spacing w:after="0"/>
              <w:rPr>
                <w:sz w:val="20"/>
                <w:szCs w:val="20"/>
                <w:color w:val="auto"/>
              </w:rPr>
            </w:pPr>
            <w:r>
              <w:rPr>
                <w:rFonts w:ascii="Arial" w:cs="Arial" w:eastAsia="Arial" w:hAnsi="Arial"/>
                <w:sz w:val="18"/>
                <w:szCs w:val="18"/>
                <w:color w:val="auto"/>
              </w:rPr>
              <w:t>50,178,605 and 46,243,345 shares issued and outstanding</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50,178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Common stock, non-voting, $1 par value; 26,000,000 shares authorized;</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gridSpan w:val="5"/>
          </w:tcPr>
          <w:p>
            <w:pPr>
              <w:ind w:left="320"/>
              <w:spacing w:after="0"/>
              <w:rPr>
                <w:sz w:val="20"/>
                <w:szCs w:val="20"/>
                <w:color w:val="auto"/>
              </w:rPr>
            </w:pPr>
            <w:r>
              <w:rPr>
                <w:rFonts w:ascii="Arial" w:cs="Arial" w:eastAsia="Arial" w:hAnsi="Arial"/>
                <w:sz w:val="18"/>
                <w:szCs w:val="18"/>
                <w:color w:val="auto"/>
              </w:rPr>
              <w:t>10,080,787 and 13,188,206 shares issued and outstanding</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Common stock issuable; 357,983 and 241,832 shares</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5,168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Capital surplus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(387,568)</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(448,091)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5"/>
          </w:tcPr>
          <w:p>
            <w:pPr>
              <w:ind w:left="16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(18,790)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F0FFFF"/>
            </w:tcBorders>
            <w:shd w:val="clear" w:color="auto" w:fill="F0FFFF"/>
          </w:tcPr>
          <w:p>
            <w:pPr>
              <w:spacing w:after="0"/>
              <w:rPr>
                <w:sz w:val="19"/>
                <w:szCs w:val="19"/>
                <w:color w:val="auto"/>
              </w:rPr>
            </w:pPr>
          </w:p>
        </w:tc>
        <w:tc>
          <w:tcPr>
            <w:tcW w:w="1160" w:type="dxa"/>
            <w:vAlign w:val="bottom"/>
            <w:tcBorders>
              <w:bottom w:val="single" w:sz="8" w:color="F0FFFF"/>
            </w:tcBorders>
            <w:shd w:val="clear" w:color="auto" w:fill="F0FFFF"/>
          </w:tcPr>
          <w:p>
            <w:pPr>
              <w:spacing w:after="0"/>
              <w:rPr>
                <w:sz w:val="19"/>
                <w:szCs w:val="19"/>
                <w:color w:val="auto"/>
              </w:rPr>
            </w:pPr>
          </w:p>
        </w:tc>
        <w:tc>
          <w:tcPr>
            <w:tcW w:w="480" w:type="dxa"/>
            <w:vAlign w:val="bottom"/>
            <w:tcBorders>
              <w:bottom w:val="single" w:sz="8" w:color="F0FFFF"/>
            </w:tcBorders>
            <w:shd w:val="clear" w:color="auto" w:fill="F0FFFF"/>
          </w:tcPr>
          <w:p>
            <w:pPr>
              <w:spacing w:after="0"/>
              <w:rPr>
                <w:sz w:val="19"/>
                <w:szCs w:val="19"/>
                <w:color w:val="auto"/>
              </w:rPr>
            </w:pPr>
          </w:p>
        </w:tc>
        <w:tc>
          <w:tcPr>
            <w:tcW w:w="1160" w:type="dxa"/>
            <w:vAlign w:val="bottom"/>
            <w:tcBorders>
              <w:bottom w:val="single" w:sz="8" w:color="F0FFFF"/>
            </w:tcBorders>
            <w:shd w:val="clear" w:color="auto" w:fill="F0FFFF"/>
          </w:tcPr>
          <w:p>
            <w:pPr>
              <w:spacing w:after="0"/>
              <w:rPr>
                <w:sz w:val="19"/>
                <w:szCs w:val="19"/>
                <w:color w:val="auto"/>
              </w:rPr>
            </w:pPr>
          </w:p>
        </w:tc>
        <w:tc>
          <w:tcPr>
            <w:tcW w:w="1260" w:type="dxa"/>
            <w:vAlign w:val="bottom"/>
            <w:tcBorders>
              <w:bottom w:val="single" w:sz="8" w:color="F0FFFF"/>
            </w:tcBorders>
            <w:shd w:val="clear" w:color="auto" w:fill="F0FFFF"/>
          </w:tcPr>
          <w:p>
            <w:pPr>
              <w:spacing w:after="0"/>
              <w:rPr>
                <w:sz w:val="19"/>
                <w:szCs w:val="19"/>
                <w:color w:val="auto"/>
              </w:rPr>
            </w:pPr>
          </w:p>
        </w:tc>
        <w:tc>
          <w:tcPr>
            <w:tcW w:w="44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5"/>
          </w:tcPr>
          <w:p>
            <w:pPr>
              <w:ind w:left="640"/>
              <w:spacing w:after="0"/>
              <w:rPr>
                <w:sz w:val="20"/>
                <w:szCs w:val="20"/>
                <w:color w:val="auto"/>
              </w:rPr>
            </w:pPr>
            <w:r>
              <w:rPr>
                <w:rFonts w:ascii="Arial" w:cs="Arial" w:eastAsia="Arial" w:hAnsi="Arial"/>
                <w:sz w:val="18"/>
                <w:szCs w:val="18"/>
                <w:b w:val="1"/>
                <w:bCs w:val="1"/>
                <w:color w:val="auto"/>
              </w:rPr>
              <w:t>Total shareholders’ equity</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F0FFFF"/>
            </w:tcBorders>
            <w:shd w:val="clear" w:color="auto" w:fill="F0FFFF"/>
          </w:tcPr>
          <w:p>
            <w:pPr>
              <w:spacing w:after="0"/>
              <w:rPr>
                <w:sz w:val="19"/>
                <w:szCs w:val="19"/>
                <w:color w:val="auto"/>
              </w:rPr>
            </w:pPr>
          </w:p>
        </w:tc>
        <w:tc>
          <w:tcPr>
            <w:tcW w:w="1160" w:type="dxa"/>
            <w:vAlign w:val="bottom"/>
            <w:tcBorders>
              <w:bottom w:val="single" w:sz="8" w:color="F0FFFF"/>
            </w:tcBorders>
            <w:shd w:val="clear" w:color="auto" w:fill="F0FFFF"/>
          </w:tcPr>
          <w:p>
            <w:pPr>
              <w:spacing w:after="0"/>
              <w:rPr>
                <w:sz w:val="19"/>
                <w:szCs w:val="19"/>
                <w:color w:val="auto"/>
              </w:rPr>
            </w:pPr>
          </w:p>
        </w:tc>
        <w:tc>
          <w:tcPr>
            <w:tcW w:w="480" w:type="dxa"/>
            <w:vAlign w:val="bottom"/>
            <w:tcBorders>
              <w:bottom w:val="single" w:sz="8" w:color="F0FFFF"/>
            </w:tcBorders>
            <w:shd w:val="clear" w:color="auto" w:fill="F0FFFF"/>
          </w:tcPr>
          <w:p>
            <w:pPr>
              <w:spacing w:after="0"/>
              <w:rPr>
                <w:sz w:val="19"/>
                <w:szCs w:val="19"/>
                <w:color w:val="auto"/>
              </w:rPr>
            </w:pPr>
          </w:p>
        </w:tc>
        <w:tc>
          <w:tcPr>
            <w:tcW w:w="1160" w:type="dxa"/>
            <w:vAlign w:val="bottom"/>
            <w:tcBorders>
              <w:bottom w:val="single" w:sz="8" w:color="F0FFFF"/>
            </w:tcBorders>
            <w:shd w:val="clear" w:color="auto" w:fill="F0FFFF"/>
          </w:tcPr>
          <w:p>
            <w:pPr>
              <w:spacing w:after="0"/>
              <w:rPr>
                <w:sz w:val="19"/>
                <w:szCs w:val="19"/>
                <w:color w:val="auto"/>
              </w:rPr>
            </w:pPr>
          </w:p>
        </w:tc>
        <w:tc>
          <w:tcPr>
            <w:tcW w:w="1260" w:type="dxa"/>
            <w:vAlign w:val="bottom"/>
            <w:tcBorders>
              <w:bottom w:val="single" w:sz="8" w:color="F0FFFF"/>
            </w:tcBorders>
            <w:shd w:val="clear" w:color="auto" w:fill="F0FFFF"/>
          </w:tcPr>
          <w:p>
            <w:pPr>
              <w:spacing w:after="0"/>
              <w:rPr>
                <w:sz w:val="19"/>
                <w:szCs w:val="19"/>
                <w:color w:val="auto"/>
              </w:rPr>
            </w:pPr>
          </w:p>
        </w:tc>
        <w:tc>
          <w:tcPr>
            <w:tcW w:w="44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5"/>
          </w:tcPr>
          <w:p>
            <w:pPr>
              <w:ind w:left="640"/>
              <w:spacing w:after="0"/>
              <w:rPr>
                <w:sz w:val="20"/>
                <w:szCs w:val="20"/>
                <w:color w:val="auto"/>
              </w:rPr>
            </w:pPr>
            <w:r>
              <w:rPr>
                <w:rFonts w:ascii="Arial" w:cs="Arial" w:eastAsia="Arial" w:hAnsi="Arial"/>
                <w:sz w:val="18"/>
                <w:szCs w:val="18"/>
                <w:b w:val="1"/>
                <w:bCs w:val="1"/>
                <w:color w:val="auto"/>
              </w:rPr>
              <w:t>Total liabilities and shareholders’ equity</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7,566,986</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7,425,419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60" w:type="dxa"/>
            <w:vAlign w:val="bottom"/>
            <w:gridSpan w:val="5"/>
            <w:vMerge w:val="restart"/>
          </w:tcPr>
          <w:p>
            <w:pPr>
              <w:jc w:val="center"/>
              <w:ind w:left="29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36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67" w:right="239" w:bottom="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67" w:name="page68"/>
    <w:bookmarkEnd w:id="67"/>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Retained</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Non-Voting</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Common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Earnings</w:t>
            </w:r>
          </w:p>
        </w:tc>
        <w:tc>
          <w:tcPr>
            <w:tcW w:w="24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Preferred Stock</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9"/>
              </w:rPr>
              <w:t>Common</w:t>
            </w:r>
          </w:p>
        </w:tc>
        <w:tc>
          <w:tcPr>
            <w:tcW w:w="8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Common</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Capital</w:t>
            </w:r>
          </w:p>
        </w:tc>
        <w:tc>
          <w:tcPr>
            <w:tcW w:w="13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9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1"/>
              </w:rPr>
              <w:t>Series B</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Series 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Issuable</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Surplus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Deficit)</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(Loss) Income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56"/>
        </w:trPr>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98"/>
        </w:trPr>
        <w:tc>
          <w:tcPr>
            <w:tcW w:w="20" w:type="dxa"/>
            <w:vAlign w:val="bottom"/>
          </w:tcPr>
          <w:p>
            <w:pPr>
              <w:spacing w:after="0"/>
              <w:rPr>
                <w:sz w:val="17"/>
                <w:szCs w:val="17"/>
                <w:color w:val="auto"/>
              </w:rPr>
            </w:pPr>
          </w:p>
        </w:tc>
        <w:tc>
          <w:tcPr>
            <w:tcW w:w="1560" w:type="dxa"/>
            <w:vAlign w:val="bottom"/>
            <w:shd w:val="clear" w:color="auto" w:fill="F0FFFF"/>
          </w:tcPr>
          <w:p>
            <w:pPr>
              <w:spacing w:after="0" w:line="198" w:lineRule="exact"/>
              <w:rPr>
                <w:sz w:val="20"/>
                <w:szCs w:val="20"/>
                <w:color w:val="auto"/>
              </w:rPr>
            </w:pPr>
            <w:r>
              <w:rPr>
                <w:rFonts w:ascii="Arial" w:cs="Arial" w:eastAsia="Arial" w:hAnsi="Arial"/>
                <w:sz w:val="18"/>
                <w:szCs w:val="18"/>
                <w:b w:val="1"/>
                <w:bCs w:val="1"/>
                <w:color w:val="auto"/>
                <w:w w:val="92"/>
              </w:rPr>
              <w:t>Balance, December</w:t>
            </w:r>
          </w:p>
        </w:tc>
        <w:tc>
          <w:tcPr>
            <w:tcW w:w="2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b w:val="1"/>
                <w:bCs w:val="1"/>
                <w:color w:val="auto"/>
              </w:rPr>
              <w:t>31, 2011</w:t>
            </w: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217</w:t>
            </w:r>
          </w:p>
        </w:tc>
        <w:tc>
          <w:tcPr>
            <w:tcW w:w="9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89"/>
              </w:rPr>
              <w:t>$ 177,092</w:t>
            </w: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1"/>
              </w:rPr>
              <w:t>$ 16,613</w:t>
            </w:r>
          </w:p>
        </w:tc>
        <w:tc>
          <w:tcPr>
            <w:tcW w:w="96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  41,647</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15,914</w:t>
            </w:r>
          </w:p>
        </w:tc>
        <w:tc>
          <w:tcPr>
            <w:tcW w:w="8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  3,233</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$ 1,054,940</w:t>
            </w:r>
          </w:p>
        </w:tc>
        <w:tc>
          <w:tcPr>
            <w:tcW w:w="120" w:type="dxa"/>
            <w:vAlign w:val="bottom"/>
            <w:shd w:val="clear" w:color="auto" w:fill="F0FFFF"/>
          </w:tcPr>
          <w:p>
            <w:pPr>
              <w:spacing w:after="0"/>
              <w:rPr>
                <w:sz w:val="20"/>
                <w:szCs w:val="20"/>
                <w:color w:val="auto"/>
              </w:rPr>
            </w:pP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(730,861)</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(3,309)</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$ 575,486</w:t>
            </w:r>
          </w:p>
        </w:tc>
        <w:tc>
          <w:tcPr>
            <w:tcW w:w="100" w:type="dxa"/>
            <w:vAlign w:val="bottom"/>
            <w:shd w:val="clear" w:color="auto" w:fill="F0FF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33,856</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33,856</w:t>
            </w: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comprehensive</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loss</w:t>
            </w:r>
          </w:p>
        </w:tc>
        <w:tc>
          <w:tcPr>
            <w:tcW w:w="2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(20,331)</w:t>
            </w: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(20,331)</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3"/>
              </w:rPr>
              <w:t>issued to Dividend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Reivnestment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Plan and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employee benefit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plans (109,905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Conversion of non-</w:t>
            </w:r>
          </w:p>
        </w:tc>
        <w:tc>
          <w:tcPr>
            <w:tcW w:w="2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voting common</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voting</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(597,415 shares)</w:t>
            </w:r>
          </w:p>
        </w:tc>
        <w:tc>
          <w:tcPr>
            <w:tcW w:w="2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6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(597)</w:t>
            </w: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Amortization of</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8"/>
              </w:rPr>
              <w:t>stock options and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1,976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Vesting of restricted</w:t>
            </w:r>
          </w:p>
        </w:tc>
        <w:tc>
          <w:tcPr>
            <w:tcW w:w="2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awards</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(64,839 common</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shares issued,</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36,673 common</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shares deferred)</w:t>
            </w:r>
          </w:p>
        </w:tc>
        <w:tc>
          <w:tcPr>
            <w:tcW w:w="2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6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65</w:t>
            </w:r>
          </w:p>
        </w:tc>
        <w:tc>
          <w:tcPr>
            <w:tcW w:w="8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155</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plan, net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Shares issued from</w:t>
            </w:r>
          </w:p>
        </w:tc>
        <w:tc>
          <w:tcPr>
            <w:tcW w:w="2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plan (4,611</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shares)</w:t>
            </w:r>
          </w:p>
        </w:tc>
        <w:tc>
          <w:tcPr>
            <w:tcW w:w="2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6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(470)</w:t>
            </w: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465</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Series A</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w:t>
            </w:r>
          </w:p>
        </w:tc>
      </w:tr>
      <w:tr>
        <w:trPr>
          <w:trHeight w:val="202"/>
        </w:trPr>
        <w:tc>
          <w:tcPr>
            <w:tcW w:w="20" w:type="dxa"/>
            <w:vAlign w:val="bottom"/>
          </w:tcPr>
          <w:p>
            <w:pPr>
              <w:spacing w:after="0"/>
              <w:rPr>
                <w:sz w:val="17"/>
                <w:szCs w:val="17"/>
                <w:color w:val="auto"/>
              </w:rPr>
            </w:pPr>
          </w:p>
        </w:tc>
        <w:tc>
          <w:tcPr>
            <w:tcW w:w="1560" w:type="dxa"/>
            <w:vAlign w:val="bottom"/>
          </w:tcPr>
          <w:p>
            <w:pPr>
              <w:ind w:left="160"/>
              <w:spacing w:after="0" w:line="201" w:lineRule="exact"/>
              <w:rPr>
                <w:sz w:val="20"/>
                <w:szCs w:val="20"/>
                <w:color w:val="auto"/>
              </w:rPr>
            </w:pPr>
            <w:r>
              <w:rPr>
                <w:rFonts w:ascii="Arial" w:cs="Arial" w:eastAsia="Arial" w:hAnsi="Arial"/>
                <w:sz w:val="18"/>
                <w:szCs w:val="18"/>
                <w:color w:val="auto"/>
              </w:rPr>
              <w:t>Series B,</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including</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accretion</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1,465</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(10,465)</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r>
      <w:tr>
        <w:trPr>
          <w:trHeight w:val="223"/>
        </w:trPr>
        <w:tc>
          <w:tcPr>
            <w:tcW w:w="20" w:type="dxa"/>
            <w:vAlign w:val="bottom"/>
          </w:tcPr>
          <w:p>
            <w:pPr>
              <w:spacing w:after="0"/>
              <w:rPr>
                <w:sz w:val="19"/>
                <w:szCs w:val="19"/>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Series D</w:t>
            </w:r>
          </w:p>
        </w:tc>
        <w:tc>
          <w:tcPr>
            <w:tcW w:w="22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74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66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8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(1,671)</w:t>
            </w:r>
          </w:p>
        </w:tc>
        <w:tc>
          <w:tcPr>
            <w:tcW w:w="240" w:type="dxa"/>
            <w:vAlign w:val="bottom"/>
            <w:shd w:val="clear" w:color="auto" w:fill="F0FFFF"/>
          </w:tcPr>
          <w:p>
            <w:pPr>
              <w:spacing w:after="0"/>
              <w:rPr>
                <w:sz w:val="19"/>
                <w:szCs w:val="19"/>
                <w:color w:val="auto"/>
              </w:rPr>
            </w:pPr>
          </w:p>
        </w:tc>
        <w:tc>
          <w:tcPr>
            <w:tcW w:w="96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(1,671)</w:t>
            </w:r>
          </w:p>
        </w:tc>
      </w:tr>
      <w:tr>
        <w:trPr>
          <w:trHeight w:val="198"/>
        </w:trPr>
        <w:tc>
          <w:tcPr>
            <w:tcW w:w="20" w:type="dxa"/>
            <w:vAlign w:val="bottom"/>
          </w:tcPr>
          <w:p>
            <w:pPr>
              <w:spacing w:after="0"/>
              <w:rPr>
                <w:sz w:val="17"/>
                <w:szCs w:val="17"/>
                <w:color w:val="auto"/>
              </w:rPr>
            </w:pPr>
          </w:p>
        </w:tc>
        <w:tc>
          <w:tcPr>
            <w:tcW w:w="1560" w:type="dxa"/>
            <w:vAlign w:val="bottom"/>
            <w:tcBorders>
              <w:top w:val="single" w:sz="8" w:color="F0FFFF"/>
            </w:tcBorders>
          </w:tcPr>
          <w:p>
            <w:pPr>
              <w:spacing w:after="0" w:line="198" w:lineRule="exact"/>
              <w:rPr>
                <w:sz w:val="20"/>
                <w:szCs w:val="20"/>
                <w:color w:val="auto"/>
              </w:rPr>
            </w:pPr>
            <w:r>
              <w:rPr>
                <w:rFonts w:ascii="Arial" w:cs="Arial" w:eastAsia="Arial" w:hAnsi="Arial"/>
                <w:sz w:val="18"/>
                <w:szCs w:val="18"/>
                <w:b w:val="1"/>
                <w:bCs w:val="1"/>
                <w:color w:val="auto"/>
                <w:w w:val="92"/>
              </w:rPr>
              <w:t>Balance, December</w:t>
            </w: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34"/>
        </w:trPr>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31, 2012</w:t>
            </w:r>
          </w:p>
        </w:tc>
        <w:tc>
          <w:tcPr>
            <w:tcW w:w="2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178,557</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16,613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42,424</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15,317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3,119</w:t>
            </w:r>
          </w:p>
        </w:tc>
        <w:tc>
          <w:tcPr>
            <w:tcW w:w="840" w:type="dxa"/>
            <w:vAlign w:val="bottom"/>
          </w:tcPr>
          <w:p>
            <w:pPr>
              <w:jc w:val="right"/>
              <w:spacing w:after="0"/>
              <w:rPr>
                <w:sz w:val="20"/>
                <w:szCs w:val="20"/>
                <w:color w:val="auto"/>
              </w:rPr>
            </w:pPr>
            <w:r>
              <w:rPr>
                <w:rFonts w:ascii="Arial" w:cs="Arial" w:eastAsia="Arial" w:hAnsi="Arial"/>
                <w:sz w:val="18"/>
                <w:szCs w:val="18"/>
                <w:color w:val="auto"/>
              </w:rPr>
              <w:t>1,057,951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(709,153)</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(23,640)</w:t>
            </w:r>
          </w:p>
        </w:tc>
        <w:tc>
          <w:tcPr>
            <w:tcW w:w="760" w:type="dxa"/>
            <w:vAlign w:val="bottom"/>
          </w:tcPr>
          <w:p>
            <w:pPr>
              <w:jc w:val="right"/>
              <w:spacing w:after="0"/>
              <w:rPr>
                <w:sz w:val="20"/>
                <w:szCs w:val="20"/>
                <w:color w:val="auto"/>
              </w:rPr>
            </w:pPr>
            <w:r>
              <w:rPr>
                <w:rFonts w:ascii="Arial" w:cs="Arial" w:eastAsia="Arial" w:hAnsi="Arial"/>
                <w:sz w:val="18"/>
                <w:szCs w:val="18"/>
                <w:color w:val="auto"/>
              </w:rPr>
              <w:t>581,405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273,140</w:t>
            </w: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273,140</w:t>
            </w:r>
          </w:p>
        </w:tc>
        <w:tc>
          <w:tcPr>
            <w:tcW w:w="100" w:type="dxa"/>
            <w:vAlign w:val="bottom"/>
            <w:shd w:val="clear" w:color="auto" w:fill="F0FF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comprehensive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income</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3,796</w:t>
            </w:r>
          </w:p>
        </w:tc>
        <w:tc>
          <w:tcPr>
            <w:tcW w:w="760" w:type="dxa"/>
            <w:vAlign w:val="bottom"/>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Redemption of</w:t>
            </w:r>
          </w:p>
        </w:tc>
        <w:tc>
          <w:tcPr>
            <w:tcW w:w="2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4"/>
              </w:rPr>
              <w:t>Series A preferred</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(21,700</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shares)</w:t>
            </w:r>
          </w:p>
        </w:tc>
        <w:tc>
          <w:tcPr>
            <w:tcW w:w="220" w:type="dxa"/>
            <w:vAlign w:val="bottom"/>
            <w:shd w:val="clear" w:color="auto" w:fill="F0FFFF"/>
          </w:tcPr>
          <w:p>
            <w:pPr>
              <w:spacing w:after="0"/>
              <w:rPr>
                <w:sz w:val="20"/>
                <w:szCs w:val="20"/>
                <w:color w:val="auto"/>
              </w:rPr>
            </w:pPr>
          </w:p>
        </w:tc>
        <w:tc>
          <w:tcPr>
            <w:tcW w:w="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(217)</w:t>
            </w: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(217)</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Redemption of</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4"/>
              </w:rPr>
              <w:t>Series B preferred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stock (75,000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(75,000)</w:t>
            </w: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Common stock</w:t>
            </w:r>
          </w:p>
        </w:tc>
        <w:tc>
          <w:tcPr>
            <w:tcW w:w="2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3"/>
              </w:rPr>
              <w:t>issued to Dividend</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Reinvestment</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Plan and</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employee benefit</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plans (62,978</w:t>
            </w:r>
          </w:p>
        </w:tc>
        <w:tc>
          <w:tcPr>
            <w:tcW w:w="22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shares)</w:t>
            </w:r>
          </w:p>
        </w:tc>
        <w:tc>
          <w:tcPr>
            <w:tcW w:w="2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6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63</w:t>
            </w:r>
          </w:p>
        </w:tc>
        <w:tc>
          <w:tcPr>
            <w:tcW w:w="8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733</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796</w:t>
            </w: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Conversion of non-</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2,129</w:t>
            </w: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(2,129)</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838" w:orient="portrait"/>
          <w:cols w:equalWidth="0" w:num="1">
            <w:col w:w="11420"/>
          </w:cols>
          <w:pgMar w:left="240" w:top="675" w:right="2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voting common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stock to voting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1"/>
              </w:rPr>
              <w:t>(2,128,588 shares)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Warrant exercise</w:t>
            </w:r>
          </w:p>
        </w:tc>
        <w:tc>
          <w:tcPr>
            <w:tcW w:w="6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1"/>
              </w:rPr>
              <w:t>(1,551,126 shares)</w:t>
            </w:r>
          </w:p>
        </w:tc>
        <w:tc>
          <w:tcPr>
            <w:tcW w:w="6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1,551</w:t>
            </w:r>
          </w:p>
        </w:tc>
        <w:tc>
          <w:tcPr>
            <w:tcW w:w="8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17,838</w:t>
            </w:r>
          </w:p>
        </w:tc>
        <w:tc>
          <w:tcPr>
            <w:tcW w:w="10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19,389</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Amortization of</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8"/>
              </w:rPr>
              <w:t>stock options and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3,045</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Vesting of restricted</w:t>
            </w:r>
          </w:p>
        </w:tc>
        <w:tc>
          <w:tcPr>
            <w:tcW w:w="6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8"/>
              </w:rPr>
              <w:t>stock awards, net</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of shares</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surrendered to</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cover payroll</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taxes (55,328</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shares</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issued, 115,664</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shares</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w:t>
            </w:r>
          </w:p>
        </w:tc>
        <w:tc>
          <w:tcPr>
            <w:tcW w:w="6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55</w:t>
            </w:r>
          </w:p>
        </w:tc>
        <w:tc>
          <w:tcPr>
            <w:tcW w:w="8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1,693</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(1,929)</w:t>
            </w:r>
          </w:p>
        </w:tc>
        <w:tc>
          <w:tcPr>
            <w:tcW w:w="10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(181)</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Deferred</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plan, net</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Shares issued from</w:t>
            </w:r>
          </w:p>
        </w:tc>
        <w:tc>
          <w:tcPr>
            <w:tcW w:w="6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compensation</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plan (21,455</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shares)</w:t>
            </w:r>
          </w:p>
        </w:tc>
        <w:tc>
          <w:tcPr>
            <w:tcW w:w="6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w:t>
            </w:r>
          </w:p>
        </w:tc>
        <w:tc>
          <w:tcPr>
            <w:tcW w:w="8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(1,059)</w:t>
            </w: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1,038</w:t>
            </w:r>
          </w:p>
        </w:tc>
        <w:tc>
          <w:tcPr>
            <w:tcW w:w="10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Preferred stock</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Series A</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w:t>
            </w: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w:t>
            </w:r>
          </w:p>
        </w:tc>
      </w:tr>
      <w:tr>
        <w:trPr>
          <w:trHeight w:val="202"/>
        </w:trPr>
        <w:tc>
          <w:tcPr>
            <w:tcW w:w="20" w:type="dxa"/>
            <w:vAlign w:val="bottom"/>
          </w:tcPr>
          <w:p>
            <w:pPr>
              <w:spacing w:after="0"/>
              <w:rPr>
                <w:sz w:val="17"/>
                <w:szCs w:val="17"/>
                <w:color w:val="auto"/>
              </w:rPr>
            </w:pPr>
          </w:p>
        </w:tc>
        <w:tc>
          <w:tcPr>
            <w:tcW w:w="1560" w:type="dxa"/>
            <w:vAlign w:val="bottom"/>
          </w:tcPr>
          <w:p>
            <w:pPr>
              <w:ind w:left="160"/>
              <w:spacing w:after="0" w:line="201" w:lineRule="exact"/>
              <w:rPr>
                <w:sz w:val="20"/>
                <w:szCs w:val="20"/>
                <w:color w:val="auto"/>
              </w:rPr>
            </w:pPr>
            <w:r>
              <w:rPr>
                <w:rFonts w:ascii="Arial" w:cs="Arial" w:eastAsia="Arial" w:hAnsi="Arial"/>
                <w:sz w:val="18"/>
                <w:szCs w:val="18"/>
                <w:color w:val="auto"/>
              </w:rPr>
              <w:t>Series B,</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including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accretion</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1,443</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(10,401)</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(8,958)</w:t>
            </w:r>
          </w:p>
        </w:tc>
      </w:tr>
      <w:tr>
        <w:trPr>
          <w:trHeight w:val="223"/>
        </w:trPr>
        <w:tc>
          <w:tcPr>
            <w:tcW w:w="20" w:type="dxa"/>
            <w:vAlign w:val="bottom"/>
          </w:tcPr>
          <w:p>
            <w:pPr>
              <w:spacing w:after="0"/>
              <w:rPr>
                <w:sz w:val="19"/>
                <w:szCs w:val="19"/>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Series D</w:t>
            </w:r>
          </w:p>
        </w:tc>
        <w:tc>
          <w:tcPr>
            <w:tcW w:w="66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74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66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88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7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84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2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(1,665)</w:t>
            </w:r>
          </w:p>
        </w:tc>
        <w:tc>
          <w:tcPr>
            <w:tcW w:w="12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(1,665)</w:t>
            </w:r>
          </w:p>
        </w:tc>
      </w:tr>
      <w:tr>
        <w:trPr>
          <w:trHeight w:val="198"/>
        </w:trPr>
        <w:tc>
          <w:tcPr>
            <w:tcW w:w="20" w:type="dxa"/>
            <w:vAlign w:val="bottom"/>
          </w:tcPr>
          <w:p>
            <w:pPr>
              <w:spacing w:after="0"/>
              <w:rPr>
                <w:sz w:val="17"/>
                <w:szCs w:val="17"/>
                <w:color w:val="auto"/>
              </w:rPr>
            </w:pPr>
          </w:p>
        </w:tc>
        <w:tc>
          <w:tcPr>
            <w:tcW w:w="1560" w:type="dxa"/>
            <w:vAlign w:val="bottom"/>
            <w:tcBorders>
              <w:top w:val="single" w:sz="8" w:color="F0FFFF"/>
            </w:tcBorders>
          </w:tcPr>
          <w:p>
            <w:pPr>
              <w:spacing w:after="0" w:line="198" w:lineRule="exact"/>
              <w:rPr>
                <w:sz w:val="20"/>
                <w:szCs w:val="20"/>
                <w:color w:val="auto"/>
              </w:rPr>
            </w:pPr>
            <w:r>
              <w:rPr>
                <w:rFonts w:ascii="Arial" w:cs="Arial" w:eastAsia="Arial" w:hAnsi="Arial"/>
                <w:sz w:val="18"/>
                <w:szCs w:val="18"/>
                <w:b w:val="1"/>
                <w:bCs w:val="1"/>
                <w:color w:val="auto"/>
                <w:w w:val="92"/>
              </w:rPr>
              <w:t>Balance, December</w:t>
            </w: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34"/>
        </w:trPr>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31, 2013</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105,000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16,613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46,243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13,188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3,930</w:t>
            </w:r>
          </w:p>
        </w:tc>
        <w:tc>
          <w:tcPr>
            <w:tcW w:w="840" w:type="dxa"/>
            <w:vAlign w:val="bottom"/>
          </w:tcPr>
          <w:p>
            <w:pPr>
              <w:jc w:val="right"/>
              <w:spacing w:after="0"/>
              <w:rPr>
                <w:sz w:val="20"/>
                <w:szCs w:val="20"/>
                <w:color w:val="auto"/>
              </w:rPr>
            </w:pPr>
            <w:r>
              <w:rPr>
                <w:rFonts w:ascii="Arial" w:cs="Arial" w:eastAsia="Arial" w:hAnsi="Arial"/>
                <w:sz w:val="18"/>
                <w:szCs w:val="18"/>
                <w:color w:val="auto"/>
              </w:rPr>
              <w:t>1,078,676</w:t>
            </w:r>
          </w:p>
        </w:tc>
        <w:tc>
          <w:tcPr>
            <w:tcW w:w="18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(448,091)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(19,844)</w:t>
            </w:r>
          </w:p>
        </w:tc>
        <w:tc>
          <w:tcPr>
            <w:tcW w:w="760" w:type="dxa"/>
            <w:vAlign w:val="bottom"/>
          </w:tcPr>
          <w:p>
            <w:pPr>
              <w:jc w:val="right"/>
              <w:spacing w:after="0"/>
              <w:rPr>
                <w:sz w:val="20"/>
                <w:szCs w:val="20"/>
                <w:color w:val="auto"/>
              </w:rPr>
            </w:pPr>
            <w:r>
              <w:rPr>
                <w:rFonts w:ascii="Arial" w:cs="Arial" w:eastAsia="Arial" w:hAnsi="Arial"/>
                <w:sz w:val="18"/>
                <w:szCs w:val="18"/>
                <w:color w:val="auto"/>
              </w:rPr>
              <w:t>795,715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67,620</w:t>
            </w: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67,620</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comprehensive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income</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1,054</w:t>
            </w:r>
          </w:p>
        </w:tc>
        <w:tc>
          <w:tcPr>
            <w:tcW w:w="76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Redemption of</w:t>
            </w:r>
          </w:p>
        </w:tc>
        <w:tc>
          <w:tcPr>
            <w:tcW w:w="6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4"/>
              </w:rPr>
              <w:t>Series B preferred</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(105,000</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shares)</w:t>
            </w:r>
          </w:p>
        </w:tc>
        <w:tc>
          <w:tcPr>
            <w:tcW w:w="6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(105,000)</w:t>
            </w:r>
          </w:p>
        </w:tc>
        <w:tc>
          <w:tcPr>
            <w:tcW w:w="6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(105,000)</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Redemption of</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3"/>
              </w:rPr>
              <w:t>Series D preferred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stock (16,613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shares)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(16,613)</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(16,613)</w:t>
            </w: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Common stock</w:t>
            </w:r>
          </w:p>
        </w:tc>
        <w:tc>
          <w:tcPr>
            <w:tcW w:w="6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issued at market</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(640,000 shares)</w:t>
            </w:r>
          </w:p>
        </w:tc>
        <w:tc>
          <w:tcPr>
            <w:tcW w:w="6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640</w:t>
            </w:r>
          </w:p>
        </w:tc>
        <w:tc>
          <w:tcPr>
            <w:tcW w:w="8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11,566</w:t>
            </w:r>
          </w:p>
        </w:tc>
        <w:tc>
          <w:tcPr>
            <w:tcW w:w="18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12,206</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Common stock</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3"/>
              </w:rPr>
              <w:t>issued to Dividend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Reinvestment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Plan and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employee benefit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plans (28,070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441</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Conversion of non-</w:t>
            </w:r>
          </w:p>
        </w:tc>
        <w:tc>
          <w:tcPr>
            <w:tcW w:w="6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voting common</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voting</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stock</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1"/>
              </w:rPr>
              <w:t>(3,107,419 shares)</w:t>
            </w:r>
          </w:p>
        </w:tc>
        <w:tc>
          <w:tcPr>
            <w:tcW w:w="6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3,107</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(3,107)</w:t>
            </w: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w w:val="96"/>
              </w:rPr>
              <w:t>Warrant repurchase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at fair value</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(12,000)</w:t>
            </w: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Amortization of</w:t>
            </w:r>
          </w:p>
        </w:tc>
        <w:tc>
          <w:tcPr>
            <w:tcW w:w="6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8"/>
              </w:rPr>
              <w:t>stock options and</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restricted stock</w:t>
            </w:r>
          </w:p>
        </w:tc>
        <w:tc>
          <w:tcPr>
            <w:tcW w:w="6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4,304</w:t>
            </w:r>
          </w:p>
        </w:tc>
        <w:tc>
          <w:tcPr>
            <w:tcW w:w="10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4,304</w:t>
            </w:r>
          </w:p>
        </w:tc>
        <w:tc>
          <w:tcPr>
            <w:tcW w:w="100" w:type="dxa"/>
            <w:vAlign w:val="bottom"/>
            <w:shd w:val="clear" w:color="auto" w:fill="F0FF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w w:val="96"/>
              </w:rPr>
              <w:t>Vesting of restricted</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147</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1,274</w:t>
            </w: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(2,736)</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(1,315)</w:t>
            </w: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8"/>
              </w:rPr>
              <w:t>stock awards,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of shares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surrendered to</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cover payroll</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taxes (146,548</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180"/>
        <w:spacing w:after="0"/>
        <w:rPr>
          <w:sz w:val="20"/>
          <w:szCs w:val="20"/>
          <w:color w:val="auto"/>
        </w:rPr>
      </w:pPr>
      <w:r>
        <w:rPr>
          <w:rFonts w:ascii="Arial" w:cs="Arial" w:eastAsia="Arial" w:hAnsi="Arial"/>
          <w:sz w:val="18"/>
          <w:szCs w:val="18"/>
          <w:color w:val="auto"/>
        </w:rPr>
        <w:t>common shares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issued, 115,609</w:t>
      </w:r>
    </w:p>
    <w:p>
      <w:pPr>
        <w:sectPr>
          <w:pgSz w:w="11900" w:h="16838" w:orient="portrait"/>
          <w:cols w:equalWidth="0" w:num="1">
            <w:col w:w="11420"/>
          </w:cols>
          <w:pgMar w:left="240" w:top="125" w:right="239" w:bottom="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Deferred</w:t>
            </w:r>
          </w:p>
        </w:tc>
        <w:tc>
          <w:tcPr>
            <w:tcW w:w="30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compensation</w:t>
            </w:r>
          </w:p>
        </w:tc>
        <w:tc>
          <w:tcPr>
            <w:tcW w:w="3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plan, net,</w:t>
            </w:r>
          </w:p>
        </w:tc>
        <w:tc>
          <w:tcPr>
            <w:tcW w:w="3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including</w:t>
            </w:r>
          </w:p>
        </w:tc>
        <w:tc>
          <w:tcPr>
            <w:tcW w:w="3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dividend</w:t>
            </w:r>
          </w:p>
        </w:tc>
        <w:tc>
          <w:tcPr>
            <w:tcW w:w="3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equivalents</w:t>
            </w:r>
          </w:p>
        </w:tc>
        <w:tc>
          <w:tcPr>
            <w:tcW w:w="30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3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6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234</w:t>
            </w: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234</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w w:val="99"/>
              </w:rPr>
              <w:t>Shares issued from</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plan (13,223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5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Common stock</w:t>
            </w:r>
          </w:p>
        </w:tc>
        <w:tc>
          <w:tcPr>
            <w:tcW w:w="30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dividends ($.11</w:t>
            </w:r>
          </w:p>
        </w:tc>
        <w:tc>
          <w:tcPr>
            <w:tcW w:w="3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per share)</w:t>
            </w:r>
          </w:p>
        </w:tc>
        <w:tc>
          <w:tcPr>
            <w:tcW w:w="30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4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3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6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(6,658)</w:t>
            </w:r>
          </w:p>
        </w:tc>
        <w:tc>
          <w:tcPr>
            <w:tcW w:w="3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(6,658)</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Preferred stock</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Series B</w:t>
            </w:r>
          </w:p>
        </w:tc>
        <w:tc>
          <w:tcPr>
            <w:tcW w:w="3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(159)</w:t>
            </w:r>
          </w:p>
        </w:tc>
      </w:tr>
      <w:tr>
        <w:trPr>
          <w:trHeight w:val="223"/>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Series D</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198"/>
        </w:trPr>
        <w:tc>
          <w:tcPr>
            <w:tcW w:w="20" w:type="dxa"/>
            <w:vAlign w:val="bottom"/>
          </w:tcPr>
          <w:p>
            <w:pPr>
              <w:spacing w:after="0"/>
              <w:rPr>
                <w:sz w:val="17"/>
                <w:szCs w:val="17"/>
                <w:color w:val="auto"/>
              </w:rPr>
            </w:pPr>
          </w:p>
        </w:tc>
        <w:tc>
          <w:tcPr>
            <w:tcW w:w="1560" w:type="dxa"/>
            <w:vAlign w:val="bottom"/>
            <w:shd w:val="clear" w:color="auto" w:fill="F0FFFF"/>
          </w:tcPr>
          <w:p>
            <w:pPr>
              <w:spacing w:after="0" w:line="198" w:lineRule="exact"/>
              <w:rPr>
                <w:sz w:val="20"/>
                <w:szCs w:val="20"/>
                <w:color w:val="auto"/>
              </w:rPr>
            </w:pPr>
            <w:r>
              <w:rPr>
                <w:rFonts w:ascii="Arial" w:cs="Arial" w:eastAsia="Arial" w:hAnsi="Arial"/>
                <w:sz w:val="18"/>
                <w:szCs w:val="18"/>
                <w:b w:val="1"/>
                <w:bCs w:val="1"/>
                <w:color w:val="auto"/>
                <w:w w:val="92"/>
              </w:rPr>
              <w:t>Balance, December</w:t>
            </w:r>
          </w:p>
        </w:tc>
        <w:tc>
          <w:tcPr>
            <w:tcW w:w="300" w:type="dxa"/>
            <w:vAlign w:val="bottom"/>
            <w:tcBorders>
              <w:top w:val="single" w:sz="8" w:color="auto"/>
            </w:tcBorders>
            <w:shd w:val="clear" w:color="auto" w:fill="F0FFFF"/>
          </w:tcPr>
          <w:p>
            <w:pPr>
              <w:spacing w:after="0"/>
              <w:rPr>
                <w:sz w:val="17"/>
                <w:szCs w:val="17"/>
                <w:color w:val="auto"/>
              </w:rPr>
            </w:pPr>
          </w:p>
        </w:tc>
        <w:tc>
          <w:tcPr>
            <w:tcW w:w="360" w:type="dxa"/>
            <w:vAlign w:val="bottom"/>
            <w:tcBorders>
              <w:top w:val="single" w:sz="8" w:color="auto"/>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320" w:type="dxa"/>
            <w:vAlign w:val="bottom"/>
            <w:tcBorders>
              <w:top w:val="single" w:sz="8" w:color="auto"/>
            </w:tcBorders>
            <w:shd w:val="clear" w:color="auto" w:fill="F0FFFF"/>
          </w:tcPr>
          <w:p>
            <w:pPr>
              <w:spacing w:after="0"/>
              <w:rPr>
                <w:sz w:val="17"/>
                <w:szCs w:val="17"/>
                <w:color w:val="auto"/>
              </w:rPr>
            </w:pPr>
          </w:p>
        </w:tc>
        <w:tc>
          <w:tcPr>
            <w:tcW w:w="420" w:type="dxa"/>
            <w:vAlign w:val="bottom"/>
            <w:tcBorders>
              <w:top w:val="single" w:sz="8" w:color="auto"/>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380" w:type="dxa"/>
            <w:vAlign w:val="bottom"/>
            <w:tcBorders>
              <w:top w:val="single" w:sz="8" w:color="auto"/>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tcBorders>
              <w:top w:val="single" w:sz="8" w:color="auto"/>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640" w:type="dxa"/>
            <w:vAlign w:val="bottom"/>
            <w:tcBorders>
              <w:top w:val="single" w:sz="8" w:color="auto"/>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tcBorders>
              <w:top w:val="single" w:sz="8" w:color="auto"/>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360" w:type="dxa"/>
            <w:vAlign w:val="bottom"/>
            <w:tcBorders>
              <w:top w:val="single" w:sz="8" w:color="auto"/>
            </w:tcBorders>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1560" w:type="dxa"/>
            <w:vAlign w:val="bottom"/>
            <w:shd w:val="clear" w:color="auto" w:fill="F0FFFF"/>
          </w:tcPr>
          <w:p>
            <w:pPr>
              <w:ind w:left="160"/>
              <w:spacing w:after="0"/>
              <w:rPr>
                <w:sz w:val="20"/>
                <w:szCs w:val="20"/>
                <w:color w:val="auto"/>
              </w:rPr>
            </w:pPr>
            <w:r>
              <w:rPr>
                <w:rFonts w:ascii="Arial" w:cs="Arial" w:eastAsia="Arial" w:hAnsi="Arial"/>
                <w:sz w:val="18"/>
                <w:szCs w:val="18"/>
                <w:b w:val="1"/>
                <w:bCs w:val="1"/>
                <w:color w:val="auto"/>
              </w:rPr>
              <w:t>31, 2014</w:t>
            </w:r>
          </w:p>
        </w:tc>
        <w:tc>
          <w:tcPr>
            <w:tcW w:w="30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F0FFFF"/>
          </w:tcPr>
          <w:p>
            <w:pPr>
              <w:ind w:left="200"/>
              <w:spacing w:after="0"/>
              <w:rPr>
                <w:sz w:val="20"/>
                <w:szCs w:val="20"/>
                <w:color w:val="auto"/>
              </w:rPr>
            </w:pPr>
            <w:r>
              <w:rPr>
                <w:rFonts w:ascii="Arial" w:cs="Arial" w:eastAsia="Arial" w:hAnsi="Arial"/>
                <w:sz w:val="18"/>
                <w:szCs w:val="18"/>
                <w:color w:val="auto"/>
              </w:rPr>
              <w:t>—  $</w:t>
            </w:r>
          </w:p>
        </w:tc>
        <w:tc>
          <w:tcPr>
            <w:tcW w:w="880" w:type="dxa"/>
            <w:vAlign w:val="bottom"/>
            <w:gridSpan w:val="3"/>
            <w:shd w:val="clear" w:color="auto" w:fill="F0FFFF"/>
          </w:tcPr>
          <w:p>
            <w:pPr>
              <w:ind w:left="240"/>
              <w:spacing w:after="0"/>
              <w:rPr>
                <w:sz w:val="20"/>
                <w:szCs w:val="20"/>
                <w:color w:val="auto"/>
              </w:rPr>
            </w:pPr>
            <w:r>
              <w:rPr>
                <w:rFonts w:ascii="Arial" w:cs="Arial" w:eastAsia="Arial" w:hAnsi="Arial"/>
                <w:sz w:val="18"/>
                <w:szCs w:val="18"/>
                <w:color w:val="auto"/>
              </w:rPr>
              <w:t>—  $</w:t>
            </w:r>
          </w:p>
        </w:tc>
        <w:tc>
          <w:tcPr>
            <w:tcW w:w="1420" w:type="dxa"/>
            <w:vAlign w:val="bottom"/>
            <w:gridSpan w:val="4"/>
            <w:shd w:val="clear" w:color="auto" w:fill="F0FFFF"/>
          </w:tcPr>
          <w:p>
            <w:pPr>
              <w:jc w:val="right"/>
              <w:ind w:right="160"/>
              <w:spacing w:after="0"/>
              <w:rPr>
                <w:sz w:val="20"/>
                <w:szCs w:val="20"/>
                <w:color w:val="auto"/>
              </w:rPr>
            </w:pPr>
            <w:r>
              <w:rPr>
                <w:rFonts w:ascii="Arial" w:cs="Arial" w:eastAsia="Arial" w:hAnsi="Arial"/>
                <w:sz w:val="18"/>
                <w:szCs w:val="18"/>
                <w:color w:val="auto"/>
              </w:rPr>
              <w:t>—  $  50,178</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10,081</w:t>
            </w:r>
          </w:p>
        </w:tc>
        <w:tc>
          <w:tcPr>
            <w:tcW w:w="8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  5,168</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$ 1,080,508</w:t>
            </w:r>
          </w:p>
        </w:tc>
        <w:tc>
          <w:tcPr>
            <w:tcW w:w="100" w:type="dxa"/>
            <w:vAlign w:val="bottom"/>
            <w:shd w:val="clear" w:color="auto" w:fill="F0FFFF"/>
          </w:tcPr>
          <w:p>
            <w:pPr>
              <w:spacing w:after="0"/>
              <w:rPr>
                <w:sz w:val="22"/>
                <w:szCs w:val="22"/>
                <w:color w:val="auto"/>
              </w:rPr>
            </w:pP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(387,568)</w:t>
            </w:r>
          </w:p>
        </w:tc>
        <w:tc>
          <w:tcPr>
            <w:tcW w:w="360" w:type="dxa"/>
            <w:vAlign w:val="bottom"/>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(18,790)</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$ 739,577</w:t>
            </w:r>
          </w:p>
        </w:tc>
        <w:tc>
          <w:tcPr>
            <w:tcW w:w="100" w:type="dxa"/>
            <w:vAlign w:val="bottom"/>
            <w:shd w:val="clear" w:color="auto" w:fill="F0FF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67,620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273,140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26,388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8,500</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65,500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Deferred income tax expense (benefit)</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38,226</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(241,655)</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Securities gains, net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(4,871)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Losses on prepayment of borrowings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4,446</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(gains) losses on sales and write downs of other real estate owned</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Change in assets and liabilities: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(Increase) decrease in other assets and accrued interest receivable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(16,774)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640"/>
              <w:spacing w:after="0"/>
              <w:rPr>
                <w:sz w:val="20"/>
                <w:szCs w:val="20"/>
                <w:color w:val="auto"/>
              </w:rPr>
            </w:pPr>
            <w:r>
              <w:rPr>
                <w:rFonts w:ascii="Arial" w:cs="Arial" w:eastAsia="Arial" w:hAnsi="Arial"/>
                <w:sz w:val="18"/>
                <w:szCs w:val="18"/>
                <w:color w:val="auto"/>
              </w:rPr>
              <w:t>(Decrease) increase in accrued expenses and other liabilities</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(15,385)</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42,505</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(Increase) decrease in mortgage loans held for sale</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(3,418)</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101,896</w:t>
            </w:r>
          </w:p>
        </w:tc>
        <w:tc>
          <w:tcPr>
            <w:tcW w:w="2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191,652</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183,078</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Investment securities held-to-maturity: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480"/>
              <w:spacing w:after="0"/>
              <w:rPr>
                <w:sz w:val="20"/>
                <w:szCs w:val="20"/>
                <w:color w:val="auto"/>
              </w:rPr>
            </w:pPr>
            <w:r>
              <w:rPr>
                <w:rFonts w:ascii="Arial" w:cs="Arial" w:eastAsia="Arial" w:hAnsi="Arial"/>
                <w:sz w:val="18"/>
                <w:szCs w:val="18"/>
                <w:color w:val="auto"/>
              </w:rPr>
              <w:t>Proceeds from maturities and calls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64,791</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63,985</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Purchases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(8,481)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Investment securities available-for-sale:</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Proceeds from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419,201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39,731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469,167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480"/>
              <w:spacing w:after="0"/>
              <w:rPr>
                <w:sz w:val="20"/>
                <w:szCs w:val="20"/>
                <w:color w:val="auto"/>
              </w:rPr>
            </w:pPr>
            <w:r>
              <w:rPr>
                <w:rFonts w:ascii="Arial" w:cs="Arial" w:eastAsia="Arial" w:hAnsi="Arial"/>
                <w:sz w:val="18"/>
                <w:szCs w:val="18"/>
                <w:color w:val="auto"/>
              </w:rPr>
              <w:t>Proceeds from maturities and calls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224,302</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477,060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Purchases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(603,384)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(818,256)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(1,166,653)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increase in loans</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(326,452)</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(358,858)</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(159,814)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loan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91,913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cash paid for acquisition</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(31,261)</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collected from FDIC under loss sharing agreements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Purchases of premises and equipment</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(5,054)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(8,143)</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sale of other real estate owned</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10,175</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28,430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(237,495)</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(482,791)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increase (decrease) in deposits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125,007</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249,365</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increase (decrease) in short-term borrowings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(51,687)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1,230,000</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770,000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(1,080,000)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(1,791,701)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Repayment of long-term debt</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4"/>
              </w:rPr>
              <w:t>Proceeds from issuance of common stock for dividend reinvestment and employee benefit plans</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net of offering costs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warrant exercise</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19,389</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Repurchase of outstanding warrant at fair value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Retirement of preferred stock</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(121,613)</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(75,217)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(1,810)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Series A preferred stock</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dividends on Series B preferred stock</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Series D preferred stock</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99,358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268,888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(208,332)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(36,241)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(22,251)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(127,267)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228,898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251,149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192,657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228,898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251,149</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paid during the period for:</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25,669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26,139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Income taxes paid (refunds received)</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3,046</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2,362</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(26,164)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377" w:right="239" w:bottom="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72" w:name="page73"/>
    <w:bookmarkEnd w:id="72"/>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accounting principles followed by United Community Banks, Inc. (“United”) and its subsidiaries and the methods of applying these principles conform with accounting principles generally accepted in the United States of America (“GAAP”) and with general practices within the banking industry. The following is a description of the significant policies.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Organization and Basis of Presentation</w:t>
      </w:r>
    </w:p>
    <w:p>
      <w:pPr>
        <w:spacing w:after="0" w:line="27"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color w:val="auto"/>
        </w:rPr>
        <w:t>At December 31, 2014, United was a bank holding company subject to the regulation of the Board of Governors of the Federal Reserve System (the “Federal Reserve”) whose principal business was conducted by its wholly-owned commercial bank subsidiary, United Community Bank (the “Bank”). United is subject to regulation under the Bank Holding Company Act of 1956. The consolidated financial statements include the accounts of United, the Bank and other wholly-owned subsidiaries. All significant intercompany accounts and transactions have been eliminated in consolidation.</w:t>
      </w:r>
    </w:p>
    <w:p>
      <w:pPr>
        <w:spacing w:after="0" w:line="18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Bank is a Georgia state chartered commercial bank that serves markets throughout north Georgia, coastal Georgia, the Atlanta, Georgia MSA, the Gainesville, Georgia MSA, western North Carolina, the Greenville, South Carolina MSA and east and central Tennessee and provides a full range of banking services. The Bank is insured and subject to the regulation of the Federal Deposit Insurance Corporation (“FDIC”) and is also subject to the regulation of the Georgia Department of Banking and Finance.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Operating Segments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United’s community banking operations are divided among geographic regions and local community banks within those regions, those regions and banks have similar economic characteristics and are therefore aggregated into one operating segment for purposes of segment reporting.</w:t>
      </w:r>
    </w:p>
    <w:p>
      <w:pPr>
        <w:spacing w:after="0" w:line="218"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Additionally United assessed other operating units to determine if they should be classified and reported as segments. They include Mortgage, Advisory Services and Specialized Lending. Each was assessed for separate reporting on both a qualitative and a quantitative basis in accordance with Financial Accounting Standards Board’s (“FASB”) Accounting Standards Codification Topic 280 Segment Reporting (“ASC 280”). Qualitatively, these business units are currently operating in the same geographic footprint as the community banks and face many of the same customers as the community banks. While the chief operating decision maker does have some separate financial information for these entities, for much of 2014 they were viewed more as a product line extension of the community banks. However, management will continue to evaluate these business units for separate reporting as facts and circumstances change. On a quantitative basis, ASC 280 provides a threshold of 10% of Revenue, Net Income or Assets where a breach of any of these thresholds would trigger segment reporting. Under this requirement none of the entities reached the threshold.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this analysis, United concluded that it has only one operating and reportable segment.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7"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 A portion of the cash on hand and on deposit with the Federal Reserve Bank of Atlanta was required to meet regulatory reserve requirements.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Securities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classifies its securities in one of three categories: trading, held-to-maturity or available-for-sale. United does not hold any trading securities that are bought and held principally for the purpose of selling them in the near term. Held-to-maturity securities are those securities for which United has the ability and intent to hold until maturity. All other securities are classified as available-for-sale.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73" w:name="page74"/>
    <w:bookmarkEnd w:id="73"/>
    <w:p>
      <w:pPr>
        <w:jc w:val="center"/>
        <w:ind w:right="96"/>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84" w:hanging="384"/>
        <w:spacing w:after="0"/>
        <w:tabs>
          <w:tab w:leader="none" w:pos="38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404"/>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 continued</w:t>
      </w:r>
    </w:p>
    <w:p>
      <w:pPr>
        <w:spacing w:after="0" w:line="27" w:lineRule="exact"/>
        <w:rPr>
          <w:rFonts w:ascii="Arial" w:cs="Arial" w:eastAsia="Arial" w:hAnsi="Arial"/>
          <w:sz w:val="18"/>
          <w:szCs w:val="18"/>
          <w:b w:val="1"/>
          <w:bCs w:val="1"/>
          <w:color w:val="auto"/>
        </w:rPr>
      </w:pPr>
    </w:p>
    <w:p>
      <w:pPr>
        <w:jc w:val="both"/>
        <w:ind w:left="404"/>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Held-to-maturity securities are recorded at cost, adjusted for the amortization or accretion of premiums or discounts. Available-for-sale securities are recorded at fair value. Unrealized holding gains and losses, net of the related tax effect, on available-for-sale securities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available-for-sale to held-to-maturity are included in the balance of accumulated other comprehensive income in the consolidated balance sheet.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220" w:lineRule="exact"/>
        <w:rPr>
          <w:rFonts w:ascii="Arial" w:cs="Arial" w:eastAsia="Arial" w:hAnsi="Arial"/>
          <w:sz w:val="18"/>
          <w:szCs w:val="18"/>
          <w:b w:val="1"/>
          <w:bCs w:val="1"/>
          <w:color w:val="auto"/>
        </w:rPr>
      </w:pPr>
    </w:p>
    <w:p>
      <w:pPr>
        <w:jc w:val="both"/>
        <w:ind w:left="40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Management evaluates investment securities for other than temporary impairment on a quarterly basis. A decline in the fair value of available-for-sale and held-to-maturity securities below cost that is deemed other than temporary is charged to earnings for a decline in value deemed to be credit related. The decline in value attributed to non credit related factors is recognized in other comprehensive income and a new cost basis for the security is established. Premiums and discounts are amortized or accreted over the life of the related security as an adjustment to the yield. Realized gains and losses for securities classified as available-for-sale and held-to-maturity are included in net income and derived using the specific identification method for determining the cost of the securities sold.</w:t>
      </w:r>
    </w:p>
    <w:p>
      <w:pPr>
        <w:spacing w:after="0" w:line="220" w:lineRule="exact"/>
        <w:rPr>
          <w:rFonts w:ascii="Arial" w:cs="Arial" w:eastAsia="Arial" w:hAnsi="Arial"/>
          <w:sz w:val="18"/>
          <w:szCs w:val="18"/>
          <w:b w:val="1"/>
          <w:bCs w:val="1"/>
          <w:color w:val="auto"/>
        </w:rPr>
      </w:pPr>
    </w:p>
    <w:p>
      <w:pPr>
        <w:ind w:left="40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Federal Home Loan Bank (“FHLB”) stock is included in other assets at its original cost basis, as cost approximates fair value as there is no ready market for such investments.</w:t>
      </w:r>
    </w:p>
    <w:p>
      <w:pPr>
        <w:spacing w:after="0" w:line="193" w:lineRule="exact"/>
        <w:rPr>
          <w:rFonts w:ascii="Arial" w:cs="Arial" w:eastAsia="Arial" w:hAnsi="Arial"/>
          <w:sz w:val="18"/>
          <w:szCs w:val="18"/>
          <w:b w:val="1"/>
          <w:bCs w:val="1"/>
          <w:color w:val="auto"/>
        </w:rPr>
      </w:pPr>
    </w:p>
    <w:p>
      <w:pPr>
        <w:ind w:left="404"/>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Loans Held for Sale</w:t>
      </w:r>
    </w:p>
    <w:p>
      <w:pPr>
        <w:spacing w:after="0" w:line="27" w:lineRule="exact"/>
        <w:rPr>
          <w:rFonts w:ascii="Arial" w:cs="Arial" w:eastAsia="Arial" w:hAnsi="Arial"/>
          <w:sz w:val="18"/>
          <w:szCs w:val="18"/>
          <w:b w:val="1"/>
          <w:bCs w:val="1"/>
          <w:color w:val="auto"/>
        </w:rPr>
      </w:pPr>
    </w:p>
    <w:p>
      <w:pPr>
        <w:jc w:val="both"/>
        <w:ind w:left="404"/>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Mortgage loans held for sale are carried at the lower of aggregate cost or fair value. The amount by which cost exceeds fair value is accounted for as a valuation allowance. Changes in the valuation allowance are included in the determination of net income for the period in which the change occurs. No valuation allowances were required at December 31, 2014 or 2013 since those loans have fair values that exceeded the recorded cost basis.</w:t>
      </w:r>
    </w:p>
    <w:p>
      <w:pPr>
        <w:spacing w:after="0" w:line="178" w:lineRule="exact"/>
        <w:rPr>
          <w:rFonts w:ascii="Arial" w:cs="Arial" w:eastAsia="Arial" w:hAnsi="Arial"/>
          <w:sz w:val="18"/>
          <w:szCs w:val="18"/>
          <w:b w:val="1"/>
          <w:bCs w:val="1"/>
          <w:color w:val="auto"/>
        </w:rPr>
      </w:pPr>
    </w:p>
    <w:p>
      <w:pPr>
        <w:ind w:left="404"/>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w:t>
      </w:r>
    </w:p>
    <w:p>
      <w:pPr>
        <w:spacing w:after="0" w:line="27" w:lineRule="exact"/>
        <w:rPr>
          <w:rFonts w:ascii="Arial" w:cs="Arial" w:eastAsia="Arial" w:hAnsi="Arial"/>
          <w:sz w:val="18"/>
          <w:szCs w:val="18"/>
          <w:b w:val="1"/>
          <w:bCs w:val="1"/>
          <w:color w:val="auto"/>
        </w:rPr>
      </w:pPr>
    </w:p>
    <w:p>
      <w:pPr>
        <w:jc w:val="both"/>
        <w:ind w:left="40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217" w:lineRule="exact"/>
        <w:rPr>
          <w:rFonts w:ascii="Arial" w:cs="Arial" w:eastAsia="Arial" w:hAnsi="Arial"/>
          <w:sz w:val="18"/>
          <w:szCs w:val="18"/>
          <w:b w:val="1"/>
          <w:bCs w:val="1"/>
          <w:color w:val="auto"/>
        </w:rPr>
      </w:pPr>
    </w:p>
    <w:p>
      <w:pPr>
        <w:jc w:val="both"/>
        <w:ind w:left="404"/>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accrual of interest is discontinued when a loan becomes 90 days past due and is not well collateralized and in the process of collection, or when management believes, after considering economic and business conditions and collection efforts, that the principal or interest will not be collectible in the normal course of business. Past due status is based on contractual terms of the loan. When a loan is placed on nonaccrual status, previously accrued and uncollected interest is charged against interest revenue on loans. Interest payments are applied to reduce the principal balance on nonaccrual loans. Loans are returned to accrual status when all the principal and interest amounts contractually due are brought current, there is a sustained period of repayment performance and future payments are reasonably assured. Nonaccrual loans include smaller balance homogeneous loans that are collectively evaluated for impairment and individually classified impaired loans.</w:t>
      </w:r>
    </w:p>
    <w:p>
      <w:pPr>
        <w:spacing w:after="0" w:line="204" w:lineRule="exact"/>
        <w:rPr>
          <w:rFonts w:ascii="Arial" w:cs="Arial" w:eastAsia="Arial" w:hAnsi="Arial"/>
          <w:sz w:val="18"/>
          <w:szCs w:val="18"/>
          <w:b w:val="1"/>
          <w:bCs w:val="1"/>
          <w:color w:val="auto"/>
        </w:rPr>
      </w:pPr>
    </w:p>
    <w:p>
      <w:pPr>
        <w:jc w:val="both"/>
        <w:ind w:left="404"/>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 loan is considered impaired when, based on current events and circumstances, it is probable that all amounts due, according to the contractual terms of the loan, will not be collected. Individually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Factors considered by management in determining impairment include payment status, collateral value, and the probability of collecting scheduled principal and interest payments when due. Loans that experience insignificant payment delays and payment shortfalls generally are not considered impaired. Management determines the significance of payment delays and payment shortfalls on a case-by-case basis, taking into consideration all of the circumstances surrounding the loan and borrower, including the length of the delay, the reasons for the delay, the borrower’s prior payment record, and the amount of the shortfall in relation to the principal and interest owed.</w:t>
      </w:r>
    </w:p>
    <w:p>
      <w:pPr>
        <w:spacing w:after="0" w:line="189" w:lineRule="exact"/>
        <w:rPr>
          <w:rFonts w:ascii="Arial" w:cs="Arial" w:eastAsia="Arial" w:hAnsi="Arial"/>
          <w:sz w:val="18"/>
          <w:szCs w:val="18"/>
          <w:b w:val="1"/>
          <w:bCs w:val="1"/>
          <w:color w:val="auto"/>
        </w:rPr>
      </w:pPr>
    </w:p>
    <w:p>
      <w:pPr>
        <w:ind w:left="404" w:right="5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Most of United’s business activity is with customers located within the markets where it has banking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United’s exposure to credit risk is significantly affected by changes in the economy within its markets. More than 80% of United’s loan portfolio is secured by real estate and is therefore susceptible to changes in real estate valuations.</w:t>
      </w:r>
    </w:p>
    <w:p>
      <w:pPr>
        <w:spacing w:after="0" w:line="39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4"/>
          </w:cols>
          <w:pgMar w:left="176" w:top="891" w:right="239" w:bottom="1440" w:gutter="0" w:footer="0" w:header="0"/>
        </w:sectPr>
      </w:pPr>
    </w:p>
    <w:bookmarkStart w:id="74" w:name="page75"/>
    <w:bookmarkEnd w:id="74"/>
    <w:p>
      <w:pPr>
        <w:jc w:val="center"/>
        <w:ind w:right="1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9"/>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continued</w:t>
      </w:r>
    </w:p>
    <w:p>
      <w:pPr>
        <w:spacing w:after="0" w:line="27" w:lineRule="exact"/>
        <w:rPr>
          <w:rFonts w:ascii="Arial" w:cs="Arial" w:eastAsia="Arial" w:hAnsi="Arial"/>
          <w:sz w:val="18"/>
          <w:szCs w:val="18"/>
          <w:b w:val="1"/>
          <w:bCs w:val="1"/>
          <w:color w:val="auto"/>
        </w:rPr>
      </w:pPr>
    </w:p>
    <w:p>
      <w:pPr>
        <w:jc w:val="both"/>
        <w:ind w:left="360"/>
        <w:spacing w:after="0" w:line="302"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Certain Purchased Loans: </w:t>
      </w:r>
      <w:r>
        <w:rPr>
          <w:rFonts w:ascii="Arial" w:cs="Arial" w:eastAsia="Arial" w:hAnsi="Arial"/>
          <w:sz w:val="16"/>
          <w:szCs w:val="16"/>
          <w:color w:val="auto"/>
        </w:rPr>
        <w:t>United from time to time purchases loans, primarily through business combination transactions. Some of those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loans show evidence of credit deterioration since origination. Purchased loans are recorded at their estimated fair value at date of purchase. After acquisition, further losses evidenced by decreases in expected cash flows are recognized by an increase in the allowance for loan losses.</w:t>
      </w:r>
    </w:p>
    <w:p>
      <w:pPr>
        <w:spacing w:after="0" w:line="182" w:lineRule="exact"/>
        <w:rPr>
          <w:rFonts w:ascii="Arial" w:cs="Arial" w:eastAsia="Arial" w:hAnsi="Arial"/>
          <w:sz w:val="18"/>
          <w:szCs w:val="18"/>
          <w:b w:val="1"/>
          <w:bCs w:val="1"/>
          <w:color w:val="auto"/>
        </w:rPr>
      </w:pPr>
    </w:p>
    <w:p>
      <w:pPr>
        <w:jc w:val="both"/>
        <w:ind w:left="3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Purchased loans are accounted for individually or aggregated into pools of loans based on common risk characteristics such as the type of loan, payment status, or collateral type. United estimates the amount and timing of expected cash flows for each purchased loan or pool and the expected cash flows in excess of the amount paid is recorded as interest income over the remaining life of the loan or pool (accretable yield). The excess of the loan’s or pool’s contractual principal and interest over expected cash flows is not recorded (nonaccretable difference).</w:t>
      </w:r>
    </w:p>
    <w:p>
      <w:pPr>
        <w:spacing w:after="0" w:line="198" w:lineRule="exact"/>
        <w:rPr>
          <w:rFonts w:ascii="Arial" w:cs="Arial" w:eastAsia="Arial" w:hAnsi="Arial"/>
          <w:sz w:val="18"/>
          <w:szCs w:val="18"/>
          <w:b w:val="1"/>
          <w:bCs w:val="1"/>
          <w:color w:val="auto"/>
        </w:rPr>
      </w:pPr>
    </w:p>
    <w:p>
      <w:pPr>
        <w:jc w:val="both"/>
        <w:ind w:lef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Over the life of the loan or pool, expected cash flows continue to be estimated. If the present value of expected cash flows is less than the carrying amount, a loss is recorded. If the present value of expected cash flows is greater than the carrying amount, it is recognized as part of future interest revenue.</w:t>
      </w:r>
    </w:p>
    <w:p>
      <w:pPr>
        <w:spacing w:after="0" w:line="204"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Credit Losses</w:t>
      </w:r>
    </w:p>
    <w:p>
      <w:pPr>
        <w:spacing w:after="0" w:line="27" w:lineRule="exact"/>
        <w:rPr>
          <w:rFonts w:ascii="Arial" w:cs="Arial" w:eastAsia="Arial" w:hAnsi="Arial"/>
          <w:sz w:val="18"/>
          <w:szCs w:val="18"/>
          <w:b w:val="1"/>
          <w:bCs w:val="1"/>
          <w:color w:val="auto"/>
        </w:rPr>
      </w:pPr>
    </w:p>
    <w:p>
      <w:pPr>
        <w:jc w:val="both"/>
        <w:ind w:left="3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allowance for credit losses includes the allowance for loan losses and the allowance for unfunded commitments included in other liabilities). Increases to the allowance for loan losses and allowance for unfunded commitments are established through a provision for credit losses charged to income. Loans are charged against the allowance for loan losses when available information confirms that the collectability of the principal is unlikely. The allowance for loan losses represents an amount, which, in management’s judgment, is adequate to absorb probable losses on existing loans as of the date of the balance sheet. The allowance for unfunded commitments represents expected losses on unfunded commitments and is reported in the consolidated balance sheet in other liabilities.</w:t>
      </w:r>
    </w:p>
    <w:p>
      <w:pPr>
        <w:spacing w:after="0" w:line="221" w:lineRule="exact"/>
        <w:rPr>
          <w:rFonts w:ascii="Arial" w:cs="Arial" w:eastAsia="Arial" w:hAnsi="Arial"/>
          <w:sz w:val="18"/>
          <w:szCs w:val="18"/>
          <w:b w:val="1"/>
          <w:bCs w:val="1"/>
          <w:color w:val="auto"/>
        </w:rPr>
      </w:pPr>
    </w:p>
    <w:p>
      <w:pPr>
        <w:jc w:val="both"/>
        <w:ind w:left="3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allowance for loan losses is composed of general reserves and specific reserves. General reserves are determined by applying loss percentages to the individual loan categories that are based on actual historical loss experience. United uses an eight-quarter weighted average annualized historical loss rate for each major loan category, weighted toward the most recent quarters’ losses and multiplied by the estimated loss emergence period for each loan type.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considered in this evaluation. The need for specific reserves is evaluated on nonaccrual loan relationships greater than $500,000, accruing relationships rated substandard that are greater than $2 million and all troubled debt restructurings (“TDRs”).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193" w:lineRule="exact"/>
        <w:rPr>
          <w:rFonts w:ascii="Arial" w:cs="Arial" w:eastAsia="Arial" w:hAnsi="Arial"/>
          <w:sz w:val="18"/>
          <w:szCs w:val="18"/>
          <w:b w:val="1"/>
          <w:bCs w:val="1"/>
          <w:color w:val="auto"/>
        </w:rPr>
      </w:pPr>
    </w:p>
    <w:p>
      <w:pPr>
        <w:ind w:lef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allocation of the allowance for loan losses is based on historical data, subjective judgment and estimates and, therefore, is not necessarily indicative of the specific amounts or loan categories in which charge-offs may ultimately occur.</w:t>
      </w:r>
    </w:p>
    <w:p>
      <w:pPr>
        <w:spacing w:after="0" w:line="197" w:lineRule="exact"/>
        <w:rPr>
          <w:rFonts w:ascii="Arial" w:cs="Arial" w:eastAsia="Arial" w:hAnsi="Arial"/>
          <w:sz w:val="18"/>
          <w:szCs w:val="18"/>
          <w:b w:val="1"/>
          <w:bCs w:val="1"/>
          <w:color w:val="auto"/>
        </w:rPr>
      </w:pPr>
    </w:p>
    <w:p>
      <w:pPr>
        <w:ind w:lef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purposes of determining general reserves, United segments the loan portfolio into broad categories with similar risk elements. Those categories and their specific risks are described below.</w:t>
      </w:r>
    </w:p>
    <w:p>
      <w:pPr>
        <w:spacing w:after="0" w:line="193" w:lineRule="exact"/>
        <w:rPr>
          <w:rFonts w:ascii="Arial" w:cs="Arial" w:eastAsia="Arial" w:hAnsi="Arial"/>
          <w:sz w:val="18"/>
          <w:szCs w:val="18"/>
          <w:b w:val="1"/>
          <w:bCs w:val="1"/>
          <w:color w:val="auto"/>
        </w:rPr>
      </w:pPr>
    </w:p>
    <w:p>
      <w:pPr>
        <w:ind w:left="36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Owner occupied commercial real estate – </w:t>
      </w:r>
      <w:r>
        <w:rPr>
          <w:rFonts w:ascii="Arial" w:cs="Arial" w:eastAsia="Arial" w:hAnsi="Arial"/>
          <w:sz w:val="18"/>
          <w:szCs w:val="18"/>
          <w:color w:val="auto"/>
        </w:rPr>
        <w:t>Loans in this category are susceptible to declined in occupancy rates, business failure and general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are common risks for this segment of the loan portfolio.</w:t>
      </w:r>
    </w:p>
    <w:p>
      <w:pPr>
        <w:spacing w:after="0" w:line="188" w:lineRule="exact"/>
        <w:rPr>
          <w:rFonts w:ascii="Arial" w:cs="Arial" w:eastAsia="Arial" w:hAnsi="Arial"/>
          <w:sz w:val="18"/>
          <w:szCs w:val="18"/>
          <w:b w:val="1"/>
          <w:bCs w:val="1"/>
          <w:color w:val="auto"/>
        </w:rPr>
      </w:pPr>
    </w:p>
    <w:p>
      <w:pPr>
        <w:ind w:left="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producing commercial real estate – </w:t>
      </w:r>
      <w:r>
        <w:rPr>
          <w:rFonts w:ascii="Arial" w:cs="Arial" w:eastAsia="Arial" w:hAnsi="Arial"/>
          <w:sz w:val="18"/>
          <w:szCs w:val="18"/>
          <w:color w:val="auto"/>
        </w:rPr>
        <w:t>Common risks for this loan category are declines in general economic conditions, declines in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value and lack of suitable alternative use for the property.</w:t>
      </w:r>
    </w:p>
    <w:p>
      <w:pPr>
        <w:spacing w:after="0" w:line="188" w:lineRule="exact"/>
        <w:rPr>
          <w:rFonts w:ascii="Arial" w:cs="Arial" w:eastAsia="Arial" w:hAnsi="Arial"/>
          <w:sz w:val="18"/>
          <w:szCs w:val="18"/>
          <w:b w:val="1"/>
          <w:bCs w:val="1"/>
          <w:color w:val="auto"/>
        </w:rPr>
      </w:pPr>
    </w:p>
    <w:p>
      <w:pPr>
        <w:jc w:val="both"/>
        <w:ind w:left="36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Commercial &amp; industrial </w:t>
      </w:r>
      <w:r>
        <w:rPr>
          <w:rFonts w:ascii="Arial" w:cs="Arial" w:eastAsia="Arial" w:hAnsi="Arial"/>
          <w:sz w:val="17"/>
          <w:szCs w:val="17"/>
          <w:color w:val="auto"/>
        </w:rPr>
        <w:t>– Risks to this loan category include industry concentrations and the inability to monitor the condition of the collateral which</w:t>
      </w:r>
      <w:r>
        <w:rPr>
          <w:rFonts w:ascii="Arial" w:cs="Arial" w:eastAsia="Arial" w:hAnsi="Arial"/>
          <w:sz w:val="17"/>
          <w:szCs w:val="17"/>
          <w:b w:val="1"/>
          <w:bCs w:val="1"/>
          <w:color w:val="auto"/>
        </w:rPr>
        <w:t xml:space="preserve"> </w:t>
      </w:r>
      <w:r>
        <w:rPr>
          <w:rFonts w:ascii="Arial" w:cs="Arial" w:eastAsia="Arial" w:hAnsi="Arial"/>
          <w:sz w:val="17"/>
          <w:szCs w:val="17"/>
          <w:color w:val="auto"/>
        </w:rPr>
        <w:t>often consists of inventory, accounts receivable and other non real estate assets. Equipment and inventory obsolescence can also pose a risk. Declines in general economic conditions and other events can cause cash flows to fall to levels insufficient to service debt.</w:t>
      </w:r>
    </w:p>
    <w:p>
      <w:pPr>
        <w:spacing w:after="0" w:line="185" w:lineRule="exact"/>
        <w:rPr>
          <w:rFonts w:ascii="Arial" w:cs="Arial" w:eastAsia="Arial" w:hAnsi="Arial"/>
          <w:sz w:val="18"/>
          <w:szCs w:val="18"/>
          <w:b w:val="1"/>
          <w:bCs w:val="1"/>
          <w:color w:val="auto"/>
        </w:rPr>
      </w:pPr>
    </w:p>
    <w:p>
      <w:pPr>
        <w:ind w:left="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construction </w:t>
      </w:r>
      <w:r>
        <w:rPr>
          <w:rFonts w:ascii="Arial" w:cs="Arial" w:eastAsia="Arial" w:hAnsi="Arial"/>
          <w:sz w:val="18"/>
          <w:szCs w:val="18"/>
          <w:color w:val="auto"/>
        </w:rPr>
        <w:t>– Risks common to commercial construction loans are cost overruns, changes in market demand for property, inadequate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financing arrangements and declines in real estate values.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20" w:top="675" w:right="239" w:bottom="1440" w:gutter="0" w:footer="0" w:header="0"/>
        </w:sectPr>
      </w:pPr>
    </w:p>
    <w:bookmarkStart w:id="75" w:name="page76"/>
    <w:bookmarkEnd w:id="75"/>
    <w:p>
      <w:pPr>
        <w:jc w:val="center"/>
        <w:ind w:right="1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Allowance for Credit Losses, continued</w:t>
      </w:r>
    </w:p>
    <w:p>
      <w:pPr>
        <w:spacing w:after="0" w:line="27" w:lineRule="exact"/>
        <w:rPr>
          <w:sz w:val="20"/>
          <w:szCs w:val="20"/>
          <w:color w:val="auto"/>
        </w:rPr>
      </w:pPr>
    </w:p>
    <w:p>
      <w:pPr>
        <w:jc w:val="both"/>
        <w:ind w:left="360"/>
        <w:spacing w:after="0" w:line="261" w:lineRule="auto"/>
        <w:rPr>
          <w:sz w:val="20"/>
          <w:szCs w:val="20"/>
          <w:color w:val="auto"/>
        </w:rPr>
      </w:pPr>
      <w:r>
        <w:rPr>
          <w:rFonts w:ascii="Arial" w:cs="Arial" w:eastAsia="Arial" w:hAnsi="Arial"/>
          <w:sz w:val="18"/>
          <w:szCs w:val="18"/>
          <w:b w:val="1"/>
          <w:bCs w:val="1"/>
          <w:color w:val="auto"/>
        </w:rPr>
        <w:t xml:space="preserve">Residential mortgage </w:t>
      </w:r>
      <w:r>
        <w:rPr>
          <w:rFonts w:ascii="Arial" w:cs="Arial" w:eastAsia="Arial" w:hAnsi="Arial"/>
          <w:sz w:val="18"/>
          <w:szCs w:val="18"/>
          <w:color w:val="auto"/>
        </w:rPr>
        <w:t>– Residential mortgage loans are susceptible to weakening general economic conditions and increases in unemployment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real estate values.</w:t>
      </w:r>
    </w:p>
    <w:p>
      <w:pPr>
        <w:spacing w:after="0" w:line="207" w:lineRule="exact"/>
        <w:rPr>
          <w:sz w:val="20"/>
          <w:szCs w:val="20"/>
          <w:color w:val="auto"/>
        </w:rPr>
      </w:pPr>
    </w:p>
    <w:p>
      <w:pPr>
        <w:jc w:val="both"/>
        <w:ind w:left="360"/>
        <w:spacing w:after="0" w:line="282" w:lineRule="auto"/>
        <w:rPr>
          <w:sz w:val="20"/>
          <w:szCs w:val="20"/>
          <w:color w:val="auto"/>
        </w:rPr>
      </w:pPr>
      <w:r>
        <w:rPr>
          <w:rFonts w:ascii="Arial" w:cs="Arial" w:eastAsia="Arial" w:hAnsi="Arial"/>
          <w:sz w:val="18"/>
          <w:szCs w:val="18"/>
          <w:b w:val="1"/>
          <w:bCs w:val="1"/>
          <w:color w:val="auto"/>
        </w:rPr>
        <w:t xml:space="preserve">Home equity lines of credit – </w:t>
      </w:r>
      <w:r>
        <w:rPr>
          <w:rFonts w:ascii="Arial" w:cs="Arial" w:eastAsia="Arial" w:hAnsi="Arial"/>
          <w:sz w:val="18"/>
          <w:szCs w:val="18"/>
          <w:color w:val="auto"/>
        </w:rPr>
        <w:t>Risks common to home equity lines of credit are general economic conditions and declining real estate values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reduce or eliminate the borrower’s home equity.</w:t>
      </w:r>
    </w:p>
    <w:p>
      <w:pPr>
        <w:spacing w:after="0" w:line="189" w:lineRule="exact"/>
        <w:rPr>
          <w:sz w:val="20"/>
          <w:szCs w:val="20"/>
          <w:color w:val="auto"/>
        </w:rPr>
      </w:pPr>
    </w:p>
    <w:p>
      <w:pPr>
        <w:jc w:val="both"/>
        <w:ind w:left="360" w:right="20"/>
        <w:spacing w:after="0" w:line="313" w:lineRule="auto"/>
        <w:rPr>
          <w:sz w:val="20"/>
          <w:szCs w:val="20"/>
          <w:color w:val="auto"/>
        </w:rPr>
      </w:pPr>
      <w:r>
        <w:rPr>
          <w:rFonts w:ascii="Arial" w:cs="Arial" w:eastAsia="Arial" w:hAnsi="Arial"/>
          <w:sz w:val="17"/>
          <w:szCs w:val="17"/>
          <w:b w:val="1"/>
          <w:bCs w:val="1"/>
          <w:color w:val="auto"/>
        </w:rPr>
        <w:t xml:space="preserve">Residential construction </w:t>
      </w:r>
      <w:r>
        <w:rPr>
          <w:rFonts w:ascii="Arial" w:cs="Arial" w:eastAsia="Arial" w:hAnsi="Arial"/>
          <w:sz w:val="17"/>
          <w:szCs w:val="17"/>
          <w:color w:val="auto"/>
        </w:rPr>
        <w:t>– Residential construction loans are susceptible to the same risks as commercial construction loans. Changes in market</w:t>
      </w:r>
      <w:r>
        <w:rPr>
          <w:rFonts w:ascii="Arial" w:cs="Arial" w:eastAsia="Arial" w:hAnsi="Arial"/>
          <w:sz w:val="17"/>
          <w:szCs w:val="17"/>
          <w:b w:val="1"/>
          <w:bCs w:val="1"/>
          <w:color w:val="auto"/>
        </w:rPr>
        <w:t xml:space="preserve"> </w:t>
      </w:r>
      <w:r>
        <w:rPr>
          <w:rFonts w:ascii="Arial" w:cs="Arial" w:eastAsia="Arial" w:hAnsi="Arial"/>
          <w:sz w:val="17"/>
          <w:szCs w:val="17"/>
          <w:color w:val="auto"/>
        </w:rPr>
        <w:t>demand for property leads to longer marketing times resulting in higher carrying costs, declining values, and higher interest rates.</w:t>
      </w:r>
    </w:p>
    <w:p>
      <w:pPr>
        <w:spacing w:after="0" w:line="165" w:lineRule="exact"/>
        <w:rPr>
          <w:sz w:val="20"/>
          <w:szCs w:val="20"/>
          <w:color w:val="auto"/>
        </w:rPr>
      </w:pPr>
    </w:p>
    <w:p>
      <w:pPr>
        <w:jc w:val="both"/>
        <w:ind w:left="360"/>
        <w:spacing w:after="0" w:line="282" w:lineRule="auto"/>
        <w:rPr>
          <w:sz w:val="20"/>
          <w:szCs w:val="20"/>
          <w:color w:val="auto"/>
        </w:rPr>
      </w:pPr>
      <w:r>
        <w:rPr>
          <w:rFonts w:ascii="Arial" w:cs="Arial" w:eastAsia="Arial" w:hAnsi="Arial"/>
          <w:sz w:val="18"/>
          <w:szCs w:val="18"/>
          <w:b w:val="1"/>
          <w:bCs w:val="1"/>
          <w:color w:val="auto"/>
        </w:rPr>
        <w:t xml:space="preserve">Consumer installment </w:t>
      </w:r>
      <w:r>
        <w:rPr>
          <w:rFonts w:ascii="Arial" w:cs="Arial" w:eastAsia="Arial" w:hAnsi="Arial"/>
          <w:sz w:val="18"/>
          <w:szCs w:val="18"/>
          <w:color w:val="auto"/>
        </w:rPr>
        <w:t>– Risks common to consumer installment loans include regulatory risks, unemployment and changes in local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well as the inability to monitor collateral consisting of personal property.</w:t>
      </w:r>
    </w:p>
    <w:p>
      <w:pPr>
        <w:spacing w:after="0" w:line="189" w:lineRule="exact"/>
        <w:rPr>
          <w:sz w:val="20"/>
          <w:szCs w:val="20"/>
          <w:color w:val="auto"/>
        </w:rPr>
      </w:pPr>
    </w:p>
    <w:p>
      <w:pPr>
        <w:jc w:val="both"/>
        <w:ind w:left="360"/>
        <w:spacing w:after="0" w:line="282" w:lineRule="auto"/>
        <w:rPr>
          <w:sz w:val="20"/>
          <w:szCs w:val="20"/>
          <w:color w:val="auto"/>
        </w:rPr>
      </w:pPr>
      <w:r>
        <w:rPr>
          <w:rFonts w:ascii="Arial" w:cs="Arial" w:eastAsia="Arial" w:hAnsi="Arial"/>
          <w:sz w:val="18"/>
          <w:szCs w:val="18"/>
          <w:b w:val="1"/>
          <w:bCs w:val="1"/>
          <w:color w:val="auto"/>
        </w:rPr>
        <w:t xml:space="preserve">Indirect auto - </w:t>
      </w:r>
      <w:r>
        <w:rPr>
          <w:rFonts w:ascii="Arial" w:cs="Arial" w:eastAsia="Arial" w:hAnsi="Arial"/>
          <w:sz w:val="18"/>
          <w:szCs w:val="18"/>
          <w:color w:val="auto"/>
        </w:rPr>
        <w:t>Risks common to indirect auto loans include unemployment and changes in local economic conditions as well as the inability to monitor</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w:t>
      </w:r>
    </w:p>
    <w:p>
      <w:pPr>
        <w:spacing w:after="0" w:line="193" w:lineRule="exact"/>
        <w:rPr>
          <w:sz w:val="20"/>
          <w:szCs w:val="20"/>
          <w:color w:val="auto"/>
        </w:rPr>
      </w:pPr>
    </w:p>
    <w:p>
      <w:pPr>
        <w:jc w:val="both"/>
        <w:ind w:left="360"/>
        <w:spacing w:after="0" w:line="286" w:lineRule="auto"/>
        <w:rPr>
          <w:sz w:val="20"/>
          <w:szCs w:val="20"/>
          <w:color w:val="auto"/>
        </w:rPr>
      </w:pPr>
      <w:r>
        <w:rPr>
          <w:rFonts w:ascii="Arial" w:cs="Arial" w:eastAsia="Arial" w:hAnsi="Arial"/>
          <w:sz w:val="17"/>
          <w:szCs w:val="17"/>
          <w:color w:val="auto"/>
        </w:rPr>
        <w:t>Management outsources a significant portion of its loan review to ensure objectivity in the loan review process and to challenge and corroborate the loan grading system. The loan review function provides additional analysis used in determining the adequacy of the allowance for loan losses. To supplement the outsourced loan review, management also has an internal loan review department that is independent of the lending function.</w:t>
      </w:r>
    </w:p>
    <w:p>
      <w:pPr>
        <w:spacing w:after="0" w:line="193"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Management believes the allowance for loan losses is appropriate at December 31, 2014.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Premises and Equipment</w:t>
      </w:r>
    </w:p>
    <w:p>
      <w:pPr>
        <w:spacing w:after="0" w:line="27" w:lineRule="exact"/>
        <w:rPr>
          <w:sz w:val="20"/>
          <w:szCs w:val="20"/>
          <w:color w:val="auto"/>
        </w:rPr>
      </w:pPr>
    </w:p>
    <w:p>
      <w:pPr>
        <w:jc w:val="both"/>
        <w:ind w:left="360"/>
        <w:spacing w:after="0" w:line="302" w:lineRule="auto"/>
        <w:rPr>
          <w:sz w:val="20"/>
          <w:szCs w:val="20"/>
          <w:color w:val="auto"/>
        </w:rPr>
      </w:pPr>
      <w:r>
        <w:rPr>
          <w:rFonts w:ascii="Arial" w:cs="Arial" w:eastAsia="Arial" w:hAnsi="Arial"/>
          <w:sz w:val="16"/>
          <w:szCs w:val="16"/>
          <w:color w:val="auto"/>
        </w:rPr>
        <w:t>Premises and equipment are stated at cost less accumulated depreciation. Depreciation is computed primarily using the straight-line method over the estimated useful lives of the related assets. Costs incurred for maintenance and repairs are expensed as incurred. The range of estimated useful lives for buildings and improvements is 15 to 40 years, for land improvements, 10 to 35 years, and for furniture and equipment, 3 to 10 years.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Foreclosed Properties</w:t>
      </w:r>
    </w:p>
    <w:p>
      <w:pPr>
        <w:spacing w:after="0" w:line="27" w:lineRule="exact"/>
        <w:rPr>
          <w:sz w:val="20"/>
          <w:szCs w:val="20"/>
          <w:color w:val="auto"/>
        </w:rPr>
      </w:pPr>
    </w:p>
    <w:p>
      <w:pPr>
        <w:jc w:val="both"/>
        <w:ind w:left="360"/>
        <w:spacing w:after="0" w:line="292" w:lineRule="auto"/>
        <w:rPr>
          <w:sz w:val="20"/>
          <w:szCs w:val="20"/>
          <w:color w:val="auto"/>
        </w:rPr>
      </w:pPr>
      <w:r>
        <w:rPr>
          <w:rFonts w:ascii="Arial" w:cs="Arial" w:eastAsia="Arial" w:hAnsi="Arial"/>
          <w:sz w:val="16"/>
          <w:szCs w:val="16"/>
          <w:color w:val="auto"/>
        </w:rPr>
        <w:t xml:space="preserve">Foreclosed property is initially recorded at fair value, less cost to sell. If the fair value, less cost to sell at the time of foreclosure is less than the loan balance, the deficiency is recorded as a loan charge-off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Accounting Standards Codification Topic 360, Subtopic 20, </w:t>
      </w:r>
      <w:r>
        <w:rPr>
          <w:rFonts w:ascii="Arial" w:cs="Arial" w:eastAsia="Arial" w:hAnsi="Arial"/>
          <w:sz w:val="16"/>
          <w:szCs w:val="16"/>
          <w:i w:val="1"/>
          <w:iCs w:val="1"/>
          <w:color w:val="auto"/>
        </w:rPr>
        <w:t>Real Estate Sales</w:t>
      </w:r>
      <w:r>
        <w:rPr>
          <w:rFonts w:ascii="Arial" w:cs="Arial" w:eastAsia="Arial" w:hAnsi="Arial"/>
          <w:sz w:val="16"/>
          <w:szCs w:val="16"/>
          <w:color w:val="auto"/>
        </w:rPr>
        <w:t xml:space="preserve"> (“ASC 360-20”).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Transfers of Financial Assets</w:t>
      </w:r>
    </w:p>
    <w:p>
      <w:pPr>
        <w:spacing w:after="0" w:line="27" w:lineRule="exact"/>
        <w:rPr>
          <w:sz w:val="20"/>
          <w:szCs w:val="20"/>
          <w:color w:val="auto"/>
        </w:rPr>
      </w:pPr>
    </w:p>
    <w:p>
      <w:pPr>
        <w:jc w:val="both"/>
        <w:ind w:left="360"/>
        <w:spacing w:after="0" w:line="254" w:lineRule="auto"/>
        <w:rPr>
          <w:sz w:val="20"/>
          <w:szCs w:val="20"/>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Small Business Administration (“SBA”) Servicing Rights</w:t>
      </w:r>
    </w:p>
    <w:p>
      <w:pPr>
        <w:spacing w:after="0" w:line="27" w:lineRule="exact"/>
        <w:rPr>
          <w:sz w:val="20"/>
          <w:szCs w:val="20"/>
          <w:color w:val="auto"/>
        </w:rPr>
      </w:pPr>
    </w:p>
    <w:p>
      <w:pPr>
        <w:jc w:val="both"/>
        <w:ind w:left="360" w:firstLine="16"/>
        <w:spacing w:after="0" w:line="273" w:lineRule="auto"/>
        <w:rPr>
          <w:sz w:val="20"/>
          <w:szCs w:val="20"/>
          <w:color w:val="auto"/>
        </w:rPr>
      </w:pPr>
      <w:r>
        <w:rPr>
          <w:rFonts w:ascii="Arial" w:cs="Arial" w:eastAsia="Arial" w:hAnsi="Arial"/>
          <w:sz w:val="17"/>
          <w:szCs w:val="17"/>
          <w:color w:val="auto"/>
        </w:rPr>
        <w:t>United records a separate servicing asset for the SBA loans where the servicing is retained. This asset represents the right or obligation to service the SBA loans and receive a fee in compensation. Typically that fee is 1% of the loan balance being serviced. Servicing assets are initially recorded at their fair value as a component of the sale proceeds. The fair value of the servicing assets is based on an analysis of discounted cash flows that incorporates estimates of (1) market servicing costs (typically 40 basis points), (2) market-based prepayment rates, and (3) market profit margins.</w:t>
      </w:r>
    </w:p>
    <w:p>
      <w:pPr>
        <w:spacing w:after="0" w:line="204" w:lineRule="exact"/>
        <w:rPr>
          <w:sz w:val="20"/>
          <w:szCs w:val="20"/>
          <w:color w:val="auto"/>
        </w:rPr>
      </w:pPr>
    </w:p>
    <w:p>
      <w:pPr>
        <w:ind w:left="360" w:right="420"/>
        <w:spacing w:after="0" w:line="277" w:lineRule="auto"/>
        <w:rPr>
          <w:sz w:val="20"/>
          <w:szCs w:val="20"/>
          <w:color w:val="auto"/>
        </w:rPr>
      </w:pPr>
      <w:r>
        <w:rPr>
          <w:rFonts w:ascii="Arial" w:cs="Arial" w:eastAsia="Arial" w:hAnsi="Arial"/>
          <w:sz w:val="18"/>
          <w:szCs w:val="18"/>
          <w:color w:val="auto"/>
        </w:rPr>
        <w:t>United has elected to subsequently measure the servicing assets at fair value. There is no aggregation of the loans into pools for the valuation of the servicing asset, but the servicing asset value is measured at a loan level.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20" w:top="67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Small Business Administration (“SBA”) Servicing Rights, continued</w:t>
      </w:r>
    </w:p>
    <w:p>
      <w:pPr>
        <w:spacing w:after="0" w:line="27"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The rate of prepayment of loans serviced is the most significant estimate involved in the measurement process. Estimates of prepayment rates are based on market participant’s expectations of future prepayment rates, reflecting the company’s historical rate of loan repayments if consistent with market participant assumptions, industry trends, and other considerations. Actual prepayment rates differ from those projected by management due to changes in a variety of economic factors, including prevailing interest rates and the availability of alternative financing sources to borrowers. If actual prepayments of the loans being serviced were to occur more quickly than projected, the carrying value of servicing assets might have to be written down through a charge to earnings in the current period. If actual prepayments of the loans being serviced were to occur more slowly than had been projected, the carrying value of servicing assets could increase, and servicing income would exceed previously projected amounts. Accordingly, the servicing assets actually realized, could differ from the amounts initially recorded.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Bank Owned Life Insurance</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has purchased life insurance policies on certain key executives and members of management. Bank owned life insurance is recorded at the amount that can be realized under the insurance contract at the balance sheet date, which is the cash surrender value adjusted for other changes or other amounts due that are probable at settlement.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Loan Commitments and Related Financial Instruments</w:t>
      </w:r>
    </w:p>
    <w:p>
      <w:pPr>
        <w:spacing w:after="0" w:line="27" w:lineRule="exact"/>
        <w:rPr>
          <w:sz w:val="20"/>
          <w:szCs w:val="20"/>
          <w:color w:val="auto"/>
        </w:rPr>
      </w:pPr>
    </w:p>
    <w:p>
      <w:pPr>
        <w:jc w:val="both"/>
        <w:ind w:left="340" w:right="20"/>
        <w:spacing w:after="0" w:line="255" w:lineRule="auto"/>
        <w:rPr>
          <w:sz w:val="20"/>
          <w:szCs w:val="20"/>
          <w:color w:val="auto"/>
        </w:rPr>
      </w:pPr>
      <w:r>
        <w:rPr>
          <w:rFonts w:ascii="Arial" w:cs="Arial" w:eastAsia="Arial" w:hAnsi="Arial"/>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21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the event the future tax consequences of differences between the financial reporting bases and the tax bases of United’s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prudent and feasible tax planning strategies. Management weighs both the positive and negative evidence, giving more weight to evidence that can be objectively verified.</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income tax benefit or expense is the total of the current year income tax due or refundable and the change in deferred tax assets and liabilities.</w:t>
      </w:r>
    </w:p>
    <w:p>
      <w:pPr>
        <w:spacing w:after="0" w:line="26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United recognizes interest and / or penalties related to income tax matters in income tax expense.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Mortgage Banking Derivatives</w:t>
      </w:r>
    </w:p>
    <w:p>
      <w:pPr>
        <w:spacing w:after="0" w:line="27"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Commitments to fund mortgage loans (interest rate locks) to be sold into the secondary market and forward commitments for the future delivery of these mortgage loans are accounted for as free standing derivatives. Fair values of these mortgage derivatives are estimated based on changes in mortgage interest rates from the date the interest rate on the loan is locked. United enters into forward commitments for the future delivery of mortgage loans when interest rate locks are entered into in order to hedge the change in interest rates resulting from its commitments to fund the loans. United’s forward commitments for the future delivery of mortgage loans are based on United’s “best efforts” and therefore United is not penalized if a loan is not delivered to the investor if the loan did not get originated. Changes in the fair values of these derivatives generally offset each other and are included in “mortgage loan and other related fees” in the consolidated statement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Summary of Significant Accounting Policies, continued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 Instruments and Hedging Activities</w:t>
      </w:r>
    </w:p>
    <w:p>
      <w:pPr>
        <w:spacing w:after="0" w:line="27"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United’s goal is to manage interest rate sensitivity by modifying the repricing or maturity characteristics of certain balance sheet assets and liabilities so that the net interest margin is not, on a material basis, adversely affected by movements in interest rates. United views this strategy as a prudent management of interest rate risk, such that net income is not exposed to undue risk presented by changes in interest rates.</w:t>
      </w:r>
    </w:p>
    <w:p>
      <w:pPr>
        <w:spacing w:after="0" w:line="189"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In carrying out this part of its interest rate risk management strategy, United uses interest rate derivative contracts. The primary type of derivative contract used by United to manage interest rate risk is interest rate swaps. Interest rate swaps generally involve the exchange of fixed- and variable-rate interest payments between two parties, based on a common notional principal amount and maturity date.</w:t>
      </w:r>
    </w:p>
    <w:p>
      <w:pPr>
        <w:spacing w:after="0" w:line="20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United classifies its derivative financial instruments as either (1) a hedge of an exposure to changes in the fair value of a recorded asset or liability (“fair value hedge”), (2) a hedge of an exposure to changes in the cash flows of a recognized asset, liability or forecasted transaction (“cash flow hedge”), or (3) derivatives not designated as accounting hedges. Changes in the fair value of derivatives not designated as hedges are recognized in current period earnings. United has master netting agreements with the derivatives dealers with which it does business, but reflects gross assets and liabilities on the consolidated balance sheet.</w:t>
      </w:r>
    </w:p>
    <w:p>
      <w:pPr>
        <w:spacing w:after="0" w:line="21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United uses the long-haul method to assess hedge effectiveness. United documents, both at inception and over the life of the hedge, at least quarterly, its analysis of actual and expected hedge effectiveness. This analysis includes techniques such as regression analysis and hypothetical derivatives to demonstrate that the hedge has been, and is expected to be, highly effective in offsetting corresponding changes in the fair value or cash flows of the hedged item. For a qualifying fair value hedge, changes in the value of derivatives that have been highly effective as hedges are recognized in current period earnings along with the corresponding changes in the fair value of the designated hedged item attributable to the risk being hedged. For a qualifying cash flow hedge, the portion of changes in the fair value of the derivatives that have been highly effective are recognized in other comprehensive income until the related cash flows from the hedged item are recognized in earnings.</w:t>
      </w:r>
    </w:p>
    <w:p>
      <w:pPr>
        <w:spacing w:after="0" w:line="20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For fair value hedges and cash flow hedges, ineffectiveness is recognized in the same income statement line as interest accruals on the hedged item to the extent that changes in the value of the derivative instruments do not perfectly offset changes in the value of the hedged items. If the hedge ceases to be highly effective, United discontinues hedge accounting and recognizes the changes in fair value in current period earnings. If a derivative that qualifies as a fair value or cash flow hedge is terminated or the designation removed, the realized or then unrealized gain or loss is recognized into income over the life of the hedged item (fair value hedge) or over the time when the hedged item was forecasted to impact earnings (cash flow hedge). Immediate recognition in earnings is required upon sale or extinguishment of the hedged item (fair value hedge) or if it is probable that the hedged cash flows will not occur (cash flow hedge).</w:t>
      </w:r>
    </w:p>
    <w:p>
      <w:pPr>
        <w:spacing w:after="0" w:line="2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By using derivative instruments, United is exposed to credit and market risk. If the counterparty fails to perform, credit risk is equal to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derivative instruments by entering into transactions with high-quality counterparties that are reviewed periodically by United. United also requires the counterparties to pledge securities as collateral to cover the net exposure.</w:t>
      </w:r>
    </w:p>
    <w:p>
      <w:pPr>
        <w:spacing w:after="0" w:line="22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United’s derivative activities are monitored by its Asset/Liability Management Committee (“ALCO”) as part of that committee’s oversight of United’s asset/liability and treasury functions. ALCO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214"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designated as a hedge are accounted for in the net income of the period of the change.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78" w:name="page79"/>
    <w:bookmarkEnd w:id="78"/>
    <w:p>
      <w:pPr>
        <w:jc w:val="center"/>
        <w:ind w:right="-18"/>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8"/>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39" w:hanging="339"/>
        <w:spacing w:after="0"/>
        <w:tabs>
          <w:tab w:leader="none" w:pos="339"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52" w:lineRule="exact"/>
        <w:rPr>
          <w:rFonts w:ascii="Arial" w:cs="Arial" w:eastAsia="Arial" w:hAnsi="Arial"/>
          <w:sz w:val="18"/>
          <w:szCs w:val="18"/>
          <w:b w:val="1"/>
          <w:bCs w:val="1"/>
          <w:color w:val="auto"/>
        </w:rPr>
      </w:pPr>
    </w:p>
    <w:p>
      <w:pPr>
        <w:ind w:left="359"/>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Common Share</w:t>
      </w:r>
    </w:p>
    <w:p>
      <w:pPr>
        <w:spacing w:after="0" w:line="27" w:lineRule="exact"/>
        <w:rPr>
          <w:rFonts w:ascii="Arial" w:cs="Arial" w:eastAsia="Arial" w:hAnsi="Arial"/>
          <w:sz w:val="18"/>
          <w:szCs w:val="18"/>
          <w:b w:val="1"/>
          <w:bCs w:val="1"/>
          <w:color w:val="auto"/>
        </w:rPr>
      </w:pPr>
    </w:p>
    <w:p>
      <w:pPr>
        <w:jc w:val="both"/>
        <w:ind w:left="359"/>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Basic earnings per common share is net income available to common shareholders divided by the weighted average number of shares of common stock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Diluted earnings per common share includes the dilutive effect of additional potential shares of common stock issuable under stock options, warrants and securities convertible into common stock.</w:t>
      </w:r>
    </w:p>
    <w:p>
      <w:pPr>
        <w:spacing w:after="0" w:line="201" w:lineRule="exact"/>
        <w:rPr>
          <w:rFonts w:ascii="Arial" w:cs="Arial" w:eastAsia="Arial" w:hAnsi="Arial"/>
          <w:sz w:val="18"/>
          <w:szCs w:val="18"/>
          <w:b w:val="1"/>
          <w:bCs w:val="1"/>
          <w:color w:val="auto"/>
        </w:rPr>
      </w:pPr>
    </w:p>
    <w:p>
      <w:pPr>
        <w:ind w:left="359"/>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Loss Contingencies</w:t>
      </w:r>
    </w:p>
    <w:p>
      <w:pPr>
        <w:spacing w:after="0" w:line="27" w:lineRule="exact"/>
        <w:rPr>
          <w:rFonts w:ascii="Arial" w:cs="Arial" w:eastAsia="Arial" w:hAnsi="Arial"/>
          <w:sz w:val="18"/>
          <w:szCs w:val="18"/>
          <w:b w:val="1"/>
          <w:bCs w:val="1"/>
          <w:color w:val="auto"/>
        </w:rPr>
      </w:pPr>
    </w:p>
    <w:p>
      <w:pPr>
        <w:jc w:val="both"/>
        <w:ind w:left="3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213" w:lineRule="exact"/>
        <w:rPr>
          <w:rFonts w:ascii="Arial" w:cs="Arial" w:eastAsia="Arial" w:hAnsi="Arial"/>
          <w:sz w:val="18"/>
          <w:szCs w:val="18"/>
          <w:b w:val="1"/>
          <w:bCs w:val="1"/>
          <w:color w:val="auto"/>
        </w:rPr>
      </w:pPr>
    </w:p>
    <w:p>
      <w:pPr>
        <w:ind w:left="359"/>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Restrictions</w:t>
      </w:r>
    </w:p>
    <w:p>
      <w:pPr>
        <w:spacing w:after="0" w:line="27" w:lineRule="exact"/>
        <w:rPr>
          <w:rFonts w:ascii="Arial" w:cs="Arial" w:eastAsia="Arial" w:hAnsi="Arial"/>
          <w:sz w:val="18"/>
          <w:szCs w:val="18"/>
          <w:b w:val="1"/>
          <w:bCs w:val="1"/>
          <w:color w:val="auto"/>
        </w:rPr>
      </w:pPr>
    </w:p>
    <w:p>
      <w:pPr>
        <w:jc w:val="both"/>
        <w:ind w:left="3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Banking regulations require maintaining certain capital levels and may limit dividends paid by the Bank to United or by United to shareholders. Due to its accumulated deficit, the Bank is currently required to obtain approval of the Georgia Department of Banking and Finance before declaring any dividends to United.</w:t>
      </w:r>
    </w:p>
    <w:p>
      <w:pPr>
        <w:spacing w:after="0" w:line="213" w:lineRule="exact"/>
        <w:rPr>
          <w:rFonts w:ascii="Arial" w:cs="Arial" w:eastAsia="Arial" w:hAnsi="Arial"/>
          <w:sz w:val="18"/>
          <w:szCs w:val="18"/>
          <w:b w:val="1"/>
          <w:bCs w:val="1"/>
          <w:color w:val="auto"/>
        </w:rPr>
      </w:pPr>
    </w:p>
    <w:p>
      <w:pPr>
        <w:ind w:left="359"/>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27" w:lineRule="exact"/>
        <w:rPr>
          <w:rFonts w:ascii="Arial" w:cs="Arial" w:eastAsia="Arial" w:hAnsi="Arial"/>
          <w:sz w:val="18"/>
          <w:szCs w:val="18"/>
          <w:b w:val="1"/>
          <w:bCs w:val="1"/>
          <w:color w:val="auto"/>
        </w:rPr>
      </w:pPr>
    </w:p>
    <w:p>
      <w:pPr>
        <w:jc w:val="both"/>
        <w:ind w:left="359"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Fair values of financial instruments are estimated using relevant market information and other assumptions as more fully disclosed in Note 23.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78" w:lineRule="exact"/>
        <w:rPr>
          <w:sz w:val="20"/>
          <w:szCs w:val="20"/>
          <w:color w:val="auto"/>
        </w:rPr>
      </w:pPr>
    </w:p>
    <w:p>
      <w:pPr>
        <w:ind w:left="359"/>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27" w:lineRule="exact"/>
        <w:rPr>
          <w:sz w:val="20"/>
          <w:szCs w:val="20"/>
          <w:color w:val="auto"/>
        </w:rPr>
      </w:pPr>
    </w:p>
    <w:p>
      <w:pPr>
        <w:jc w:val="both"/>
        <w:ind w:left="359"/>
        <w:spacing w:after="0" w:line="261" w:lineRule="auto"/>
        <w:rPr>
          <w:sz w:val="20"/>
          <w:szCs w:val="20"/>
          <w:color w:val="auto"/>
        </w:rPr>
      </w:pPr>
      <w:r>
        <w:rPr>
          <w:rFonts w:ascii="Arial" w:cs="Arial" w:eastAsia="Arial" w:hAnsi="Arial"/>
          <w:sz w:val="18"/>
          <w:szCs w:val="18"/>
          <w:color w:val="auto"/>
        </w:rPr>
        <w:t>United uses the fair value method of recognizing expense for stock-based compensation based on the fair value of option and restricted stock awards at the date of grant.</w:t>
      </w:r>
    </w:p>
    <w:p>
      <w:pPr>
        <w:spacing w:after="0" w:line="207" w:lineRule="exact"/>
        <w:rPr>
          <w:sz w:val="20"/>
          <w:szCs w:val="20"/>
          <w:color w:val="auto"/>
        </w:rPr>
      </w:pPr>
    </w:p>
    <w:p>
      <w:pPr>
        <w:ind w:left="359"/>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7" w:lineRule="exact"/>
        <w:rPr>
          <w:sz w:val="20"/>
          <w:szCs w:val="20"/>
          <w:color w:val="auto"/>
        </w:rPr>
      </w:pPr>
    </w:p>
    <w:p>
      <w:pPr>
        <w:jc w:val="both"/>
        <w:ind w:left="359" w:firstLine="16"/>
        <w:spacing w:after="0" w:line="255" w:lineRule="auto"/>
        <w:rPr>
          <w:sz w:val="20"/>
          <w:szCs w:val="20"/>
          <w:color w:val="auto"/>
        </w:rPr>
      </w:pPr>
      <w:r>
        <w:rPr>
          <w:rFonts w:ascii="Arial" w:cs="Arial" w:eastAsia="Arial" w:hAnsi="Arial"/>
          <w:sz w:val="18"/>
          <w:szCs w:val="18"/>
          <w:color w:val="auto"/>
        </w:rPr>
        <w:t>Certain 2013 and 2012 amounts have been reclassified to conform to the 2014 presentation. During the fourth quarter of 2013, United reclassified hedge ineffectiveness gains and losses from other fee revenue to net interest revenue. The impact of the reclassification has been reflected in all periods and was not material to any period.</w:t>
      </w:r>
    </w:p>
    <w:p>
      <w:pPr>
        <w:spacing w:after="0" w:line="213" w:lineRule="exact"/>
        <w:rPr>
          <w:sz w:val="20"/>
          <w:szCs w:val="20"/>
          <w:color w:val="auto"/>
        </w:rPr>
      </w:pPr>
    </w:p>
    <w:p>
      <w:pPr>
        <w:ind w:left="339" w:hanging="339"/>
        <w:spacing w:after="0"/>
        <w:tabs>
          <w:tab w:leader="none" w:pos="339"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w:t>
      </w:r>
    </w:p>
    <w:p>
      <w:pPr>
        <w:spacing w:after="0" w:line="256" w:lineRule="exact"/>
        <w:rPr>
          <w:rFonts w:ascii="Arial" w:cs="Arial" w:eastAsia="Arial" w:hAnsi="Arial"/>
          <w:sz w:val="18"/>
          <w:szCs w:val="18"/>
          <w:b w:val="1"/>
          <w:bCs w:val="1"/>
          <w:color w:val="auto"/>
        </w:rPr>
      </w:pPr>
    </w:p>
    <w:p>
      <w:pPr>
        <w:jc w:val="both"/>
        <w:ind w:left="35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January 2014, the FASB issued Accounting Standards Update (“ASU “) No. 2014-1, </w:t>
      </w:r>
      <w:r>
        <w:rPr>
          <w:rFonts w:ascii="Arial" w:cs="Arial" w:eastAsia="Arial" w:hAnsi="Arial"/>
          <w:sz w:val="17"/>
          <w:szCs w:val="17"/>
          <w:i w:val="1"/>
          <w:iCs w:val="1"/>
          <w:color w:val="auto"/>
        </w:rPr>
        <w:t>Accounting for Investments in Qualified Affordable Housing</w:t>
      </w:r>
      <w:r>
        <w:rPr>
          <w:rFonts w:ascii="Arial" w:cs="Arial" w:eastAsia="Arial" w:hAnsi="Arial"/>
          <w:sz w:val="17"/>
          <w:szCs w:val="17"/>
          <w:color w:val="auto"/>
        </w:rPr>
        <w:t xml:space="preserve"> </w:t>
      </w:r>
      <w:r>
        <w:rPr>
          <w:rFonts w:ascii="Arial" w:cs="Arial" w:eastAsia="Arial" w:hAnsi="Arial"/>
          <w:sz w:val="17"/>
          <w:szCs w:val="17"/>
          <w:i w:val="1"/>
          <w:iCs w:val="1"/>
          <w:color w:val="auto"/>
        </w:rPr>
        <w:t>Projects</w:t>
      </w:r>
      <w:r>
        <w:rPr>
          <w:rFonts w:ascii="Arial" w:cs="Arial" w:eastAsia="Arial" w:hAnsi="Arial"/>
          <w:sz w:val="17"/>
          <w:szCs w:val="17"/>
          <w:color w:val="auto"/>
        </w:rPr>
        <w:t>. This ASU is expected to enable more entities to qualify for the proportional amortization method to account for affordable housing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than the number of entities that currently qualify for the effective yield method. The guidance is effective for annual periods and interim reporting periods within those annual periods, beginning after December 15, 2014. United has investments in affordable housing projects and is currently evaluating the impact to its disclosures. It is not expected to have a material impact in United’s financial position or results of operations.</w:t>
      </w:r>
    </w:p>
    <w:p>
      <w:pPr>
        <w:spacing w:after="0" w:line="199" w:lineRule="exact"/>
        <w:rPr>
          <w:rFonts w:ascii="Arial" w:cs="Arial" w:eastAsia="Arial" w:hAnsi="Arial"/>
          <w:sz w:val="18"/>
          <w:szCs w:val="18"/>
          <w:b w:val="1"/>
          <w:bCs w:val="1"/>
          <w:color w:val="auto"/>
        </w:rPr>
      </w:pPr>
    </w:p>
    <w:p>
      <w:pPr>
        <w:jc w:val="both"/>
        <w:ind w:left="3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January 2014, the FASB issued ASU No. 2014-04, </w:t>
      </w:r>
      <w:r>
        <w:rPr>
          <w:rFonts w:ascii="Arial" w:cs="Arial" w:eastAsia="Arial" w:hAnsi="Arial"/>
          <w:sz w:val="18"/>
          <w:szCs w:val="18"/>
          <w:i w:val="1"/>
          <w:iCs w:val="1"/>
          <w:color w:val="auto"/>
        </w:rPr>
        <w:t>Reclassification of Residential Real Estate Collateralized Consumer Mortgage Loans upon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Foreclosure. </w:t>
      </w:r>
      <w:r>
        <w:rPr>
          <w:rFonts w:ascii="Arial" w:cs="Arial" w:eastAsia="Arial" w:hAnsi="Arial"/>
          <w:sz w:val="18"/>
          <w:szCs w:val="18"/>
          <w:color w:val="auto"/>
        </w:rPr>
        <w:t>This ASU clarifies when an in substance repossession or foreclosure has occurred and when a creditor should derecognize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loan receivable and recognize the real estate property. The amendments in this update are effective for annual periods, and interim periods within those years, beginning after December 15, 2014. United does not expect the impact of this guidance to be material to United’s financial position, results of operations or disclosures.</w:t>
      </w:r>
    </w:p>
    <w:p>
      <w:pPr>
        <w:spacing w:after="0" w:line="215" w:lineRule="exact"/>
        <w:rPr>
          <w:rFonts w:ascii="Arial" w:cs="Arial" w:eastAsia="Arial" w:hAnsi="Arial"/>
          <w:sz w:val="18"/>
          <w:szCs w:val="18"/>
          <w:b w:val="1"/>
          <w:bCs w:val="1"/>
          <w:color w:val="auto"/>
        </w:rPr>
      </w:pPr>
    </w:p>
    <w:p>
      <w:pPr>
        <w:jc w:val="both"/>
        <w:ind w:left="3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ASU provides guidance on the recognition of revenue from contracts with customers. The core principle of the guidance is that an entity should recognize revenue to depict the transfer of promised goods or services to customers in an amount that reflects the consideration to which the entity expects to be entitled in exchange for those goods or services. This guidance is effective for public entities for annual reporting periods beginning after December 15, 2016, including interim periods within that reporting period, and will be applied retrospectively either to each prior reporting period or with a cumulative effect recognized at the date of initial application. United is in the process of evaluating this guidance.</w:t>
      </w:r>
    </w:p>
    <w:p>
      <w:pPr>
        <w:spacing w:after="0" w:line="193"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39"/>
          </w:cols>
          <w:pgMar w:left="221" w:top="675" w:right="239" w:bottom="1440" w:gutter="0" w:footer="0" w:header="0"/>
        </w:sectPr>
      </w:pPr>
    </w:p>
    <w:bookmarkStart w:id="79" w:name="page80"/>
    <w:bookmarkEnd w:id="79"/>
    <w:p>
      <w:pPr>
        <w:jc w:val="center"/>
        <w:ind w:right="-18"/>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8"/>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9"/>
        <w:spacing w:after="0"/>
        <w:rPr>
          <w:sz w:val="20"/>
          <w:szCs w:val="20"/>
          <w:color w:val="auto"/>
        </w:rPr>
      </w:pPr>
      <w:r>
        <w:rPr>
          <w:rFonts w:ascii="Arial" w:cs="Arial" w:eastAsia="Arial" w:hAnsi="Arial"/>
          <w:sz w:val="18"/>
          <w:szCs w:val="18"/>
          <w:b w:val="1"/>
          <w:bCs w:val="1"/>
          <w:color w:val="auto"/>
        </w:rPr>
        <w:t>(2) Accounting Standards Updates, continued</w:t>
      </w:r>
    </w:p>
    <w:p>
      <w:pPr>
        <w:spacing w:after="0" w:line="256" w:lineRule="exact"/>
        <w:rPr>
          <w:sz w:val="20"/>
          <w:szCs w:val="20"/>
          <w:color w:val="auto"/>
        </w:rPr>
      </w:pPr>
    </w:p>
    <w:p>
      <w:pPr>
        <w:jc w:val="both"/>
        <w:ind w:left="359"/>
        <w:spacing w:after="0" w:line="273" w:lineRule="auto"/>
        <w:rPr>
          <w:sz w:val="20"/>
          <w:szCs w:val="20"/>
          <w:color w:val="auto"/>
        </w:rPr>
      </w:pPr>
      <w:r>
        <w:rPr>
          <w:rFonts w:ascii="Arial" w:cs="Arial" w:eastAsia="Arial" w:hAnsi="Arial"/>
          <w:sz w:val="17"/>
          <w:szCs w:val="17"/>
          <w:color w:val="auto"/>
        </w:rPr>
        <w:t xml:space="preserve">In June 2014, FASB issued ASU No. 2014-11, </w:t>
      </w:r>
      <w:r>
        <w:rPr>
          <w:rFonts w:ascii="Arial" w:cs="Arial" w:eastAsia="Arial" w:hAnsi="Arial"/>
          <w:sz w:val="17"/>
          <w:szCs w:val="17"/>
          <w:i w:val="1"/>
          <w:iCs w:val="1"/>
          <w:color w:val="auto"/>
        </w:rPr>
        <w:t>Repurchase-to-Maturity Transactions, Repurchase Financings and Disclosures.</w:t>
      </w:r>
      <w:r>
        <w:rPr>
          <w:rFonts w:ascii="Arial" w:cs="Arial" w:eastAsia="Arial" w:hAnsi="Arial"/>
          <w:sz w:val="17"/>
          <w:szCs w:val="17"/>
          <w:color w:val="auto"/>
        </w:rPr>
        <w:t xml:space="preserve"> This ASU changes the accounting for repurchase-to-maturity transactions to secured borrowing accounting. For repurchase financing arrangements, the amendments require separate accounting for a transfer of a financial asset executed contemporaneously with a repurchase agreement with the same counterparty, which will result in secured borrowing accounting. The ASU also requires new disclosures for repurchase agreements, securities lending transactions and repurchase-to-maturity transactions. The Update is effective for the first interim or annual period beginning after December 15, 2014. United is currently evaluating the guidance’s impact on its financial position, results of operation and disclosures.</w:t>
      </w:r>
    </w:p>
    <w:p>
      <w:pPr>
        <w:spacing w:after="0" w:line="205" w:lineRule="exact"/>
        <w:rPr>
          <w:sz w:val="20"/>
          <w:szCs w:val="20"/>
          <w:color w:val="auto"/>
        </w:rPr>
      </w:pPr>
    </w:p>
    <w:p>
      <w:pPr>
        <w:jc w:val="both"/>
        <w:ind w:left="359"/>
        <w:spacing w:after="0" w:line="276" w:lineRule="auto"/>
        <w:rPr>
          <w:sz w:val="20"/>
          <w:szCs w:val="20"/>
          <w:color w:val="auto"/>
        </w:rPr>
      </w:pPr>
      <w:r>
        <w:rPr>
          <w:rFonts w:ascii="Arial" w:cs="Arial" w:eastAsia="Arial" w:hAnsi="Arial"/>
          <w:sz w:val="17"/>
          <w:szCs w:val="17"/>
          <w:color w:val="auto"/>
        </w:rPr>
        <w:t xml:space="preserve">In June 2014, FASB issued ASU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w:t>
      </w:r>
      <w:r>
        <w:rPr>
          <w:rFonts w:ascii="Arial" w:cs="Arial" w:eastAsia="Arial" w:hAnsi="Arial"/>
          <w:sz w:val="17"/>
          <w:szCs w:val="17"/>
          <w:color w:val="auto"/>
        </w:rPr>
        <w:t>This ASU requires that a performance target that affects vesting and that could be achieved after</w:t>
      </w:r>
      <w:r>
        <w:rPr>
          <w:rFonts w:ascii="Arial" w:cs="Arial" w:eastAsia="Arial" w:hAnsi="Arial"/>
          <w:sz w:val="17"/>
          <w:szCs w:val="17"/>
          <w:i w:val="1"/>
          <w:iCs w:val="1"/>
          <w:color w:val="auto"/>
        </w:rPr>
        <w:t xml:space="preserve"> </w:t>
      </w:r>
      <w:r>
        <w:rPr>
          <w:rFonts w:ascii="Arial" w:cs="Arial" w:eastAsia="Arial" w:hAnsi="Arial"/>
          <w:sz w:val="17"/>
          <w:szCs w:val="17"/>
          <w:color w:val="auto"/>
        </w:rPr>
        <w:t>the requisite service period be treated as a performance condition and should not be reflected in estimating the grant-date fair value of the award. The standard is effective for annual periods and interim periods within those annual periods beginning after December 15, 2015. This guidance is not expected to have a material impact on United’s financial position, results of operations or disclosures.</w:t>
      </w:r>
    </w:p>
    <w:p>
      <w:pPr>
        <w:spacing w:after="0" w:line="200" w:lineRule="exact"/>
        <w:rPr>
          <w:sz w:val="20"/>
          <w:szCs w:val="20"/>
          <w:color w:val="auto"/>
        </w:rPr>
      </w:pPr>
    </w:p>
    <w:p>
      <w:pPr>
        <w:jc w:val="both"/>
        <w:ind w:left="359"/>
        <w:spacing w:after="0" w:line="289" w:lineRule="auto"/>
        <w:rPr>
          <w:sz w:val="20"/>
          <w:szCs w:val="20"/>
          <w:color w:val="auto"/>
        </w:rPr>
      </w:pPr>
      <w:r>
        <w:rPr>
          <w:rFonts w:ascii="Arial" w:cs="Arial" w:eastAsia="Arial" w:hAnsi="Arial"/>
          <w:sz w:val="16"/>
          <w:szCs w:val="16"/>
          <w:color w:val="auto"/>
        </w:rPr>
        <w:t xml:space="preserve">In August 2014, the FASB issued ASU No. 2014-14, </w:t>
      </w:r>
      <w:r>
        <w:rPr>
          <w:rFonts w:ascii="Arial" w:cs="Arial" w:eastAsia="Arial" w:hAnsi="Arial"/>
          <w:sz w:val="16"/>
          <w:szCs w:val="16"/>
          <w:i w:val="1"/>
          <w:iCs w:val="1"/>
          <w:color w:val="auto"/>
        </w:rPr>
        <w:t>Receivables – Troubled Debt Restructurings by Creditors, Classification of Certain 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Guaranteed Mortgage Loans upon Foreclosure</w:t>
      </w:r>
      <w:r>
        <w:rPr>
          <w:rFonts w:ascii="Arial" w:cs="Arial" w:eastAsia="Arial" w:hAnsi="Arial"/>
          <w:sz w:val="16"/>
          <w:szCs w:val="16"/>
          <w:color w:val="auto"/>
        </w:rPr>
        <w:t>. This ASU addresses diversity in practice related to how creditors classify government-guaranteed</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loans, including Federal Housing Administration or U.S. Department of Veterans Affairs guaranteed loans upon foreclosure. The amendments in this ASU require that a mortgage loan be derecognized and that a separate other receivable be recognized upon foreclosure if the following conditions are met: 1) The loan has a government guarantee that is not separable from the loan before foreclosure, 2) At the time of foreclosure, the creditor has the intent to convey the real estate property to the guarantor and make a claim on the guarantee, and the creditor has the ability to recover under that claim, and 3) At the time of foreclosure, any amount of the claim that is determined on the basis of the fair value of the real estate is fixed. Upon foreclosure, the separate other receivable should be measured based on the amount of the loan balance (principal and interest) expected to be recovered from the guarantor. This guidance is not expected to have a material impact on United’s financial position, results of operations or disclosures.</w:t>
      </w:r>
    </w:p>
    <w:p>
      <w:pPr>
        <w:spacing w:after="0" w:line="194" w:lineRule="exact"/>
        <w:rPr>
          <w:sz w:val="20"/>
          <w:szCs w:val="20"/>
          <w:color w:val="auto"/>
        </w:rPr>
      </w:pPr>
    </w:p>
    <w:p>
      <w:pPr>
        <w:jc w:val="both"/>
        <w:ind w:left="359"/>
        <w:spacing w:after="0" w:line="272" w:lineRule="auto"/>
        <w:rPr>
          <w:sz w:val="20"/>
          <w:szCs w:val="20"/>
          <w:color w:val="auto"/>
        </w:rPr>
      </w:pPr>
      <w:r>
        <w:rPr>
          <w:rFonts w:ascii="Arial" w:cs="Arial" w:eastAsia="Arial" w:hAnsi="Arial"/>
          <w:sz w:val="17"/>
          <w:szCs w:val="17"/>
          <w:color w:val="auto"/>
        </w:rPr>
        <w:t xml:space="preserve">In January 2015, the FASB issued ASU 2015-01, </w:t>
      </w:r>
      <w:r>
        <w:rPr>
          <w:rFonts w:ascii="Arial" w:cs="Arial" w:eastAsia="Arial" w:hAnsi="Arial"/>
          <w:sz w:val="17"/>
          <w:szCs w:val="17"/>
          <w:i w:val="1"/>
          <w:iCs w:val="1"/>
          <w:color w:val="auto"/>
        </w:rPr>
        <w:t>Income Statement - Extraordinary and Unusual Items (Subtopic 225-20): Simplifying Income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by Eliminating the Concept of Extraordinary Items</w:t>
      </w:r>
      <w:r>
        <w:rPr>
          <w:rFonts w:ascii="Arial" w:cs="Arial" w:eastAsia="Arial" w:hAnsi="Arial"/>
          <w:sz w:val="17"/>
          <w:szCs w:val="17"/>
          <w:color w:val="auto"/>
        </w:rPr>
        <w:t>. This ASU eliminates the concept of an extraordinary item from GAAP. As a result,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will no longer be required to segregate extraordinary items from the results of ordinary operations, to separately present an extraordinary item on its income statement, net of tax, after income from continuing operations or to disclose income taxes and earnings-per-share data applicable to an extraordinary item. However, the standard will still retain the presentation and disclosure guidance for items that are unusual in nature and occur infrequently. The standard will be effective for the United’s fiscal year beginning after December 15, 2015 and subsequent interim periods. The adoption of ASU 2015-015 is not expected to have a material effect on the United’s consolidated financial statements.</w:t>
      </w:r>
    </w:p>
    <w:p>
      <w:pPr>
        <w:spacing w:after="0" w:line="201" w:lineRule="exact"/>
        <w:rPr>
          <w:sz w:val="20"/>
          <w:szCs w:val="20"/>
          <w:color w:val="auto"/>
        </w:rPr>
      </w:pPr>
    </w:p>
    <w:p>
      <w:pPr>
        <w:ind w:left="339" w:hanging="339"/>
        <w:spacing w:after="0"/>
        <w:tabs>
          <w:tab w:leader="none" w:pos="339"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229" w:lineRule="exact"/>
        <w:rPr>
          <w:rFonts w:ascii="Arial" w:cs="Arial" w:eastAsia="Arial" w:hAnsi="Arial"/>
          <w:sz w:val="18"/>
          <w:szCs w:val="18"/>
          <w:b w:val="1"/>
          <w:bCs w:val="1"/>
          <w:color w:val="auto"/>
        </w:rPr>
      </w:pPr>
    </w:p>
    <w:p>
      <w:pPr>
        <w:jc w:val="both"/>
        <w:ind w:left="3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June 26, 2014, United completed the acquisition of substantially all of the assets of Business Carolina, Inc., a specialty Small Business Administration (“SBA”) / United States Department of Agriculture (“USDA”) lender headquartered in Columbia, South Carolina. On the closing date, United paid $31.3 million in cash for loans having a fair value on the purchase date of $24.8 million, accrued interest of $83,000, servicing rights with a fair value on the purchase date of $2.13 million, premises and equipment with a fair value on the purchase date of $2.60 million and goodwill in the amount of $1.51 million representing the premium paid over the fair value of the separately identifiable assets and liabilities acquired. The gross contractual amount of loans receivable was $28.0 million as of the acquisition date. United has not identified any material separately identifiable intangible assets resulting from the acquisition.</w:t>
      </w:r>
    </w:p>
    <w:p>
      <w:pPr>
        <w:spacing w:after="0" w:line="216" w:lineRule="exact"/>
        <w:rPr>
          <w:rFonts w:ascii="Arial" w:cs="Arial" w:eastAsia="Arial" w:hAnsi="Arial"/>
          <w:sz w:val="18"/>
          <w:szCs w:val="18"/>
          <w:b w:val="1"/>
          <w:bCs w:val="1"/>
          <w:color w:val="auto"/>
        </w:rPr>
      </w:pPr>
    </w:p>
    <w:p>
      <w:pPr>
        <w:jc w:val="both"/>
        <w:ind w:left="35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loans and servicing assets that were acquired in this transaction were valued by a third party vendor that specializes in the valuations of these SBA related assets. These assets are very illiquid and United does not have the same level of visibility into the inputs that the valuation vendor has. Therefore, United considers those inputs to be level 3 in the ASC 820 hierarchy. For the loans, the valuations were derived by estimating the expected cash flows using a combination of prepayment speed and default estimates. The cash flows are then discounted using the rates implied by observed transactions in the market place. The valuation approach to the servicing asset is discussed in Note 10 to the financial statements.</w:t>
      </w:r>
    </w:p>
    <w:p>
      <w:pPr>
        <w:spacing w:after="0" w:line="173" w:lineRule="exact"/>
        <w:rPr>
          <w:sz w:val="20"/>
          <w:szCs w:val="20"/>
          <w:color w:val="auto"/>
        </w:rPr>
      </w:pPr>
    </w:p>
    <w:p>
      <w:pPr>
        <w:jc w:val="center"/>
        <w:ind w:right="-18"/>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39"/>
          </w:cols>
          <w:pgMar w:left="221" w:top="675" w:right="239" w:bottom="1440" w:gutter="0" w:footer="0" w:header="0"/>
        </w:sectPr>
      </w:pPr>
    </w:p>
    <w:bookmarkStart w:id="80" w:name="page81"/>
    <w:bookmarkEnd w:id="80"/>
    <w:p>
      <w:pPr>
        <w:spacing w:after="0" w:line="4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Flows</w:t>
      </w:r>
    </w:p>
    <w:p>
      <w:pPr>
        <w:spacing w:after="0" w:line="25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During 2014, 2013 and 2012, non-accrual loans having a value of $9.09 million, $22.5 million and $34.0 million, respectively, were transferred to foreclosed property. Also, during 2014, 2013 and 2012, United financed the sale of foreclosed properties with loans totaling $2.50 million, $3.49 million and $9.40 million, respectively.</w:t>
      </w:r>
    </w:p>
    <w:p>
      <w:pPr>
        <w:spacing w:after="0" w:line="18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United accounts for securities transactions on the trade date. At December 31, 2014, United had purchased $5.43 million in securities that had not settled. At December 31, 2013, United had sold $4.60 million in securities and purchased $29.6 million in securities that had not settled.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Offsetting</w:t>
      </w:r>
    </w:p>
    <w:p>
      <w:pPr>
        <w:spacing w:after="0" w:line="22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 xml:space="preserve">United enters into reverse repurchase agreements in order to invest short-term funds. In addition, United enters into repurchase agreements and reverse repurchase agreements and offsetting securities lending transactions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6"/>
          <w:szCs w:val="16"/>
          <w:i w:val="1"/>
          <w:iCs w:val="1"/>
          <w:color w:val="auto"/>
        </w:rPr>
        <w:t>Offsetting.</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The following table presents a summary of amounts outstanding under reverse repurchase agreements, securities lending transactions and derivative financial instruments including those entered into in connection with the same counterparty under master netting agreements as of December 31, 2014 and 2013 </w:t>
      </w:r>
      <w:r>
        <w:rPr>
          <w:rFonts w:ascii="Arial" w:cs="Arial" w:eastAsia="Arial" w:hAnsi="Arial"/>
          <w:sz w:val="18"/>
          <w:szCs w:val="18"/>
          <w:i w:val="1"/>
          <w:i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Gross Amounts not Offset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Amounts of</w:t>
            </w:r>
          </w:p>
        </w:tc>
        <w:tc>
          <w:tcPr>
            <w:tcW w:w="6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480"/>
              <w:spacing w:after="0" w:line="198" w:lineRule="exact"/>
              <w:rPr>
                <w:sz w:val="20"/>
                <w:szCs w:val="20"/>
                <w:color w:val="auto"/>
              </w:rPr>
            </w:pPr>
            <w:r>
              <w:rPr>
                <w:rFonts w:ascii="Arial" w:cs="Arial" w:eastAsia="Arial" w:hAnsi="Arial"/>
                <w:sz w:val="18"/>
                <w:szCs w:val="18"/>
                <w:b w:val="1"/>
                <w:bCs w:val="1"/>
                <w:color w:val="auto"/>
                <w:w w:val="86"/>
              </w:rPr>
              <w:t>Net Asset</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Balance</w:t>
            </w: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Received</w:t>
            </w:r>
          </w:p>
        </w:tc>
        <w:tc>
          <w:tcPr>
            <w:tcW w:w="12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86"/>
              </w:rPr>
              <w:t>Repurchase agreements / reverse repurchase</w:t>
            </w: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395,000</w:t>
            </w:r>
          </w:p>
        </w:tc>
        <w:tc>
          <w:tcPr>
            <w:tcW w:w="220" w:type="dxa"/>
            <w:vAlign w:val="bottom"/>
            <w:shd w:val="clear" w:color="auto" w:fill="F0FFFF"/>
          </w:tcPr>
          <w:p>
            <w:pPr>
              <w:spacing w:after="0"/>
              <w:rPr>
                <w:sz w:val="20"/>
                <w:szCs w:val="20"/>
                <w:color w:val="auto"/>
              </w:rPr>
            </w:pPr>
          </w:p>
        </w:tc>
        <w:tc>
          <w:tcPr>
            <w:tcW w:w="20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(375,000)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(20,302)</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20,599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415,599</w:t>
            </w:r>
          </w:p>
        </w:tc>
        <w:tc>
          <w:tcPr>
            <w:tcW w:w="22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40,599</w:t>
            </w:r>
          </w:p>
        </w:tc>
        <w:tc>
          <w:tcPr>
            <w:tcW w:w="1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(24,018)</w:t>
            </w:r>
          </w:p>
        </w:tc>
        <w:tc>
          <w:tcPr>
            <w:tcW w:w="10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Borders>
              <w:top w:val="single" w:sz="8" w:color="F0FFFF"/>
            </w:tcBorders>
          </w:tcPr>
          <w:p>
            <w:pPr>
              <w:spacing w:after="0" w:line="195" w:lineRule="exact"/>
              <w:rPr>
                <w:sz w:val="20"/>
                <w:szCs w:val="20"/>
                <w:color w:val="auto"/>
              </w:rPr>
            </w:pPr>
            <w:r>
              <w:rPr>
                <w:rFonts w:ascii="Arial" w:cs="Arial" w:eastAsia="Arial" w:hAnsi="Arial"/>
                <w:sz w:val="18"/>
                <w:szCs w:val="18"/>
                <w:color w:val="auto"/>
                <w:w w:val="95"/>
              </w:rPr>
              <w:t>Weighted average interest rate of reverse</w:t>
            </w:r>
          </w:p>
        </w:tc>
        <w:tc>
          <w:tcPr>
            <w:tcW w:w="14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6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repurchase agreements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Gross Amounts not Offset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Amounts of</w:t>
            </w:r>
          </w:p>
        </w:tc>
        <w:tc>
          <w:tcPr>
            <w:tcW w:w="6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32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460"/>
              <w:spacing w:after="0" w:line="198" w:lineRule="exact"/>
              <w:rPr>
                <w:sz w:val="20"/>
                <w:szCs w:val="20"/>
                <w:color w:val="auto"/>
              </w:rPr>
            </w:pPr>
            <w:r>
              <w:rPr>
                <w:rFonts w:ascii="Arial" w:cs="Arial" w:eastAsia="Arial" w:hAnsi="Arial"/>
                <w:sz w:val="18"/>
                <w:szCs w:val="18"/>
                <w:b w:val="1"/>
                <w:bCs w:val="1"/>
                <w:color w:val="auto"/>
                <w:w w:val="96"/>
              </w:rPr>
              <w:t>Liability</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Liabilities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Balance</w:t>
            </w: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Pledged</w:t>
            </w:r>
          </w:p>
        </w:tc>
        <w:tc>
          <w:tcPr>
            <w:tcW w:w="12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86"/>
              </w:rPr>
              <w:t>Repurchase agreements / reverse repurchase</w:t>
            </w:r>
          </w:p>
        </w:tc>
        <w:tc>
          <w:tcPr>
            <w:tcW w:w="1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F0FFFF"/>
          </w:tcPr>
          <w:p>
            <w:pPr>
              <w:spacing w:after="0"/>
              <w:rPr>
                <w:sz w:val="20"/>
                <w:szCs w:val="20"/>
                <w:color w:val="auto"/>
              </w:rPr>
            </w:pPr>
          </w:p>
        </w:tc>
        <w:tc>
          <w:tcPr>
            <w:tcW w:w="20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(375,000)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31,997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(32,792)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406,997</w:t>
            </w:r>
          </w:p>
        </w:tc>
        <w:tc>
          <w:tcPr>
            <w:tcW w:w="2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31,997</w:t>
            </w: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(32,792)</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w w:val="87"/>
              </w:rPr>
              <w:t>Weighted average interest rate of repurchase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Gross Amounts not Offset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Amounts of</w:t>
            </w:r>
          </w:p>
        </w:tc>
        <w:tc>
          <w:tcPr>
            <w:tcW w:w="6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6"/>
              </w:rPr>
              <w:t>Net Asset</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December 31, 2013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Balance</w:t>
            </w: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Received</w:t>
            </w:r>
          </w:p>
        </w:tc>
        <w:tc>
          <w:tcPr>
            <w:tcW w:w="120" w:type="dxa"/>
            <w:vAlign w:val="bottom"/>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shd w:val="clear" w:color="auto" w:fill="F0FFFF"/>
          </w:tcPr>
          <w:p>
            <w:pPr>
              <w:spacing w:after="0" w:line="201" w:lineRule="exact"/>
              <w:rPr>
                <w:sz w:val="20"/>
                <w:szCs w:val="20"/>
                <w:color w:val="auto"/>
              </w:rPr>
            </w:pPr>
            <w:r>
              <w:rPr>
                <w:rFonts w:ascii="Arial" w:cs="Arial" w:eastAsia="Arial" w:hAnsi="Arial"/>
                <w:sz w:val="18"/>
                <w:szCs w:val="18"/>
                <w:color w:val="auto"/>
                <w:w w:val="86"/>
              </w:rPr>
              <w:t>Repurchase agreements / reverse repurchase</w:t>
            </w:r>
          </w:p>
        </w:tc>
        <w:tc>
          <w:tcPr>
            <w:tcW w:w="14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385,000</w:t>
            </w:r>
          </w:p>
        </w:tc>
        <w:tc>
          <w:tcPr>
            <w:tcW w:w="220" w:type="dxa"/>
            <w:vAlign w:val="bottom"/>
            <w:shd w:val="clear" w:color="auto" w:fill="F0FFFF"/>
          </w:tcPr>
          <w:p>
            <w:pPr>
              <w:spacing w:after="0"/>
              <w:rPr>
                <w:sz w:val="20"/>
                <w:szCs w:val="20"/>
                <w:color w:val="auto"/>
              </w:rPr>
            </w:pPr>
          </w:p>
        </w:tc>
        <w:tc>
          <w:tcPr>
            <w:tcW w:w="20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(38,982)</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23,833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408,833</w:t>
            </w:r>
          </w:p>
        </w:tc>
        <w:tc>
          <w:tcPr>
            <w:tcW w:w="2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58,833</w:t>
            </w: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(41,894)</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16,543</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w w:val="95"/>
              </w:rPr>
              <w:t>Weighted average interest rate of reverse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repurchase agreements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Gross Amounts not Offset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Amounts of</w:t>
            </w:r>
          </w:p>
        </w:tc>
        <w:tc>
          <w:tcPr>
            <w:tcW w:w="6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32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460"/>
              <w:spacing w:after="0" w:line="198" w:lineRule="exact"/>
              <w:rPr>
                <w:sz w:val="20"/>
                <w:szCs w:val="20"/>
                <w:color w:val="auto"/>
              </w:rPr>
            </w:pPr>
            <w:r>
              <w:rPr>
                <w:rFonts w:ascii="Arial" w:cs="Arial" w:eastAsia="Arial" w:hAnsi="Arial"/>
                <w:sz w:val="18"/>
                <w:szCs w:val="18"/>
                <w:b w:val="1"/>
                <w:bCs w:val="1"/>
                <w:color w:val="auto"/>
                <w:w w:val="96"/>
              </w:rPr>
              <w:t>Liability</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Liabilities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Balance</w:t>
            </w: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Pledged</w:t>
            </w:r>
          </w:p>
        </w:tc>
        <w:tc>
          <w:tcPr>
            <w:tcW w:w="12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86"/>
              </w:rPr>
              <w:t>Repurchase agreements / reverse repurchase</w:t>
            </w:r>
          </w:p>
        </w:tc>
        <w:tc>
          <w:tcPr>
            <w:tcW w:w="14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shd w:val="clear" w:color="auto" w:fill="F0FFFF"/>
          </w:tcPr>
          <w:p>
            <w:pPr>
              <w:spacing w:after="0"/>
              <w:rPr>
                <w:sz w:val="20"/>
                <w:szCs w:val="20"/>
                <w:color w:val="auto"/>
              </w:rPr>
            </w:pPr>
          </w:p>
        </w:tc>
        <w:tc>
          <w:tcPr>
            <w:tcW w:w="20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46,232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46,232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(38,145)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396,232</w:t>
            </w:r>
          </w:p>
        </w:tc>
        <w:tc>
          <w:tcPr>
            <w:tcW w:w="2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46,232</w:t>
            </w:r>
          </w:p>
        </w:tc>
        <w:tc>
          <w:tcPr>
            <w:tcW w:w="1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(38,145)</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87"/>
              </w:rPr>
              <w:t>Weighted average interest rate of repurchase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85" w:orient="portrait"/>
          <w:cols w:equalWidth="0" w:num="1">
            <w:col w:w="11420"/>
          </w:cols>
          <w:pgMar w:left="240" w:top="918" w:right="239" w:bottom="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agreements</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39"/>
          </w:cols>
          <w:pgMar w:left="420" w:top="125" w:right="1440" w:bottom="1440" w:gutter="0" w:footer="0" w:header="0"/>
        </w:sectPr>
      </w:pPr>
    </w:p>
    <w:bookmarkStart w:id="82" w:name="page83"/>
    <w:bookmarkEnd w:id="82"/>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w:t>
      </w:r>
    </w:p>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2013, securities available-for-sale with a fair value of $301 million were transferred to held-to-maturity. The securities were transferred at their fair value on the date of transfer. The unrealized loss of $8.31 million on the transferred securities is being amortized into interest revenue as an adjustment to the yield on those securities over the remaining life of the transferred securities.</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At both December 31, 2014 and 2013, securities with a carrying value of $1.51 billion and $1.53 billion, respectively, were pledged to secure public deposits, derivatives and other secured borrowings.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cost basis, unrealized gains and losses, and fair value of securities held-to-maturity at December 31, 2014 and 2013 are listed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r>
      <w:tr>
        <w:trPr>
          <w:trHeight w:val="194"/>
        </w:trPr>
        <w:tc>
          <w:tcPr>
            <w:tcW w:w="4100" w:type="dxa"/>
            <w:vAlign w:val="bottom"/>
            <w:gridSpan w:val="3"/>
          </w:tcPr>
          <w:p>
            <w:pPr>
              <w:spacing w:after="0" w:line="194" w:lineRule="exact"/>
              <w:rPr>
                <w:sz w:val="20"/>
                <w:szCs w:val="20"/>
                <w:color w:val="auto"/>
              </w:rPr>
            </w:pPr>
            <w:r>
              <w:rPr>
                <w:rFonts w:ascii="Arial" w:cs="Arial" w:eastAsia="Arial" w:hAnsi="Arial"/>
                <w:sz w:val="18"/>
                <w:szCs w:val="18"/>
                <w:color w:val="auto"/>
              </w:rPr>
              <w:t>As of December 31, 2014</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3"/>
              </w:rPr>
              <w:t>Losses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16"/>
                <w:szCs w:val="16"/>
                <w:color w:val="auto"/>
              </w:rPr>
            </w:pPr>
          </w:p>
        </w:tc>
      </w:tr>
      <w:tr>
        <w:trPr>
          <w:trHeight w:val="28"/>
        </w:trPr>
        <w:tc>
          <w:tcPr>
            <w:tcW w:w="2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F0FFFF"/>
          </w:tcPr>
          <w:p>
            <w:pPr>
              <w:ind w:left="1000"/>
              <w:spacing w:after="0"/>
              <w:rPr>
                <w:sz w:val="20"/>
                <w:szCs w:val="20"/>
                <w:color w:val="auto"/>
              </w:rPr>
            </w:pPr>
            <w:r>
              <w:rPr>
                <w:rFonts w:ascii="Arial" w:cs="Arial" w:eastAsia="Arial" w:hAnsi="Arial"/>
                <w:sz w:val="18"/>
                <w:szCs w:val="18"/>
                <w:color w:val="auto"/>
              </w:rPr>
              <w:t>State and political subdivisions</w:t>
            </w: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48,157</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3,504</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51,661</w:t>
            </w:r>
          </w:p>
        </w:tc>
        <w:tc>
          <w:tcPr>
            <w:tcW w:w="12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1000"/>
              <w:spacing w:after="0" w:line="216"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5"/>
                <w:szCs w:val="25"/>
                <w:color w:val="auto"/>
                <w:vertAlign w:val="superscript"/>
              </w:rPr>
              <w:t>(1)</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367,110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373,572</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080" w:type="dxa"/>
            <w:vAlign w:val="bottom"/>
            <w:tcBorders>
              <w:bottom w:val="single" w:sz="8" w:color="F0FFFF"/>
            </w:tcBorders>
            <w:gridSpan w:val="2"/>
            <w:shd w:val="clear" w:color="auto" w:fill="F0FFFF"/>
          </w:tcPr>
          <w:p>
            <w:pPr>
              <w:ind w:left="11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415,267</w:t>
            </w: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11,220</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425,233</w:t>
            </w:r>
          </w:p>
        </w:tc>
        <w:tc>
          <w:tcPr>
            <w:tcW w:w="120" w:type="dxa"/>
            <w:vAlign w:val="bottom"/>
            <w:tcBorders>
              <w:bottom w:val="single" w:sz="8" w:color="F0FFFF"/>
            </w:tcBorders>
            <w:shd w:val="clear" w:color="auto" w:fill="F0FFFF"/>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4080" w:type="dxa"/>
            <w:vAlign w:val="bottom"/>
            <w:gridSpan w:val="2"/>
          </w:tcPr>
          <w:p>
            <w:pPr>
              <w:spacing w:after="0" w:line="170" w:lineRule="exact"/>
              <w:rPr>
                <w:sz w:val="20"/>
                <w:szCs w:val="20"/>
                <w:color w:val="auto"/>
              </w:rPr>
            </w:pPr>
            <w:r>
              <w:rPr>
                <w:rFonts w:ascii="Arial" w:cs="Arial" w:eastAsia="Arial" w:hAnsi="Arial"/>
                <w:sz w:val="18"/>
                <w:szCs w:val="18"/>
                <w:color w:val="auto"/>
              </w:rPr>
              <w:t>As of December 31, 2013</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F0FFFF"/>
          </w:tcPr>
          <w:p>
            <w:pPr>
              <w:ind w:left="1000"/>
              <w:spacing w:after="0"/>
              <w:rPr>
                <w:sz w:val="20"/>
                <w:szCs w:val="20"/>
                <w:color w:val="auto"/>
              </w:rPr>
            </w:pPr>
            <w:r>
              <w:rPr>
                <w:rFonts w:ascii="Arial" w:cs="Arial" w:eastAsia="Arial" w:hAnsi="Arial"/>
                <w:sz w:val="18"/>
                <w:szCs w:val="18"/>
                <w:color w:val="auto"/>
              </w:rPr>
              <w:t>State and political subdivisions</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51,733</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2,718</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w:t>
            </w:r>
          </w:p>
        </w:tc>
        <w:tc>
          <w:tcPr>
            <w:tcW w:w="44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54,409</w:t>
            </w:r>
          </w:p>
        </w:tc>
        <w:tc>
          <w:tcPr>
            <w:tcW w:w="12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1000"/>
              <w:spacing w:after="0" w:line="216"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5"/>
                <w:szCs w:val="25"/>
                <w:color w:val="auto"/>
                <w:vertAlign w:val="superscript"/>
              </w:rPr>
              <w:t>(1)</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428,009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431,176</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080" w:type="dxa"/>
            <w:vAlign w:val="bottom"/>
            <w:tcBorders>
              <w:bottom w:val="single" w:sz="8" w:color="F0FFFF"/>
            </w:tcBorders>
            <w:gridSpan w:val="2"/>
            <w:shd w:val="clear" w:color="auto" w:fill="F0FFFF"/>
          </w:tcPr>
          <w:p>
            <w:pPr>
              <w:ind w:left="11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479,742</w:t>
            </w: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9,408</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3,565</w:t>
            </w:r>
          </w:p>
        </w:tc>
        <w:tc>
          <w:tcPr>
            <w:tcW w:w="2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485,585</w:t>
            </w:r>
          </w:p>
        </w:tc>
        <w:tc>
          <w:tcPr>
            <w:tcW w:w="120" w:type="dxa"/>
            <w:vAlign w:val="bottom"/>
            <w:tcBorders>
              <w:bottom w:val="single" w:sz="8" w:color="F0FFFF"/>
            </w:tcBorders>
            <w:shd w:val="clear" w:color="auto" w:fill="F0FFFF"/>
          </w:tcPr>
          <w:p>
            <w:pPr>
              <w:spacing w:after="0"/>
              <w:rPr>
                <w:sz w:val="22"/>
                <w:szCs w:val="22"/>
                <w:color w:val="auto"/>
              </w:rPr>
            </w:pPr>
          </w:p>
        </w:tc>
      </w:tr>
    </w:tbl>
    <w:p>
      <w:pPr>
        <w:spacing w:after="0" w:line="87" w:lineRule="exact"/>
        <w:rPr>
          <w:sz w:val="20"/>
          <w:szCs w:val="20"/>
          <w:color w:val="auto"/>
        </w:rPr>
      </w:pPr>
    </w:p>
    <w:p>
      <w:pPr>
        <w:ind w:left="1080" w:hanging="262"/>
        <w:spacing w:after="0"/>
        <w:tabs>
          <w:tab w:leader="none" w:pos="108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All are residential type mortgage-backed securities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cost basis, unrealized gains and losses, and fair value of securities available-for-sale at December 31, 2014 and 2013 are listed below </w:t>
      </w:r>
      <w:r>
        <w:rPr>
          <w:rFonts w:ascii="Arial" w:cs="Arial" w:eastAsia="Arial" w:hAnsi="Arial"/>
          <w:sz w:val="16"/>
          <w:szCs w:val="16"/>
          <w:i w:val="1"/>
          <w:iCs w:val="1"/>
          <w:color w:val="auto"/>
        </w:rPr>
        <w:t>(in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gridSpan w:val="3"/>
          </w:tcPr>
          <w:p>
            <w:pPr>
              <w:spacing w:after="0" w:line="194" w:lineRule="exact"/>
              <w:rPr>
                <w:sz w:val="20"/>
                <w:szCs w:val="20"/>
                <w:color w:val="auto"/>
              </w:rPr>
            </w:pPr>
            <w:r>
              <w:rPr>
                <w:rFonts w:ascii="Arial" w:cs="Arial" w:eastAsia="Arial" w:hAnsi="Arial"/>
                <w:sz w:val="18"/>
                <w:szCs w:val="18"/>
                <w:color w:val="auto"/>
              </w:rPr>
              <w:t>As of December 31, 2014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3"/>
              </w:rPr>
              <w:t>Losses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F0FFFF"/>
          </w:tcPr>
          <w:p>
            <w:pPr>
              <w:ind w:left="600"/>
              <w:spacing w:after="0"/>
              <w:rPr>
                <w:sz w:val="20"/>
                <w:szCs w:val="20"/>
                <w:color w:val="auto"/>
              </w:rPr>
            </w:pPr>
            <w:r>
              <w:rPr>
                <w:rFonts w:ascii="Arial" w:cs="Arial" w:eastAsia="Arial" w:hAnsi="Arial"/>
                <w:sz w:val="18"/>
                <w:szCs w:val="18"/>
                <w:color w:val="auto"/>
              </w:rPr>
              <w:t>U.S. Treasuries</w:t>
            </w: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105,540</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600"/>
              <w:spacing w:after="0"/>
              <w:rPr>
                <w:sz w:val="20"/>
                <w:szCs w:val="20"/>
                <w:color w:val="auto"/>
              </w:rPr>
            </w:pPr>
            <w:r>
              <w:rPr>
                <w:rFonts w:ascii="Arial" w:cs="Arial" w:eastAsia="Arial" w:hAnsi="Arial"/>
                <w:sz w:val="18"/>
                <w:szCs w:val="18"/>
                <w:color w:val="auto"/>
              </w:rPr>
              <w:t>U.S. Government agencies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F0FFFF"/>
          </w:tcPr>
          <w:p>
            <w:pPr>
              <w:ind w:left="600"/>
              <w:spacing w:after="0"/>
              <w:rPr>
                <w:sz w:val="20"/>
                <w:szCs w:val="20"/>
                <w:color w:val="auto"/>
              </w:rPr>
            </w:pPr>
            <w:r>
              <w:rPr>
                <w:rFonts w:ascii="Arial" w:cs="Arial" w:eastAsia="Arial" w:hAnsi="Arial"/>
                <w:sz w:val="18"/>
                <w:szCs w:val="18"/>
                <w:color w:val="auto"/>
              </w:rPr>
              <w:t>State and political subdivisions</w:t>
            </w: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19,748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20,233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600"/>
              <w:spacing w:after="0" w:line="216"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5"/>
                <w:szCs w:val="25"/>
                <w:color w:val="auto"/>
                <w:vertAlign w:val="superscript"/>
              </w:rPr>
              <w:t>(1)</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988,012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F0FFFF"/>
          </w:tcPr>
          <w:p>
            <w:pPr>
              <w:ind w:left="600"/>
              <w:spacing w:after="0"/>
              <w:rPr>
                <w:sz w:val="20"/>
                <w:szCs w:val="20"/>
                <w:color w:val="auto"/>
              </w:rPr>
            </w:pPr>
            <w:r>
              <w:rPr>
                <w:rFonts w:ascii="Arial" w:cs="Arial" w:eastAsia="Arial" w:hAnsi="Arial"/>
                <w:sz w:val="18"/>
                <w:szCs w:val="18"/>
                <w:color w:val="auto"/>
              </w:rPr>
              <w:t>Corporate bonds</w:t>
            </w: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165,018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1,686</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165,628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600"/>
              <w:spacing w:after="0"/>
              <w:rPr>
                <w:sz w:val="20"/>
                <w:szCs w:val="20"/>
                <w:color w:val="auto"/>
              </w:rPr>
            </w:pPr>
            <w:r>
              <w:rPr>
                <w:rFonts w:ascii="Arial" w:cs="Arial" w:eastAsia="Arial" w:hAnsi="Arial"/>
                <w:sz w:val="18"/>
                <w:szCs w:val="18"/>
                <w:color w:val="auto"/>
              </w:rPr>
              <w:t>Asset-backed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455,626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F0FFFF"/>
            </w:tcBorders>
            <w:gridSpan w:val="2"/>
            <w:shd w:val="clear" w:color="auto" w:fill="F0FFFF"/>
          </w:tcPr>
          <w:p>
            <w:pPr>
              <w:ind w:left="6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760"/>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1,772,535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10,756</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1,782,734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shd w:val="clear" w:color="auto" w:fill="F0FFFF"/>
          </w:tcPr>
          <w:p>
            <w:pPr>
              <w:spacing w:after="0" w:line="170" w:lineRule="exact"/>
              <w:rPr>
                <w:sz w:val="20"/>
                <w:szCs w:val="20"/>
                <w:color w:val="auto"/>
              </w:rPr>
            </w:pPr>
            <w:r>
              <w:rPr>
                <w:rFonts w:ascii="Arial" w:cs="Arial" w:eastAsia="Arial" w:hAnsi="Arial"/>
                <w:sz w:val="18"/>
                <w:szCs w:val="18"/>
                <w:color w:val="auto"/>
                <w:w w:val="89"/>
              </w:rPr>
              <w:t>As of December 31, 2013</w:t>
            </w:r>
          </w:p>
        </w:tc>
        <w:tc>
          <w:tcPr>
            <w:tcW w:w="2040" w:type="dxa"/>
            <w:vAlign w:val="bottom"/>
            <w:tcBorders>
              <w:bottom w:val="single" w:sz="8" w:color="F0FFFF"/>
            </w:tcBorders>
            <w:shd w:val="clear" w:color="auto" w:fill="F0FFFF"/>
          </w:tcPr>
          <w:p>
            <w:pPr>
              <w:spacing w:after="0"/>
              <w:rPr>
                <w:sz w:val="16"/>
                <w:szCs w:val="16"/>
                <w:color w:val="auto"/>
              </w:rPr>
            </w:pPr>
          </w:p>
        </w:tc>
        <w:tc>
          <w:tcPr>
            <w:tcW w:w="104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1020" w:type="dxa"/>
            <w:vAlign w:val="bottom"/>
            <w:tcBorders>
              <w:bottom w:val="single" w:sz="8" w:color="F0FFFF"/>
            </w:tcBorders>
            <w:shd w:val="clear" w:color="auto" w:fill="F0FFFF"/>
          </w:tcPr>
          <w:p>
            <w:pPr>
              <w:spacing w:after="0"/>
              <w:rPr>
                <w:sz w:val="16"/>
                <w:szCs w:val="16"/>
                <w:color w:val="auto"/>
              </w:rPr>
            </w:pPr>
          </w:p>
        </w:tc>
        <w:tc>
          <w:tcPr>
            <w:tcW w:w="20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104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100" w:type="dxa"/>
            <w:vAlign w:val="bottom"/>
            <w:tcBorders>
              <w:bottom w:val="single" w:sz="8" w:color="F0FFFF"/>
            </w:tcBorders>
            <w:shd w:val="clear" w:color="auto" w:fill="F0FFFF"/>
          </w:tcPr>
          <w:p>
            <w:pPr>
              <w:spacing w:after="0"/>
              <w:rPr>
                <w:sz w:val="16"/>
                <w:szCs w:val="16"/>
                <w:color w:val="auto"/>
              </w:rPr>
            </w:pPr>
          </w:p>
        </w:tc>
        <w:tc>
          <w:tcPr>
            <w:tcW w:w="104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92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600"/>
              <w:spacing w:after="0"/>
              <w:rPr>
                <w:sz w:val="20"/>
                <w:szCs w:val="20"/>
                <w:color w:val="auto"/>
              </w:rPr>
            </w:pPr>
            <w:r>
              <w:rPr>
                <w:rFonts w:ascii="Arial" w:cs="Arial" w:eastAsia="Arial" w:hAnsi="Arial"/>
                <w:sz w:val="18"/>
                <w:szCs w:val="18"/>
                <w:color w:val="auto"/>
              </w:rPr>
              <w:t>State and political subdivisions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F0FFFF"/>
          </w:tcPr>
          <w:p>
            <w:pPr>
              <w:ind w:left="600"/>
              <w:spacing w:after="0" w:line="216"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5"/>
                <w:szCs w:val="25"/>
                <w:color w:val="auto"/>
                <w:vertAlign w:val="superscript"/>
              </w:rPr>
              <w:t>(1)</w:t>
            </w: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1,145,800</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13,296</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13,749</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1,145,347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600"/>
              <w:spacing w:after="0"/>
              <w:rPr>
                <w:sz w:val="20"/>
                <w:szCs w:val="20"/>
                <w:color w:val="auto"/>
              </w:rPr>
            </w:pPr>
            <w:r>
              <w:rPr>
                <w:rFonts w:ascii="Arial" w:cs="Arial" w:eastAsia="Arial" w:hAnsi="Arial"/>
                <w:sz w:val="18"/>
                <w:szCs w:val="18"/>
                <w:color w:val="auto"/>
              </w:rPr>
              <w:t>Corporate bonds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255,316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F0FFFF"/>
          </w:tcPr>
          <w:p>
            <w:pPr>
              <w:ind w:left="600"/>
              <w:spacing w:after="0"/>
              <w:rPr>
                <w:sz w:val="20"/>
                <w:szCs w:val="20"/>
                <w:color w:val="auto"/>
              </w:rPr>
            </w:pPr>
            <w:r>
              <w:rPr>
                <w:rFonts w:ascii="Arial" w:cs="Arial" w:eastAsia="Arial" w:hAnsi="Arial"/>
                <w:sz w:val="18"/>
                <w:szCs w:val="18"/>
                <w:color w:val="auto"/>
              </w:rPr>
              <w:t>Asset-backed securities</w:t>
            </w: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409,086</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2,535</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410,633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ind w:left="6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Borders>
              <w:bottom w:val="single" w:sz="8" w:color="F0FFFF"/>
            </w:tcBorders>
            <w:gridSpan w:val="2"/>
            <w:shd w:val="clear" w:color="auto" w:fill="F0FFFF"/>
          </w:tcPr>
          <w:p>
            <w:pPr>
              <w:ind w:left="7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1,835,459</w:t>
            </w: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17,958</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21,200</w:t>
            </w:r>
          </w:p>
        </w:tc>
        <w:tc>
          <w:tcPr>
            <w:tcW w:w="2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1,832,217</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720" w:hanging="226"/>
        <w:spacing w:after="0"/>
        <w:tabs>
          <w:tab w:leader="none" w:pos="720" w:val="left"/>
        </w:tabs>
        <w:numPr>
          <w:ilvl w:val="0"/>
          <w:numId w:val="30"/>
        </w:numPr>
        <w:rPr>
          <w:rFonts w:ascii="Arial" w:cs="Arial" w:eastAsia="Arial" w:hAnsi="Arial"/>
          <w:sz w:val="27"/>
          <w:szCs w:val="27"/>
          <w:color w:val="auto"/>
          <w:vertAlign w:val="superscript"/>
        </w:rPr>
      </w:pPr>
      <w:r>
        <w:rPr>
          <w:rFonts w:ascii="Arial" w:cs="Arial" w:eastAsia="Arial" w:hAnsi="Arial"/>
          <w:sz w:val="17"/>
          <w:szCs w:val="17"/>
          <w:color w:val="auto"/>
        </w:rPr>
        <w:t>All are residential type mortgage-backed securities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3" w:name="page84"/>
    <w:bookmarkEnd w:id="83"/>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securities held-to-maturity in an unrealized loss position as of December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40" w:type="dxa"/>
            <w:vAlign w:val="bottom"/>
            <w:gridSpan w:val="3"/>
          </w:tcPr>
          <w:p>
            <w:pPr>
              <w:spacing w:after="0" w:line="194" w:lineRule="exact"/>
              <w:rPr>
                <w:sz w:val="20"/>
                <w:szCs w:val="20"/>
                <w:color w:val="auto"/>
              </w:rPr>
            </w:pPr>
            <w:r>
              <w:rPr>
                <w:rFonts w:ascii="Arial" w:cs="Arial" w:eastAsia="Arial" w:hAnsi="Arial"/>
                <w:sz w:val="18"/>
                <w:szCs w:val="18"/>
                <w:color w:val="auto"/>
              </w:rPr>
              <w:t>As of December 31, 2014</w:t>
            </w:r>
          </w:p>
        </w:tc>
        <w:tc>
          <w:tcPr>
            <w:tcW w:w="120" w:type="dxa"/>
            <w:vAlign w:val="bottom"/>
          </w:tcPr>
          <w:p>
            <w:pPr>
              <w:spacing w:after="0"/>
              <w:rPr>
                <w:sz w:val="16"/>
                <w:szCs w:val="16"/>
                <w:color w:val="auto"/>
              </w:rPr>
            </w:pPr>
          </w:p>
        </w:tc>
        <w:tc>
          <w:tcPr>
            <w:tcW w:w="104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7"/>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126,514</w:t>
            </w:r>
          </w:p>
        </w:tc>
        <w:tc>
          <w:tcPr>
            <w:tcW w:w="2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17,053</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143,567</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126,514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17,053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143,567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20" w:type="dxa"/>
            <w:vAlign w:val="bottom"/>
            <w:gridSpan w:val="2"/>
            <w:shd w:val="clear" w:color="auto" w:fill="F0FFFF"/>
          </w:tcPr>
          <w:p>
            <w:pPr>
              <w:spacing w:after="0" w:line="170" w:lineRule="exact"/>
              <w:rPr>
                <w:sz w:val="20"/>
                <w:szCs w:val="20"/>
                <w:color w:val="auto"/>
              </w:rPr>
            </w:pPr>
            <w:r>
              <w:rPr>
                <w:rFonts w:ascii="Arial" w:cs="Arial" w:eastAsia="Arial" w:hAnsi="Arial"/>
                <w:sz w:val="18"/>
                <w:szCs w:val="18"/>
                <w:color w:val="auto"/>
              </w:rPr>
              <w:t>As of December 31, 2013</w:t>
            </w:r>
          </w:p>
        </w:tc>
        <w:tc>
          <w:tcPr>
            <w:tcW w:w="12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4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40" w:type="dxa"/>
            <w:vAlign w:val="bottom"/>
            <w:tcBorders>
              <w:top w:val="single" w:sz="8" w:color="auto"/>
            </w:tcBorders>
            <w:shd w:val="clear" w:color="auto" w:fill="F0FFFF"/>
          </w:tcPr>
          <w:p>
            <w:pPr>
              <w:spacing w:after="0" w:line="20" w:lineRule="exact"/>
              <w:rPr>
                <w:sz w:val="1"/>
                <w:szCs w:val="1"/>
                <w:color w:val="auto"/>
              </w:rPr>
            </w:pPr>
          </w:p>
        </w:tc>
        <w:tc>
          <w:tcPr>
            <w:tcW w:w="14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259,870</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259,870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261,465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261,465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summarizes securities available-for-sale in an unrealized loss position as of December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5"/>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40" w:type="dxa"/>
            <w:vAlign w:val="bottom"/>
            <w:gridSpan w:val="3"/>
          </w:tcPr>
          <w:p>
            <w:pPr>
              <w:spacing w:after="0" w:line="194" w:lineRule="exact"/>
              <w:rPr>
                <w:sz w:val="20"/>
                <w:szCs w:val="20"/>
                <w:color w:val="auto"/>
              </w:rPr>
            </w:pPr>
            <w:r>
              <w:rPr>
                <w:rFonts w:ascii="Arial" w:cs="Arial" w:eastAsia="Arial" w:hAnsi="Arial"/>
                <w:sz w:val="18"/>
                <w:szCs w:val="18"/>
                <w:color w:val="auto"/>
              </w:rPr>
              <w:t>As of December 31, 2014</w:t>
            </w:r>
          </w:p>
        </w:tc>
        <w:tc>
          <w:tcPr>
            <w:tcW w:w="120" w:type="dxa"/>
            <w:vAlign w:val="bottom"/>
          </w:tcPr>
          <w:p>
            <w:pPr>
              <w:spacing w:after="0"/>
              <w:rPr>
                <w:sz w:val="16"/>
                <w:szCs w:val="16"/>
                <w:color w:val="auto"/>
              </w:rPr>
            </w:pPr>
          </w:p>
        </w:tc>
        <w:tc>
          <w:tcPr>
            <w:tcW w:w="11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U.S. Treasuries</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34,180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34,180</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88,741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251,977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7,019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340,718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37,891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20,275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58,166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1,592</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40,952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262,311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420,951</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2,669</w:t>
            </w:r>
          </w:p>
        </w:tc>
        <w:tc>
          <w:tcPr>
            <w:tcW w:w="2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313,204</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8,087</w:t>
            </w:r>
          </w:p>
        </w:tc>
        <w:tc>
          <w:tcPr>
            <w:tcW w:w="2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734,155</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10,756</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line="170" w:lineRule="exact"/>
              <w:rPr>
                <w:sz w:val="20"/>
                <w:szCs w:val="20"/>
                <w:color w:val="auto"/>
              </w:rPr>
            </w:pPr>
            <w:r>
              <w:rPr>
                <w:rFonts w:ascii="Arial" w:cs="Arial" w:eastAsia="Arial" w:hAnsi="Arial"/>
                <w:sz w:val="18"/>
                <w:szCs w:val="18"/>
                <w:color w:val="auto"/>
              </w:rPr>
              <w:t>As of December 31, 2013</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4,539</w:t>
            </w:r>
          </w:p>
        </w:tc>
        <w:tc>
          <w:tcPr>
            <w:tcW w:w="12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4,539</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334,996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510,861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137,318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4,494</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54,130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1,830</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191,448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164,933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187,303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641,786</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11,835</w:t>
            </w:r>
          </w:p>
        </w:tc>
        <w:tc>
          <w:tcPr>
            <w:tcW w:w="2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252,365</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9,365</w:t>
            </w:r>
          </w:p>
        </w:tc>
        <w:tc>
          <w:tcPr>
            <w:tcW w:w="2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894,151</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21,200</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2014, there were 113 available-for-sale securities and 21 held-to-maturity securities that were in an unrealized loss position. Management does not intend to sell nor believes it will be required to sell securities in an unrealized loss position prior to the recovery of its amortized cost basis. Unrealized losses at December 31, 2014 and 2013 were primarily attributable to changes in interest rates.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2014, 2013 or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are derived using the specific identification method for determining the cost of the securities sold.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4" w:name="page85"/>
    <w:bookmarkEnd w:id="84"/>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29"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The amortized cost and fair value of available-for-sale and held-to-maturity securities at December 31, 2014,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460"/>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20"/>
                <w:szCs w:val="20"/>
                <w:color w:val="auto"/>
              </w:rPr>
            </w:pPr>
          </w:p>
        </w:tc>
        <w:tc>
          <w:tcPr>
            <w:tcW w:w="2460" w:type="dxa"/>
            <w:vAlign w:val="bottom"/>
            <w:gridSpan w:val="6"/>
          </w:tcPr>
          <w:p>
            <w:pPr>
              <w:ind w:left="440"/>
              <w:spacing w:after="0"/>
              <w:rPr>
                <w:sz w:val="20"/>
                <w:szCs w:val="20"/>
                <w:color w:val="auto"/>
              </w:rPr>
            </w:pPr>
            <w:r>
              <w:rPr>
                <w:rFonts w:ascii="Arial" w:cs="Arial" w:eastAsia="Arial" w:hAnsi="Arial"/>
                <w:sz w:val="18"/>
                <w:szCs w:val="18"/>
                <w:b w:val="1"/>
                <w:bCs w:val="1"/>
                <w:color w:val="auto"/>
              </w:rPr>
              <w:t>Held-to-Maturity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US Treasuries: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105,540</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105,709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F0FFFF"/>
            </w:tcBorders>
            <w:shd w:val="clear" w:color="auto" w:fill="F0FFFF"/>
          </w:tcPr>
          <w:p>
            <w:pPr>
              <w:spacing w:after="0"/>
              <w:rPr>
                <w:sz w:val="19"/>
                <w:szCs w:val="19"/>
                <w:color w:val="auto"/>
              </w:rPr>
            </w:pPr>
          </w:p>
        </w:tc>
        <w:tc>
          <w:tcPr>
            <w:tcW w:w="10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spacing w:after="0"/>
              <w:rPr>
                <w:sz w:val="19"/>
                <w:szCs w:val="19"/>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105,540</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spacing w:after="0"/>
              <w:rPr>
                <w:sz w:val="19"/>
                <w:szCs w:val="19"/>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2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spacing w:after="0"/>
              <w:rPr>
                <w:sz w:val="19"/>
                <w:szCs w:val="19"/>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36,474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36,299</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F0FFFF"/>
          </w:tcPr>
          <w:p>
            <w:pPr>
              <w:spacing w:after="0"/>
              <w:rPr>
                <w:sz w:val="2"/>
                <w:szCs w:val="2"/>
                <w:color w:val="auto"/>
              </w:rPr>
            </w:pPr>
          </w:p>
        </w:tc>
        <w:tc>
          <w:tcPr>
            <w:tcW w:w="10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6,405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10,430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10,771</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18,582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2,165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892</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9,002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9,803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F0FFFF"/>
          </w:tcPr>
          <w:p>
            <w:pPr>
              <w:spacing w:after="0"/>
              <w:rPr>
                <w:sz w:val="2"/>
                <w:szCs w:val="2"/>
                <w:color w:val="auto"/>
              </w:rPr>
            </w:pPr>
          </w:p>
        </w:tc>
        <w:tc>
          <w:tcPr>
            <w:tcW w:w="10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0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9,815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38,262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37,891</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117,172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F0FFFF"/>
          </w:tcPr>
          <w:p>
            <w:pPr>
              <w:spacing w:after="0"/>
              <w:rPr>
                <w:sz w:val="2"/>
                <w:szCs w:val="2"/>
                <w:color w:val="auto"/>
              </w:rPr>
            </w:pPr>
          </w:p>
        </w:tc>
        <w:tc>
          <w:tcPr>
            <w:tcW w:w="10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165,628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10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9,505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256,986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257,886</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58,581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58,966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130,469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129,571</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F0FFFF"/>
          </w:tcPr>
          <w:p>
            <w:pPr>
              <w:spacing w:after="0"/>
              <w:rPr>
                <w:sz w:val="2"/>
                <w:szCs w:val="2"/>
                <w:color w:val="auto"/>
              </w:rPr>
            </w:pPr>
          </w:p>
        </w:tc>
        <w:tc>
          <w:tcPr>
            <w:tcW w:w="10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455,626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455,928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2,055</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F0FFFF"/>
          </w:tcPr>
          <w:p>
            <w:pPr>
              <w:spacing w:after="0"/>
              <w:rPr>
                <w:sz w:val="2"/>
                <w:szCs w:val="2"/>
                <w:color w:val="auto"/>
              </w:rPr>
            </w:pPr>
          </w:p>
        </w:tc>
        <w:tc>
          <w:tcPr>
            <w:tcW w:w="10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108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25,787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411,218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412,257</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18,582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212,932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214,602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134,372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133,268</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9,002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Mortgage-backed securities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996,820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367,110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373,572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bottom w:val="single" w:sz="8" w:color="F0FFFF"/>
            </w:tcBorders>
            <w:shd w:val="clear" w:color="auto" w:fill="F0FFFF"/>
          </w:tcPr>
          <w:p>
            <w:pPr>
              <w:spacing w:after="0"/>
              <w:rPr>
                <w:sz w:val="22"/>
                <w:szCs w:val="22"/>
                <w:color w:val="auto"/>
              </w:rPr>
            </w:pPr>
          </w:p>
        </w:tc>
        <w:tc>
          <w:tcPr>
            <w:tcW w:w="10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1,772,535</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1,782,734</w:t>
            </w:r>
          </w:p>
        </w:tc>
        <w:tc>
          <w:tcPr>
            <w:tcW w:w="2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415,267</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425,233</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securities sales activities for the years ended December 31, 2014,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4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57"/>
        </w:trPr>
        <w:tc>
          <w:tcPr>
            <w:tcW w:w="4840" w:type="dxa"/>
            <w:vAlign w:val="bottom"/>
            <w:tcBorders>
              <w:bottom w:val="single" w:sz="8" w:color="F0FFFF"/>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Proceeds from sales</w:t>
            </w:r>
          </w:p>
        </w:tc>
        <w:tc>
          <w:tcPr>
            <w:tcW w:w="2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419,201</w:t>
            </w:r>
          </w:p>
        </w:tc>
        <w:tc>
          <w:tcPr>
            <w:tcW w:w="16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39,731</w:t>
            </w:r>
          </w:p>
        </w:tc>
        <w:tc>
          <w:tcPr>
            <w:tcW w:w="200" w:type="dxa"/>
            <w:vAlign w:val="bottom"/>
            <w:tcBorders>
              <w:bottom w:val="single" w:sz="8" w:color="F0FFFF"/>
              <w:right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469,167</w:t>
            </w:r>
          </w:p>
        </w:tc>
        <w:tc>
          <w:tcPr>
            <w:tcW w:w="100" w:type="dxa"/>
            <w:vAlign w:val="bottom"/>
            <w:tcBorders>
              <w:bottom w:val="single" w:sz="8" w:color="F0FFFF"/>
            </w:tcBorders>
            <w:shd w:val="clear" w:color="auto" w:fill="F0FFFF"/>
          </w:tcPr>
          <w:p>
            <w:pPr>
              <w:spacing w:after="0"/>
              <w:rPr>
                <w:sz w:val="22"/>
                <w:szCs w:val="22"/>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Gross gains on sales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6,003</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7,364</w:t>
            </w:r>
          </w:p>
        </w:tc>
      </w:tr>
      <w:tr>
        <w:trPr>
          <w:trHeight w:val="216"/>
        </w:trPr>
        <w:tc>
          <w:tcPr>
            <w:tcW w:w="48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Gross losses on sales</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(1,132)</w:t>
            </w:r>
          </w:p>
        </w:tc>
        <w:tc>
          <w:tcPr>
            <w:tcW w:w="240" w:type="dxa"/>
            <w:vAlign w:val="bottom"/>
            <w:shd w:val="clear" w:color="auto" w:fill="F0FFFF"/>
          </w:tcPr>
          <w:p>
            <w:pPr>
              <w:spacing w:after="0"/>
              <w:rPr>
                <w:sz w:val="18"/>
                <w:szCs w:val="18"/>
                <w:color w:val="auto"/>
              </w:rPr>
            </w:pPr>
          </w:p>
        </w:tc>
        <w:tc>
          <w:tcPr>
            <w:tcW w:w="104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(286)</w:t>
            </w:r>
          </w:p>
        </w:tc>
      </w:tr>
      <w:tr>
        <w:trPr>
          <w:trHeight w:val="27"/>
        </w:trPr>
        <w:tc>
          <w:tcPr>
            <w:tcW w:w="484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tcBorders>
              <w:right w:val="single" w:sz="8" w:color="F0FFFF"/>
            </w:tcBorders>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4840" w:type="dxa"/>
            <w:vAlign w:val="bottom"/>
          </w:tcPr>
          <w:p>
            <w:pPr>
              <w:ind w:left="160"/>
              <w:spacing w:after="0"/>
              <w:rPr>
                <w:sz w:val="20"/>
                <w:szCs w:val="20"/>
                <w:color w:val="auto"/>
              </w:rPr>
            </w:pPr>
            <w:r>
              <w:rPr>
                <w:rFonts w:ascii="Arial" w:cs="Arial" w:eastAsia="Arial" w:hAnsi="Arial"/>
                <w:sz w:val="18"/>
                <w:szCs w:val="18"/>
                <w:color w:val="auto"/>
              </w:rPr>
              <w:t>Net gains on sales of securities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4,871</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7,078</w:t>
            </w:r>
          </w:p>
        </w:tc>
      </w:tr>
      <w:tr>
        <w:trPr>
          <w:trHeight w:val="21"/>
        </w:trPr>
        <w:tc>
          <w:tcPr>
            <w:tcW w:w="4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40" w:type="dxa"/>
            <w:vAlign w:val="bottom"/>
            <w:tcBorders>
              <w:bottom w:val="single" w:sz="8" w:color="F0FFFF"/>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Income tax expense attributable to sales</w:t>
            </w:r>
          </w:p>
        </w:tc>
        <w:tc>
          <w:tcPr>
            <w:tcW w:w="20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1,902</w:t>
            </w:r>
          </w:p>
        </w:tc>
        <w:tc>
          <w:tcPr>
            <w:tcW w:w="1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F0FFFF"/>
              <w:right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F0FFFF"/>
            </w:tcBorders>
            <w:shd w:val="clear" w:color="auto" w:fill="F0FFFF"/>
          </w:tcPr>
          <w:p>
            <w:pPr>
              <w:spacing w:after="0"/>
              <w:rPr>
                <w:sz w:val="21"/>
                <w:szCs w:val="2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year-end 2014 and 2013, there were no holdings of securities of any one issuer, other than the U.S. Government and its agencies, in an amount greater than 10%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Major classifications of loans at December 31, 2014 and 2013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228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496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1,163,480</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1,133,543</w:t>
            </w:r>
          </w:p>
        </w:tc>
        <w:tc>
          <w:tcPr>
            <w:tcW w:w="100" w:type="dxa"/>
            <w:vAlign w:val="bottom"/>
            <w:shd w:val="clear" w:color="auto" w:fill="F0FF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598,537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623,167</w:t>
            </w:r>
          </w:p>
        </w:tc>
      </w:tr>
      <w:tr>
        <w:trPr>
          <w:trHeight w:val="216"/>
        </w:trPr>
        <w:tc>
          <w:tcPr>
            <w:tcW w:w="496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710,256</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471,961</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196,030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148,903</w:t>
            </w:r>
          </w:p>
        </w:tc>
      </w:tr>
      <w:tr>
        <w:trPr>
          <w:trHeight w:val="216"/>
        </w:trPr>
        <w:tc>
          <w:tcPr>
            <w:tcW w:w="49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2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2,668,303</w:t>
            </w:r>
          </w:p>
        </w:tc>
        <w:tc>
          <w:tcPr>
            <w:tcW w:w="1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2,377,574</w:t>
            </w:r>
          </w:p>
        </w:tc>
        <w:tc>
          <w:tcPr>
            <w:tcW w:w="100" w:type="dxa"/>
            <w:vAlign w:val="bottom"/>
            <w:shd w:val="clear" w:color="auto" w:fill="F0FF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865,789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875,077</w:t>
            </w:r>
          </w:p>
        </w:tc>
      </w:tr>
      <w:tr>
        <w:trPr>
          <w:trHeight w:val="216"/>
        </w:trPr>
        <w:tc>
          <w:tcPr>
            <w:tcW w:w="496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465,872</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440,887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298,627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328,579</w:t>
            </w:r>
          </w:p>
        </w:tc>
      </w:tr>
      <w:tr>
        <w:trPr>
          <w:trHeight w:val="216"/>
        </w:trPr>
        <w:tc>
          <w:tcPr>
            <w:tcW w:w="496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104,899</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111,045</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Indirect auto</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268,629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196,104</w:t>
            </w:r>
          </w:p>
        </w:tc>
      </w:tr>
      <w:tr>
        <w:trPr>
          <w:trHeight w:val="216"/>
        </w:trPr>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2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4,672,119</w:t>
            </w:r>
          </w:p>
        </w:tc>
        <w:tc>
          <w:tcPr>
            <w:tcW w:w="1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4,329,266</w:t>
            </w:r>
          </w:p>
        </w:tc>
        <w:tc>
          <w:tcPr>
            <w:tcW w:w="100" w:type="dxa"/>
            <w:vAlign w:val="bottom"/>
            <w:shd w:val="clear" w:color="auto" w:fill="F0FF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(71,619)</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(76,762)</w:t>
            </w:r>
          </w:p>
        </w:tc>
      </w:tr>
      <w:tr>
        <w:trPr>
          <w:trHeight w:val="257"/>
        </w:trPr>
        <w:tc>
          <w:tcPr>
            <w:tcW w:w="49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Loans, net</w:t>
            </w: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4,600,500</w:t>
            </w:r>
          </w:p>
        </w:tc>
        <w:tc>
          <w:tcPr>
            <w:tcW w:w="1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4,252,504</w:t>
            </w:r>
          </w:p>
        </w:tc>
        <w:tc>
          <w:tcPr>
            <w:tcW w:w="100" w:type="dxa"/>
            <w:vAlign w:val="bottom"/>
            <w:tcBorders>
              <w:bottom w:val="single" w:sz="8" w:color="F0FFFF"/>
            </w:tcBorders>
            <w:shd w:val="clear" w:color="auto" w:fill="F0FFFF"/>
          </w:tcPr>
          <w:p>
            <w:pPr>
              <w:spacing w:after="0"/>
              <w:rPr>
                <w:sz w:val="22"/>
                <w:szCs w:val="22"/>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December 31, 2014 and 2013, $1.05 million and $977,000, respectively, in overdrawn deposit accounts were reclassified as commercial and industrial loans. No specific allowance for loan losses was deemed necessary for these accounts at December 31, 2014 and 2013.</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At December 31, 2014 and 2013, loans with a carrying value of $2.35 billion and $1.77 billion were pledged as collateral to secure FHLB advances and other contingent funding sources.</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year-end. In 2013, United established an allowance for unfunded commitments separate from the allowance for loan losses due to significant growth in unfunded loan commitments. The allowance for unfunded commitments is included in other liabilities in the consolidated balance sheet. Combined, the allowance for loan losses and allowance for unfunded commitments are referred to as the allowance for credit losses.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following table presents the balance and activity in the allowance for credit losses by portfolio segment for the years ended December 31, 2014,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Allocation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Charge-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Ending</w:t>
            </w:r>
          </w:p>
        </w:tc>
      </w:tr>
      <w:tr>
        <w:trPr>
          <w:trHeight w:val="241"/>
        </w:trPr>
        <w:tc>
          <w:tcPr>
            <w:tcW w:w="3100" w:type="dxa"/>
            <w:vAlign w:val="bottom"/>
          </w:tcPr>
          <w:p>
            <w:pPr>
              <w:spacing w:after="0"/>
              <w:rPr>
                <w:sz w:val="20"/>
                <w:szCs w:val="20"/>
                <w:color w:val="auto"/>
              </w:rPr>
            </w:pPr>
            <w:r>
              <w:rPr>
                <w:rFonts w:ascii="Arial" w:cs="Arial" w:eastAsia="Arial" w:hAnsi="Arial"/>
                <w:sz w:val="18"/>
                <w:szCs w:val="18"/>
                <w:b w:val="1"/>
                <w:bCs w:val="1"/>
                <w:color w:val="auto"/>
              </w:rPr>
              <w:t>Year Ended December 31, 2014</w:t>
            </w: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Offs</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Recoveries</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Unallocated</w:t>
            </w: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Provision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Balance</w:t>
            </w:r>
          </w:p>
        </w:tc>
      </w:tr>
      <w:tr>
        <w:trPr>
          <w:trHeight w:val="216"/>
        </w:trPr>
        <w:tc>
          <w:tcPr>
            <w:tcW w:w="31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7"/>
              </w:rPr>
              <w:t>Owner occupied commercial real estate</w:t>
            </w: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17,164</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(3,136)</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3,056</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1,278</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(2,321)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16,041</w:t>
            </w:r>
          </w:p>
        </w:tc>
        <w:tc>
          <w:tcPr>
            <w:tcW w:w="140" w:type="dxa"/>
            <w:vAlign w:val="bottom"/>
            <w:shd w:val="clear" w:color="auto" w:fill="F0FF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3"/>
              </w:rPr>
              <w:t>Income producing 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10,296</w:t>
            </w: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6,527</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3,255</w:t>
            </w:r>
          </w:p>
        </w:tc>
        <w:tc>
          <w:tcPr>
            <w:tcW w:w="140" w:type="dxa"/>
            <w:vAlign w:val="bottom"/>
            <w:shd w:val="clear" w:color="auto" w:fill="F0FF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4,747</w:t>
            </w:r>
          </w:p>
        </w:tc>
        <w:tc>
          <w:tcPr>
            <w:tcW w:w="14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15,446</w:t>
            </w: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9,805</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20,311</w:t>
            </w:r>
          </w:p>
        </w:tc>
        <w:tc>
          <w:tcPr>
            <w:tcW w:w="140" w:type="dxa"/>
            <w:vAlign w:val="bottom"/>
            <w:shd w:val="clear" w:color="auto" w:fill="F0FF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4,574</w:t>
            </w:r>
          </w:p>
        </w:tc>
        <w:tc>
          <w:tcPr>
            <w:tcW w:w="14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12,532</w:t>
            </w: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(3,176)</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1,728</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10,603</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Consumer installment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731</w:t>
            </w: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1,126</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421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1,061</w:t>
            </w:r>
          </w:p>
        </w:tc>
        <w:tc>
          <w:tcPr>
            <w:tcW w:w="140" w:type="dxa"/>
            <w:vAlign w:val="bottom"/>
            <w:shd w:val="clear" w:color="auto" w:fill="F0FF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(6,243)</w:t>
            </w: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Total allowance for loan losses</w:t>
            </w: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76,762</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(22,667)</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8,789</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8,735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71,619</w:t>
            </w:r>
          </w:p>
        </w:tc>
        <w:tc>
          <w:tcPr>
            <w:tcW w:w="140" w:type="dxa"/>
            <w:vAlign w:val="bottom"/>
            <w:shd w:val="clear" w:color="auto" w:fill="F0FF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Allowance for unfunded commitments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40" w:type="dxa"/>
            <w:vAlign w:val="bottom"/>
          </w:tcPr>
          <w:p>
            <w:pPr>
              <w:spacing w:after="0"/>
              <w:rPr>
                <w:sz w:val="19"/>
                <w:szCs w:val="19"/>
                <w:color w:val="auto"/>
              </w:rPr>
            </w:pPr>
          </w:p>
        </w:tc>
      </w:tr>
      <w:tr>
        <w:trPr>
          <w:trHeight w:val="257"/>
        </w:trPr>
        <w:tc>
          <w:tcPr>
            <w:tcW w:w="310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78,927</w:t>
            </w:r>
          </w:p>
        </w:tc>
        <w:tc>
          <w:tcPr>
            <w:tcW w:w="22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(22,667)</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8,789</w:t>
            </w:r>
          </w:p>
        </w:tc>
        <w:tc>
          <w:tcPr>
            <w:tcW w:w="220" w:type="dxa"/>
            <w:vAlign w:val="bottom"/>
            <w:tcBorders>
              <w:bottom w:val="single" w:sz="8" w:color="auto"/>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8,500</w:t>
            </w:r>
          </w:p>
        </w:tc>
        <w:tc>
          <w:tcPr>
            <w:tcW w:w="260" w:type="dxa"/>
            <w:vAlign w:val="bottom"/>
            <w:tcBorders>
              <w:bottom w:val="single" w:sz="8" w:color="auto"/>
            </w:tcBorders>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73,549</w:t>
            </w:r>
          </w:p>
        </w:tc>
        <w:tc>
          <w:tcPr>
            <w:tcW w:w="140" w:type="dxa"/>
            <w:vAlign w:val="bottom"/>
            <w:tcBorders>
              <w:bottom w:val="single" w:sz="8" w:color="F0FFFF"/>
            </w:tcBorders>
            <w:shd w:val="clear" w:color="auto" w:fill="F0FF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Allocation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Charge-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2"/>
              </w:rPr>
              <w:t>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Ending</w:t>
            </w:r>
          </w:p>
        </w:tc>
      </w:tr>
      <w:tr>
        <w:trPr>
          <w:trHeight w:val="241"/>
        </w:trPr>
        <w:tc>
          <w:tcPr>
            <w:tcW w:w="3100" w:type="dxa"/>
            <w:vAlign w:val="bottom"/>
          </w:tcPr>
          <w:p>
            <w:pPr>
              <w:spacing w:after="0"/>
              <w:rPr>
                <w:sz w:val="20"/>
                <w:szCs w:val="20"/>
                <w:color w:val="auto"/>
              </w:rPr>
            </w:pPr>
            <w:r>
              <w:rPr>
                <w:rFonts w:ascii="Arial" w:cs="Arial" w:eastAsia="Arial" w:hAnsi="Arial"/>
                <w:sz w:val="18"/>
                <w:szCs w:val="18"/>
                <w:b w:val="1"/>
                <w:bCs w:val="1"/>
                <w:color w:val="auto"/>
              </w:rPr>
              <w:t>Year Ended December 31, 2013</w:t>
            </w: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Offs</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Recoveries</w:t>
            </w: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Unallocated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Provision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Balance</w:t>
            </w:r>
          </w:p>
        </w:tc>
      </w:tr>
      <w:tr>
        <w:trPr>
          <w:trHeight w:val="216"/>
        </w:trPr>
        <w:tc>
          <w:tcPr>
            <w:tcW w:w="31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7"/>
              </w:rPr>
              <w:t>Owner occupied commercial real estate</w:t>
            </w: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17,265</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(24,965)</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23,559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17,164</w:t>
            </w:r>
          </w:p>
        </w:tc>
        <w:tc>
          <w:tcPr>
            <w:tcW w:w="140" w:type="dxa"/>
            <w:vAlign w:val="bottom"/>
            <w:shd w:val="clear" w:color="auto" w:fill="F0FF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3"/>
              </w:rPr>
              <w:t>Income producing commercial real estate</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10,582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(11,505)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7,174</w:t>
            </w:r>
          </w:p>
        </w:tc>
        <w:tc>
          <w:tcPr>
            <w:tcW w:w="14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5,537</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(18,914)</w:t>
            </w: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1,888</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18,016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6,527</w:t>
            </w:r>
          </w:p>
        </w:tc>
        <w:tc>
          <w:tcPr>
            <w:tcW w:w="140" w:type="dxa"/>
            <w:vAlign w:val="bottom"/>
            <w:shd w:val="clear" w:color="auto" w:fill="F0FF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3,669</w:t>
            </w:r>
          </w:p>
        </w:tc>
        <w:tc>
          <w:tcPr>
            <w:tcW w:w="14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19,117</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(8,840)</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4,558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15,446</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5,528</w:t>
            </w:r>
          </w:p>
        </w:tc>
        <w:tc>
          <w:tcPr>
            <w:tcW w:w="14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26,662</w:t>
            </w: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(23,049)</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8,746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12,532</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Consumer installment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1,353</w:t>
            </w:r>
          </w:p>
        </w:tc>
        <w:tc>
          <w:tcPr>
            <w:tcW w:w="14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1,126</w:t>
            </w:r>
          </w:p>
        </w:tc>
        <w:tc>
          <w:tcPr>
            <w:tcW w:w="140" w:type="dxa"/>
            <w:vAlign w:val="bottom"/>
            <w:shd w:val="clear" w:color="auto" w:fill="F0FF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6,243</w:t>
            </w:r>
          </w:p>
        </w:tc>
        <w:tc>
          <w:tcPr>
            <w:tcW w:w="140" w:type="dxa"/>
            <w:vAlign w:val="bottom"/>
          </w:tcPr>
          <w:p>
            <w:pPr>
              <w:spacing w:after="0"/>
              <w:rPr>
                <w:sz w:val="19"/>
                <w:szCs w:val="19"/>
                <w:color w:val="auto"/>
              </w:rPr>
            </w:pPr>
          </w:p>
        </w:tc>
      </w:tr>
      <w:tr>
        <w:trPr>
          <w:trHeight w:val="216"/>
        </w:trPr>
        <w:tc>
          <w:tcPr>
            <w:tcW w:w="31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Total allowance for loan losses</w:t>
            </w: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(99,654)</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5,944</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63,335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76,762</w:t>
            </w:r>
          </w:p>
        </w:tc>
        <w:tc>
          <w:tcPr>
            <w:tcW w:w="140" w:type="dxa"/>
            <w:vAlign w:val="bottom"/>
            <w:shd w:val="clear" w:color="auto" w:fill="F0FF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Allowance for unfunded commitments</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2,165</w:t>
            </w:r>
          </w:p>
        </w:tc>
        <w:tc>
          <w:tcPr>
            <w:tcW w:w="140" w:type="dxa"/>
            <w:vAlign w:val="bottom"/>
          </w:tcPr>
          <w:p>
            <w:pPr>
              <w:spacing w:after="0"/>
              <w:rPr>
                <w:sz w:val="19"/>
                <w:szCs w:val="19"/>
                <w:color w:val="auto"/>
              </w:rPr>
            </w:pPr>
          </w:p>
        </w:tc>
      </w:tr>
      <w:tr>
        <w:trPr>
          <w:trHeight w:val="257"/>
        </w:trPr>
        <w:tc>
          <w:tcPr>
            <w:tcW w:w="310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22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(99,654)</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5,944</w:t>
            </w:r>
          </w:p>
        </w:tc>
        <w:tc>
          <w:tcPr>
            <w:tcW w:w="220" w:type="dxa"/>
            <w:vAlign w:val="bottom"/>
            <w:tcBorders>
              <w:top w:val="single" w:sz="8" w:color="auto"/>
              <w:bottom w:val="single" w:sz="8" w:color="auto"/>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380" w:type="dxa"/>
            <w:vAlign w:val="bottom"/>
            <w:tcBorders>
              <w:top w:val="single" w:sz="8" w:color="auto"/>
              <w:bottom w:val="single" w:sz="8" w:color="auto"/>
            </w:tcBorders>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65,500</w:t>
            </w:r>
          </w:p>
        </w:tc>
        <w:tc>
          <w:tcPr>
            <w:tcW w:w="260" w:type="dxa"/>
            <w:vAlign w:val="bottom"/>
            <w:tcBorders>
              <w:top w:val="single" w:sz="8" w:color="auto"/>
              <w:bottom w:val="single" w:sz="8" w:color="auto"/>
            </w:tcBorders>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78,927</w:t>
            </w:r>
          </w:p>
        </w:tc>
        <w:tc>
          <w:tcPr>
            <w:tcW w:w="140" w:type="dxa"/>
            <w:vAlign w:val="bottom"/>
            <w:tcBorders>
              <w:bottom w:val="single" w:sz="8" w:color="F0FFFF"/>
            </w:tcBorders>
            <w:shd w:val="clear" w:color="auto" w:fill="F0FF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Allocation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Charge-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2"/>
              </w:rPr>
              <w:t>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Ending</w:t>
            </w:r>
          </w:p>
        </w:tc>
        <w:tc>
          <w:tcPr>
            <w:tcW w:w="220" w:type="dxa"/>
            <w:vAlign w:val="bottom"/>
          </w:tcPr>
          <w:p>
            <w:pPr>
              <w:spacing w:after="0"/>
              <w:rPr>
                <w:sz w:val="18"/>
                <w:szCs w:val="18"/>
                <w:color w:val="auto"/>
              </w:rPr>
            </w:pPr>
          </w:p>
        </w:tc>
      </w:tr>
      <w:tr>
        <w:trPr>
          <w:trHeight w:val="241"/>
        </w:trPr>
        <w:tc>
          <w:tcPr>
            <w:tcW w:w="310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Offs</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Recoveries</w:t>
            </w: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Unallocated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Provision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r>
      <w:tr>
        <w:trPr>
          <w:trHeight w:val="216"/>
        </w:trPr>
        <w:tc>
          <w:tcPr>
            <w:tcW w:w="31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7"/>
              </w:rPr>
              <w:t>Owner occupied commercial real estate</w:t>
            </w: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19,310</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(10,280)</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7,678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17,265</w:t>
            </w:r>
          </w:p>
        </w:tc>
        <w:tc>
          <w:tcPr>
            <w:tcW w:w="140" w:type="dxa"/>
            <w:vAlign w:val="bottom"/>
            <w:shd w:val="clear" w:color="auto" w:fill="F0FF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3"/>
              </w:rPr>
              <w:t>Income producing commercial real estate</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(12,782)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10,582</w:t>
            </w:r>
          </w:p>
        </w:tc>
        <w:tc>
          <w:tcPr>
            <w:tcW w:w="22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5,681</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5,537</w:t>
            </w:r>
          </w:p>
        </w:tc>
        <w:tc>
          <w:tcPr>
            <w:tcW w:w="140" w:type="dxa"/>
            <w:vAlign w:val="bottom"/>
            <w:shd w:val="clear" w:color="auto" w:fill="F0FF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21,386</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(12,885)</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9,941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19,117</w:t>
            </w:r>
          </w:p>
        </w:tc>
        <w:tc>
          <w:tcPr>
            <w:tcW w:w="140" w:type="dxa"/>
            <w:vAlign w:val="bottom"/>
            <w:shd w:val="clear" w:color="auto" w:fill="F0FF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(4,377)</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30,379</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(24,260)</w:t>
            </w: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19,271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26,662</w:t>
            </w:r>
          </w:p>
        </w:tc>
        <w:tc>
          <w:tcPr>
            <w:tcW w:w="2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Consumer installment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31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Total allowance for loan losses</w:t>
            </w: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114,468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(74,633)</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4,802</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62,500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140" w:type="dxa"/>
            <w:vAlign w:val="bottom"/>
            <w:shd w:val="clear" w:color="auto" w:fill="F0FFFF"/>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Allowance for unfunded commitments</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57"/>
        </w:trPr>
        <w:tc>
          <w:tcPr>
            <w:tcW w:w="310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114,468</w:t>
            </w:r>
          </w:p>
        </w:tc>
        <w:tc>
          <w:tcPr>
            <w:tcW w:w="280" w:type="dxa"/>
            <w:vAlign w:val="bottom"/>
            <w:tcBorders>
              <w:top w:val="single" w:sz="8" w:color="auto"/>
              <w:bottom w:val="single" w:sz="8" w:color="auto"/>
            </w:tcBorders>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(74,633)</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4,802</w:t>
            </w:r>
          </w:p>
        </w:tc>
        <w:tc>
          <w:tcPr>
            <w:tcW w:w="220" w:type="dxa"/>
            <w:vAlign w:val="bottom"/>
            <w:tcBorders>
              <w:top w:val="single" w:sz="8" w:color="auto"/>
              <w:bottom w:val="single" w:sz="8" w:color="auto"/>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ind w:left="860"/>
              <w:spacing w:after="0"/>
              <w:rPr>
                <w:sz w:val="20"/>
                <w:szCs w:val="20"/>
                <w:color w:val="auto"/>
              </w:rPr>
            </w:pPr>
            <w:r>
              <w:rPr>
                <w:rFonts w:ascii="Arial" w:cs="Arial" w:eastAsia="Arial" w:hAnsi="Arial"/>
                <w:sz w:val="18"/>
                <w:szCs w:val="18"/>
                <w:color w:val="auto"/>
                <w:w w:val="88"/>
              </w:rPr>
              <w:t>—</w:t>
            </w:r>
          </w:p>
        </w:tc>
        <w:tc>
          <w:tcPr>
            <w:tcW w:w="380" w:type="dxa"/>
            <w:vAlign w:val="bottom"/>
            <w:tcBorders>
              <w:top w:val="single" w:sz="8" w:color="auto"/>
              <w:bottom w:val="single" w:sz="8" w:color="auto"/>
            </w:tcBorders>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62,500</w:t>
            </w:r>
          </w:p>
        </w:tc>
        <w:tc>
          <w:tcPr>
            <w:tcW w:w="260" w:type="dxa"/>
            <w:vAlign w:val="bottom"/>
            <w:tcBorders>
              <w:top w:val="single" w:sz="8" w:color="auto"/>
              <w:bottom w:val="single" w:sz="8" w:color="auto"/>
            </w:tcBorders>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140" w:type="dxa"/>
            <w:vAlign w:val="bottom"/>
            <w:tcBorders>
              <w:bottom w:val="single" w:sz="8" w:color="F0FFFF"/>
            </w:tcBorders>
            <w:shd w:val="clear" w:color="auto" w:fill="F0FFFF"/>
          </w:tcPr>
          <w:p>
            <w:pPr>
              <w:spacing w:after="0"/>
              <w:rPr>
                <w:sz w:val="22"/>
                <w:szCs w:val="22"/>
                <w:color w:val="auto"/>
              </w:rPr>
            </w:pPr>
          </w:p>
        </w:tc>
        <w:tc>
          <w:tcPr>
            <w:tcW w:w="220" w:type="dxa"/>
            <w:vAlign w:val="bottom"/>
          </w:tcPr>
          <w:p>
            <w:pPr>
              <w:spacing w:after="0"/>
              <w:rPr>
                <w:sz w:val="22"/>
                <w:szCs w:val="22"/>
                <w:color w:val="auto"/>
              </w:rPr>
            </w:pPr>
          </w:p>
        </w:tc>
      </w:tr>
      <w:tr>
        <w:trPr>
          <w:trHeight w:val="426"/>
        </w:trPr>
        <w:tc>
          <w:tcPr>
            <w:tcW w:w="3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gridSpan w:val="3"/>
          </w:tcPr>
          <w:p>
            <w:pPr>
              <w:jc w:val="right"/>
              <w:ind w:right="30"/>
              <w:spacing w:after="0"/>
              <w:rPr>
                <w:sz w:val="20"/>
                <w:szCs w:val="20"/>
                <w:color w:val="auto"/>
              </w:rPr>
            </w:pPr>
            <w:r>
              <w:rPr>
                <w:rFonts w:ascii="Arial" w:cs="Arial" w:eastAsia="Arial" w:hAnsi="Arial"/>
                <w:sz w:val="18"/>
                <w:szCs w:val="18"/>
                <w:color w:val="auto"/>
              </w:rPr>
              <w:t>77</w:t>
            </w:r>
          </w:p>
        </w:tc>
        <w:tc>
          <w:tcPr>
            <w:tcW w:w="10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202"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 xml:space="preserve">The following table presents the recorded investment in loans by portfolio segment and the balance of the allowance for loan losses assigned to each segment based on the method of evaluating the loans for impairment as of December 31, 2014 and December 31, 2013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3"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0"/>
              </w:rPr>
              <w:t>Allowance for Loan Losses</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4"/>
              </w:rPr>
              <w:t>December 31, 2014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0"/>
              </w:rPr>
              <w:t>December 31, 2013</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evaluated for</w:t>
            </w:r>
          </w:p>
        </w:tc>
        <w:tc>
          <w:tcPr>
            <w:tcW w:w="20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evaluated for</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evaluated for</w:t>
            </w:r>
          </w:p>
        </w:tc>
        <w:tc>
          <w:tcPr>
            <w:tcW w:w="20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evaluated for</w:t>
            </w: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impairment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impairment</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impairment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impairment</w:t>
            </w: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2,737</w:t>
            </w:r>
          </w:p>
        </w:tc>
        <w:tc>
          <w:tcPr>
            <w:tcW w:w="2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13,304</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1,023</w:t>
            </w:r>
          </w:p>
        </w:tc>
        <w:tc>
          <w:tcPr>
            <w:tcW w:w="2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16,141</w:t>
            </w:r>
          </w:p>
        </w:tc>
        <w:tc>
          <w:tcPr>
            <w:tcW w:w="22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17,164</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Income producing commercial real estate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8,379</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6,184</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3,240</w:t>
            </w: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3,255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6,461</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6,527</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3,557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8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3,227</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17,084</w:t>
            </w: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20,311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2,914</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12,532</w:t>
            </w: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15,446</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4,527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5,523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1,192</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9,411</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10,603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11,844</w:t>
            </w: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12,532</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Consumer installment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8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1,061</w:t>
            </w: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1,126</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Unallocated</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6,243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allowance for loan losses</w:t>
            </w:r>
          </w:p>
        </w:tc>
        <w:tc>
          <w:tcPr>
            <w:tcW w:w="8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9,882</w:t>
            </w:r>
          </w:p>
        </w:tc>
        <w:tc>
          <w:tcPr>
            <w:tcW w:w="2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61,737</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71,619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6,022</w:t>
            </w:r>
          </w:p>
        </w:tc>
        <w:tc>
          <w:tcPr>
            <w:tcW w:w="2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70,740</w:t>
            </w:r>
          </w:p>
        </w:tc>
        <w:tc>
          <w:tcPr>
            <w:tcW w:w="22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76,762</w:t>
            </w:r>
          </w:p>
        </w:tc>
        <w:tc>
          <w:tcPr>
            <w:tcW w:w="12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Allowance for unfunded commitments</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1,930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2,165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08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allowance for credit losses</w:t>
            </w: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9,882</w:t>
            </w: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63,667</w:t>
            </w:r>
          </w:p>
        </w:tc>
        <w:tc>
          <w:tcPr>
            <w:tcW w:w="22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73,549</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6,022</w:t>
            </w: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72,905</w:t>
            </w:r>
          </w:p>
        </w:tc>
        <w:tc>
          <w:tcPr>
            <w:tcW w:w="220" w:type="dxa"/>
            <w:vAlign w:val="bottom"/>
            <w:tcBorders>
              <w:bottom w:val="single" w:sz="8" w:color="F0FFFF"/>
              <w:right w:val="single" w:sz="8" w:color="F0FFFF"/>
            </w:tcBorders>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78,927</w:t>
            </w:r>
          </w:p>
        </w:tc>
        <w:tc>
          <w:tcPr>
            <w:tcW w:w="120" w:type="dxa"/>
            <w:vAlign w:val="bottom"/>
            <w:tcBorders>
              <w:bottom w:val="single" w:sz="8" w:color="F0FFFF"/>
            </w:tcBorders>
            <w:shd w:val="clear" w:color="auto" w:fill="F0FFFF"/>
          </w:tcPr>
          <w:p>
            <w:pPr>
              <w:spacing w:after="0"/>
              <w:rPr>
                <w:sz w:val="22"/>
                <w:szCs w:val="22"/>
                <w:color w:val="auto"/>
              </w:rPr>
            </w:pPr>
          </w:p>
        </w:tc>
      </w:tr>
      <w:tr>
        <w:trPr>
          <w:trHeight w:val="43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Loans Outstanding</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2014</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2013</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evaluated for</w:t>
            </w:r>
          </w:p>
        </w:tc>
        <w:tc>
          <w:tcPr>
            <w:tcW w:w="20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evaluated for</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evaluated for</w:t>
            </w:r>
          </w:p>
        </w:tc>
        <w:tc>
          <w:tcPr>
            <w:tcW w:w="20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evaluated for</w:t>
            </w: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impairment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impairment</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impairment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impairment</w:t>
            </w: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34,654</w:t>
            </w:r>
          </w:p>
        </w:tc>
        <w:tc>
          <w:tcPr>
            <w:tcW w:w="2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1,128,826</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1,163,480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32,969</w:t>
            </w:r>
          </w:p>
        </w:tc>
        <w:tc>
          <w:tcPr>
            <w:tcW w:w="2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1,100,574</w:t>
            </w:r>
          </w:p>
        </w:tc>
        <w:tc>
          <w:tcPr>
            <w:tcW w:w="22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1,133,543</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Income producing commercial real estate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574,053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598,537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595,928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623,167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3,977</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706,279</w:t>
            </w: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710,256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4,217</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467,744</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471,961</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183,709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135,188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148,903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8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18,775</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847,014</w:t>
            </w: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865,789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20,167</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854,910</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875,077</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465,394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465,872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440,382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440,887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11,604</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287,023</w:t>
            </w: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298,627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14,808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313,771</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328,579</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Consumer installment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104,720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110,046</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111,045</w:t>
            </w: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8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268,629</w:t>
            </w: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268,629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196,104</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196,104</w:t>
            </w:r>
          </w:p>
        </w:tc>
        <w:tc>
          <w:tcPr>
            <w:tcW w:w="120" w:type="dxa"/>
            <w:vAlign w:val="bottom"/>
            <w:shd w:val="clear" w:color="auto" w:fill="F0FF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0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F0FFFF"/>
            </w:tcBorders>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F0FFFF"/>
            </w:tcBorders>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106,472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4,565,647</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4,672,119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114,619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4,214,647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4,329,266</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Management considers all loans that are on nonaccrual with a balance of $500,000 or greater and all TDRs to be impaired.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For TDRs less than $500,000, impairment is estimated based on the average impairment of TDRs greater than $500,000 by loan category. For loan types that do not have TDRs greater than $500,000, the average impairment for all TDR loans is used to quantify the amount of required specific reserve.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229"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Each quarter, United’s management prepares an analysis of the allowance for credit losses to determine the appropriate balance that measures and quantifies the amount of probable incurred losses in the loan portfolio.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Management uses eight quarters of historical loss experience weighted toward the most recent four quarters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In previous years, the weighted average was calculated by multiplying each quarter’s annualized historical net charge-off rate by 1 through 8, with 8 representing the most recent quarter and 1 representing the oldest quarter. Management adopted this method of weighting quarterly loss rates to capture the rapidly deteriorating credit conditions in its loss factors during the financial crisis. Now that credit conditions have begun to stabilize, management concluded in the first quarter of 2014 that it was appropriate to apply a more level weighting moving forward to capture the full range and impacts of credit losses experienced during the most recent economic and credit cycle. For the four most recent quarters, management applied a weighting factor of 1.75. For the four oldest quarters, management applied a weighting of 1.00 for each quarterly loss factor. Management believes the current weightings are more appropriate to measure the probable losses incurred within the loan portfolio.</w:t>
      </w:r>
    </w:p>
    <w:p>
      <w:pPr>
        <w:spacing w:after="0" w:line="18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Also, beginning in the first quarter of 2014, management updated its measurement of the loss emergence period in the calculation of the allowance for credit losses. The rapidly deteriorating credit conditions during the peak of the credit cycle shortened the length of time between management’s estimation of the incurrence of a loss and its recognition as a charge-off. In most cases, the loss emergence period was within a twelve month period which made the use of annualized loss factors appropriate for measuring the amount of incurred yet unconfirmed credit losses within the loan portfolio. As United has moved out beyond the peak of the financial crisis, management has observed that the loss emergence period has extended. Management calculates the loss emergence period for each pool of loans based on the average length of time between the date a loan first exceeds 30 days past due and the date the loan is charged off.</w:t>
      </w:r>
    </w:p>
    <w:p>
      <w:pPr>
        <w:spacing w:after="0" w:line="18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updates to the weightings to the eight quarters of loss history and the update to our estimation of the loss emergence period did not have a material effect on the total allowance for loan losses or the provision for loan losses for 2014. These updates resulted in the full allocation of the previously unallocated portion of the allowance for loan losses.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that the loan be charged off. Full or partial charge-offs may also be recommended by the Collections Department, the Special Assets Department and the Foreclosure/OREO Department. Nonaccrual real estate loans that are collateral dependent are generally charged down to 80% of the appraised value of the underlying collateral at the time they are placed on nonaccrual status.</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 committee consisting of the Chief Credit Officer, Senior Risk Officer and the Senior Credit Officers meets monthly to review charge-offs that have occurred during the previous month.</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unless the loan is well secured and in process of collection (within the next 90 days). Open-end (revolving) retail loans which are past due 90 cumulative days from their contractual due date are generally charged off.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2013, management executed a plan to accelerate the disposition of classified assets including performing classified loans, nonperforming loans and foreclosed properties. The purpose of the accelerated classified asset disposition plan was to resolve legacy credit problems remaining from the recent financial crisis and to accelerate the improvement of United’s credit measures toward pre-crisis levels. The classified asset sales included individual note and foreclosed property sales and a large bulk sale of classified assets to a single investor. The bulk sale included performing and nonperforming classified loans and foreclosed properties. The assets were divided into four separate pools that were bid for separately by potential buyers. A single purchaser was the high bidder for each of the four pools.</w:t>
      </w:r>
    </w:p>
    <w:p>
      <w:pPr>
        <w:spacing w:after="0" w:line="193"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 xml:space="preserve">The table below shows the allocation among impaired loans, loans that were not considered impaired and foreclosed properties, including United’s recorded investment in those assets, the sales proceeds and the resulting net charge-offs of assets sold in the bulk sale transaction </w:t>
      </w:r>
      <w:r>
        <w:rPr>
          <w:rFonts w:ascii="Arial" w:cs="Arial" w:eastAsia="Arial" w:hAnsi="Arial"/>
          <w:sz w:val="17"/>
          <w:szCs w:val="17"/>
          <w:i w:val="1"/>
          <w:iCs w:val="1"/>
          <w:color w:val="auto"/>
        </w:rPr>
        <w:t>(in thousands).</w:t>
      </w:r>
    </w:p>
    <w:p>
      <w:pPr>
        <w:spacing w:after="0" w:line="14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Net Sales</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Net</w:t>
            </w:r>
          </w:p>
        </w:tc>
      </w:t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Proceeds</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Charge-Off</w:t>
            </w:r>
          </w:p>
        </w:tc>
      </w:tr>
      <w:tr>
        <w:trPr>
          <w:trHeight w:val="216"/>
        </w:trPr>
        <w:tc>
          <w:tcPr>
            <w:tcW w:w="20" w:type="dxa"/>
            <w:vAlign w:val="bottom"/>
          </w:tcPr>
          <w:p>
            <w:pPr>
              <w:spacing w:after="0"/>
              <w:rPr>
                <w:sz w:val="18"/>
                <w:szCs w:val="18"/>
                <w:color w:val="auto"/>
              </w:rPr>
            </w:pPr>
          </w:p>
        </w:tc>
        <w:tc>
          <w:tcPr>
            <w:tcW w:w="2720" w:type="dxa"/>
            <w:vAlign w:val="bottom"/>
            <w:shd w:val="clear" w:color="auto" w:fill="F0FFFF"/>
          </w:tcPr>
          <w:p>
            <w:pPr>
              <w:spacing w:after="0"/>
              <w:rPr>
                <w:sz w:val="20"/>
                <w:szCs w:val="20"/>
                <w:color w:val="auto"/>
              </w:rPr>
            </w:pPr>
            <w:r>
              <w:rPr>
                <w:rFonts w:ascii="Arial" w:cs="Arial" w:eastAsia="Arial" w:hAnsi="Arial"/>
                <w:sz w:val="18"/>
                <w:szCs w:val="18"/>
                <w:color w:val="auto"/>
              </w:rPr>
              <w:t>Loans considered impaired</w:t>
            </w: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96,829</w:t>
            </w:r>
          </w:p>
        </w:tc>
        <w:tc>
          <w:tcPr>
            <w:tcW w:w="2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56,298</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(40,531)</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Loans not considered impaired</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15,227</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(10,460)</w:t>
            </w:r>
          </w:p>
        </w:tc>
      </w:tr>
      <w:tr>
        <w:trPr>
          <w:trHeight w:val="216"/>
        </w:trPr>
        <w:tc>
          <w:tcPr>
            <w:tcW w:w="20" w:type="dxa"/>
            <w:vAlign w:val="bottom"/>
          </w:tcPr>
          <w:p>
            <w:pPr>
              <w:spacing w:after="0"/>
              <w:rPr>
                <w:sz w:val="18"/>
                <w:szCs w:val="18"/>
                <w:color w:val="auto"/>
              </w:rPr>
            </w:pPr>
          </w:p>
        </w:tc>
        <w:tc>
          <w:tcPr>
            <w:tcW w:w="2720" w:type="dxa"/>
            <w:vAlign w:val="bottom"/>
            <w:shd w:val="clear" w:color="auto" w:fill="F0FFFF"/>
          </w:tcPr>
          <w:p>
            <w:pPr>
              <w:spacing w:after="0"/>
              <w:rPr>
                <w:sz w:val="20"/>
                <w:szCs w:val="20"/>
                <w:color w:val="auto"/>
              </w:rPr>
            </w:pPr>
            <w:r>
              <w:rPr>
                <w:rFonts w:ascii="Arial" w:cs="Arial" w:eastAsia="Arial" w:hAnsi="Arial"/>
                <w:sz w:val="18"/>
                <w:szCs w:val="18"/>
                <w:color w:val="auto"/>
              </w:rPr>
              <w:t>Foreclosed properties</w:t>
            </w: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8,398</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5,933</w:t>
            </w: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(2,465)</w:t>
            </w:r>
          </w:p>
        </w:tc>
      </w:tr>
      <w:tr>
        <w:trPr>
          <w:trHeight w:val="27"/>
        </w:trPr>
        <w:tc>
          <w:tcPr>
            <w:tcW w:w="20" w:type="dxa"/>
            <w:vAlign w:val="bottom"/>
          </w:tcPr>
          <w:p>
            <w:pPr>
              <w:spacing w:after="0"/>
              <w:rPr>
                <w:sz w:val="2"/>
                <w:szCs w:val="2"/>
                <w:color w:val="auto"/>
              </w:rPr>
            </w:pPr>
          </w:p>
        </w:tc>
        <w:tc>
          <w:tcPr>
            <w:tcW w:w="27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Total assets sold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130,914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77,458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(53,456)</w:t>
            </w: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loans considered impaired in the table above were assigned specific reserves of $6.86 million in the most recent analysis of the allowance for loan losses prior to the sale. Because the assets were sold at liquidation prices in a bulk transaction with no recourse, the sales price was generally lower than the appraised value of the foreclosed properties and loan collateral. Although the classified asset sales increased charge-offs during the second quarter of 2013, they accomplished management’s goal of moving classified asset levels toward the pre-crisis range.</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 xml:space="preserve">In the ordinary course of business, the Bank grants loans to executive officers, and directors of the holding company and the Bank, including their immediate families and companies with which they are associated. Management believes that such loans are made on substantially the same terms, including interest rate and collateral, as those prevailing at the time for comparable transactions with other customers. The following is a summary of such loans outstanding and the activity in these loans for the year ended December 31,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ectPr>
          <w:pgSz w:w="11900" w:h="16838" w:orient="portrait"/>
          <w:cols w:equalWidth="0" w:num="1">
            <w:col w:w="11420"/>
          </w:cols>
          <w:pgMar w:left="240" w:top="675" w:right="239" w:bottom="1440" w:gutter="0" w:footer="0" w:header="0"/>
        </w:sectPr>
      </w:pPr>
    </w:p>
    <w:p>
      <w:pPr>
        <w:spacing w:after="0" w:line="171" w:lineRule="exact"/>
        <w:rPr>
          <w:sz w:val="20"/>
          <w:szCs w:val="20"/>
          <w:color w:val="auto"/>
        </w:rPr>
      </w:pPr>
    </w:p>
    <w:p>
      <w:pPr>
        <w:ind w:right="1391"/>
        <w:spacing w:after="0" w:line="260" w:lineRule="auto"/>
        <w:rPr>
          <w:sz w:val="20"/>
          <w:szCs w:val="20"/>
          <w:color w:val="auto"/>
        </w:rPr>
      </w:pPr>
      <w:r>
        <w:rPr>
          <w:rFonts w:ascii="Arial" w:cs="Arial" w:eastAsia="Arial" w:hAnsi="Arial"/>
          <w:sz w:val="18"/>
          <w:szCs w:val="18"/>
          <w:color w:val="auto"/>
        </w:rPr>
        <w:t>Balances at December 31, 2013 New loans and advances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361886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361886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Balances at December 31, 2014</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749" w:hanging="749"/>
        <w:spacing w:after="0"/>
        <w:tabs>
          <w:tab w:leader="none" w:pos="7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2,898</w:t>
      </w:r>
    </w:p>
    <w:p>
      <w:pPr>
        <w:spacing w:after="0" w:line="23" w:lineRule="exact"/>
        <w:rPr>
          <w:rFonts w:ascii="Arial" w:cs="Arial" w:eastAsia="Arial" w:hAnsi="Arial"/>
          <w:sz w:val="18"/>
          <w:szCs w:val="18"/>
          <w:color w:val="auto"/>
        </w:rPr>
      </w:pPr>
    </w:p>
    <w:p>
      <w:pPr>
        <w:ind w:left="889"/>
        <w:spacing w:after="0"/>
        <w:rPr>
          <w:rFonts w:ascii="Arial" w:cs="Arial" w:eastAsia="Arial" w:hAnsi="Arial"/>
          <w:sz w:val="18"/>
          <w:szCs w:val="18"/>
          <w:color w:val="auto"/>
        </w:rPr>
      </w:pPr>
      <w:r>
        <w:rPr>
          <w:rFonts w:ascii="Arial" w:cs="Arial" w:eastAsia="Arial" w:hAnsi="Arial"/>
          <w:sz w:val="18"/>
          <w:szCs w:val="18"/>
          <w:color w:val="auto"/>
        </w:rPr>
        <w:t>400</w:t>
      </w:r>
    </w:p>
    <w:p>
      <w:pPr>
        <w:spacing w:after="0" w:line="9" w:lineRule="exact"/>
        <w:rPr>
          <w:rFonts w:ascii="Arial" w:cs="Arial" w:eastAsia="Arial" w:hAnsi="Arial"/>
          <w:sz w:val="18"/>
          <w:szCs w:val="18"/>
          <w:color w:val="auto"/>
        </w:rPr>
      </w:pPr>
    </w:p>
    <w:p>
      <w:pPr>
        <w:ind w:left="929"/>
        <w:spacing w:after="0"/>
        <w:rPr>
          <w:rFonts w:ascii="Arial" w:cs="Arial" w:eastAsia="Arial" w:hAnsi="Arial"/>
          <w:sz w:val="18"/>
          <w:szCs w:val="18"/>
          <w:color w:val="auto"/>
        </w:rPr>
      </w:pPr>
      <w:r>
        <w:rPr>
          <w:rFonts w:ascii="Arial" w:cs="Arial" w:eastAsia="Arial" w:hAnsi="Arial"/>
          <w:sz w:val="16"/>
          <w:szCs w:val="16"/>
          <w:color w:val="auto"/>
        </w:rPr>
        <w:t>(94)</w:t>
      </w:r>
    </w:p>
    <w:p>
      <w:pPr>
        <w:spacing w:after="0" w:line="45" w:lineRule="exact"/>
        <w:rPr>
          <w:sz w:val="20"/>
          <w:szCs w:val="20"/>
          <w:color w:val="auto"/>
        </w:rPr>
      </w:pPr>
    </w:p>
    <w:p>
      <w:pPr>
        <w:ind w:left="749" w:hanging="749"/>
        <w:spacing w:after="0"/>
        <w:tabs>
          <w:tab w:leader="none" w:pos="7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3,204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372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91" w:space="720"/>
            <w:col w:w="7009"/>
          </w:cols>
          <w:pgMar w:left="240" w:top="675" w:right="239" w:bottom="1440" w:gutter="0" w:footer="0" w:header="0"/>
          <w:type w:val="continuous"/>
        </w:sectPr>
      </w:pPr>
    </w:p>
    <w:p>
      <w:pPr>
        <w:spacing w:after="0" w:line="79"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is presented below for the last three years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1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Cash Basis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Revenue</w:t>
            </w: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Cash Basis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Cash Basis</w:t>
            </w:r>
          </w:p>
        </w:tc>
      </w:tr>
      <w:tr>
        <w:trPr>
          <w:trHeight w:val="216"/>
        </w:trPr>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Recognized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Recognized</w:t>
            </w:r>
          </w:p>
        </w:tc>
        <w:tc>
          <w:tcPr>
            <w:tcW w:w="10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Recognized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During</w:t>
            </w:r>
          </w:p>
        </w:tc>
        <w:tc>
          <w:tcPr>
            <w:tcW w:w="10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During</w:t>
            </w: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During</w:t>
            </w:r>
          </w:p>
        </w:tc>
        <w:tc>
          <w:tcPr>
            <w:tcW w:w="10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Revenue</w:t>
            </w:r>
          </w:p>
        </w:tc>
      </w:tr>
      <w:tr>
        <w:trPr>
          <w:trHeight w:val="241"/>
        </w:trPr>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Balance</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Impairment</w:t>
            </w:r>
          </w:p>
        </w:tc>
        <w:tc>
          <w:tcPr>
            <w:tcW w:w="100" w:type="dxa"/>
            <w:vAlign w:val="bottom"/>
          </w:tcPr>
          <w:p>
            <w:pPr>
              <w:spacing w:after="0"/>
              <w:rPr>
                <w:sz w:val="20"/>
                <w:szCs w:val="20"/>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Received</w:t>
            </w:r>
          </w:p>
        </w:tc>
        <w:tc>
          <w:tcPr>
            <w:tcW w:w="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Balance</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Impairment</w:t>
            </w: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Received</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w:t>
            </w:r>
          </w:p>
        </w:tc>
        <w:tc>
          <w:tcPr>
            <w:tcW w:w="1140" w:type="dxa"/>
            <w:vAlign w:val="bottom"/>
            <w:gridSpan w:val="4"/>
          </w:tcPr>
          <w:p>
            <w:pPr>
              <w:ind w:left="120"/>
              <w:spacing w:after="0"/>
              <w:rPr>
                <w:sz w:val="20"/>
                <w:szCs w:val="20"/>
                <w:color w:val="auto"/>
              </w:rPr>
            </w:pPr>
            <w:r>
              <w:rPr>
                <w:rFonts w:ascii="Arial" w:cs="Arial" w:eastAsia="Arial" w:hAnsi="Arial"/>
                <w:sz w:val="18"/>
                <w:szCs w:val="18"/>
                <w:b w:val="1"/>
                <w:bCs w:val="1"/>
                <w:color w:val="auto"/>
              </w:rPr>
              <w:t>Impairment</w:t>
            </w:r>
          </w:p>
        </w:tc>
        <w:tc>
          <w:tcPr>
            <w:tcW w:w="100" w:type="dxa"/>
            <w:vAlign w:val="bottom"/>
          </w:tcPr>
          <w:p>
            <w:pPr>
              <w:spacing w:after="0"/>
              <w:rPr>
                <w:sz w:val="20"/>
                <w:szCs w:val="2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Received</w:t>
            </w:r>
          </w:p>
        </w:tc>
      </w:tr>
      <w:tr>
        <w:trPr>
          <w:trHeight w:val="202"/>
        </w:trPr>
        <w:tc>
          <w:tcPr>
            <w:tcW w:w="240" w:type="dxa"/>
            <w:vAlign w:val="bottom"/>
          </w:tcPr>
          <w:p>
            <w:pPr>
              <w:spacing w:after="0"/>
              <w:rPr>
                <w:sz w:val="17"/>
                <w:szCs w:val="17"/>
                <w:color w:val="auto"/>
              </w:rPr>
            </w:pPr>
          </w:p>
        </w:tc>
        <w:tc>
          <w:tcPr>
            <w:tcW w:w="19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Owner occupied</w:t>
            </w:r>
          </w:p>
        </w:tc>
        <w:tc>
          <w:tcPr>
            <w:tcW w:w="10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58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30"/>
        </w:trPr>
        <w:tc>
          <w:tcPr>
            <w:tcW w:w="240" w:type="dxa"/>
            <w:vAlign w:val="bottom"/>
          </w:tcPr>
          <w:p>
            <w:pPr>
              <w:spacing w:after="0"/>
              <w:rPr>
                <w:sz w:val="20"/>
                <w:szCs w:val="20"/>
                <w:color w:val="auto"/>
              </w:rPr>
            </w:pPr>
          </w:p>
        </w:tc>
        <w:tc>
          <w:tcPr>
            <w:tcW w:w="192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6"/>
              </w:rPr>
              <w:t>commercial real estate</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32,748</w:t>
            </w:r>
          </w:p>
        </w:tc>
        <w:tc>
          <w:tcPr>
            <w:tcW w:w="2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1,647</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1,712</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31,935</w:t>
            </w:r>
          </w:p>
        </w:tc>
        <w:tc>
          <w:tcPr>
            <w:tcW w:w="120" w:type="dxa"/>
            <w:vAlign w:val="bottom"/>
            <w:shd w:val="clear" w:color="auto" w:fill="F0FF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2,044</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56,374</w:t>
            </w:r>
          </w:p>
        </w:tc>
        <w:tc>
          <w:tcPr>
            <w:tcW w:w="22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2,773</w:t>
            </w:r>
          </w:p>
        </w:tc>
      </w:tr>
      <w:tr>
        <w:trPr>
          <w:trHeight w:val="202"/>
        </w:trPr>
        <w:tc>
          <w:tcPr>
            <w:tcW w:w="240" w:type="dxa"/>
            <w:vAlign w:val="bottom"/>
          </w:tcPr>
          <w:p>
            <w:pPr>
              <w:spacing w:after="0"/>
              <w:rPr>
                <w:sz w:val="17"/>
                <w:szCs w:val="17"/>
                <w:color w:val="auto"/>
              </w:rPr>
            </w:pP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Income producing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0" w:type="dxa"/>
            <w:vAlign w:val="bottom"/>
          </w:tcPr>
          <w:p>
            <w:pPr>
              <w:spacing w:after="0"/>
              <w:rPr>
                <w:sz w:val="20"/>
                <w:szCs w:val="20"/>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w w:val="96"/>
              </w:rPr>
              <w:t>commercial real estate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27,789</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58,182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r>
      <w:tr>
        <w:trPr>
          <w:trHeight w:val="216"/>
        </w:trPr>
        <w:tc>
          <w:tcPr>
            <w:tcW w:w="240" w:type="dxa"/>
            <w:vAlign w:val="bottom"/>
          </w:tcPr>
          <w:p>
            <w:pPr>
              <w:spacing w:after="0"/>
              <w:rPr>
                <w:sz w:val="18"/>
                <w:szCs w:val="18"/>
                <w:color w:val="auto"/>
              </w:rPr>
            </w:pPr>
          </w:p>
        </w:tc>
        <w:tc>
          <w:tcPr>
            <w:tcW w:w="1920" w:type="dxa"/>
            <w:vAlign w:val="bottom"/>
            <w:shd w:val="clear" w:color="auto" w:fill="F0FFFF"/>
          </w:tcPr>
          <w:p>
            <w:pPr>
              <w:spacing w:after="0"/>
              <w:rPr>
                <w:sz w:val="20"/>
                <w:szCs w:val="20"/>
                <w:color w:val="auto"/>
              </w:rPr>
            </w:pPr>
            <w:r>
              <w:rPr>
                <w:rFonts w:ascii="Arial" w:cs="Arial" w:eastAsia="Arial" w:hAnsi="Arial"/>
                <w:sz w:val="18"/>
                <w:szCs w:val="18"/>
                <w:color w:val="auto"/>
                <w:w w:val="99"/>
              </w:rPr>
              <w:t>Commercial &amp; industrial</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4,290</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4,609</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45,233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2,523</w:t>
            </w:r>
          </w:p>
        </w:tc>
      </w:tr>
      <w:tr>
        <w:trPr>
          <w:trHeight w:val="223"/>
        </w:trPr>
        <w:tc>
          <w:tcPr>
            <w:tcW w:w="24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5"/>
              </w:rPr>
              <w:t>Commercial construction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13,946</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45,489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240" w:type="dxa"/>
            <w:vAlign w:val="bottom"/>
          </w:tcPr>
          <w:p>
            <w:pPr>
              <w:spacing w:after="0"/>
              <w:rPr>
                <w:sz w:val="18"/>
                <w:szCs w:val="18"/>
                <w:color w:val="auto"/>
              </w:rPr>
            </w:pPr>
          </w:p>
        </w:tc>
        <w:tc>
          <w:tcPr>
            <w:tcW w:w="19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75,114</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3,712</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78,279</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4,587</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5,392</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205,278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6,920</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9,061</w:t>
            </w:r>
          </w:p>
        </w:tc>
        <w:tc>
          <w:tcPr>
            <w:tcW w:w="100" w:type="dxa"/>
            <w:vAlign w:val="bottom"/>
            <w:shd w:val="clear" w:color="auto" w:fill="F0FF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20,906</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22,923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r>
      <w:tr>
        <w:trPr>
          <w:trHeight w:val="202"/>
        </w:trPr>
        <w:tc>
          <w:tcPr>
            <w:tcW w:w="240" w:type="dxa"/>
            <w:vAlign w:val="bottom"/>
          </w:tcPr>
          <w:p>
            <w:pPr>
              <w:spacing w:after="0"/>
              <w:rPr>
                <w:sz w:val="17"/>
                <w:szCs w:val="17"/>
                <w:color w:val="auto"/>
              </w:rPr>
            </w:pPr>
          </w:p>
        </w:tc>
        <w:tc>
          <w:tcPr>
            <w:tcW w:w="19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Home equity lines of</w:t>
            </w: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30"/>
        </w:trPr>
        <w:tc>
          <w:tcPr>
            <w:tcW w:w="240" w:type="dxa"/>
            <w:vAlign w:val="bottom"/>
          </w:tcPr>
          <w:p>
            <w:pPr>
              <w:spacing w:after="0"/>
              <w:rPr>
                <w:sz w:val="20"/>
                <w:szCs w:val="20"/>
                <w:color w:val="auto"/>
              </w:rPr>
            </w:pPr>
          </w:p>
        </w:tc>
        <w:tc>
          <w:tcPr>
            <w:tcW w:w="1920" w:type="dxa"/>
            <w:vAlign w:val="bottom"/>
            <w:shd w:val="clear" w:color="auto" w:fill="F0FFFF"/>
          </w:tcPr>
          <w:p>
            <w:pPr>
              <w:spacing w:after="0"/>
              <w:rPr>
                <w:sz w:val="20"/>
                <w:szCs w:val="20"/>
                <w:color w:val="auto"/>
              </w:rPr>
            </w:pPr>
            <w:r>
              <w:rPr>
                <w:rFonts w:ascii="Arial" w:cs="Arial" w:eastAsia="Arial" w:hAnsi="Arial"/>
                <w:sz w:val="18"/>
                <w:szCs w:val="18"/>
                <w:color w:val="auto"/>
              </w:rPr>
              <w:t>credit</w:t>
            </w: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F0FFFF"/>
          </w:tcPr>
          <w:p>
            <w:pPr>
              <w:spacing w:after="0"/>
              <w:rPr>
                <w:sz w:val="20"/>
                <w:szCs w:val="20"/>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2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9"/>
              </w:rPr>
              <w:t>Residential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14,558</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240" w:type="dxa"/>
            <w:vAlign w:val="bottom"/>
          </w:tcPr>
          <w:p>
            <w:pPr>
              <w:spacing w:after="0"/>
              <w:rPr>
                <w:sz w:val="18"/>
                <w:szCs w:val="18"/>
                <w:color w:val="auto"/>
              </w:rPr>
            </w:pPr>
          </w:p>
        </w:tc>
        <w:tc>
          <w:tcPr>
            <w:tcW w:w="192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w:t>
            </w:r>
          </w:p>
        </w:tc>
      </w:tr>
      <w:tr>
        <w:trPr>
          <w:trHeight w:val="223"/>
        </w:trPr>
        <w:tc>
          <w:tcPr>
            <w:tcW w:w="24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40" w:type="dxa"/>
            <w:vAlign w:val="bottom"/>
          </w:tcPr>
          <w:p>
            <w:pPr>
              <w:spacing w:after="0"/>
              <w:rPr>
                <w:sz w:val="22"/>
                <w:szCs w:val="22"/>
                <w:color w:val="auto"/>
              </w:rPr>
            </w:pPr>
          </w:p>
        </w:tc>
        <w:tc>
          <w:tcPr>
            <w:tcW w:w="19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109,127</w:t>
            </w:r>
          </w:p>
        </w:tc>
        <w:tc>
          <w:tcPr>
            <w:tcW w:w="2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5,200</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114,633</w:t>
            </w:r>
          </w:p>
        </w:tc>
        <w:tc>
          <w:tcPr>
            <w:tcW w:w="2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6,715</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7,524</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276,178</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9,531</w:t>
            </w: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12,332</w:t>
            </w:r>
          </w:p>
        </w:tc>
        <w:tc>
          <w:tcPr>
            <w:tcW w:w="100" w:type="dxa"/>
            <w:vAlign w:val="bottom"/>
            <w:tcBorders>
              <w:bottom w:val="single" w:sz="8" w:color="F0FFFF"/>
            </w:tcBorders>
            <w:shd w:val="clear" w:color="auto" w:fill="F0FFFF"/>
          </w:tcPr>
          <w:p>
            <w:pPr>
              <w:spacing w:after="0"/>
              <w:rPr>
                <w:sz w:val="22"/>
                <w:szCs w:val="22"/>
                <w:color w:val="auto"/>
              </w:rPr>
            </w:pPr>
          </w:p>
        </w:tc>
      </w:tr>
      <w:tr>
        <w:trPr>
          <w:trHeight w:val="642"/>
        </w:trPr>
        <w:tc>
          <w:tcPr>
            <w:tcW w:w="240" w:type="dxa"/>
            <w:vAlign w:val="bottom"/>
            <w:tcBorders>
              <w:bottom w:val="single" w:sz="8" w:color="DCDCDC"/>
            </w:tcBorders>
          </w:tcPr>
          <w:p>
            <w:pPr>
              <w:spacing w:after="0"/>
              <w:rPr>
                <w:sz w:val="24"/>
                <w:szCs w:val="24"/>
                <w:color w:val="auto"/>
              </w:rPr>
            </w:pPr>
          </w:p>
        </w:tc>
        <w:tc>
          <w:tcPr>
            <w:tcW w:w="1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jc w:val="center"/>
              <w:spacing w:after="0"/>
              <w:rPr>
                <w:sz w:val="20"/>
                <w:szCs w:val="20"/>
                <w:color w:val="auto"/>
              </w:rPr>
            </w:pPr>
            <w:r>
              <w:rPr>
                <w:rFonts w:ascii="Arial" w:cs="Arial" w:eastAsia="Arial" w:hAnsi="Arial"/>
                <w:sz w:val="18"/>
                <w:szCs w:val="18"/>
                <w:color w:val="auto"/>
                <w:w w:val="89"/>
              </w:rPr>
              <w:t>80</w:t>
            </w: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loans individually evaluated for impairment by class of loans as of December 31, 2014 and 2013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2013</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Unpaid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Loan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Unpaid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Principal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Principal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Allocated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Allocated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F0FFFF"/>
          </w:tcPr>
          <w:p>
            <w:pPr>
              <w:ind w:left="140"/>
              <w:spacing w:after="0" w:line="201" w:lineRule="exact"/>
              <w:rPr>
                <w:sz w:val="20"/>
                <w:szCs w:val="20"/>
                <w:color w:val="auto"/>
              </w:rPr>
            </w:pPr>
            <w:r>
              <w:rPr>
                <w:rFonts w:ascii="Arial" w:cs="Arial" w:eastAsia="Arial" w:hAnsi="Arial"/>
                <w:sz w:val="18"/>
                <w:szCs w:val="18"/>
                <w:color w:val="auto"/>
              </w:rPr>
              <w:t>Owner occupied commercial real</w:t>
            </w: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estate</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12,025</w:t>
            </w:r>
          </w:p>
        </w:tc>
        <w:tc>
          <w:tcPr>
            <w:tcW w:w="3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11,325</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17,717</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14,458</w:t>
            </w:r>
          </w:p>
        </w:tc>
        <w:tc>
          <w:tcPr>
            <w:tcW w:w="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40"/>
              <w:spacing w:after="0" w:line="201" w:lineRule="exact"/>
              <w:rPr>
                <w:sz w:val="20"/>
                <w:szCs w:val="20"/>
                <w:color w:val="auto"/>
              </w:rPr>
            </w:pPr>
            <w:r>
              <w:rPr>
                <w:rFonts w:ascii="Arial" w:cs="Arial" w:eastAsia="Arial" w:hAnsi="Arial"/>
                <w:sz w:val="18"/>
                <w:szCs w:val="18"/>
                <w:color w:val="auto"/>
              </w:rPr>
              <w:t>Income producing commercial real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estate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8,311</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12,644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9,747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2,252</w:t>
            </w: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2,252</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300"/>
              <w:spacing w:after="0"/>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22,015</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20,678</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33,587</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27,431</w:t>
            </w: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Home equity lines of credit</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7,807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Consumer installment</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F0FFFF"/>
          </w:tcPr>
          <w:p>
            <w:pPr>
              <w:ind w:left="300"/>
              <w:spacing w:after="0" w:line="201" w:lineRule="exact"/>
              <w:rPr>
                <w:sz w:val="20"/>
                <w:szCs w:val="20"/>
                <w:color w:val="auto"/>
              </w:rPr>
            </w:pPr>
            <w:r>
              <w:rPr>
                <w:rFonts w:ascii="Arial" w:cs="Arial" w:eastAsia="Arial" w:hAnsi="Arial"/>
                <w:sz w:val="18"/>
                <w:szCs w:val="18"/>
                <w:color w:val="auto"/>
              </w:rPr>
              <w:t>Total with no related allowance</w:t>
            </w: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shd w:val="clear" w:color="auto" w:fill="F0FFFF"/>
          </w:tcPr>
          <w:p>
            <w:pPr>
              <w:ind w:left="460"/>
              <w:spacing w:after="0"/>
              <w:rPr>
                <w:sz w:val="20"/>
                <w:szCs w:val="20"/>
                <w:color w:val="auto"/>
              </w:rPr>
            </w:pPr>
            <w:r>
              <w:rPr>
                <w:rFonts w:ascii="Arial" w:cs="Arial" w:eastAsia="Arial" w:hAnsi="Arial"/>
                <w:sz w:val="18"/>
                <w:szCs w:val="18"/>
                <w:color w:val="auto"/>
              </w:rPr>
              <w:t>recorded</w:t>
            </w:r>
          </w:p>
        </w:tc>
        <w:tc>
          <w:tcPr>
            <w:tcW w:w="140" w:type="dxa"/>
            <w:vAlign w:val="bottom"/>
            <w:shd w:val="clear" w:color="auto" w:fill="F0FFFF"/>
          </w:tcPr>
          <w:p>
            <w:pPr>
              <w:spacing w:after="0"/>
              <w:rPr>
                <w:sz w:val="20"/>
                <w:szCs w:val="20"/>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28,922</w:t>
            </w:r>
          </w:p>
        </w:tc>
        <w:tc>
          <w:tcPr>
            <w:tcW w:w="2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25,488</w:t>
            </w: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47,545</w:t>
            </w:r>
          </w:p>
        </w:tc>
        <w:tc>
          <w:tcPr>
            <w:tcW w:w="1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38,872</w:t>
            </w:r>
          </w:p>
        </w:tc>
        <w:tc>
          <w:tcPr>
            <w:tcW w:w="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With an allowance recorded:</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F0FFFF"/>
          </w:tcPr>
          <w:p>
            <w:pPr>
              <w:ind w:left="140"/>
              <w:spacing w:after="0" w:line="201" w:lineRule="exact"/>
              <w:rPr>
                <w:sz w:val="20"/>
                <w:szCs w:val="20"/>
                <w:color w:val="auto"/>
              </w:rPr>
            </w:pPr>
            <w:r>
              <w:rPr>
                <w:rFonts w:ascii="Arial" w:cs="Arial" w:eastAsia="Arial" w:hAnsi="Arial"/>
                <w:sz w:val="18"/>
                <w:szCs w:val="18"/>
                <w:color w:val="auto"/>
              </w:rPr>
              <w:t>Owner occupied commercial real</w:t>
            </w: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estate</w:t>
            </w:r>
          </w:p>
        </w:tc>
        <w:tc>
          <w:tcPr>
            <w:tcW w:w="140" w:type="dxa"/>
            <w:vAlign w:val="bottom"/>
            <w:shd w:val="clear" w:color="auto" w:fill="F0FFFF"/>
          </w:tcPr>
          <w:p>
            <w:pPr>
              <w:spacing w:after="0"/>
              <w:rPr>
                <w:sz w:val="20"/>
                <w:szCs w:val="20"/>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24,728</w:t>
            </w:r>
          </w:p>
        </w:tc>
        <w:tc>
          <w:tcPr>
            <w:tcW w:w="2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23,329</w:t>
            </w:r>
          </w:p>
        </w:tc>
        <w:tc>
          <w:tcPr>
            <w:tcW w:w="120" w:type="dxa"/>
            <w:vAlign w:val="bottom"/>
            <w:shd w:val="clear" w:color="auto" w:fill="F0FFFF"/>
          </w:tcPr>
          <w:p>
            <w:pPr>
              <w:spacing w:after="0"/>
              <w:rPr>
                <w:sz w:val="20"/>
                <w:szCs w:val="20"/>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18,595</w:t>
            </w:r>
          </w:p>
        </w:tc>
        <w:tc>
          <w:tcPr>
            <w:tcW w:w="1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18,513</w:t>
            </w:r>
          </w:p>
        </w:tc>
        <w:tc>
          <w:tcPr>
            <w:tcW w:w="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140"/>
              <w:spacing w:after="0" w:line="201" w:lineRule="exact"/>
              <w:rPr>
                <w:sz w:val="20"/>
                <w:szCs w:val="20"/>
                <w:color w:val="auto"/>
              </w:rPr>
            </w:pPr>
            <w:r>
              <w:rPr>
                <w:rFonts w:ascii="Arial" w:cs="Arial" w:eastAsia="Arial" w:hAnsi="Arial"/>
                <w:sz w:val="18"/>
                <w:szCs w:val="18"/>
                <w:color w:val="auto"/>
              </w:rPr>
              <w:t>Income producing commercial real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estate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16,173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17,490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17,490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2,936</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2,935</w:t>
            </w: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2,248</w:t>
            </w: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1,965</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12,321</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12,821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12,741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300"/>
              <w:spacing w:after="0"/>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56,417</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54,758</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5,398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51,154</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50,709</w:t>
            </w: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17,303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16,533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Home equity lines of credit</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505</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8,266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7,001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Consumer installment</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999</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140"/>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F0FFFF"/>
            </w:tcBorders>
            <w:shd w:val="clear" w:color="auto" w:fill="F0FFFF"/>
          </w:tcPr>
          <w:p>
            <w:pPr>
              <w:ind w:left="300"/>
              <w:spacing w:after="0"/>
              <w:rPr>
                <w:sz w:val="20"/>
                <w:szCs w:val="20"/>
                <w:color w:val="auto"/>
              </w:rPr>
            </w:pPr>
            <w:r>
              <w:rPr>
                <w:rFonts w:ascii="Arial" w:cs="Arial" w:eastAsia="Arial" w:hAnsi="Arial"/>
                <w:sz w:val="18"/>
                <w:szCs w:val="18"/>
                <w:color w:val="auto"/>
              </w:rPr>
              <w:t>Total with an allowance recorded</w:t>
            </w: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83,768</w:t>
            </w:r>
          </w:p>
        </w:tc>
        <w:tc>
          <w:tcPr>
            <w:tcW w:w="2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spacing w:after="0"/>
              <w:rPr>
                <w:sz w:val="19"/>
                <w:szCs w:val="19"/>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80,984</w:t>
            </w:r>
          </w:p>
        </w:tc>
        <w:tc>
          <w:tcPr>
            <w:tcW w:w="2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9,882</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78,246</w:t>
            </w:r>
          </w:p>
        </w:tc>
        <w:tc>
          <w:tcPr>
            <w:tcW w:w="6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spacing w:after="0"/>
              <w:rPr>
                <w:sz w:val="19"/>
                <w:szCs w:val="19"/>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75,747</w:t>
            </w:r>
          </w:p>
        </w:tc>
        <w:tc>
          <w:tcPr>
            <w:tcW w:w="200" w:type="dxa"/>
            <w:vAlign w:val="bottom"/>
            <w:tcBorders>
              <w:bottom w:val="single" w:sz="8" w:color="F0FFFF"/>
            </w:tcBorders>
            <w:shd w:val="clear" w:color="auto" w:fill="F0FFFF"/>
          </w:tcPr>
          <w:p>
            <w:pPr>
              <w:spacing w:after="0"/>
              <w:rPr>
                <w:sz w:val="19"/>
                <w:szCs w:val="19"/>
                <w:color w:val="auto"/>
              </w:rPr>
            </w:pPr>
          </w:p>
        </w:tc>
        <w:tc>
          <w:tcPr>
            <w:tcW w:w="2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6,022</w:t>
            </w:r>
          </w:p>
        </w:tc>
        <w:tc>
          <w:tcPr>
            <w:tcW w:w="12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112,690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106,472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9,882</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125,791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114,619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There were no loans more than 90 days past due and still accruing interest at December 31, 2014 and 2013. Nonaccrual loans at December 31, 2014 and 2013 were $17.9 million and $26.8 million, respectively.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charged-off) in nonaccrual loans by loan class as of December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4,133</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5,822</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1,571</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427</w:t>
            </w: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r>
      <w:tr>
        <w:trPr>
          <w:trHeight w:val="216"/>
        </w:trPr>
        <w:tc>
          <w:tcPr>
            <w:tcW w:w="20" w:type="dxa"/>
            <w:vAlign w:val="bottom"/>
          </w:tcPr>
          <w:p>
            <w:pPr>
              <w:spacing w:after="0"/>
              <w:rPr>
                <w:sz w:val="18"/>
                <w:szCs w:val="18"/>
                <w:color w:val="auto"/>
              </w:rPr>
            </w:pPr>
          </w:p>
        </w:tc>
        <w:tc>
          <w:tcPr>
            <w:tcW w:w="41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6,504</w:t>
            </w: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9,128</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249</w:t>
            </w: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Indirect auto</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16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2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26,819</w:t>
            </w:r>
          </w:p>
        </w:tc>
        <w:tc>
          <w:tcPr>
            <w:tcW w:w="120" w:type="dxa"/>
            <w:vAlign w:val="bottom"/>
            <w:tcBorders>
              <w:bottom w:val="single" w:sz="8" w:color="F0FFFF"/>
            </w:tcBorders>
            <w:shd w:val="clear" w:color="auto" w:fill="F0FF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following table presents the aging of the recorded investment in past due loans as of December 31, 2014 and 2013 by class of loans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Loans Past Due</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Loans Not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As of December 31, 2014</w:t>
            </w:r>
          </w:p>
        </w:tc>
        <w:tc>
          <w:tcPr>
            <w:tcW w:w="80" w:type="dxa"/>
            <w:vAlign w:val="bottom"/>
          </w:tcPr>
          <w:p>
            <w:pPr>
              <w:spacing w:after="0"/>
              <w:rPr>
                <w:sz w:val="15"/>
                <w:szCs w:val="15"/>
                <w:color w:val="auto"/>
              </w:rPr>
            </w:pPr>
          </w:p>
        </w:tc>
        <w:tc>
          <w:tcPr>
            <w:tcW w:w="1160" w:type="dxa"/>
            <w:vAlign w:val="bottom"/>
            <w:gridSpan w:val="2"/>
          </w:tcPr>
          <w:p>
            <w:pPr>
              <w:jc w:val="right"/>
              <w:ind w:right="220"/>
              <w:spacing w:after="0" w:line="176" w:lineRule="exact"/>
              <w:rPr>
                <w:sz w:val="20"/>
                <w:szCs w:val="20"/>
                <w:color w:val="auto"/>
              </w:rPr>
            </w:pPr>
            <w:r>
              <w:rPr>
                <w:rFonts w:ascii="Arial" w:cs="Arial" w:eastAsia="Arial" w:hAnsi="Arial"/>
                <w:sz w:val="18"/>
                <w:szCs w:val="18"/>
                <w:b w:val="1"/>
                <w:bCs w:val="1"/>
                <w:color w:val="auto"/>
                <w:w w:val="88"/>
              </w:rPr>
              <w:t>30 - 59 Days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60 - 89 Days</w:t>
            </w:r>
          </w:p>
        </w:tc>
        <w:tc>
          <w:tcPr>
            <w:tcW w:w="140" w:type="dxa"/>
            <w:vAlign w:val="bottom"/>
          </w:tcPr>
          <w:p>
            <w:pPr>
              <w:spacing w:after="0"/>
              <w:rPr>
                <w:sz w:val="15"/>
                <w:szCs w:val="15"/>
                <w:color w:val="auto"/>
              </w:rPr>
            </w:pPr>
          </w:p>
        </w:tc>
        <w:tc>
          <w:tcPr>
            <w:tcW w:w="1100" w:type="dxa"/>
            <w:vAlign w:val="bottom"/>
            <w:gridSpan w:val="2"/>
          </w:tcPr>
          <w:p>
            <w:pPr>
              <w:jc w:val="right"/>
              <w:ind w:right="300"/>
              <w:spacing w:after="0" w:line="176" w:lineRule="exact"/>
              <w:rPr>
                <w:sz w:val="20"/>
                <w:szCs w:val="20"/>
                <w:color w:val="auto"/>
              </w:rPr>
            </w:pPr>
            <w:r>
              <w:rPr>
                <w:rFonts w:ascii="Arial" w:cs="Arial" w:eastAsia="Arial" w:hAnsi="Arial"/>
                <w:sz w:val="18"/>
                <w:szCs w:val="18"/>
                <w:b w:val="1"/>
                <w:bCs w:val="1"/>
                <w:color w:val="auto"/>
                <w:w w:val="93"/>
              </w:rPr>
              <w:t>&gt; 90 Days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70"/>
              <w:spacing w:after="0" w:line="176" w:lineRule="exact"/>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360"/>
              <w:spacing w:after="0" w:line="176" w:lineRule="exact"/>
              <w:rPr>
                <w:sz w:val="20"/>
                <w:szCs w:val="20"/>
                <w:color w:val="auto"/>
              </w:rPr>
            </w:pPr>
            <w:r>
              <w:rPr>
                <w:rFonts w:ascii="Arial" w:cs="Arial" w:eastAsia="Arial" w:hAnsi="Arial"/>
                <w:sz w:val="18"/>
                <w:szCs w:val="18"/>
                <w:b w:val="1"/>
                <w:bCs w:val="1"/>
                <w:color w:val="auto"/>
                <w:w w:val="98"/>
              </w:rPr>
              <w:t>Past Due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60"/>
              <w:spacing w:after="0" w:line="17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3100" w:type="dxa"/>
            <w:vAlign w:val="bottom"/>
            <w:gridSpan w:val="3"/>
          </w:tcPr>
          <w:p>
            <w:pPr>
              <w:spacing w:after="0"/>
              <w:rPr>
                <w:sz w:val="20"/>
                <w:szCs w:val="20"/>
                <w:color w:val="auto"/>
              </w:rPr>
            </w:pPr>
            <w:r>
              <w:rPr>
                <w:rFonts w:ascii="Arial" w:cs="Arial" w:eastAsia="Arial" w:hAnsi="Arial"/>
                <w:sz w:val="18"/>
                <w:szCs w:val="18"/>
                <w:color w:val="auto"/>
                <w:w w:val="97"/>
              </w:rPr>
              <w:t>Owner occupied commercial real estate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4"/>
                <w:szCs w:val="24"/>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1,158,966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1,163,480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gridSpan w:val="3"/>
          </w:tcPr>
          <w:p>
            <w:pPr>
              <w:spacing w:after="0"/>
              <w:rPr>
                <w:sz w:val="20"/>
                <w:szCs w:val="20"/>
                <w:color w:val="auto"/>
              </w:rPr>
            </w:pPr>
            <w:r>
              <w:rPr>
                <w:rFonts w:ascii="Arial" w:cs="Arial" w:eastAsia="Arial" w:hAnsi="Arial"/>
                <w:sz w:val="18"/>
                <w:szCs w:val="18"/>
                <w:color w:val="auto"/>
                <w:w w:val="93"/>
              </w:rPr>
              <w:t>Income producing commercial real estate</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3,494</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595,043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1,767</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708,489</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710,256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195,964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4,068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3,141</w:t>
            </w:r>
          </w:p>
        </w:tc>
        <w:tc>
          <w:tcPr>
            <w:tcW w:w="2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2,632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9,841</w:t>
            </w:r>
          </w:p>
        </w:tc>
        <w:tc>
          <w:tcPr>
            <w:tcW w:w="2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2,658,462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2,668,303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2,931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854,346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1,431</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464,441</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465,872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2,835</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295,792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776</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104,123</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104,899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268,142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12,242</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6,925</w:t>
            </w:r>
          </w:p>
        </w:tc>
        <w:tc>
          <w:tcPr>
            <w:tcW w:w="2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7,646</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26,813</w:t>
            </w:r>
          </w:p>
        </w:tc>
        <w:tc>
          <w:tcPr>
            <w:tcW w:w="2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4,645,306</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4,672,119</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80" w:type="dxa"/>
            <w:vAlign w:val="bottom"/>
            <w:gridSpan w:val="2"/>
            <w:shd w:val="clear" w:color="auto" w:fill="F0FFFF"/>
          </w:tcPr>
          <w:p>
            <w:pPr>
              <w:spacing w:after="0" w:line="176" w:lineRule="exact"/>
              <w:rPr>
                <w:sz w:val="20"/>
                <w:szCs w:val="20"/>
                <w:color w:val="auto"/>
              </w:rPr>
            </w:pPr>
            <w:r>
              <w:rPr>
                <w:rFonts w:ascii="Arial" w:cs="Arial" w:eastAsia="Arial" w:hAnsi="Arial"/>
                <w:sz w:val="18"/>
                <w:szCs w:val="18"/>
                <w:b w:val="1"/>
                <w:bCs w:val="1"/>
                <w:color w:val="auto"/>
              </w:rPr>
              <w:t>As of December 31, 2013</w:t>
            </w: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gridSpan w:val="2"/>
          </w:tcPr>
          <w:p>
            <w:pPr>
              <w:spacing w:after="0"/>
              <w:rPr>
                <w:sz w:val="18"/>
                <w:szCs w:val="18"/>
                <w:color w:val="auto"/>
              </w:rPr>
            </w:pPr>
          </w:p>
        </w:tc>
        <w:tc>
          <w:tcPr>
            <w:tcW w:w="1260" w:type="dxa"/>
            <w:vAlign w:val="bottom"/>
            <w:tcBorders>
              <w:top w:val="single" w:sz="8" w:color="F0FFFF"/>
            </w:tcBorders>
            <w:gridSpan w:val="2"/>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9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gridSpan w:val="2"/>
          </w:tcPr>
          <w:p>
            <w:pPr>
              <w:spacing w:after="0"/>
              <w:rPr>
                <w:sz w:val="18"/>
                <w:szCs w:val="18"/>
                <w:color w:val="auto"/>
              </w:rPr>
            </w:pPr>
          </w:p>
        </w:tc>
        <w:tc>
          <w:tcPr>
            <w:tcW w:w="1120" w:type="dxa"/>
            <w:vAlign w:val="bottom"/>
            <w:tcBorders>
              <w:top w:val="single" w:sz="8" w:color="F0FFFF"/>
            </w:tcBorders>
            <w:gridSpan w:val="2"/>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gridSpan w:val="2"/>
          </w:tcPr>
          <w:p>
            <w:pPr>
              <w:spacing w:after="0"/>
              <w:rPr>
                <w:sz w:val="18"/>
                <w:szCs w:val="18"/>
                <w:color w:val="auto"/>
              </w:rPr>
            </w:pPr>
          </w:p>
        </w:tc>
        <w:tc>
          <w:tcPr>
            <w:tcW w:w="340" w:type="dxa"/>
            <w:vAlign w:val="bottom"/>
            <w:tcBorders>
              <w:top w:val="single" w:sz="8" w:color="F0FFFF"/>
            </w:tcBorders>
            <w:gridSpan w:val="2"/>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F0FFFF"/>
          </w:tcPr>
          <w:p>
            <w:pPr>
              <w:spacing w:after="0"/>
              <w:rPr>
                <w:sz w:val="18"/>
                <w:szCs w:val="18"/>
                <w:color w:val="auto"/>
              </w:rPr>
            </w:pPr>
          </w:p>
        </w:tc>
        <w:tc>
          <w:tcPr>
            <w:tcW w:w="34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4,567</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1,128,976</w:t>
            </w:r>
          </w:p>
        </w:tc>
        <w:tc>
          <w:tcPr>
            <w:tcW w:w="34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1,133,543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w w:val="92"/>
              </w:rPr>
              <w:t>Income producing commercial real estate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2,092</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6,501</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616,666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2,660</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469,301</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471,961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148,384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8,167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3,210</w:t>
            </w:r>
          </w:p>
        </w:tc>
        <w:tc>
          <w:tcPr>
            <w:tcW w:w="2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14,247</w:t>
            </w:r>
          </w:p>
        </w:tc>
        <w:tc>
          <w:tcPr>
            <w:tcW w:w="2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2,363,327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2,377,574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2,832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15,983</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859,094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875,077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3,427</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437,460</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440,887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3,298</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325,281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8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1,440</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109,605</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111,045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195,812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21,812</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7,483</w:t>
            </w:r>
          </w:p>
        </w:tc>
        <w:tc>
          <w:tcPr>
            <w:tcW w:w="2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9,392</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38,687</w:t>
            </w:r>
          </w:p>
        </w:tc>
        <w:tc>
          <w:tcPr>
            <w:tcW w:w="2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4,290,579</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4,329,266</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modification of the terms of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18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 xml:space="preserve">Loans modified under the terms of a TDR during the twelve months ended December 31, 2014, 2013 and 2012 are presented in the table below. In addition, the following table presents loans modified under the terms of a TDR that became 90 days or more delinquent during the twelve months ended December 31, 2014, 2013 and 2012, that were initially restructured within one year prior to becoming delinquent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1"/>
              </w:rPr>
              <w:t>Troubled Debt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Restructurings That Have</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Post-</w:t>
            </w:r>
          </w:p>
        </w:tc>
        <w:tc>
          <w:tcPr>
            <w:tcW w:w="26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Subsequently Defaulted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Modification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Modification</w:t>
            </w:r>
          </w:p>
        </w:tc>
        <w:tc>
          <w:tcPr>
            <w:tcW w:w="26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Within the Previous Twelve</w:t>
            </w: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Months</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43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Troubled Debt Restructurings for the Year</w:t>
            </w:r>
          </w:p>
        </w:tc>
        <w:tc>
          <w:tcPr>
            <w:tcW w:w="100" w:type="dxa"/>
            <w:vAlign w:val="bottom"/>
          </w:tcPr>
          <w:p>
            <w:pPr>
              <w:spacing w:after="0"/>
              <w:rPr>
                <w:sz w:val="17"/>
                <w:szCs w:val="17"/>
                <w:color w:val="auto"/>
              </w:rPr>
            </w:pPr>
          </w:p>
        </w:tc>
        <w:tc>
          <w:tcPr>
            <w:tcW w:w="136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9"/>
              </w:rPr>
              <w:t>Recorded</w:t>
            </w:r>
          </w:p>
        </w:tc>
        <w:tc>
          <w:tcPr>
            <w:tcW w:w="126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ended December 31, 2014</w:t>
            </w:r>
          </w:p>
        </w:tc>
        <w:tc>
          <w:tcPr>
            <w:tcW w:w="10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Contracts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4,793</w:t>
            </w:r>
          </w:p>
        </w:tc>
        <w:tc>
          <w:tcPr>
            <w:tcW w:w="2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4,793</w:t>
            </w:r>
          </w:p>
        </w:tc>
        <w:tc>
          <w:tcPr>
            <w:tcW w:w="22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1,459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1,185</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8,266</w:t>
            </w:r>
          </w:p>
        </w:tc>
        <w:tc>
          <w:tcPr>
            <w:tcW w:w="2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8,266</w:t>
            </w:r>
          </w:p>
        </w:tc>
        <w:tc>
          <w:tcPr>
            <w:tcW w:w="22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Residential mortgage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3,445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1,262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226</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0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13,412</w:t>
            </w: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13,235</w:t>
            </w:r>
          </w:p>
        </w:tc>
        <w:tc>
          <w:tcPr>
            <w:tcW w:w="22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434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Year ended December 31, 2013</w:t>
            </w:r>
          </w:p>
        </w:tc>
        <w:tc>
          <w:tcPr>
            <w:tcW w:w="100" w:type="dxa"/>
            <w:vAlign w:val="bottom"/>
            <w:tcBorders>
              <w:bottom w:val="single" w:sz="8" w:color="F0FFFF"/>
            </w:tcBorders>
            <w:shd w:val="clear" w:color="auto" w:fill="F0FFFF"/>
          </w:tcPr>
          <w:p>
            <w:pPr>
              <w:spacing w:after="0"/>
              <w:rPr>
                <w:sz w:val="19"/>
                <w:szCs w:val="19"/>
                <w:color w:val="auto"/>
              </w:rPr>
            </w:pPr>
          </w:p>
        </w:tc>
        <w:tc>
          <w:tcPr>
            <w:tcW w:w="114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14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6,326</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5,227</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6,157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1,464</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1,208</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14,363</w:t>
            </w:r>
          </w:p>
        </w:tc>
        <w:tc>
          <w:tcPr>
            <w:tcW w:w="2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13,008</w:t>
            </w:r>
          </w:p>
        </w:tc>
        <w:tc>
          <w:tcPr>
            <w:tcW w:w="22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Residential mortgage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6,573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2,015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80</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0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23,701</w:t>
            </w: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21,676</w:t>
            </w:r>
          </w:p>
        </w:tc>
        <w:tc>
          <w:tcPr>
            <w:tcW w:w="22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3,360</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434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Year ended December 31, 2012</w:t>
            </w:r>
          </w:p>
        </w:tc>
        <w:tc>
          <w:tcPr>
            <w:tcW w:w="100" w:type="dxa"/>
            <w:vAlign w:val="bottom"/>
            <w:tcBorders>
              <w:bottom w:val="single" w:sz="8" w:color="F0FFFF"/>
            </w:tcBorders>
            <w:shd w:val="clear" w:color="auto" w:fill="F0FFFF"/>
          </w:tcPr>
          <w:p>
            <w:pPr>
              <w:spacing w:after="0"/>
              <w:rPr>
                <w:sz w:val="19"/>
                <w:szCs w:val="19"/>
                <w:color w:val="auto"/>
              </w:rPr>
            </w:pPr>
          </w:p>
        </w:tc>
        <w:tc>
          <w:tcPr>
            <w:tcW w:w="114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14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17,387</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15,865</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2,341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17,063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17,063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3,619</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3,616</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34,014</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33,934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72,083</w:t>
            </w:r>
          </w:p>
        </w:tc>
        <w:tc>
          <w:tcPr>
            <w:tcW w:w="2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70,478</w:t>
            </w:r>
          </w:p>
        </w:tc>
        <w:tc>
          <w:tcPr>
            <w:tcW w:w="22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7,582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Residential mortgage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14,404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13,575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728</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19,909</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17,400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328</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0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107,458</w:t>
            </w: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102,509</w:t>
            </w:r>
          </w:p>
        </w:tc>
        <w:tc>
          <w:tcPr>
            <w:tcW w:w="22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13,999</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649"/>
        </w:trPr>
        <w:tc>
          <w:tcPr>
            <w:tcW w:w="2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434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gridSpan w:val="2"/>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additional information on TDRs including the number of loan contracts restructured and the pre- and post-modification recorded investment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4"/>
              </w:rPr>
              <w:t>December 31, 2014</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2013</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Pre-</w:t>
            </w: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Post-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6"/>
              </w:rPr>
              <w:t>Pre-</w:t>
            </w:r>
          </w:p>
        </w:tc>
        <w:tc>
          <w:tcPr>
            <w:tcW w:w="100" w:type="dxa"/>
            <w:vAlign w:val="bottom"/>
          </w:tcPr>
          <w:p>
            <w:pPr>
              <w:spacing w:after="0"/>
              <w:rPr>
                <w:sz w:val="17"/>
                <w:szCs w:val="17"/>
                <w:color w:val="auto"/>
              </w:rPr>
            </w:pPr>
          </w:p>
        </w:tc>
        <w:tc>
          <w:tcPr>
            <w:tcW w:w="10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4"/>
              </w:rPr>
              <w:t>Post-</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Modification</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Modification</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Modification</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Modification</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Contracts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Contracts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27,695</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26,296</w:t>
            </w:r>
          </w:p>
        </w:tc>
        <w:tc>
          <w:tcPr>
            <w:tcW w:w="22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24,064</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22,399</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Income producing commercial real estate</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17,915</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18,268</w:t>
            </w: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2,847</w:t>
            </w: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11,360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11,280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13,122</w:t>
            </w: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13,042</w:t>
            </w: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59,997</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58,338</w:t>
            </w:r>
          </w:p>
        </w:tc>
        <w:tc>
          <w:tcPr>
            <w:tcW w:w="22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61,613</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56,954</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Residential mortgage</w:t>
            </w: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18,630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17,836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20,117</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18,852</w:t>
            </w: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478</w:t>
            </w:r>
          </w:p>
        </w:tc>
        <w:tc>
          <w:tcPr>
            <w:tcW w:w="1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505</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8,962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12,459</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10,452</w:t>
            </w: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179</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203</w:t>
            </w: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Indirect auto</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08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88,246</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85,096</w:t>
            </w:r>
          </w:p>
        </w:tc>
        <w:tc>
          <w:tcPr>
            <w:tcW w:w="22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345</w:t>
            </w:r>
          </w:p>
        </w:tc>
        <w:tc>
          <w:tcPr>
            <w:tcW w:w="6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94,897</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86,966</w:t>
            </w:r>
          </w:p>
        </w:tc>
        <w:tc>
          <w:tcPr>
            <w:tcW w:w="120" w:type="dxa"/>
            <w:vAlign w:val="bottom"/>
            <w:tcBorders>
              <w:bottom w:val="single" w:sz="8" w:color="F0FFFF"/>
            </w:tcBorders>
            <w:shd w:val="clear" w:color="auto" w:fill="F0FFFF"/>
          </w:tcPr>
          <w:p>
            <w:pPr>
              <w:spacing w:after="0"/>
              <w:rPr>
                <w:sz w:val="22"/>
                <w:szCs w:val="22"/>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Collateral dependent TDRs that subsequently default or are placed on nonaccrual are charged down to the fair value of the collateral consistent with United’s policy for nonaccrual loans. Impairment on TDRs that are not collateral dependent continues to be measured based on discounted cash flows regardless of whether the loan has subsequently defaulted.</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2014 and 2013, United has allocated $9.72 million and $5.64 million, respectively, of specific reserves to customers whose loan terms have been modified in TDRs. United committed to lend additional amounts totaling up to $51,000 and $6,000 as of December 31, 2014 and 2013, respectively, to customers with outstanding loans that are classified as TDRs.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186"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Watch</w:t>
      </w:r>
      <w:r>
        <w:rPr>
          <w:rFonts w:ascii="Arial" w:cs="Arial" w:eastAsia="Arial" w:hAnsi="Arial"/>
          <w:sz w:val="18"/>
          <w:szCs w:val="18"/>
          <w:color w:val="auto"/>
        </w:rPr>
        <w:t>. 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Doubtful.  </w:t>
      </w:r>
      <w:r>
        <w:rPr>
          <w:rFonts w:ascii="Arial" w:cs="Arial" w:eastAsia="Arial" w:hAnsi="Arial"/>
          <w:sz w:val="16"/>
          <w:szCs w:val="16"/>
          <w:color w:val="auto"/>
        </w:rPr>
        <w:t>Specific weaknesses characterized as Substandard that are severe enough to make collection in full highly questionable and improbable.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reliable secondary source of full repayment.</w:t>
      </w:r>
    </w:p>
    <w:p>
      <w:pPr>
        <w:spacing w:after="0" w:line="207"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 Loss are charged-off.</w:t>
      </w:r>
    </w:p>
    <w:p>
      <w:pPr>
        <w:spacing w:after="0" w:line="162"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b w:val="1"/>
          <w:bCs w:val="1"/>
          <w:color w:val="auto"/>
        </w:rPr>
        <w:t>Consumer Purpose Loans</w:t>
      </w:r>
      <w:r>
        <w:rPr>
          <w:rFonts w:ascii="Arial" w:cs="Arial" w:eastAsia="Arial" w:hAnsi="Arial"/>
          <w:sz w:val="16"/>
          <w:szCs w:val="16"/>
          <w:color w:val="auto"/>
        </w:rPr>
        <w:t>. Beginning in the first quarter of 2014, United began to apply a pass / fail grading system to all consumer purpose loans.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pass / fail grading system, consumer purpose loans meeting the criteria of substandard are classified as “fail” and all other loans are classified as “pass”. For reporting purposes, consumer purpose loans classified as “fail” are reported in the performing substandard or nonaccrual columns and all other consumer purpose loans are reported in the “pass” column. The first quarter grading change resulted in decreases in loans categorized as “watch” for the consumer installment, residential mortgage and home equity lines of credit loan classifications. Loan balances reported in the “watch” column for residential mortgage are generally commercial purpose loans secured by the borrower’s residence.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3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As of December 31, 2014 and 2013, and based on the most recent analysis performed, the risk category of loans by class of loans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Substandard</w:t>
            </w: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Doubtful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As of December 31, 2014</w:t>
            </w:r>
          </w:p>
        </w:tc>
        <w:tc>
          <w:tcPr>
            <w:tcW w:w="240" w:type="dxa"/>
            <w:vAlign w:val="bottom"/>
          </w:tcPr>
          <w:p>
            <w:pPr>
              <w:spacing w:after="0"/>
              <w:rPr>
                <w:sz w:val="15"/>
                <w:szCs w:val="15"/>
                <w:color w:val="auto"/>
              </w:rPr>
            </w:pPr>
          </w:p>
        </w:tc>
        <w:tc>
          <w:tcPr>
            <w:tcW w:w="88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Pass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120"/>
              <w:spacing w:after="0" w:line="176" w:lineRule="exact"/>
              <w:rPr>
                <w:sz w:val="20"/>
                <w:szCs w:val="20"/>
                <w:color w:val="auto"/>
              </w:rPr>
            </w:pPr>
            <w:r>
              <w:rPr>
                <w:rFonts w:ascii="Arial" w:cs="Arial" w:eastAsia="Arial" w:hAnsi="Arial"/>
                <w:sz w:val="18"/>
                <w:szCs w:val="18"/>
                <w:b w:val="1"/>
                <w:bCs w:val="1"/>
                <w:color w:val="auto"/>
              </w:rPr>
              <w:t>Watch</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240"/>
              <w:spacing w:after="0" w:line="176" w:lineRule="exact"/>
              <w:rPr>
                <w:sz w:val="20"/>
                <w:szCs w:val="20"/>
                <w:color w:val="auto"/>
              </w:rPr>
            </w:pPr>
            <w:r>
              <w:rPr>
                <w:rFonts w:ascii="Arial" w:cs="Arial" w:eastAsia="Arial" w:hAnsi="Arial"/>
                <w:sz w:val="18"/>
                <w:szCs w:val="18"/>
                <w:b w:val="1"/>
                <w:bCs w:val="1"/>
                <w:color w:val="auto"/>
                <w:w w:val="91"/>
              </w:rPr>
              <w:t>Performing</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line="176" w:lineRule="exact"/>
              <w:rPr>
                <w:sz w:val="20"/>
                <w:szCs w:val="20"/>
                <w:color w:val="auto"/>
              </w:rPr>
            </w:pPr>
            <w:r>
              <w:rPr>
                <w:rFonts w:ascii="Arial" w:cs="Arial" w:eastAsia="Arial" w:hAnsi="Arial"/>
                <w:sz w:val="18"/>
                <w:szCs w:val="18"/>
                <w:b w:val="1"/>
                <w:bCs w:val="1"/>
                <w:color w:val="auto"/>
                <w:w w:val="89"/>
              </w:rPr>
              <w:t>Nonaccrual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280"/>
              <w:spacing w:after="0" w:line="176" w:lineRule="exact"/>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ind w:left="160"/>
              <w:spacing w:after="0" w:line="17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1,094,057</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18,889</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46,401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4,133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ind w:left="8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1,163,480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w w:val="92"/>
              </w:rPr>
              <w:t>Income producing commercial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560,559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16,701</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696,805</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7,863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1,571</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710,256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2,541,491</w:t>
            </w:r>
          </w:p>
        </w:tc>
        <w:tc>
          <w:tcPr>
            <w:tcW w:w="22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41,918</w:t>
            </w:r>
          </w:p>
        </w:tc>
        <w:tc>
          <w:tcPr>
            <w:tcW w:w="2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78,390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6,504</w:t>
            </w:r>
          </w:p>
        </w:tc>
        <w:tc>
          <w:tcPr>
            <w:tcW w:w="2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ind w:left="8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2,668,303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814,168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11,594</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31,831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8,196</w:t>
            </w:r>
          </w:p>
        </w:tc>
        <w:tc>
          <w:tcPr>
            <w:tcW w:w="1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459,881</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5,296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465,872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280,166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103,383</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104,899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267,709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4,466,798</w:t>
            </w:r>
          </w:p>
        </w:tc>
        <w:tc>
          <w:tcPr>
            <w:tcW w:w="22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59,047</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128,393</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2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ind w:left="84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4,672,119</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tcBorders>
              <w:bottom w:val="single" w:sz="8" w:color="auto"/>
            </w:tcBorders>
            <w:shd w:val="clear" w:color="auto" w:fill="F0FFFF"/>
          </w:tcPr>
          <w:p>
            <w:pPr>
              <w:spacing w:after="0" w:line="176" w:lineRule="exact"/>
              <w:rPr>
                <w:sz w:val="20"/>
                <w:szCs w:val="20"/>
                <w:color w:val="auto"/>
              </w:rPr>
            </w:pPr>
            <w:r>
              <w:rPr>
                <w:rFonts w:ascii="Arial" w:cs="Arial" w:eastAsia="Arial" w:hAnsi="Arial"/>
                <w:sz w:val="18"/>
                <w:szCs w:val="18"/>
                <w:b w:val="1"/>
                <w:bCs w:val="1"/>
                <w:color w:val="auto"/>
                <w:w w:val="87"/>
              </w:rPr>
              <w:t>As of December 31, 2013</w:t>
            </w:r>
          </w:p>
        </w:tc>
        <w:tc>
          <w:tcPr>
            <w:tcW w:w="120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tcBorders>
            <w:shd w:val="clear" w:color="auto" w:fill="F0FFFF"/>
          </w:tcPr>
          <w:p>
            <w:pPr>
              <w:spacing w:after="0"/>
              <w:rPr>
                <w:sz w:val="17"/>
                <w:szCs w:val="17"/>
                <w:color w:val="auto"/>
              </w:rPr>
            </w:pPr>
          </w:p>
        </w:tc>
        <w:tc>
          <w:tcPr>
            <w:tcW w:w="88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102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02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40" w:type="dxa"/>
            <w:vAlign w:val="bottom"/>
            <w:tcBorders>
              <w:bottom w:val="single" w:sz="8" w:color="F0FFFF"/>
            </w:tcBorders>
            <w:shd w:val="clear" w:color="auto" w:fill="F0FFFF"/>
          </w:tcPr>
          <w:p>
            <w:pPr>
              <w:spacing w:after="0"/>
              <w:rPr>
                <w:sz w:val="17"/>
                <w:szCs w:val="17"/>
                <w:color w:val="auto"/>
              </w:rPr>
            </w:pPr>
          </w:p>
        </w:tc>
        <w:tc>
          <w:tcPr>
            <w:tcW w:w="102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w w:val="96"/>
              </w:rPr>
              <w:t>Owner occupied commercial real estate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1,054,924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29,714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43,083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5,822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1,133,543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w w:val="92"/>
              </w:rPr>
              <w:t>Income producing commercial real estate</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575,597</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10,410</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34,642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2,518</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623,167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456,563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120,852</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10,932</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16,758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148,903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shd w:val="clear" w:color="auto" w:fill="F0FFFF"/>
          </w:tcPr>
          <w:p>
            <w:pPr>
              <w:spacing w:after="0"/>
              <w:rPr>
                <w:sz w:val="2"/>
                <w:szCs w:val="2"/>
                <w:color w:val="auto"/>
              </w:rPr>
            </w:pPr>
          </w:p>
        </w:tc>
        <w:tc>
          <w:tcPr>
            <w:tcW w:w="1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40"/>
              <w:spacing w:after="0"/>
              <w:rPr>
                <w:sz w:val="20"/>
                <w:szCs w:val="20"/>
                <w:color w:val="auto"/>
              </w:rPr>
            </w:pPr>
            <w:r>
              <w:rPr>
                <w:rFonts w:ascii="Arial" w:cs="Arial" w:eastAsia="Arial" w:hAnsi="Arial"/>
                <w:sz w:val="18"/>
                <w:szCs w:val="18"/>
                <w:color w:val="auto"/>
              </w:rPr>
              <w:t>Total commercial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2,207,936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9,128</w:t>
            </w:r>
          </w:p>
        </w:tc>
        <w:tc>
          <w:tcPr>
            <w:tcW w:w="1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2,377,574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793,381</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25,944</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44,022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11,730</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875,077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426,052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440,887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298,685</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11,526</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14,104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4,264</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328,579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107,029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196,104</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196,104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shd w:val="clear" w:color="auto" w:fill="F0FFFF"/>
          </w:tcPr>
          <w:p>
            <w:pPr>
              <w:spacing w:after="0"/>
              <w:rPr>
                <w:sz w:val="2"/>
                <w:szCs w:val="2"/>
                <w:color w:val="auto"/>
              </w:rPr>
            </w:pPr>
          </w:p>
        </w:tc>
        <w:tc>
          <w:tcPr>
            <w:tcW w:w="1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40"/>
              <w:spacing w:after="0"/>
              <w:rPr>
                <w:sz w:val="20"/>
                <w:szCs w:val="20"/>
                <w:color w:val="auto"/>
              </w:rPr>
            </w:pPr>
            <w:r>
              <w:rPr>
                <w:rFonts w:ascii="Arial" w:cs="Arial" w:eastAsia="Arial" w:hAnsi="Arial"/>
                <w:sz w:val="18"/>
                <w:szCs w:val="18"/>
                <w:color w:val="auto"/>
              </w:rPr>
              <w:t>Total loans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4,029,187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100,557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26,819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4,329,266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Foreclosed Property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Major classifications of foreclosed properties at December 31, 2014 and 2013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639</w:t>
            </w: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F0FF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F0FF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3,380</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F0FFFF"/>
          </w:tcPr>
          <w:p>
            <w:pPr>
              <w:spacing w:after="0"/>
              <w:rPr>
                <w:sz w:val="19"/>
                <w:szCs w:val="19"/>
                <w:color w:val="auto"/>
              </w:rPr>
            </w:pPr>
          </w:p>
        </w:tc>
        <w:tc>
          <w:tcPr>
            <w:tcW w:w="92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736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foreclosed property</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8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5,403</w:t>
            </w:r>
          </w:p>
        </w:tc>
        <w:tc>
          <w:tcPr>
            <w:tcW w:w="200" w:type="dxa"/>
            <w:vAlign w:val="bottom"/>
            <w:tcBorders>
              <w:top w:val="single" w:sz="8" w:color="F0FF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F0FFFF"/>
            </w:tcBorders>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Foreclosed property,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1,726</w:t>
            </w:r>
          </w:p>
        </w:tc>
        <w:tc>
          <w:tcPr>
            <w:tcW w:w="18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4,221</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40" w:type="dxa"/>
            <w:vAlign w:val="bottom"/>
            <w:tcBorders>
              <w:bottom w:val="single" w:sz="8" w:color="DCDCDC"/>
            </w:tcBorders>
            <w:gridSpan w:val="2"/>
          </w:tcPr>
          <w:p>
            <w:pPr>
              <w:jc w:val="right"/>
              <w:ind w:right="1050"/>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95" w:name="page96"/>
    <w:bookmarkEnd w:id="95"/>
    <w:p>
      <w:pPr>
        <w:jc w:val="center"/>
        <w:ind w:right="290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9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Foreclosed Property, continued</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Activity in the valuation allowance for foreclosed property is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6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6,954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18,982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6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Charge-offs upon disposition</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(8,837)</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(18,979)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160" w:type="dxa"/>
            <w:vAlign w:val="bottom"/>
            <w:tcBorders>
              <w:right w:val="single" w:sz="8" w:color="F0FFFF"/>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Balance at end of year</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Expenses related to foreclosed assets include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8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6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(gain) loss on sales</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160" w:type="dxa"/>
            <w:vAlign w:val="bottom"/>
            <w:tcBorders>
              <w:bottom w:val="single" w:sz="8" w:color="F0FFFF"/>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Operating expenses, net of rental income</w:t>
            </w:r>
          </w:p>
        </w:tc>
        <w:tc>
          <w:tcPr>
            <w:tcW w:w="22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3,163</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Total foreclosed property expense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7,869</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Premises and equipment at December 31, 2014 and 2013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5920" w:type="dxa"/>
            <w:vAlign w:val="bottom"/>
            <w:shd w:val="clear" w:color="auto" w:fill="F0FFFF"/>
          </w:tcPr>
          <w:p>
            <w:pPr>
              <w:spacing w:after="0"/>
              <w:rPr>
                <w:sz w:val="20"/>
                <w:szCs w:val="20"/>
                <w:color w:val="auto"/>
              </w:rPr>
            </w:pPr>
            <w:r>
              <w:rPr>
                <w:rFonts w:ascii="Arial" w:cs="Arial" w:eastAsia="Arial" w:hAnsi="Arial"/>
                <w:sz w:val="18"/>
                <w:szCs w:val="18"/>
                <w:color w:val="auto"/>
              </w:rPr>
              <w:t>Land and land improvements</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79,525</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80,845</w:t>
            </w:r>
          </w:p>
        </w:tc>
        <w:tc>
          <w:tcPr>
            <w:tcW w:w="120" w:type="dxa"/>
            <w:vAlign w:val="bottom"/>
            <w:shd w:val="clear" w:color="auto" w:fill="F0FF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113,105</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114,048</w:t>
            </w:r>
          </w:p>
        </w:tc>
      </w:tr>
      <w:tr>
        <w:trPr>
          <w:trHeight w:val="243"/>
        </w:trPr>
        <w:tc>
          <w:tcPr>
            <w:tcW w:w="5920" w:type="dxa"/>
            <w:vAlign w:val="bottom"/>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59,827</w:t>
            </w:r>
          </w:p>
        </w:tc>
        <w:tc>
          <w:tcPr>
            <w:tcW w:w="2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63,015</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r>
      <w:tr>
        <w:trPr>
          <w:trHeight w:val="216"/>
        </w:trPr>
        <w:tc>
          <w:tcPr>
            <w:tcW w:w="59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254,318</w:t>
            </w: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258,418</w:t>
            </w:r>
          </w:p>
        </w:tc>
        <w:tc>
          <w:tcPr>
            <w:tcW w:w="120" w:type="dxa"/>
            <w:vAlign w:val="bottom"/>
            <w:shd w:val="clear" w:color="auto" w:fill="F0FFFF"/>
          </w:tcPr>
          <w:p>
            <w:pPr>
              <w:spacing w:after="0"/>
              <w:rPr>
                <w:sz w:val="18"/>
                <w:szCs w:val="18"/>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(94,928)</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(94,829)</w:t>
            </w:r>
          </w:p>
        </w:tc>
      </w:tr>
      <w:tr>
        <w:trPr>
          <w:trHeight w:val="257"/>
        </w:trPr>
        <w:tc>
          <w:tcPr>
            <w:tcW w:w="59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159,390</w:t>
            </w:r>
          </w:p>
        </w:tc>
        <w:tc>
          <w:tcPr>
            <w:tcW w:w="2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163,589</w:t>
            </w:r>
          </w:p>
        </w:tc>
        <w:tc>
          <w:tcPr>
            <w:tcW w:w="120" w:type="dxa"/>
            <w:vAlign w:val="bottom"/>
            <w:tcBorders>
              <w:bottom w:val="single" w:sz="8" w:color="F0FFFF"/>
            </w:tcBorders>
            <w:shd w:val="clear" w:color="auto" w:fill="F0FFFF"/>
          </w:tcPr>
          <w:p>
            <w:pPr>
              <w:spacing w:after="0"/>
              <w:rPr>
                <w:sz w:val="22"/>
                <w:szCs w:val="22"/>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$8.66 million, $9.40 million and $9.26 million for 2014, 2013 and 2012, respectively.</w:t>
      </w:r>
    </w:p>
    <w:p>
      <w:pPr>
        <w:spacing w:after="0" w:line="252"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 xml:space="preserve">United leases certain branch properties and equipment under operating leases. Rent expense was $2.14 million, $2.34 million and $2.30 million for 2014, 2013 and 2012, respectively. United does not have any capital leases. Rent commitments under operating leases, before considering renewal options that generally are present,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40" w:type="dxa"/>
            <w:vAlign w:val="bottom"/>
            <w:shd w:val="clear" w:color="auto" w:fill="F0FFFF"/>
          </w:tcPr>
          <w:p>
            <w:pPr>
              <w:spacing w:after="0"/>
              <w:rPr>
                <w:sz w:val="20"/>
                <w:szCs w:val="20"/>
                <w:color w:val="auto"/>
              </w:rPr>
            </w:pPr>
            <w:r>
              <w:rPr>
                <w:rFonts w:ascii="Arial" w:cs="Arial" w:eastAsia="Arial" w:hAnsi="Arial"/>
                <w:sz w:val="18"/>
                <w:szCs w:val="18"/>
                <w:color w:val="auto"/>
              </w:rPr>
              <w:t>2015</w:t>
            </w:r>
          </w:p>
        </w:tc>
        <w:tc>
          <w:tcPr>
            <w:tcW w:w="3900" w:type="dxa"/>
            <w:vAlign w:val="bottom"/>
            <w:gridSpan w:val="2"/>
            <w:shd w:val="clear" w:color="auto" w:fill="F0FFFF"/>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F0FF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2016</w:t>
            </w:r>
          </w:p>
        </w:tc>
        <w:tc>
          <w:tcPr>
            <w:tcW w:w="3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04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35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F0FFFF"/>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2018</w:t>
            </w:r>
          </w:p>
        </w:tc>
        <w:tc>
          <w:tcPr>
            <w:tcW w:w="3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2040" w:type="dxa"/>
            <w:vAlign w:val="bottom"/>
            <w:shd w:val="clear" w:color="auto" w:fill="F0FFFF"/>
          </w:tcPr>
          <w:p>
            <w:pPr>
              <w:spacing w:after="0"/>
              <w:rPr>
                <w:sz w:val="20"/>
                <w:szCs w:val="20"/>
                <w:color w:val="auto"/>
              </w:rPr>
            </w:pPr>
            <w:r>
              <w:rPr>
                <w:rFonts w:ascii="Arial" w:cs="Arial" w:eastAsia="Arial" w:hAnsi="Arial"/>
                <w:sz w:val="18"/>
                <w:szCs w:val="18"/>
                <w:color w:val="auto"/>
              </w:rPr>
              <w:t>2019</w:t>
            </w:r>
          </w:p>
        </w:tc>
        <w:tc>
          <w:tcPr>
            <w:tcW w:w="35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897</w:t>
            </w:r>
          </w:p>
        </w:tc>
        <w:tc>
          <w:tcPr>
            <w:tcW w:w="2280" w:type="dxa"/>
            <w:vAlign w:val="bottom"/>
          </w:tcPr>
          <w:p>
            <w:pPr>
              <w:spacing w:after="0"/>
              <w:rPr>
                <w:sz w:val="18"/>
                <w:szCs w:val="18"/>
                <w:color w:val="auto"/>
              </w:rPr>
            </w:pPr>
          </w:p>
        </w:tc>
      </w:tr>
      <w:tr>
        <w:trPr>
          <w:trHeight w:val="223"/>
        </w:trPr>
        <w:tc>
          <w:tcPr>
            <w:tcW w:w="230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Thereafter</w:t>
            </w:r>
          </w:p>
        </w:tc>
        <w:tc>
          <w:tcPr>
            <w:tcW w:w="3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57"/>
        </w:trPr>
        <w:tc>
          <w:tcPr>
            <w:tcW w:w="2300" w:type="dxa"/>
            <w:vAlign w:val="bottom"/>
          </w:tcPr>
          <w:p>
            <w:pPr>
              <w:spacing w:after="0"/>
              <w:rPr>
                <w:sz w:val="22"/>
                <w:szCs w:val="22"/>
                <w:color w:val="auto"/>
              </w:rPr>
            </w:pPr>
          </w:p>
        </w:tc>
        <w:tc>
          <w:tcPr>
            <w:tcW w:w="20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F0FFFF"/>
            </w:tcBorders>
            <w:shd w:val="clear" w:color="auto" w:fill="F0FFFF"/>
          </w:tcPr>
          <w:p>
            <w:pPr>
              <w:spacing w:after="0"/>
              <w:rPr>
                <w:sz w:val="22"/>
                <w:szCs w:val="22"/>
                <w:color w:val="auto"/>
              </w:rPr>
            </w:pPr>
          </w:p>
        </w:tc>
        <w:tc>
          <w:tcPr>
            <w:tcW w:w="380" w:type="dxa"/>
            <w:vAlign w:val="bottom"/>
            <w:tcBorders>
              <w:bottom w:val="single" w:sz="8" w:color="auto"/>
            </w:tcBorders>
            <w:shd w:val="clear" w:color="auto" w:fill="F0FF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10,877</w:t>
            </w:r>
          </w:p>
        </w:tc>
        <w:tc>
          <w:tcPr>
            <w:tcW w:w="120" w:type="dxa"/>
            <w:vAlign w:val="bottom"/>
            <w:tcBorders>
              <w:bottom w:val="single" w:sz="8" w:color="F0FFFF"/>
            </w:tcBorders>
            <w:shd w:val="clear" w:color="auto" w:fill="F0FFFF"/>
          </w:tcPr>
          <w:p>
            <w:pPr>
              <w:spacing w:after="0"/>
              <w:rPr>
                <w:sz w:val="22"/>
                <w:szCs w:val="22"/>
                <w:color w:val="auto"/>
              </w:rPr>
            </w:pPr>
          </w:p>
        </w:tc>
        <w:tc>
          <w:tcPr>
            <w:tcW w:w="2280" w:type="dxa"/>
            <w:vAlign w:val="bottom"/>
          </w:tcPr>
          <w:p>
            <w:pPr>
              <w:spacing w:after="0"/>
              <w:rPr>
                <w:sz w:val="22"/>
                <w:szCs w:val="22"/>
                <w:color w:val="auto"/>
              </w:rPr>
            </w:pPr>
          </w:p>
        </w:tc>
      </w:tr>
      <w:tr>
        <w:trPr>
          <w:trHeight w:val="669"/>
        </w:trPr>
        <w:tc>
          <w:tcPr>
            <w:tcW w:w="2300" w:type="dxa"/>
            <w:vAlign w:val="bottom"/>
            <w:tcBorders>
              <w:bottom w:val="single" w:sz="8" w:color="DCDCDC"/>
            </w:tcBorders>
          </w:tcPr>
          <w:p>
            <w:pPr>
              <w:spacing w:after="0"/>
              <w:rPr>
                <w:sz w:val="24"/>
                <w:szCs w:val="24"/>
                <w:color w:val="auto"/>
              </w:rPr>
            </w:pPr>
          </w:p>
        </w:tc>
        <w:tc>
          <w:tcPr>
            <w:tcW w:w="2040" w:type="dxa"/>
            <w:vAlign w:val="bottom"/>
            <w:tcBorders>
              <w:bottom w:val="single" w:sz="8" w:color="DCDCDC"/>
            </w:tcBorders>
          </w:tcPr>
          <w:p>
            <w:pPr>
              <w:spacing w:after="0"/>
              <w:rPr>
                <w:sz w:val="24"/>
                <w:szCs w:val="24"/>
                <w:color w:val="auto"/>
              </w:rPr>
            </w:pPr>
          </w:p>
        </w:tc>
        <w:tc>
          <w:tcPr>
            <w:tcW w:w="3520" w:type="dxa"/>
            <w:vAlign w:val="bottom"/>
            <w:tcBorders>
              <w:bottom w:val="single" w:sz="8" w:color="DCDCDC"/>
            </w:tcBorders>
          </w:tcPr>
          <w:p>
            <w:pPr>
              <w:jc w:val="right"/>
              <w:ind w:right="1970"/>
              <w:spacing w:after="0"/>
              <w:rPr>
                <w:sz w:val="20"/>
                <w:szCs w:val="20"/>
                <w:color w:val="auto"/>
              </w:rPr>
            </w:pPr>
            <w:r>
              <w:rPr>
                <w:rFonts w:ascii="Arial" w:cs="Arial" w:eastAsia="Arial" w:hAnsi="Arial"/>
                <w:sz w:val="18"/>
                <w:szCs w:val="18"/>
                <w:color w:val="auto"/>
              </w:rPr>
              <w:t>86</w:t>
            </w:r>
          </w:p>
        </w:tc>
        <w:tc>
          <w:tcPr>
            <w:tcW w:w="38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5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SBA Servicing Rights</w:t>
      </w:r>
    </w:p>
    <w:p>
      <w:pPr>
        <w:spacing w:after="0" w:line="188"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accounts for SBA servicing rights at fair value and is included in other assets. Changes in the balances of servicing assets and servicing liabilities subsequently measured using the fair value measurement method for the year ended December 31, 2014, are recorded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ASC 860 Servicing Asset Rollforward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Borders>
              <w:top w:val="single" w:sz="8" w:color="auto"/>
            </w:tcBorders>
          </w:tcPr>
          <w:p>
            <w:pPr>
              <w:spacing w:after="0"/>
              <w:rPr>
                <w:sz w:val="19"/>
                <w:szCs w:val="19"/>
                <w:color w:val="auto"/>
              </w:rPr>
            </w:pPr>
          </w:p>
        </w:tc>
        <w:tc>
          <w:tcPr>
            <w:tcW w:w="68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Fair value as of January 1, 2014</w:t>
            </w:r>
          </w:p>
        </w:tc>
        <w:tc>
          <w:tcPr>
            <w:tcW w:w="1480" w:type="dxa"/>
            <w:vAlign w:val="bottom"/>
            <w:tcBorders>
              <w:top w:val="single" w:sz="8" w:color="auto"/>
            </w:tcBorders>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Additions:</w:t>
            </w:r>
          </w:p>
        </w:tc>
        <w:tc>
          <w:tcPr>
            <w:tcW w:w="10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Acquired servicing rights</w:t>
            </w:r>
          </w:p>
        </w:tc>
        <w:tc>
          <w:tcPr>
            <w:tcW w:w="10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Originated servicing rights capitalized upon sale of loans</w:t>
            </w:r>
          </w:p>
        </w:tc>
        <w:tc>
          <w:tcPr>
            <w:tcW w:w="10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Subtractions:</w:t>
            </w:r>
          </w:p>
        </w:tc>
        <w:tc>
          <w:tcPr>
            <w:tcW w:w="10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Disposals</w:t>
            </w:r>
          </w:p>
        </w:tc>
        <w:tc>
          <w:tcPr>
            <w:tcW w:w="10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Changes in fair value:</w:t>
            </w:r>
          </w:p>
        </w:tc>
        <w:tc>
          <w:tcPr>
            <w:tcW w:w="10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Due to change in valuation inputs or assumptions used in the valuation model</w:t>
            </w:r>
          </w:p>
        </w:tc>
        <w:tc>
          <w:tcPr>
            <w:tcW w:w="1060" w:type="dxa"/>
            <w:vAlign w:val="bottom"/>
            <w:shd w:val="clear" w:color="auto" w:fill="F0FFFF"/>
          </w:tcPr>
          <w:p>
            <w:pPr>
              <w:spacing w:after="0"/>
              <w:rPr>
                <w:sz w:val="19"/>
                <w:szCs w:val="19"/>
                <w:color w:val="auto"/>
              </w:rPr>
            </w:pPr>
          </w:p>
        </w:tc>
        <w:tc>
          <w:tcPr>
            <w:tcW w:w="420" w:type="dxa"/>
            <w:vAlign w:val="bottom"/>
            <w:shd w:val="clear" w:color="auto" w:fill="F0FFFF"/>
          </w:tcPr>
          <w:p>
            <w:pPr>
              <w:spacing w:after="0"/>
              <w:rPr>
                <w:sz w:val="19"/>
                <w:szCs w:val="19"/>
                <w:color w:val="auto"/>
              </w:rPr>
            </w:pPr>
          </w:p>
        </w:tc>
        <w:tc>
          <w:tcPr>
            <w:tcW w:w="8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Fair value as of December 31, 2014</w:t>
            </w:r>
          </w:p>
        </w:tc>
        <w:tc>
          <w:tcPr>
            <w:tcW w:w="1060" w:type="dxa"/>
            <w:vAlign w:val="bottom"/>
            <w:tcBorders>
              <w:bottom w:val="single" w:sz="8" w:color="F0FFFF"/>
            </w:tcBorders>
            <w:shd w:val="clear" w:color="auto" w:fill="F0FFFF"/>
          </w:tcPr>
          <w:p>
            <w:pPr>
              <w:spacing w:after="0"/>
              <w:rPr>
                <w:sz w:val="22"/>
                <w:szCs w:val="22"/>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 xml:space="preserve">A summary of the key characteristics, inputs, and economic assumptions used to estimate the fair value of the Company’s SBA Servicing Asset as of December 31, 2014, and the sensitivity of the fair values to immediate adverse changes in those assumptions are shown in the table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Sensitivity of the SBA Servicing Asset</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As of December 31, 2014</w:t>
      </w:r>
    </w:p>
    <w:p>
      <w:pPr>
        <w:spacing w:after="0" w:line="9" w:lineRule="exact"/>
        <w:rPr>
          <w:sz w:val="20"/>
          <w:szCs w:val="20"/>
          <w:color w:val="auto"/>
        </w:rPr>
      </w:pPr>
    </w:p>
    <w:tbl>
      <w:tblPr>
        <w:tblLayout w:type="fixed"/>
        <w:tblInd w:w="2000" w:type="dxa"/>
        <w:tblCellMar>
          <w:top w:w="0" w:type="dxa"/>
          <w:left w:w="0" w:type="dxa"/>
          <w:bottom w:w="0" w:type="dxa"/>
          <w:right w:w="0" w:type="dxa"/>
        </w:tblCellMar>
      </w:tblPr>
      <w:tr>
        <w:trPr>
          <w:trHeight w:val="223"/>
        </w:trPr>
        <w:tc>
          <w:tcPr>
            <w:tcW w:w="44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Fair value of retained Servicing Assets</w:t>
            </w:r>
          </w:p>
        </w:tc>
        <w:tc>
          <w:tcPr>
            <w:tcW w:w="2060" w:type="dxa"/>
            <w:vAlign w:val="bottom"/>
            <w:tcBorders>
              <w:top w:val="single" w:sz="8" w:color="auto"/>
            </w:tcBorders>
            <w:shd w:val="clear" w:color="auto" w:fill="F0FF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F0FFFF"/>
          </w:tcPr>
          <w:p>
            <w:pPr>
              <w:spacing w:after="0"/>
              <w:rPr>
                <w:sz w:val="19"/>
                <w:szCs w:val="19"/>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Prepayment rate assumption</w:t>
            </w:r>
          </w:p>
        </w:tc>
        <w:tc>
          <w:tcPr>
            <w:tcW w:w="20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r>
      <w:tr>
        <w:trPr>
          <w:trHeight w:val="216"/>
        </w:trPr>
        <w:tc>
          <w:tcPr>
            <w:tcW w:w="4420" w:type="dxa"/>
            <w:vAlign w:val="bottom"/>
            <w:shd w:val="clear" w:color="auto" w:fill="F0FFFF"/>
          </w:tcPr>
          <w:p>
            <w:pPr>
              <w:spacing w:after="0"/>
              <w:rPr>
                <w:sz w:val="20"/>
                <w:szCs w:val="20"/>
                <w:color w:val="auto"/>
              </w:rPr>
            </w:pPr>
            <w:r>
              <w:rPr>
                <w:rFonts w:ascii="Arial" w:cs="Arial" w:eastAsia="Arial" w:hAnsi="Arial"/>
                <w:sz w:val="18"/>
                <w:szCs w:val="18"/>
                <w:color w:val="auto"/>
              </w:rPr>
              <w:t>10% adverse change</w:t>
            </w:r>
          </w:p>
        </w:tc>
        <w:tc>
          <w:tcPr>
            <w:tcW w:w="2060" w:type="dxa"/>
            <w:vAlign w:val="bottom"/>
            <w:shd w:val="clear" w:color="auto" w:fill="F0FF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 adverse change</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r>
      <w:tr>
        <w:trPr>
          <w:trHeight w:val="216"/>
        </w:trPr>
        <w:tc>
          <w:tcPr>
            <w:tcW w:w="4420" w:type="dxa"/>
            <w:vAlign w:val="bottom"/>
            <w:shd w:val="clear" w:color="auto" w:fill="F0FFFF"/>
          </w:tcPr>
          <w:p>
            <w:pPr>
              <w:spacing w:after="0"/>
              <w:rPr>
                <w:sz w:val="20"/>
                <w:szCs w:val="20"/>
                <w:color w:val="auto"/>
              </w:rPr>
            </w:pPr>
            <w:r>
              <w:rPr>
                <w:rFonts w:ascii="Arial" w:cs="Arial" w:eastAsia="Arial" w:hAnsi="Arial"/>
                <w:sz w:val="18"/>
                <w:szCs w:val="18"/>
                <w:color w:val="auto"/>
              </w:rPr>
              <w:t>Discount rate</w:t>
            </w:r>
          </w:p>
        </w:tc>
        <w:tc>
          <w:tcPr>
            <w:tcW w:w="206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100 bps adverse change</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r>
      <w:tr>
        <w:trPr>
          <w:trHeight w:val="216"/>
        </w:trPr>
        <w:tc>
          <w:tcPr>
            <w:tcW w:w="4420" w:type="dxa"/>
            <w:vAlign w:val="bottom"/>
            <w:shd w:val="clear" w:color="auto" w:fill="F0FFFF"/>
          </w:tcPr>
          <w:p>
            <w:pPr>
              <w:spacing w:after="0"/>
              <w:rPr>
                <w:sz w:val="20"/>
                <w:szCs w:val="20"/>
                <w:color w:val="auto"/>
              </w:rPr>
            </w:pPr>
            <w:r>
              <w:rPr>
                <w:rFonts w:ascii="Arial" w:cs="Arial" w:eastAsia="Arial" w:hAnsi="Arial"/>
                <w:sz w:val="18"/>
                <w:szCs w:val="18"/>
                <w:color w:val="auto"/>
              </w:rPr>
              <w:t>200bps adverse change</w:t>
            </w:r>
          </w:p>
        </w:tc>
        <w:tc>
          <w:tcPr>
            <w:tcW w:w="2060" w:type="dxa"/>
            <w:vAlign w:val="bottom"/>
            <w:shd w:val="clear" w:color="auto" w:fill="F0FF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Weighted-average life (months)</w:t>
            </w:r>
          </w:p>
        </w:tc>
        <w:tc>
          <w:tcPr>
            <w:tcW w:w="20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r>
      <w:tr>
        <w:trPr>
          <w:trHeight w:val="216"/>
        </w:trPr>
        <w:tc>
          <w:tcPr>
            <w:tcW w:w="4420" w:type="dxa"/>
            <w:vAlign w:val="bottom"/>
            <w:shd w:val="clear" w:color="auto" w:fill="F0FFFF"/>
          </w:tcPr>
          <w:p>
            <w:pPr>
              <w:spacing w:after="0"/>
              <w:rPr>
                <w:sz w:val="20"/>
                <w:szCs w:val="20"/>
                <w:color w:val="auto"/>
              </w:rPr>
            </w:pPr>
            <w:r>
              <w:rPr>
                <w:rFonts w:ascii="Arial" w:cs="Arial" w:eastAsia="Arial" w:hAnsi="Arial"/>
                <w:sz w:val="18"/>
                <w:szCs w:val="18"/>
                <w:color w:val="auto"/>
              </w:rPr>
              <w:t>Weighted-average gross margin</w:t>
            </w:r>
          </w:p>
        </w:tc>
        <w:tc>
          <w:tcPr>
            <w:tcW w:w="206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2.00%</w:t>
            </w:r>
          </w:p>
        </w:tc>
      </w:tr>
    </w:tbl>
    <w:p>
      <w:pPr>
        <w:spacing w:after="0" w:line="229"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The above sensitivities are hypothetical and should be used with caution. As the amounts indicate, changes in fair value based on variations in assumptions generally cannot be extrapolated because the relationship of the change in assumption to the change in fair value may not be linear. Also, in this table, the effect of a variation in a particular assumption on the fair value of the retained interest is calculated without changing any other assumption. In reality, changes in one factor may result in changes in another, which might magnify or counteract the sensitivities.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 xml:space="preserve">At December 31, 2014, the contractual maturities of time deposits, including brokered time deposits,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Maturing In:</w:t>
            </w:r>
          </w:p>
        </w:tc>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F0FFFF"/>
          </w:tcPr>
          <w:p>
            <w:pPr>
              <w:spacing w:after="0"/>
              <w:rPr>
                <w:sz w:val="20"/>
                <w:szCs w:val="20"/>
                <w:color w:val="auto"/>
              </w:rPr>
            </w:pPr>
            <w:r>
              <w:rPr>
                <w:rFonts w:ascii="Arial" w:cs="Arial" w:eastAsia="Arial" w:hAnsi="Arial"/>
                <w:sz w:val="18"/>
                <w:szCs w:val="18"/>
                <w:color w:val="auto"/>
              </w:rPr>
              <w:t>2015</w:t>
            </w:r>
          </w:p>
        </w:tc>
        <w:tc>
          <w:tcPr>
            <w:tcW w:w="254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1,001,274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2016</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2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2018</w:t>
            </w: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F0FFFF"/>
          </w:tcPr>
          <w:p>
            <w:pPr>
              <w:spacing w:after="0"/>
              <w:rPr>
                <w:sz w:val="20"/>
                <w:szCs w:val="20"/>
                <w:color w:val="auto"/>
              </w:rPr>
            </w:pPr>
            <w:r>
              <w:rPr>
                <w:rFonts w:ascii="Arial" w:cs="Arial" w:eastAsia="Arial" w:hAnsi="Arial"/>
                <w:sz w:val="18"/>
                <w:szCs w:val="18"/>
                <w:color w:val="auto"/>
              </w:rPr>
              <w:t>2019</w:t>
            </w:r>
          </w:p>
        </w:tc>
        <w:tc>
          <w:tcPr>
            <w:tcW w:w="222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F0FFFF"/>
            </w:tcBorders>
            <w:shd w:val="clear" w:color="auto" w:fill="F0FFFF"/>
          </w:tcPr>
          <w:p>
            <w:pPr>
              <w:spacing w:after="0"/>
              <w:rPr>
                <w:sz w:val="22"/>
                <w:szCs w:val="22"/>
                <w:color w:val="auto"/>
              </w:rPr>
            </w:pPr>
          </w:p>
        </w:tc>
        <w:tc>
          <w:tcPr>
            <w:tcW w:w="2220" w:type="dxa"/>
            <w:vAlign w:val="bottom"/>
            <w:tcBorders>
              <w:bottom w:val="single" w:sz="8" w:color="F0FFFF"/>
            </w:tcBorders>
            <w:shd w:val="clear" w:color="auto" w:fill="F0FFFF"/>
          </w:tcPr>
          <w:p>
            <w:pPr>
              <w:spacing w:after="0"/>
              <w:rPr>
                <w:sz w:val="22"/>
                <w:szCs w:val="22"/>
                <w:color w:val="auto"/>
              </w:rPr>
            </w:pPr>
          </w:p>
        </w:tc>
        <w:tc>
          <w:tcPr>
            <w:tcW w:w="320" w:type="dxa"/>
            <w:vAlign w:val="bottom"/>
            <w:tcBorders>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1,529,539</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At December 31, 2014 and 2013, United held $273 million in certificates of deposit obtained through the efforts of third party brokers. The daily average balance of these brokered deposits totaled $294 million and $219 million in 2014 and 2013, respectively. The brokered certificates of deposit at December 31, 2014 had maturities ranging from 20 to 21 years and are callable by United. Most of the brokered certificates of deposit have been swapped in fair value hedging relationships to 90 day LIBOR minus a spread that currently exceeds LIBOR, thereby resulting in a negative yield. United also has certain market-linked brokered deposits that are considered hybrid instruments that contain embedded derivatives that have been bifurcated from the host contract leaving host instruments paying a rate of 90 day LIBOR minus a spread that also result in a negative yield.</w:t>
      </w:r>
    </w:p>
    <w:p>
      <w:pPr>
        <w:spacing w:after="0" w:line="179"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Federal Home Loan Bank Advances</w:t>
      </w:r>
    </w:p>
    <w:p>
      <w:pPr>
        <w:spacing w:after="0" w:line="246"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color w:val="auto"/>
        </w:rPr>
        <w:t>At December 31, 2014, United had advances totaling $270 million from the FHLB all of which were fixed rate advances. At December 31, 2013, United had advances totaling $120 million from the FHLB all of which were fixed rate advances. With the exception of $125,000 that matures in 2016, the advances outstanding at December 31, 2014 had maturities of no more than 61 days with interest rates up to 0.24%. At December 31, 2014, the weighted average interest rate on FHLB advances was .22%, compared to .19% as of December 31, 2013. The FHLB advances are collateralized by owner occupied and income producing commercial real estate and residential mortgage loans, investment securities and FHLB stock.</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At December 31, 2014, the maturities and current rates of outstanding advances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1"/>
        </w:trPr>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Maturing In:</w:t>
            </w: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Maturing</w:t>
            </w:r>
          </w:p>
        </w:tc>
        <w:tc>
          <w:tcPr>
            <w:tcW w:w="1920" w:type="dxa"/>
            <w:vAlign w:val="bottom"/>
          </w:tcPr>
          <w:p>
            <w:pPr>
              <w:jc w:val="right"/>
              <w:ind w:right="90"/>
              <w:spacing w:after="0"/>
              <w:rPr>
                <w:sz w:val="20"/>
                <w:szCs w:val="20"/>
                <w:color w:val="auto"/>
              </w:rPr>
            </w:pPr>
            <w:r>
              <w:rPr>
                <w:rFonts w:ascii="Arial" w:cs="Arial" w:eastAsia="Arial" w:hAnsi="Arial"/>
                <w:sz w:val="18"/>
                <w:szCs w:val="18"/>
                <w:b w:val="1"/>
                <w:bCs w:val="1"/>
                <w:color w:val="auto"/>
              </w:rPr>
              <w:t>Current Rate Range</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14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2015</w:t>
            </w:r>
          </w:p>
        </w:tc>
        <w:tc>
          <w:tcPr>
            <w:tcW w:w="32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270,000</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920" w:type="dxa"/>
            <w:vAlign w:val="bottom"/>
            <w:tcBorders>
              <w:top w:val="single" w:sz="8" w:color="auto"/>
            </w:tcBorders>
            <w:shd w:val="clear" w:color="auto" w:fill="F0FFFF"/>
          </w:tcPr>
          <w:p>
            <w:pPr>
              <w:jc w:val="right"/>
              <w:ind w:right="270"/>
              <w:spacing w:after="0"/>
              <w:rPr>
                <w:sz w:val="20"/>
                <w:szCs w:val="20"/>
                <w:color w:val="auto"/>
              </w:rPr>
            </w:pPr>
            <w:r>
              <w:rPr>
                <w:rFonts w:ascii="Arial" w:cs="Arial" w:eastAsia="Arial" w:hAnsi="Arial"/>
                <w:sz w:val="18"/>
                <w:szCs w:val="18"/>
                <w:color w:val="auto"/>
              </w:rPr>
              <w:t>0.18% - 0.24%</w:t>
            </w:r>
          </w:p>
        </w:tc>
        <w:tc>
          <w:tcPr>
            <w:tcW w:w="100" w:type="dxa"/>
            <w:vAlign w:val="bottom"/>
            <w:shd w:val="clear" w:color="auto" w:fill="F0FFFF"/>
          </w:tcPr>
          <w:p>
            <w:pPr>
              <w:spacing w:after="0"/>
              <w:rPr>
                <w:sz w:val="18"/>
                <w:szCs w:val="18"/>
                <w:color w:val="auto"/>
              </w:rPr>
            </w:pP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2016</w:t>
            </w:r>
          </w:p>
        </w:tc>
        <w:tc>
          <w:tcPr>
            <w:tcW w:w="3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1720" w:type="dxa"/>
            <w:vAlign w:val="bottom"/>
          </w:tcPr>
          <w:p>
            <w:pPr>
              <w:spacing w:after="0"/>
              <w:rPr>
                <w:sz w:val="22"/>
                <w:szCs w:val="22"/>
                <w:color w:val="auto"/>
              </w:rPr>
            </w:pPr>
          </w:p>
        </w:tc>
        <w:tc>
          <w:tcPr>
            <w:tcW w:w="1480" w:type="dxa"/>
            <w:vAlign w:val="bottom"/>
            <w:shd w:val="clear" w:color="auto" w:fill="F0FFFF"/>
          </w:tcPr>
          <w:p>
            <w:pPr>
              <w:spacing w:after="0"/>
              <w:rPr>
                <w:sz w:val="22"/>
                <w:szCs w:val="22"/>
                <w:color w:val="auto"/>
              </w:rPr>
            </w:pPr>
          </w:p>
        </w:tc>
        <w:tc>
          <w:tcPr>
            <w:tcW w:w="320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270,125</w:t>
            </w:r>
          </w:p>
        </w:tc>
        <w:tc>
          <w:tcPr>
            <w:tcW w:w="180" w:type="dxa"/>
            <w:vAlign w:val="bottom"/>
            <w:shd w:val="clear" w:color="auto" w:fill="F0FFFF"/>
          </w:tcPr>
          <w:p>
            <w:pPr>
              <w:spacing w:after="0"/>
              <w:rPr>
                <w:sz w:val="22"/>
                <w:szCs w:val="22"/>
                <w:color w:val="auto"/>
              </w:rPr>
            </w:pPr>
          </w:p>
        </w:tc>
        <w:tc>
          <w:tcPr>
            <w:tcW w:w="19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720" w:type="dxa"/>
            <w:vAlign w:val="bottom"/>
          </w:tcPr>
          <w:p>
            <w:pPr>
              <w:spacing w:after="0"/>
              <w:rPr>
                <w:sz w:val="22"/>
                <w:szCs w:val="22"/>
                <w:color w:val="auto"/>
              </w:rPr>
            </w:pPr>
          </w:p>
        </w:tc>
      </w:tr>
      <w:tr>
        <w:trPr>
          <w:trHeight w:val="669"/>
        </w:trPr>
        <w:tc>
          <w:tcPr>
            <w:tcW w:w="1720" w:type="dxa"/>
            <w:vAlign w:val="bottom"/>
            <w:tcBorders>
              <w:bottom w:val="single" w:sz="8" w:color="DCDCDC"/>
            </w:tcBorders>
          </w:tcPr>
          <w:p>
            <w:pPr>
              <w:spacing w:after="0"/>
              <w:rPr>
                <w:sz w:val="24"/>
                <w:szCs w:val="24"/>
                <w:color w:val="auto"/>
              </w:rPr>
            </w:pPr>
          </w:p>
        </w:tc>
        <w:tc>
          <w:tcPr>
            <w:tcW w:w="1480" w:type="dxa"/>
            <w:vAlign w:val="bottom"/>
            <w:tcBorders>
              <w:top w:val="single" w:sz="8" w:color="F0FFFF"/>
              <w:bottom w:val="single" w:sz="8" w:color="DCDCDC"/>
            </w:tcBorders>
          </w:tcPr>
          <w:p>
            <w:pPr>
              <w:spacing w:after="0"/>
              <w:rPr>
                <w:sz w:val="24"/>
                <w:szCs w:val="24"/>
                <w:color w:val="auto"/>
              </w:rPr>
            </w:pPr>
          </w:p>
        </w:tc>
        <w:tc>
          <w:tcPr>
            <w:tcW w:w="3200" w:type="dxa"/>
            <w:vAlign w:val="bottom"/>
            <w:tcBorders>
              <w:top w:val="single" w:sz="8" w:color="F0FFFF"/>
              <w:bottom w:val="single" w:sz="8" w:color="DCDCDC"/>
            </w:tcBorders>
          </w:tcPr>
          <w:p>
            <w:pPr>
              <w:jc w:val="right"/>
              <w:ind w:right="510"/>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auto"/>
              <w:bottom w:val="single" w:sz="8" w:color="DCDCDC"/>
            </w:tcBorders>
          </w:tcPr>
          <w:p>
            <w:pPr>
              <w:spacing w:after="0"/>
              <w:rPr>
                <w:sz w:val="24"/>
                <w:szCs w:val="24"/>
                <w:color w:val="auto"/>
              </w:rPr>
            </w:pPr>
          </w:p>
        </w:tc>
        <w:tc>
          <w:tcPr>
            <w:tcW w:w="940" w:type="dxa"/>
            <w:vAlign w:val="bottom"/>
            <w:tcBorders>
              <w:top w:val="single" w:sz="8" w:color="auto"/>
              <w:bottom w:val="single" w:sz="8" w:color="DCDCDC"/>
            </w:tcBorders>
          </w:tcPr>
          <w:p>
            <w:pPr>
              <w:spacing w:after="0"/>
              <w:rPr>
                <w:sz w:val="24"/>
                <w:szCs w:val="24"/>
                <w:color w:val="auto"/>
              </w:rPr>
            </w:pPr>
          </w:p>
        </w:tc>
        <w:tc>
          <w:tcPr>
            <w:tcW w:w="2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F0FFFF"/>
              <w:bottom w:val="single" w:sz="8" w:color="DCDCDC"/>
            </w:tcBorders>
          </w:tcPr>
          <w:p>
            <w:pPr>
              <w:spacing w:after="0"/>
              <w:rPr>
                <w:sz w:val="24"/>
                <w:szCs w:val="24"/>
                <w:color w:val="auto"/>
              </w:rPr>
            </w:pPr>
          </w:p>
        </w:tc>
        <w:tc>
          <w:tcPr>
            <w:tcW w:w="19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50"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66" w:lineRule="exact"/>
        <w:rPr>
          <w:sz w:val="20"/>
          <w:szCs w:val="20"/>
          <w:color w:val="auto"/>
        </w:rPr>
      </w:pPr>
    </w:p>
    <w:p>
      <w:pPr>
        <w:ind w:left="700" w:hanging="692"/>
        <w:spacing w:after="0"/>
        <w:tabs>
          <w:tab w:leader="none" w:pos="7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1" w:lineRule="exact"/>
        <w:rPr>
          <w:rFonts w:ascii="Arial" w:cs="Arial" w:eastAsia="Arial" w:hAnsi="Arial"/>
          <w:sz w:val="22"/>
          <w:szCs w:val="22"/>
          <w:b w:val="1"/>
          <w:bCs w:val="1"/>
          <w:color w:val="auto"/>
        </w:rPr>
      </w:pPr>
    </w:p>
    <w:p>
      <w:pPr>
        <w:ind w:left="720"/>
        <w:spacing w:after="0"/>
        <w:rPr>
          <w:rFonts w:ascii="Arial" w:cs="Arial" w:eastAsia="Arial" w:hAnsi="Arial"/>
          <w:sz w:val="22"/>
          <w:szCs w:val="22"/>
          <w:b w:val="1"/>
          <w:bCs w:val="1"/>
          <w:color w:val="auto"/>
        </w:rPr>
      </w:pPr>
      <w:r>
        <w:rPr>
          <w:rFonts w:ascii="Arial" w:cs="Arial" w:eastAsia="Arial" w:hAnsi="Arial"/>
          <w:sz w:val="22"/>
          <w:szCs w:val="22"/>
          <w:color w:val="auto"/>
        </w:rPr>
        <w:t xml:space="preserve">Long-term debt at December 31, 2014 and 2013 consisted of the following </w:t>
      </w:r>
      <w:r>
        <w:rPr>
          <w:rFonts w:ascii="Arial" w:cs="Arial" w:eastAsia="Arial" w:hAnsi="Arial"/>
          <w:sz w:val="18"/>
          <w:szCs w:val="18"/>
          <w:i w:val="1"/>
          <w:iCs w:val="1"/>
          <w:color w:val="auto"/>
        </w:rPr>
        <w:t>(in thousands)</w:t>
      </w:r>
      <w:r>
        <w:rPr>
          <w:rFonts w:ascii="Arial" w:cs="Arial" w:eastAsia="Arial" w:hAnsi="Arial"/>
          <w:sz w:val="22"/>
          <w:szCs w:val="22"/>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Stated</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Earliest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Issue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Call</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Date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Interest 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2013 senior debentures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40,000</w:t>
            </w: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2013</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2018</w:t>
            </w:r>
          </w:p>
        </w:tc>
        <w:tc>
          <w:tcPr>
            <w:tcW w:w="156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2015</w:t>
            </w: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2012 senior debentures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2012</w:t>
            </w:r>
          </w:p>
        </w:tc>
        <w:tc>
          <w:tcPr>
            <w:tcW w:w="1140" w:type="dxa"/>
            <w:vAlign w:val="bottom"/>
          </w:tcPr>
          <w:p>
            <w:pPr>
              <w:jc w:val="right"/>
              <w:spacing w:after="0"/>
              <w:rPr>
                <w:sz w:val="20"/>
                <w:szCs w:val="20"/>
                <w:color w:val="auto"/>
              </w:rPr>
            </w:pPr>
            <w:r>
              <w:rPr>
                <w:rFonts w:ascii="Arial" w:cs="Arial" w:eastAsia="Arial" w:hAnsi="Arial"/>
                <w:sz w:val="18"/>
                <w:szCs w:val="18"/>
                <w:color w:val="auto"/>
              </w:rPr>
              <w:t>2017</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2017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senior debentures</w:t>
            </w: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Borders>
              <w:bottom w:val="single" w:sz="8" w:color="F0FFFF"/>
            </w:tcBorders>
            <w:shd w:val="clear" w:color="auto" w:fill="F0FFFF"/>
          </w:tcPr>
          <w:p>
            <w:pPr>
              <w:spacing w:after="0"/>
              <w:rPr>
                <w:sz w:val="19"/>
                <w:szCs w:val="19"/>
                <w:color w:val="auto"/>
              </w:rPr>
            </w:pPr>
          </w:p>
        </w:tc>
        <w:tc>
          <w:tcPr>
            <w:tcW w:w="11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14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1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14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United Community Capital Trust</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21,650</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21,650</w:t>
            </w: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1998</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2028</w:t>
            </w:r>
          </w:p>
        </w:tc>
        <w:tc>
          <w:tcPr>
            <w:tcW w:w="156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2008</w:t>
            </w:r>
          </w:p>
        </w:tc>
        <w:tc>
          <w:tcPr>
            <w:tcW w:w="13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United Community Statutory Trust I</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5,155</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140" w:type="dxa"/>
            <w:vAlign w:val="bottom"/>
          </w:tcPr>
          <w:p>
            <w:pPr>
              <w:jc w:val="right"/>
              <w:spacing w:after="0"/>
              <w:rPr>
                <w:sz w:val="20"/>
                <w:szCs w:val="20"/>
                <w:color w:val="auto"/>
              </w:rPr>
            </w:pPr>
            <w:r>
              <w:rPr>
                <w:rFonts w:ascii="Arial" w:cs="Arial" w:eastAsia="Arial" w:hAnsi="Arial"/>
                <w:sz w:val="18"/>
                <w:szCs w:val="18"/>
                <w:color w:val="auto"/>
              </w:rPr>
              <w:t>2030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2010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United Community Capital Trust II</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10,309</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10,309</w:t>
            </w: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2000</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2030</w:t>
            </w:r>
          </w:p>
        </w:tc>
        <w:tc>
          <w:tcPr>
            <w:tcW w:w="156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2010</w:t>
            </w:r>
          </w:p>
        </w:tc>
        <w:tc>
          <w:tcPr>
            <w:tcW w:w="13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Southern Bancorp Capital Trust I</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140" w:type="dxa"/>
            <w:vAlign w:val="bottom"/>
          </w:tcPr>
          <w:p>
            <w:pPr>
              <w:jc w:val="right"/>
              <w:spacing w:after="0"/>
              <w:rPr>
                <w:sz w:val="20"/>
                <w:szCs w:val="20"/>
                <w:color w:val="auto"/>
              </w:rPr>
            </w:pPr>
            <w:r>
              <w:rPr>
                <w:rFonts w:ascii="Arial" w:cs="Arial" w:eastAsia="Arial" w:hAnsi="Arial"/>
                <w:sz w:val="18"/>
                <w:szCs w:val="18"/>
                <w:color w:val="auto"/>
              </w:rPr>
              <w:t>2034</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2009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Prime + 1.00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United Community Statutory Trust II</w:t>
            </w: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12,131</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12,131</w:t>
            </w: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2008</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2038</w:t>
            </w:r>
          </w:p>
        </w:tc>
        <w:tc>
          <w:tcPr>
            <w:tcW w:w="156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2013</w:t>
            </w:r>
          </w:p>
        </w:tc>
        <w:tc>
          <w:tcPr>
            <w:tcW w:w="13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United Community Statutory Trust III</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2008</w:t>
            </w:r>
          </w:p>
        </w:tc>
        <w:tc>
          <w:tcPr>
            <w:tcW w:w="1140" w:type="dxa"/>
            <w:vAlign w:val="bottom"/>
          </w:tcPr>
          <w:p>
            <w:pPr>
              <w:jc w:val="right"/>
              <w:spacing w:after="0"/>
              <w:rPr>
                <w:sz w:val="20"/>
                <w:szCs w:val="20"/>
                <w:color w:val="auto"/>
              </w:rPr>
            </w:pPr>
            <w:r>
              <w:rPr>
                <w:rFonts w:ascii="Arial" w:cs="Arial" w:eastAsia="Arial" w:hAnsi="Arial"/>
                <w:sz w:val="18"/>
                <w:szCs w:val="18"/>
                <w:color w:val="auto"/>
              </w:rPr>
              <w:t>2038</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2013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Prime + 3.00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trust preferred securities</w:t>
            </w:r>
          </w:p>
        </w:tc>
        <w:tc>
          <w:tcPr>
            <w:tcW w:w="24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54,865</w:t>
            </w:r>
          </w:p>
        </w:tc>
        <w:tc>
          <w:tcPr>
            <w:tcW w:w="2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54,865</w:t>
            </w:r>
          </w:p>
        </w:tc>
        <w:tc>
          <w:tcPr>
            <w:tcW w:w="220" w:type="dxa"/>
            <w:vAlign w:val="bottom"/>
            <w:tcBorders>
              <w:bottom w:val="single" w:sz="8" w:color="F0FFFF"/>
            </w:tcBorders>
            <w:shd w:val="clear" w:color="auto" w:fill="F0FFFF"/>
          </w:tcPr>
          <w:p>
            <w:pPr>
              <w:spacing w:after="0"/>
              <w:rPr>
                <w:sz w:val="19"/>
                <w:szCs w:val="19"/>
                <w:color w:val="auto"/>
              </w:rPr>
            </w:pPr>
          </w:p>
        </w:tc>
        <w:tc>
          <w:tcPr>
            <w:tcW w:w="11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14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1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14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129,865</w:t>
            </w:r>
          </w:p>
        </w:tc>
        <w:tc>
          <w:tcPr>
            <w:tcW w:w="2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129,865</w:t>
            </w:r>
          </w:p>
        </w:tc>
        <w:tc>
          <w:tcPr>
            <w:tcW w:w="220" w:type="dxa"/>
            <w:vAlign w:val="bottom"/>
            <w:tcBorders>
              <w:bottom w:val="single" w:sz="8" w:color="F0FFFF"/>
            </w:tcBorders>
            <w:shd w:val="clear" w:color="auto" w:fill="F0FFFF"/>
          </w:tcPr>
          <w:p>
            <w:pPr>
              <w:spacing w:after="0"/>
              <w:rPr>
                <w:sz w:val="22"/>
                <w:szCs w:val="22"/>
                <w:color w:val="auto"/>
              </w:rPr>
            </w:pPr>
          </w:p>
        </w:tc>
        <w:tc>
          <w:tcPr>
            <w:tcW w:w="11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11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11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is paid semiannually for all senior debentures, subordinated debentures and trust preferred securities.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Senior Debentures</w:t>
      </w:r>
    </w:p>
    <w:p>
      <w:pPr>
        <w:spacing w:after="0" w:line="23"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2013 senior debentures are redeemable on or after August 13, 2015, at a redemption price equal to 100% of the principal amount plus any accrued and unpaid interest, and will mature on August 13, 2018 if not redeemed prior to that date. The 2012 senior debentures are not redeemable prior to maturity and will mature on October 15, 2017.</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Trust Preferred Securities</w:t>
      </w:r>
    </w:p>
    <w:p>
      <w:pPr>
        <w:spacing w:after="0" w:line="23"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at a premium as provided in the indentures.</w:t>
      </w:r>
    </w:p>
    <w:p>
      <w:pPr>
        <w:spacing w:after="0" w:line="21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trust preferred securities issued under United Community Statutory Trust II and United Community Statutory Trust III were issued with attached warrants that allowed the holder to redeem the trust preferred securities in exchange for common stock at the exercise price of $100 per share. The warrants expired unexercised on October 31, 2013.</w:t>
      </w:r>
    </w:p>
    <w:p>
      <w:pPr>
        <w:spacing w:after="0" w:line="20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the first quarter of 2015, United sent redemption notices with respect to the trust preferred securities issued under United Community Statutory Trust I and United Community Capital Trust II. Such trust preferred securities will be redeemed in March 2015. The redemption prices for United Community Statutory Trust I and United Community Capital Trust II expressed as a percentage of their respective par values, are 103.18% and 103.389%,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99" w:name="page100"/>
    <w:bookmarkEnd w:id="99"/>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66"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Reclassifications Out of Accumulated Other Comprehensive Income</w:t>
      </w:r>
    </w:p>
    <w:p>
      <w:pPr>
        <w:spacing w:after="0" w:line="21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 xml:space="preserve">The following presents the details regarding amounts reclassified out of accumulated other comprehensive income for the years ended December 31, 2014, 2013 and 2012 </w:t>
      </w:r>
      <w:r>
        <w:rPr>
          <w:rFonts w:ascii="Arial" w:cs="Arial" w:eastAsia="Arial" w:hAnsi="Arial"/>
          <w:sz w:val="18"/>
          <w:szCs w:val="18"/>
          <w:i w:val="1"/>
          <w:iCs w:val="1"/>
          <w:color w:val="auto"/>
        </w:rPr>
        <w:t>(in thousands).</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Amounts Reclassified from</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Accumulated</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Other Comprehensive Income</w:t>
      </w:r>
    </w:p>
    <w:p>
      <w:pPr>
        <w:spacing w:after="0" w:line="9" w:lineRule="exact"/>
        <w:rPr>
          <w:sz w:val="20"/>
          <w:szCs w:val="20"/>
          <w:color w:val="auto"/>
        </w:rPr>
      </w:pPr>
    </w:p>
    <w:p>
      <w:pPr>
        <w:jc w:val="center"/>
        <w:ind w:right="100"/>
        <w:spacing w:after="0" w:line="255" w:lineRule="auto"/>
        <w:rPr>
          <w:sz w:val="20"/>
          <w:szCs w:val="20"/>
          <w:color w:val="auto"/>
        </w:rPr>
      </w:pPr>
      <w:r>
        <w:rPr>
          <w:rFonts w:ascii="Arial" w:cs="Arial" w:eastAsia="Arial" w:hAnsi="Arial"/>
          <w:sz w:val="18"/>
          <w:szCs w:val="18"/>
          <w:b w:val="1"/>
          <w:bCs w:val="1"/>
          <w:color w:val="auto"/>
        </w:rPr>
        <w:t>Details about Accumulated Other          For the Years Ended December            Affected Line Item in the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-4445</wp:posOffset>
            </wp:positionV>
            <wp:extent cx="16725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ind w:left="640"/>
        <w:spacing w:after="0"/>
        <w:tabs>
          <w:tab w:leader="none" w:pos="4340" w:val="left"/>
          <w:tab w:leader="none" w:pos="5260" w:val="left"/>
          <w:tab w:leader="none" w:pos="6180" w:val="left"/>
          <w:tab w:leader="none" w:pos="7960" w:val="left"/>
        </w:tabs>
        <w:rPr>
          <w:sz w:val="20"/>
          <w:szCs w:val="20"/>
          <w:color w:val="auto"/>
        </w:rPr>
      </w:pPr>
      <w:r>
        <w:rPr>
          <w:rFonts w:ascii="Arial" w:cs="Arial" w:eastAsia="Arial" w:hAnsi="Arial"/>
          <w:sz w:val="18"/>
          <w:szCs w:val="18"/>
          <w:b w:val="1"/>
          <w:bCs w:val="1"/>
          <w:color w:val="auto"/>
        </w:rPr>
        <w:t>Comprehensive Income Components</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2012</w:t>
      </w:r>
      <w:r>
        <w:rPr>
          <w:sz w:val="20"/>
          <w:szCs w:val="20"/>
          <w:color w:val="auto"/>
        </w:rPr>
        <w:tab/>
      </w:r>
      <w:r>
        <w:rPr>
          <w:rFonts w:ascii="Arial" w:cs="Arial" w:eastAsia="Arial" w:hAnsi="Arial"/>
          <w:sz w:val="16"/>
          <w:szCs w:val="16"/>
          <w:b w:val="1"/>
          <w:bCs w:val="1"/>
          <w:color w:val="auto"/>
        </w:rPr>
        <w:t>Where Net Income is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on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4,871</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7,078</w:t>
            </w:r>
          </w:p>
        </w:tc>
        <w:tc>
          <w:tcPr>
            <w:tcW w:w="4520" w:type="dxa"/>
            <w:vAlign w:val="bottom"/>
          </w:tcPr>
          <w:p>
            <w:pPr>
              <w:ind w:left="40"/>
              <w:spacing w:after="0"/>
              <w:rPr>
                <w:sz w:val="20"/>
                <w:szCs w:val="20"/>
                <w:color w:val="auto"/>
              </w:rPr>
            </w:pPr>
            <w:r>
              <w:rPr>
                <w:rFonts w:ascii="Arial" w:cs="Arial" w:eastAsia="Arial" w:hAnsi="Arial"/>
                <w:sz w:val="18"/>
                <w:szCs w:val="18"/>
                <w:color w:val="auto"/>
              </w:rPr>
              <w:t>Securities gains, net</w:t>
            </w:r>
          </w:p>
        </w:tc>
      </w:tr>
      <w:tr>
        <w:trPr>
          <w:trHeight w:val="216"/>
        </w:trPr>
        <w:tc>
          <w:tcPr>
            <w:tcW w:w="4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(1,902)</w:t>
            </w:r>
          </w:p>
        </w:tc>
        <w:tc>
          <w:tcPr>
            <w:tcW w:w="26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(2,753)</w:t>
            </w:r>
          </w:p>
        </w:tc>
        <w:tc>
          <w:tcPr>
            <w:tcW w:w="4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Tax expense</w:t>
            </w:r>
          </w:p>
        </w:tc>
      </w:tr>
      <w:tr>
        <w:trPr>
          <w:trHeight w:val="27"/>
        </w:trPr>
        <w:tc>
          <w:tcPr>
            <w:tcW w:w="416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520" w:type="dxa"/>
            <w:vAlign w:val="bottom"/>
            <w:shd w:val="clear" w:color="auto" w:fill="F0FFFF"/>
          </w:tcPr>
          <w:p>
            <w:pPr>
              <w:spacing w:after="0"/>
              <w:rPr>
                <w:sz w:val="2"/>
                <w:szCs w:val="2"/>
                <w:color w:val="auto"/>
              </w:rPr>
            </w:pPr>
          </w:p>
        </w:tc>
      </w:tr>
      <w:tr>
        <w:trPr>
          <w:trHeight w:val="216"/>
        </w:trPr>
        <w:tc>
          <w:tcPr>
            <w:tcW w:w="4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2,969</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4,325</w:t>
            </w:r>
          </w:p>
        </w:tc>
        <w:tc>
          <w:tcPr>
            <w:tcW w:w="4520" w:type="dxa"/>
            <w:vAlign w:val="bottom"/>
          </w:tcPr>
          <w:p>
            <w:pPr>
              <w:ind w:left="40"/>
              <w:spacing w:after="0"/>
              <w:rPr>
                <w:sz w:val="20"/>
                <w:szCs w:val="20"/>
                <w:color w:val="auto"/>
              </w:rPr>
            </w:pPr>
            <w:r>
              <w:rPr>
                <w:rFonts w:ascii="Arial" w:cs="Arial" w:eastAsia="Arial" w:hAnsi="Arial"/>
                <w:sz w:val="18"/>
                <w:szCs w:val="18"/>
                <w:color w:val="auto"/>
              </w:rPr>
              <w:t>Net of tax</w:t>
            </w:r>
          </w:p>
        </w:tc>
      </w:tr>
      <w:tr>
        <w:trPr>
          <w:trHeight w:val="21"/>
        </w:trPr>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right="4880"/>
        <w:spacing w:after="0" w:line="250" w:lineRule="auto"/>
        <w:rPr>
          <w:sz w:val="20"/>
          <w:szCs w:val="20"/>
          <w:color w:val="auto"/>
        </w:rPr>
      </w:pPr>
      <w:r>
        <w:rPr>
          <w:rFonts w:ascii="Arial" w:cs="Arial" w:eastAsia="Arial" w:hAnsi="Arial"/>
          <w:sz w:val="18"/>
          <w:szCs w:val="18"/>
          <w:color w:val="auto"/>
        </w:rPr>
        <w:t>Amortization of gains included in net income on available-for-sale securities transferred to held to maturity: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1,656</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1,988</w:t>
            </w:r>
          </w:p>
        </w:tc>
        <w:tc>
          <w:tcPr>
            <w:tcW w:w="4520" w:type="dxa"/>
            <w:vAlign w:val="bottom"/>
          </w:tcPr>
          <w:p>
            <w:pPr>
              <w:ind w:left="40"/>
              <w:spacing w:after="0"/>
              <w:rPr>
                <w:sz w:val="20"/>
                <w:szCs w:val="20"/>
                <w:color w:val="auto"/>
              </w:rPr>
            </w:pPr>
            <w:r>
              <w:rPr>
                <w:rFonts w:ascii="Arial" w:cs="Arial" w:eastAsia="Arial" w:hAnsi="Arial"/>
                <w:sz w:val="18"/>
                <w:szCs w:val="18"/>
                <w:color w:val="auto"/>
              </w:rPr>
              <w:t>Investment securities 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(773)</w:t>
            </w:r>
          </w:p>
        </w:tc>
        <w:tc>
          <w:tcPr>
            <w:tcW w:w="4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tcBorders>
              <w:right w:val="single" w:sz="8" w:color="F0FFFF"/>
            </w:tcBorders>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5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1,215</w:t>
            </w:r>
          </w:p>
        </w:tc>
        <w:tc>
          <w:tcPr>
            <w:tcW w:w="45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140" w:type="dxa"/>
            <w:vAlign w:val="bottom"/>
            <w:shd w:val="clear" w:color="auto" w:fill="F0FFFF"/>
          </w:tcPr>
          <w:p>
            <w:pPr>
              <w:spacing w:after="0" w:line="195" w:lineRule="exact"/>
              <w:rPr>
                <w:sz w:val="20"/>
                <w:szCs w:val="20"/>
                <w:color w:val="auto"/>
              </w:rPr>
            </w:pPr>
            <w:r>
              <w:rPr>
                <w:rFonts w:ascii="Arial" w:cs="Arial" w:eastAsia="Arial" w:hAnsi="Arial"/>
                <w:sz w:val="18"/>
                <w:szCs w:val="18"/>
                <w:color w:val="auto"/>
                <w:w w:val="95"/>
              </w:rPr>
              <w:t>Amounts included in net income on derivative financial</w:t>
            </w:r>
          </w:p>
        </w:tc>
        <w:tc>
          <w:tcPr>
            <w:tcW w:w="800" w:type="dxa"/>
            <w:vAlign w:val="bottom"/>
            <w:tcBorders>
              <w:right w:val="single" w:sz="8" w:color="F0FFFF"/>
            </w:tcBorders>
            <w:gridSpan w:val="2"/>
            <w:shd w:val="clear" w:color="auto" w:fill="F0FFFF"/>
          </w:tcPr>
          <w:p>
            <w:pPr>
              <w:spacing w:after="0" w:line="195" w:lineRule="exact"/>
              <w:rPr>
                <w:sz w:val="20"/>
                <w:szCs w:val="20"/>
                <w:color w:val="auto"/>
              </w:rPr>
            </w:pPr>
            <w:r>
              <w:rPr>
                <w:rFonts w:ascii="Arial" w:cs="Arial" w:eastAsia="Arial" w:hAnsi="Arial"/>
                <w:sz w:val="18"/>
                <w:szCs w:val="18"/>
                <w:color w:val="auto"/>
                <w:w w:val="81"/>
              </w:rPr>
              <w:t>instruments</w:t>
            </w:r>
          </w:p>
        </w:tc>
        <w:tc>
          <w:tcPr>
            <w:tcW w:w="140" w:type="dxa"/>
            <w:vAlign w:val="bottom"/>
            <w:shd w:val="clear" w:color="auto" w:fill="F0FFFF"/>
          </w:tcPr>
          <w:p>
            <w:pPr>
              <w:spacing w:after="0"/>
              <w:rPr>
                <w:sz w:val="16"/>
                <w:szCs w:val="16"/>
                <w:color w:val="auto"/>
              </w:rPr>
            </w:pPr>
          </w:p>
        </w:tc>
        <w:tc>
          <w:tcPr>
            <w:tcW w:w="1800" w:type="dxa"/>
            <w:vAlign w:val="bottom"/>
            <w:gridSpan w:val="6"/>
            <w:shd w:val="clear" w:color="auto" w:fill="F0FFFF"/>
          </w:tcPr>
          <w:p>
            <w:pPr>
              <w:spacing w:after="0" w:line="195" w:lineRule="exact"/>
              <w:rPr>
                <w:sz w:val="20"/>
                <w:szCs w:val="20"/>
                <w:color w:val="auto"/>
              </w:rPr>
            </w:pPr>
            <w:r>
              <w:rPr>
                <w:rFonts w:ascii="Arial" w:cs="Arial" w:eastAsia="Arial" w:hAnsi="Arial"/>
                <w:sz w:val="18"/>
                <w:szCs w:val="18"/>
                <w:color w:val="auto"/>
              </w:rPr>
              <w:t>accounted for as cash</w:t>
            </w:r>
          </w:p>
        </w:tc>
        <w:tc>
          <w:tcPr>
            <w:tcW w:w="45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flow hedges:</w:t>
            </w:r>
          </w:p>
        </w:tc>
        <w:tc>
          <w:tcPr>
            <w:tcW w:w="200" w:type="dxa"/>
            <w:vAlign w:val="bottom"/>
            <w:shd w:val="clear" w:color="auto" w:fill="F0FFFF"/>
          </w:tcPr>
          <w:p>
            <w:pPr>
              <w:spacing w:after="0"/>
              <w:rPr>
                <w:sz w:val="20"/>
                <w:szCs w:val="20"/>
                <w:color w:val="auto"/>
              </w:rPr>
            </w:pPr>
          </w:p>
        </w:tc>
        <w:tc>
          <w:tcPr>
            <w:tcW w:w="600" w:type="dxa"/>
            <w:vAlign w:val="bottom"/>
            <w:tcBorders>
              <w:right w:val="single" w:sz="8" w:color="F0FFFF"/>
            </w:tcBorders>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4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45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Effective portion of interest rate contracts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3,475</w:t>
            </w:r>
          </w:p>
        </w:tc>
        <w:tc>
          <w:tcPr>
            <w:tcW w:w="4520" w:type="dxa"/>
            <w:vAlign w:val="bottom"/>
          </w:tcPr>
          <w:p>
            <w:pPr>
              <w:ind w:left="40"/>
              <w:spacing w:after="0"/>
              <w:rPr>
                <w:sz w:val="20"/>
                <w:szCs w:val="20"/>
                <w:color w:val="auto"/>
              </w:rPr>
            </w:pPr>
            <w:r>
              <w:rPr>
                <w:rFonts w:ascii="Arial" w:cs="Arial" w:eastAsia="Arial" w:hAnsi="Arial"/>
                <w:sz w:val="18"/>
                <w:szCs w:val="18"/>
                <w:color w:val="auto"/>
              </w:rPr>
              <w:t>Loan 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Ineffective portion of interest rate contracts</w:t>
            </w:r>
          </w:p>
        </w:tc>
        <w:tc>
          <w:tcPr>
            <w:tcW w:w="20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237</w:t>
            </w:r>
          </w:p>
        </w:tc>
        <w:tc>
          <w:tcPr>
            <w:tcW w:w="4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Loan 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Effective portion of interest rate contracts</w:t>
            </w: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520" w:type="dxa"/>
            <w:vAlign w:val="bottom"/>
          </w:tcPr>
          <w:p>
            <w:pPr>
              <w:ind w:left="40"/>
              <w:spacing w:after="0"/>
              <w:rPr>
                <w:sz w:val="20"/>
                <w:szCs w:val="20"/>
                <w:color w:val="auto"/>
              </w:rPr>
            </w:pPr>
            <w:r>
              <w:rPr>
                <w:rFonts w:ascii="Arial" w:cs="Arial" w:eastAsia="Arial" w:hAnsi="Arial"/>
                <w:sz w:val="18"/>
                <w:szCs w:val="18"/>
                <w:color w:val="auto"/>
              </w:rPr>
              <w:t>Time deposit interest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Effective portion of interest rate contracts</w:t>
            </w:r>
          </w:p>
        </w:tc>
        <w:tc>
          <w:tcPr>
            <w:tcW w:w="20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4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Money market deposit interest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w w:val="91"/>
              </w:rPr>
              <w:t>Amortization of losses on de-designated positions</w:t>
            </w: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520" w:type="dxa"/>
            <w:vAlign w:val="bottom"/>
          </w:tcPr>
          <w:p>
            <w:pPr>
              <w:ind w:left="40"/>
              <w:spacing w:after="0"/>
              <w:rPr>
                <w:sz w:val="20"/>
                <w:szCs w:val="20"/>
                <w:color w:val="auto"/>
              </w:rPr>
            </w:pPr>
            <w:r>
              <w:rPr>
                <w:rFonts w:ascii="Arial" w:cs="Arial" w:eastAsia="Arial" w:hAnsi="Arial"/>
                <w:sz w:val="18"/>
                <w:szCs w:val="18"/>
                <w:color w:val="auto"/>
                <w:w w:val="89"/>
              </w:rPr>
              <w:t>Deposits in banks and short-term investments 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F0FFFF"/>
          </w:tcPr>
          <w:p>
            <w:pPr>
              <w:ind w:left="480"/>
              <w:spacing w:after="0"/>
              <w:rPr>
                <w:sz w:val="20"/>
                <w:szCs w:val="20"/>
                <w:color w:val="auto"/>
              </w:rPr>
            </w:pPr>
            <w:r>
              <w:rPr>
                <w:rFonts w:ascii="Arial" w:cs="Arial" w:eastAsia="Arial" w:hAnsi="Arial"/>
                <w:sz w:val="18"/>
                <w:szCs w:val="18"/>
                <w:color w:val="auto"/>
                <w:w w:val="91"/>
              </w:rPr>
              <w:t>Amortization of losses on de-designated positions</w:t>
            </w:r>
          </w:p>
        </w:tc>
        <w:tc>
          <w:tcPr>
            <w:tcW w:w="20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4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Money market deposit interest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w w:val="91"/>
              </w:rPr>
              <w:t>Amortization of losses on de-designated positions</w:t>
            </w: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Arial" w:cs="Arial" w:eastAsia="Arial" w:hAnsi="Arial"/>
                <w:sz w:val="18"/>
                <w:szCs w:val="18"/>
                <w:color w:val="auto"/>
              </w:rPr>
              <w:t>Federal Home Loan Bank advances interest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F0FFFF"/>
          </w:tcPr>
          <w:p>
            <w:pPr>
              <w:ind w:left="480"/>
              <w:spacing w:after="0"/>
              <w:rPr>
                <w:sz w:val="20"/>
                <w:szCs w:val="20"/>
                <w:color w:val="auto"/>
              </w:rPr>
            </w:pPr>
            <w:r>
              <w:rPr>
                <w:rFonts w:ascii="Arial" w:cs="Arial" w:eastAsia="Arial" w:hAnsi="Arial"/>
                <w:sz w:val="18"/>
                <w:szCs w:val="18"/>
                <w:color w:val="auto"/>
                <w:w w:val="91"/>
              </w:rPr>
              <w:t>Amortization of losses on de-designated positions</w:t>
            </w:r>
          </w:p>
        </w:tc>
        <w:tc>
          <w:tcPr>
            <w:tcW w:w="20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(512)</w:t>
            </w:r>
          </w:p>
        </w:tc>
        <w:tc>
          <w:tcPr>
            <w:tcW w:w="24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4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Time deposit interest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tcBorders>
              <w:right w:val="single" w:sz="8" w:color="F0FFFF"/>
            </w:tcBorders>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5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3,712</w:t>
            </w:r>
          </w:p>
        </w:tc>
        <w:tc>
          <w:tcPr>
            <w:tcW w:w="4520" w:type="dxa"/>
            <w:vAlign w:val="bottom"/>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6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(1,444)</w:t>
            </w:r>
          </w:p>
        </w:tc>
        <w:tc>
          <w:tcPr>
            <w:tcW w:w="4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Tax (expense) or benefit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tcBorders>
              <w:right w:val="single" w:sz="8" w:color="F0FFFF"/>
            </w:tcBorders>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5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2,268</w:t>
            </w:r>
          </w:p>
        </w:tc>
        <w:tc>
          <w:tcPr>
            <w:tcW w:w="45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41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right w:val="single" w:sz="8" w:color="F0FFFF"/>
            </w:tcBorders>
            <w:gridSpan w:val="3"/>
            <w:shd w:val="clear" w:color="auto" w:fill="F0FFFF"/>
          </w:tcPr>
          <w:p>
            <w:pPr>
              <w:spacing w:after="0"/>
              <w:rPr>
                <w:sz w:val="18"/>
                <w:szCs w:val="18"/>
                <w:color w:val="auto"/>
              </w:rPr>
            </w:pPr>
          </w:p>
        </w:tc>
        <w:tc>
          <w:tcPr>
            <w:tcW w:w="6460" w:type="dxa"/>
            <w:vAlign w:val="bottom"/>
            <w:gridSpan w:val="8"/>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1"/>
          </w:tcPr>
          <w:p>
            <w:pPr>
              <w:spacing w:after="0"/>
              <w:rPr>
                <w:sz w:val="20"/>
                <w:szCs w:val="20"/>
                <w:color w:val="auto"/>
              </w:rPr>
            </w:pPr>
            <w:r>
              <w:rPr>
                <w:rFonts w:ascii="Arial" w:cs="Arial" w:eastAsia="Arial" w:hAnsi="Arial"/>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Prior service cost</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(365)</w:t>
            </w:r>
          </w:p>
        </w:tc>
        <w:tc>
          <w:tcPr>
            <w:tcW w:w="4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Actuarial losses</w:t>
            </w: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4520" w:type="dxa"/>
            <w:vAlign w:val="bottom"/>
          </w:tcPr>
          <w:p>
            <w:pPr>
              <w:ind w:left="40"/>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F0FFFF"/>
          </w:tcPr>
          <w:p>
            <w:pPr>
              <w:spacing w:after="0"/>
              <w:rPr>
                <w:sz w:val="18"/>
                <w:szCs w:val="18"/>
                <w:color w:val="auto"/>
              </w:rPr>
            </w:pPr>
          </w:p>
        </w:tc>
        <w:tc>
          <w:tcPr>
            <w:tcW w:w="4520" w:type="dxa"/>
            <w:vAlign w:val="bottom"/>
            <w:shd w:val="clear" w:color="auto" w:fill="F0FFFF"/>
          </w:tcPr>
          <w:p>
            <w:pPr>
              <w:ind w:left="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452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Borders>
              <w:bottom w:val="single" w:sz="8" w:color="F0FFFF"/>
            </w:tcBorders>
            <w:shd w:val="clear" w:color="auto" w:fill="F0FFFF"/>
          </w:tcPr>
          <w:p>
            <w:pPr>
              <w:jc w:val="right"/>
              <w:ind w:right="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F0FFFF"/>
            </w:tcBorders>
            <w:shd w:val="clear" w:color="auto" w:fill="F0FFFF"/>
          </w:tcPr>
          <w:p>
            <w:pPr>
              <w:spacing w:after="0"/>
              <w:rPr>
                <w:sz w:val="22"/>
                <w:szCs w:val="22"/>
                <w:color w:val="auto"/>
              </w:rPr>
            </w:pPr>
          </w:p>
        </w:tc>
        <w:tc>
          <w:tcPr>
            <w:tcW w:w="452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reclassifications for the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2,552</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7,433</w:t>
            </w:r>
          </w:p>
        </w:tc>
        <w:tc>
          <w:tcPr>
            <w:tcW w:w="452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w w:val="93"/>
              </w:rPr>
              <w:t>Amounts shown above in parentheses reduce earnings</w:t>
            </w:r>
          </w:p>
        </w:tc>
        <w:tc>
          <w:tcPr>
            <w:tcW w:w="200" w:type="dxa"/>
            <w:vAlign w:val="bottom"/>
            <w:shd w:val="clear" w:color="auto" w:fill="F0FFFF"/>
          </w:tcPr>
          <w:p>
            <w:pPr>
              <w:spacing w:after="0"/>
              <w:rPr>
                <w:sz w:val="18"/>
                <w:szCs w:val="18"/>
                <w:color w:val="auto"/>
              </w:rPr>
            </w:pPr>
          </w:p>
        </w:tc>
        <w:tc>
          <w:tcPr>
            <w:tcW w:w="60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5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Earnings Per Share</w:t>
      </w:r>
    </w:p>
    <w:p>
      <w:pPr>
        <w:spacing w:after="0" w:line="239"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shares of common stock outstanding during the period while the effects of potential shares of common stock outstanding during the period are included in diluted earnings per common share.</w:t>
      </w:r>
    </w:p>
    <w:p>
      <w:pPr>
        <w:spacing w:after="0" w:line="222"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During the years ended December 31, 2014, 2013 and 2012, United accrued dividends on preferred stock, including accretion of discounts, as shown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F0FFFF"/>
          </w:tcPr>
          <w:p>
            <w:pPr>
              <w:spacing w:after="0"/>
              <w:rPr>
                <w:sz w:val="20"/>
                <w:szCs w:val="20"/>
                <w:color w:val="auto"/>
              </w:rPr>
            </w:pPr>
            <w:r>
              <w:rPr>
                <w:rFonts w:ascii="Arial" w:cs="Arial" w:eastAsia="Arial" w:hAnsi="Arial"/>
                <w:sz w:val="18"/>
                <w:szCs w:val="18"/>
                <w:color w:val="auto"/>
              </w:rPr>
              <w:t>Series A - 6% fixed</w:t>
            </w:r>
          </w:p>
        </w:tc>
        <w:tc>
          <w:tcPr>
            <w:tcW w:w="800" w:type="dxa"/>
            <w:vAlign w:val="bottom"/>
            <w:shd w:val="clear" w:color="auto" w:fill="F0FFFF"/>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Series B - 5% fixed until December 6, 2013, 9% thereafter</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10,465</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Series D - LIBOR plus 9.6875%, resets quarterly</w:t>
            </w:r>
          </w:p>
        </w:tc>
        <w:tc>
          <w:tcPr>
            <w:tcW w:w="800" w:type="dxa"/>
            <w:vAlign w:val="bottom"/>
            <w:tcBorders>
              <w:bottom w:val="single" w:sz="8" w:color="auto"/>
            </w:tcBorders>
            <w:shd w:val="clear" w:color="auto" w:fill="F0FFFF"/>
          </w:tcPr>
          <w:p>
            <w:pPr>
              <w:spacing w:after="0"/>
              <w:rPr>
                <w:sz w:val="19"/>
                <w:szCs w:val="19"/>
                <w:color w:val="auto"/>
              </w:rPr>
            </w:pPr>
          </w:p>
        </w:tc>
        <w:tc>
          <w:tcPr>
            <w:tcW w:w="3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Borders>
              <w:bottom w:val="single" w:sz="8" w:color="F0FFFF"/>
            </w:tcBorders>
            <w:shd w:val="clear" w:color="auto" w:fill="F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Total preferred stock dividends</w:t>
            </w: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439</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12,078</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12,148</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Series B preferred stock was issued at a discount. Dividend amounts shown include discount accretion for each period.</w:t>
      </w:r>
    </w:p>
    <w:p>
      <w:pPr>
        <w:spacing w:after="0" w:line="225" w:lineRule="exact"/>
        <w:rPr>
          <w:sz w:val="20"/>
          <w:szCs w:val="20"/>
          <w:color w:val="auto"/>
        </w:rPr>
      </w:pPr>
    </w:p>
    <w:p>
      <w:pPr>
        <w:ind w:left="500" w:right="400"/>
        <w:spacing w:after="0" w:line="277" w:lineRule="auto"/>
        <w:rPr>
          <w:sz w:val="20"/>
          <w:szCs w:val="20"/>
          <w:color w:val="auto"/>
        </w:rPr>
      </w:pPr>
      <w:r>
        <w:rPr>
          <w:rFonts w:ascii="Arial" w:cs="Arial" w:eastAsia="Arial" w:hAnsi="Arial"/>
          <w:sz w:val="18"/>
          <w:szCs w:val="18"/>
          <w:color w:val="auto"/>
        </w:rPr>
        <w:t>The preferred stock dividends were subtracted from net income in order to arrive at net income available to common shareholders. There were no dilutive securities outstanding at December 31, 2012.</w:t>
      </w:r>
    </w:p>
    <w:p>
      <w:pPr>
        <w:sectPr>
          <w:pgSz w:w="11900" w:h="16888" w:orient="portrait"/>
          <w:cols w:equalWidth="0" w:num="1">
            <w:col w:w="11420"/>
          </w:cols>
          <w:pgMar w:left="240" w:top="841" w:right="239" w:bottom="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Earnings Per Share, continued</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1"/>
          <w:szCs w:val="21"/>
          <w:color w:val="auto"/>
        </w:rPr>
        <w:t>The following table sets forth the computation of basic and diluted net income per common share for the years ended</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December 31, 2014, 2013 and 2012 </w:t>
      </w:r>
      <w:r>
        <w:rPr>
          <w:rFonts w:ascii="Arial" w:cs="Arial" w:eastAsia="Arial" w:hAnsi="Arial"/>
          <w:sz w:val="18"/>
          <w:szCs w:val="18"/>
          <w:i w:val="1"/>
          <w:iCs w:val="1"/>
          <w:color w:val="auto"/>
        </w:rPr>
        <w:t>(in thousands, except per share data)</w:t>
      </w:r>
      <w:r>
        <w:rPr>
          <w:rFonts w:ascii="Arial" w:cs="Arial" w:eastAsia="Arial" w:hAnsi="Arial"/>
          <w:sz w:val="22"/>
          <w:szCs w:val="22"/>
          <w:color w:val="auto"/>
        </w:rPr>
        <w:t>:</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51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income available to common stockholders</w:t>
            </w: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67,181</w:t>
            </w:r>
          </w:p>
        </w:tc>
        <w:tc>
          <w:tcPr>
            <w:tcW w:w="2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261,062</w:t>
            </w:r>
          </w:p>
        </w:tc>
        <w:tc>
          <w:tcPr>
            <w:tcW w:w="2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21,708</w:t>
            </w:r>
          </w:p>
        </w:tc>
        <w:tc>
          <w:tcPr>
            <w:tcW w:w="100" w:type="dxa"/>
            <w:vAlign w:val="bottom"/>
            <w:tcBorders>
              <w:bottom w:val="single" w:sz="8" w:color="F0FFFF"/>
            </w:tcBorders>
            <w:shd w:val="clear" w:color="auto" w:fill="F0FF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common shares:</w:t>
            </w: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Warrants</w:t>
            </w:r>
          </w:p>
        </w:tc>
        <w:tc>
          <w:tcPr>
            <w:tcW w:w="22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60,590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color w:val="auto"/>
        </w:rPr>
        <w:t>At December 31, 2014, United had the following potentially dilutive stock options and warrants outstanding: a warrant to purchase 219,909 shares of common stock at $61.40 per share; 313,555 shares of common stock issuable upon exercise of stock options granted to employees with a weighted average exercise price of $93.40; and 829,201 shares of common stock issuable upon completion of vesting of restricted stock awards.</w:t>
      </w:r>
    </w:p>
    <w:p>
      <w:pPr>
        <w:spacing w:after="0" w:line="174"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color w:val="auto"/>
        </w:rPr>
        <w:t>At December 31, 2013, United had the following potentially dilutive stock options and warrants outstanding: a warrant to purchase 219,909 shares of common stock at $61.40 per share; 371,449 shares of common stock issuable upon exercise of stock options granted to employees with a weighted average exercise price of $98.54; 1,073,259 shares of common stock issuable upon completion of vesting of restricted stock awards; and warrants to purchase shares of common stock equivalent junior preferred stock at a price equivalent to $21.25 per share that would be convertible into 1,411,765 shares of common stock, which were granted to Fletcher International Ltd. (“Fletcher”) in connection with a 2010 asset purchase and sale agreement.</w:t>
      </w:r>
    </w:p>
    <w:p>
      <w:pPr>
        <w:spacing w:after="0" w:line="18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At December 31, 2012, United had the following potentially dilutive stock options and warrants outstanding: a warrant to purchase 219,909 shares of common stock at $61.40 per share; warrants that are attached to trust preferred securities to purchase 129,670 shares of common stock at $100 per share; 482,528 shares of common stock issuable upon exercise of stock options granted to employees with a weighted average exercise price of $97.73; 485,584 shares of common stock issuable upon completion of vesting of restricted stock awards; warrants to purchase shares of common stock equivalent junior preferred stock at a price equivalent to $21.25 per share that would be convertible into 1,411,765 shares of common stock, which were granted to Fletcher in connection with a 2010 asset purchase and sale agreement; and warrants to purchase 1,551,126 shares of common stock at $12.50 per share.</w:t>
      </w:r>
    </w:p>
    <w:p>
      <w:pPr>
        <w:spacing w:after="0" w:line="203"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Income tax expense (benefit) for the years ended December 31, 2014, 2013 and 2012 is as follows </w:t>
      </w:r>
      <w:r>
        <w:rPr>
          <w:rFonts w:ascii="Arial" w:cs="Arial" w:eastAsia="Arial" w:hAnsi="Arial"/>
          <w:sz w:val="18"/>
          <w:szCs w:val="18"/>
          <w:i w:val="1"/>
          <w:iCs w:val="1"/>
          <w:color w:val="auto"/>
        </w:rPr>
        <w:t>(in thousands)</w:t>
      </w:r>
      <w:r>
        <w:rPr>
          <w:rFonts w:ascii="Arial" w:cs="Arial" w:eastAsia="Arial" w:hAnsi="Arial"/>
          <w:sz w:val="22"/>
          <w:szCs w:val="22"/>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F0FFFF"/>
          </w:tcPr>
          <w:p>
            <w:pPr>
              <w:spacing w:after="0"/>
              <w:rPr>
                <w:sz w:val="20"/>
                <w:szCs w:val="20"/>
                <w:color w:val="auto"/>
              </w:rPr>
            </w:pPr>
            <w:r>
              <w:rPr>
                <w:rFonts w:ascii="Arial" w:cs="Arial" w:eastAsia="Arial" w:hAnsi="Arial"/>
                <w:sz w:val="18"/>
                <w:szCs w:val="18"/>
                <w:color w:val="auto"/>
              </w:rPr>
              <w:t>Current</w:t>
            </w:r>
          </w:p>
        </w:tc>
        <w:tc>
          <w:tcPr>
            <w:tcW w:w="224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3,467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Deferred</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9,446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060" w:type="dxa"/>
            <w:vAlign w:val="bottom"/>
            <w:shd w:val="clear" w:color="auto" w:fill="F0FFFF"/>
          </w:tcPr>
          <w:p>
            <w:pPr>
              <w:spacing w:after="0"/>
              <w:rPr>
                <w:sz w:val="20"/>
                <w:szCs w:val="20"/>
                <w:color w:val="auto"/>
              </w:rPr>
            </w:pPr>
            <w:r>
              <w:rPr>
                <w:rFonts w:ascii="Arial" w:cs="Arial" w:eastAsia="Arial" w:hAnsi="Arial"/>
                <w:sz w:val="18"/>
                <w:szCs w:val="18"/>
                <w:color w:val="auto"/>
              </w:rPr>
              <w:t>Increase (decrease) in valuation allowance</w:t>
            </w:r>
          </w:p>
        </w:tc>
        <w:tc>
          <w:tcPr>
            <w:tcW w:w="224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(265,440)</w:t>
            </w:r>
          </w:p>
        </w:tc>
        <w:tc>
          <w:tcPr>
            <w:tcW w:w="8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(9,446)</w:t>
            </w: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060" w:type="dxa"/>
            <w:vAlign w:val="bottom"/>
            <w:tcBorders>
              <w:top w:val="single" w:sz="8" w:color="F0FFFF"/>
            </w:tcBorders>
          </w:tcPr>
          <w:p>
            <w:pPr>
              <w:spacing w:after="0"/>
              <w:rPr>
                <w:sz w:val="18"/>
                <w:szCs w:val="18"/>
                <w:color w:val="auto"/>
              </w:rPr>
            </w:pPr>
          </w:p>
        </w:tc>
        <w:tc>
          <w:tcPr>
            <w:tcW w:w="22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560" w:type="dxa"/>
            <w:vAlign w:val="bottom"/>
          </w:tcPr>
          <w:p>
            <w:pPr>
              <w:spacing w:after="0"/>
              <w:rPr>
                <w:sz w:val="18"/>
                <w:szCs w:val="18"/>
                <w:color w:val="auto"/>
              </w:rPr>
            </w:pPr>
          </w:p>
        </w:tc>
      </w:tr>
      <w:tr>
        <w:trPr>
          <w:trHeight w:val="257"/>
        </w:trPr>
        <w:tc>
          <w:tcPr>
            <w:tcW w:w="580" w:type="dxa"/>
            <w:vAlign w:val="bottom"/>
          </w:tcPr>
          <w:p>
            <w:pPr>
              <w:spacing w:after="0"/>
              <w:rPr>
                <w:sz w:val="22"/>
                <w:szCs w:val="22"/>
                <w:color w:val="auto"/>
              </w:rPr>
            </w:pPr>
          </w:p>
        </w:tc>
        <w:tc>
          <w:tcPr>
            <w:tcW w:w="40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income tax expense (benefit)</w:t>
            </w:r>
          </w:p>
        </w:tc>
        <w:tc>
          <w:tcPr>
            <w:tcW w:w="248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39,450</w:t>
            </w:r>
          </w:p>
        </w:tc>
        <w:tc>
          <w:tcPr>
            <w:tcW w:w="44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(238,188)</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F0FFFF"/>
          </w:tcPr>
          <w:p>
            <w:pPr>
              <w:spacing w:after="0"/>
              <w:rPr>
                <w:sz w:val="22"/>
                <w:szCs w:val="22"/>
                <w:color w:val="auto"/>
              </w:rPr>
            </w:pPr>
          </w:p>
        </w:tc>
        <w:tc>
          <w:tcPr>
            <w:tcW w:w="560" w:type="dxa"/>
            <w:vAlign w:val="bottom"/>
          </w:tcPr>
          <w:p>
            <w:pPr>
              <w:spacing w:after="0"/>
              <w:rPr>
                <w:sz w:val="22"/>
                <w:szCs w:val="22"/>
                <w:color w:val="auto"/>
              </w:rPr>
            </w:pPr>
          </w:p>
        </w:tc>
      </w:tr>
      <w:tr>
        <w:trPr>
          <w:trHeight w:val="433"/>
        </w:trPr>
        <w:tc>
          <w:tcPr>
            <w:tcW w:w="580" w:type="dxa"/>
            <w:vAlign w:val="bottom"/>
            <w:tcBorders>
              <w:bottom w:val="single" w:sz="8" w:color="DCDCDC"/>
            </w:tcBorders>
          </w:tcPr>
          <w:p>
            <w:pPr>
              <w:spacing w:after="0"/>
              <w:rPr>
                <w:sz w:val="24"/>
                <w:szCs w:val="24"/>
                <w:color w:val="auto"/>
              </w:rPr>
            </w:pPr>
          </w:p>
        </w:tc>
        <w:tc>
          <w:tcPr>
            <w:tcW w:w="4060" w:type="dxa"/>
            <w:vAlign w:val="bottom"/>
            <w:tcBorders>
              <w:top w:val="single" w:sz="8" w:color="F0FFFF"/>
              <w:bottom w:val="single" w:sz="8" w:color="DCDCDC"/>
            </w:tcBorders>
          </w:tcPr>
          <w:p>
            <w:pPr>
              <w:spacing w:after="0"/>
              <w:rPr>
                <w:sz w:val="24"/>
                <w:szCs w:val="24"/>
                <w:color w:val="auto"/>
              </w:rPr>
            </w:pPr>
          </w:p>
        </w:tc>
        <w:tc>
          <w:tcPr>
            <w:tcW w:w="2240" w:type="dxa"/>
            <w:vAlign w:val="bottom"/>
            <w:tcBorders>
              <w:top w:val="single" w:sz="8" w:color="F0FFFF"/>
              <w:bottom w:val="single" w:sz="8" w:color="DCDCDC"/>
            </w:tcBorders>
          </w:tcPr>
          <w:p>
            <w:pPr>
              <w:jc w:val="right"/>
              <w:ind w:right="990"/>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220" w:type="dxa"/>
            <w:vAlign w:val="bottom"/>
            <w:tcBorders>
              <w:top w:val="single" w:sz="8" w:color="F0FF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92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8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4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66"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 continued</w:t>
      </w:r>
    </w:p>
    <w:p>
      <w:pPr>
        <w:spacing w:after="0" w:line="239" w:lineRule="exact"/>
        <w:rPr>
          <w:sz w:val="20"/>
          <w:szCs w:val="20"/>
          <w:color w:val="auto"/>
        </w:rPr>
      </w:pPr>
    </w:p>
    <w:p>
      <w:pPr>
        <w:ind w:left="500" w:right="280"/>
        <w:spacing w:after="0" w:line="251" w:lineRule="auto"/>
        <w:rPr>
          <w:sz w:val="20"/>
          <w:szCs w:val="20"/>
          <w:color w:val="auto"/>
        </w:rPr>
      </w:pPr>
      <w:r>
        <w:rPr>
          <w:rFonts w:ascii="Arial" w:cs="Arial" w:eastAsia="Arial" w:hAnsi="Arial"/>
          <w:sz w:val="22"/>
          <w:szCs w:val="22"/>
          <w:color w:val="auto"/>
        </w:rPr>
        <w:t xml:space="preserve">The differences between the provision for income taxes and the amount computed by applying the statutory federal income tax rate of 35% to income before income taxes are as follows </w:t>
      </w:r>
      <w:r>
        <w:rPr>
          <w:rFonts w:ascii="Arial" w:cs="Arial" w:eastAsia="Arial" w:hAnsi="Arial"/>
          <w:sz w:val="18"/>
          <w:szCs w:val="18"/>
          <w:i w:val="1"/>
          <w:iCs w:val="1"/>
          <w:color w:val="auto"/>
        </w:rPr>
        <w:t>(in thousands)</w:t>
      </w:r>
      <w:r>
        <w:rPr>
          <w:rFonts w:ascii="Arial" w:cs="Arial" w:eastAsia="Arial" w:hAnsi="Arial"/>
          <w:sz w:val="22"/>
          <w:szCs w:val="22"/>
          <w:color w:val="auto"/>
        </w:rPr>
        <w:t>:</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spacing w:after="0"/>
              <w:rPr>
                <w:sz w:val="20"/>
                <w:szCs w:val="20"/>
                <w:color w:val="auto"/>
              </w:rPr>
            </w:pPr>
            <w:r>
              <w:rPr>
                <w:rFonts w:ascii="Arial" w:cs="Arial" w:eastAsia="Arial" w:hAnsi="Arial"/>
                <w:sz w:val="18"/>
                <w:szCs w:val="18"/>
                <w:color w:val="auto"/>
              </w:rPr>
              <w:t>Pretax income at statutory rates</w:t>
            </w:r>
          </w:p>
        </w:tc>
        <w:tc>
          <w:tcPr>
            <w:tcW w:w="5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37,475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12,234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12,217</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Add (deduct):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State taxes, net of federal benefit</w:t>
            </w:r>
          </w:p>
        </w:tc>
        <w:tc>
          <w:tcPr>
            <w:tcW w:w="5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3,365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Bank owned life insurance earnings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Adjustment to reserve for uncertain tax positions</w:t>
            </w:r>
          </w:p>
        </w:tc>
        <w:tc>
          <w:tcPr>
            <w:tcW w:w="5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(577)</w:t>
            </w: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Tax-exempt interest revenue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(816)</w:t>
            </w: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Nondeductible interest expense</w:t>
            </w:r>
          </w:p>
        </w:tc>
        <w:tc>
          <w:tcPr>
            <w:tcW w:w="5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Tax credits</w:t>
            </w:r>
          </w:p>
        </w:tc>
        <w:tc>
          <w:tcPr>
            <w:tcW w:w="5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Change in state statutory tax rate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Change in valuation allowance affecting other comprehensive income</w:t>
            </w:r>
          </w:p>
        </w:tc>
        <w:tc>
          <w:tcPr>
            <w:tcW w:w="5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12,174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(Decrease) increase in valuation allowance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(265,440)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(9,446)</w:t>
            </w:r>
          </w:p>
        </w:tc>
      </w:tr>
      <w:tr>
        <w:trPr>
          <w:trHeight w:val="223"/>
        </w:trPr>
        <w:tc>
          <w:tcPr>
            <w:tcW w:w="20" w:type="dxa"/>
            <w:vAlign w:val="bottom"/>
          </w:tcPr>
          <w:p>
            <w:pPr>
              <w:spacing w:after="0"/>
              <w:rPr>
                <w:sz w:val="19"/>
                <w:szCs w:val="19"/>
                <w:color w:val="auto"/>
              </w:rPr>
            </w:pPr>
          </w:p>
        </w:tc>
        <w:tc>
          <w:tcPr>
            <w:tcW w:w="57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2,542</w:t>
            </w:r>
          </w:p>
        </w:tc>
        <w:tc>
          <w:tcPr>
            <w:tcW w:w="14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20" w:type="dxa"/>
            <w:vAlign w:val="bottom"/>
          </w:tcPr>
          <w:p>
            <w:pPr>
              <w:spacing w:after="0"/>
              <w:rPr>
                <w:sz w:val="18"/>
                <w:szCs w:val="18"/>
                <w:color w:val="auto"/>
              </w:rPr>
            </w:pPr>
          </w:p>
        </w:tc>
        <w:tc>
          <w:tcPr>
            <w:tcW w:w="572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720" w:type="dxa"/>
            <w:vAlign w:val="bottom"/>
            <w:shd w:val="clear" w:color="auto" w:fill="F0FFFF"/>
          </w:tcPr>
          <w:p>
            <w:pPr>
              <w:ind w:left="300"/>
              <w:spacing w:after="0"/>
              <w:rPr>
                <w:sz w:val="20"/>
                <w:szCs w:val="20"/>
                <w:color w:val="auto"/>
              </w:rPr>
            </w:pPr>
            <w:r>
              <w:rPr>
                <w:rFonts w:ascii="Arial" w:cs="Arial" w:eastAsia="Arial" w:hAnsi="Arial"/>
                <w:sz w:val="18"/>
                <w:szCs w:val="18"/>
                <w:color w:val="auto"/>
              </w:rPr>
              <w:t>Total income tax expense (benefit)</w:t>
            </w:r>
          </w:p>
        </w:tc>
        <w:tc>
          <w:tcPr>
            <w:tcW w:w="80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39,450</w:t>
            </w:r>
          </w:p>
        </w:tc>
        <w:tc>
          <w:tcPr>
            <w:tcW w:w="120" w:type="dxa"/>
            <w:vAlign w:val="bottom"/>
            <w:shd w:val="clear" w:color="auto" w:fill="F0FFFF"/>
          </w:tcPr>
          <w:p>
            <w:pPr>
              <w:spacing w:after="0"/>
              <w:rPr>
                <w:sz w:val="20"/>
                <w:szCs w:val="20"/>
                <w:color w:val="auto"/>
              </w:rPr>
            </w:pPr>
          </w:p>
        </w:tc>
        <w:tc>
          <w:tcPr>
            <w:tcW w:w="32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(238,188)</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F0FF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229"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 xml:space="preserve">The following summarizes the sources and expected tax consequences of future taxable deductions (revenue) which comprise the net deferred tax asset at December 31, 2014 and 2013, which is included in other assets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140"/>
              <w:spacing w:after="0"/>
              <w:rPr>
                <w:sz w:val="20"/>
                <w:szCs w:val="20"/>
                <w:color w:val="auto"/>
              </w:rPr>
            </w:pPr>
            <w:r>
              <w:rPr>
                <w:rFonts w:ascii="Arial" w:cs="Arial" w:eastAsia="Arial" w:hAnsi="Arial"/>
                <w:sz w:val="18"/>
                <w:szCs w:val="18"/>
                <w:color w:val="auto"/>
              </w:rPr>
              <w:t>Deferred tax assets: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Allowances for loan losses</w:t>
            </w:r>
          </w:p>
        </w:tc>
        <w:tc>
          <w:tcPr>
            <w:tcW w:w="2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27,563</w:t>
            </w:r>
          </w:p>
        </w:tc>
        <w:tc>
          <w:tcPr>
            <w:tcW w:w="4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29,672</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Net operating loss carry forwards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184,015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219,863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compensation</w:t>
            </w:r>
          </w:p>
        </w:tc>
        <w:tc>
          <w:tcPr>
            <w:tcW w:w="2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7,188</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6,299</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Reserve for losses on foreclosed properties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Nonqualified share based compensation</w:t>
            </w:r>
          </w:p>
        </w:tc>
        <w:tc>
          <w:tcPr>
            <w:tcW w:w="2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3,993</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4"/>
              </w:rPr>
              <w:t>Investment in low income housing tax credit partnerships</w:t>
            </w:r>
          </w:p>
        </w:tc>
        <w:tc>
          <w:tcPr>
            <w:tcW w:w="2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1,856</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w w:val="89"/>
              </w:rPr>
              <w:t>Unamortized pension actuarial losses and prior service cost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Acquired intangible assets</w:t>
            </w:r>
          </w:p>
        </w:tc>
        <w:tc>
          <w:tcPr>
            <w:tcW w:w="2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Unrealized losses on securities available-for-sale</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Unrealized losses on cash flow hedges</w:t>
            </w:r>
          </w:p>
        </w:tc>
        <w:tc>
          <w:tcPr>
            <w:tcW w:w="2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1,977</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4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deferred tax assets</w:t>
            </w:r>
          </w:p>
        </w:tc>
        <w:tc>
          <w:tcPr>
            <w:tcW w:w="20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232,885</w:t>
            </w:r>
          </w:p>
        </w:tc>
        <w:tc>
          <w:tcPr>
            <w:tcW w:w="1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271,839</w:t>
            </w:r>
          </w:p>
        </w:tc>
        <w:tc>
          <w:tcPr>
            <w:tcW w:w="100" w:type="dxa"/>
            <w:vAlign w:val="bottom"/>
            <w:tcBorders>
              <w:bottom w:val="single" w:sz="8" w:color="F0FFFF"/>
            </w:tcBorders>
            <w:shd w:val="clear" w:color="auto" w:fill="F0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Deferred tax liabilities:</w:t>
            </w:r>
          </w:p>
        </w:tc>
        <w:tc>
          <w:tcPr>
            <w:tcW w:w="2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Unrealized gains on securities available-for-sale</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Unrealized gains on cash flow hedges</w:t>
            </w:r>
          </w:p>
        </w:tc>
        <w:tc>
          <w:tcPr>
            <w:tcW w:w="2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 origination costs</w:t>
            </w:r>
          </w:p>
        </w:tc>
        <w:tc>
          <w:tcPr>
            <w:tcW w:w="2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4,342</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Gain from acquisition of Southern Community Bank</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Prepaid expenses</w:t>
            </w:r>
          </w:p>
        </w:tc>
        <w:tc>
          <w:tcPr>
            <w:tcW w:w="20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Uncertain tax positions</w:t>
            </w: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4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deferred tax liabilities</w:t>
            </w:r>
          </w:p>
        </w:tc>
        <w:tc>
          <w:tcPr>
            <w:tcW w:w="20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13,261</w:t>
            </w:r>
          </w:p>
        </w:tc>
        <w:tc>
          <w:tcPr>
            <w:tcW w:w="1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Borders>
              <w:bottom w:val="single" w:sz="8" w:color="F0FFFF"/>
            </w:tcBorders>
            <w:shd w:val="clear" w:color="auto" w:fill="F0FF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2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44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Net deferred tax asset</w:t>
            </w:r>
          </w:p>
        </w:tc>
        <w:tc>
          <w:tcPr>
            <w:tcW w:w="20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215,503</w:t>
            </w:r>
          </w:p>
        </w:tc>
        <w:tc>
          <w:tcPr>
            <w:tcW w:w="1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258,518</w:t>
            </w:r>
          </w:p>
        </w:tc>
        <w:tc>
          <w:tcPr>
            <w:tcW w:w="100" w:type="dxa"/>
            <w:vAlign w:val="bottom"/>
            <w:tcBorders>
              <w:bottom w:val="single" w:sz="8" w:color="F0FFFF"/>
            </w:tcBorders>
            <w:shd w:val="clear" w:color="auto" w:fill="F0FF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1160" w:type="dxa"/>
            <w:vAlign w:val="bottom"/>
            <w:tcBorders>
              <w:bottom w:val="single" w:sz="8" w:color="DCDCDC"/>
            </w:tcBorders>
          </w:tcPr>
          <w:p>
            <w:pPr>
              <w:spacing w:after="0"/>
              <w:rPr>
                <w:sz w:val="24"/>
                <w:szCs w:val="24"/>
                <w:color w:val="auto"/>
              </w:rPr>
            </w:pPr>
          </w:p>
        </w:tc>
        <w:tc>
          <w:tcPr>
            <w:tcW w:w="4440" w:type="dxa"/>
            <w:vAlign w:val="bottom"/>
            <w:tcBorders>
              <w:bottom w:val="single" w:sz="8" w:color="DCDCDC"/>
            </w:tcBorders>
          </w:tcPr>
          <w:p>
            <w:pPr>
              <w:spacing w:after="0"/>
              <w:rPr>
                <w:sz w:val="24"/>
                <w:szCs w:val="24"/>
                <w:color w:val="auto"/>
              </w:rPr>
            </w:pPr>
          </w:p>
        </w:tc>
        <w:tc>
          <w:tcPr>
            <w:tcW w:w="2080" w:type="dxa"/>
            <w:vAlign w:val="bottom"/>
            <w:tcBorders>
              <w:bottom w:val="single" w:sz="8" w:color="DCDCDC"/>
            </w:tcBorders>
          </w:tcPr>
          <w:p>
            <w:pPr>
              <w:jc w:val="right"/>
              <w:ind w:right="1790"/>
              <w:spacing w:after="0"/>
              <w:rPr>
                <w:sz w:val="20"/>
                <w:szCs w:val="20"/>
                <w:color w:val="auto"/>
              </w:rPr>
            </w:pPr>
            <w:r>
              <w:rPr>
                <w:rFonts w:ascii="Arial" w:cs="Arial" w:eastAsia="Arial" w:hAnsi="Arial"/>
                <w:sz w:val="18"/>
                <w:szCs w:val="18"/>
                <w:color w:val="auto"/>
                <w:w w:val="89"/>
              </w:rPr>
              <w:t>92</w:t>
            </w: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 continued</w:t>
      </w:r>
    </w:p>
    <w:p>
      <w:pPr>
        <w:spacing w:after="0" w:line="239" w:lineRule="exact"/>
        <w:rPr>
          <w:sz w:val="20"/>
          <w:szCs w:val="20"/>
          <w:color w:val="auto"/>
        </w:rPr>
      </w:pPr>
    </w:p>
    <w:p>
      <w:pPr>
        <w:jc w:val="both"/>
        <w:ind w:left="500"/>
        <w:spacing w:after="0" w:line="279" w:lineRule="auto"/>
        <w:rPr>
          <w:sz w:val="20"/>
          <w:szCs w:val="20"/>
          <w:color w:val="auto"/>
        </w:rPr>
      </w:pPr>
      <w:r>
        <w:rPr>
          <w:rFonts w:ascii="Arial" w:cs="Arial" w:eastAsia="Arial" w:hAnsi="Arial"/>
          <w:sz w:val="19"/>
          <w:szCs w:val="19"/>
          <w:color w:val="auto"/>
        </w:rPr>
        <w:t xml:space="preserve">The valuation allowance on deferred tax assets was $4.12 million and $4.10 million, respectively, at December 31, 2014 and 2013. Management assesses the valuation allowance recorded against deferred tax assets at each reporting period. The determination of whether a valuation allowance for deferred tax assets is appropriate is subject to considerable judgment and requires an evaluation of all the positive and negative evidence. Accounting Standards Codification Topic 740, </w:t>
      </w:r>
      <w:r>
        <w:rPr>
          <w:rFonts w:ascii="Arial" w:cs="Arial" w:eastAsia="Arial" w:hAnsi="Arial"/>
          <w:sz w:val="16"/>
          <w:szCs w:val="16"/>
          <w:i w:val="1"/>
          <w:iCs w:val="1"/>
          <w:color w:val="auto"/>
        </w:rPr>
        <w:t>Income Taxes</w:t>
      </w:r>
      <w:r>
        <w:rPr>
          <w:rFonts w:ascii="Arial" w:cs="Arial" w:eastAsia="Arial" w:hAnsi="Arial"/>
          <w:sz w:val="19"/>
          <w:szCs w:val="19"/>
          <w:color w:val="auto"/>
        </w:rPr>
        <w:t>, requires that companies assess whether a valuation allowance should be established against their deferred tax assets based on the consideration of all available evidence using a “more likely than not” standard.</w:t>
      </w:r>
    </w:p>
    <w:p>
      <w:pPr>
        <w:spacing w:after="0" w:line="185" w:lineRule="exact"/>
        <w:rPr>
          <w:sz w:val="20"/>
          <w:szCs w:val="20"/>
          <w:color w:val="auto"/>
        </w:rPr>
      </w:pPr>
    </w:p>
    <w:p>
      <w:pPr>
        <w:jc w:val="both"/>
        <w:ind w:left="500" w:right="20"/>
        <w:spacing w:after="0" w:line="308" w:lineRule="auto"/>
        <w:rPr>
          <w:sz w:val="20"/>
          <w:szCs w:val="20"/>
          <w:color w:val="auto"/>
        </w:rPr>
      </w:pPr>
      <w:r>
        <w:rPr>
          <w:rFonts w:ascii="Arial" w:cs="Arial" w:eastAsia="Arial" w:hAnsi="Arial"/>
          <w:sz w:val="17"/>
          <w:szCs w:val="17"/>
          <w:color w:val="auto"/>
        </w:rPr>
        <w:t>In the second quarter of 2013, United reversed $272 million of its valuation on its net deferred tax asset. United established a full valuation allowance on its deferred tax asset in 2010 due to the realization of significant losses and uncertainty about United’s future earnings forecasts.</w:t>
      </w:r>
    </w:p>
    <w:p>
      <w:pPr>
        <w:spacing w:after="0" w:line="174"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At December 31, 2014 and 2013, based on the assessment of all the positive and negative evidence, management concluded that it is more likely than not that nearly all of the net deferred tax asset will be realized based upon future taxable income. The remaining valuation allowance of $4.12 million is related to specific state income tax credits that have short carryforward periods and are expected to expire unused.</w:t>
      </w:r>
    </w:p>
    <w:p>
      <w:pPr>
        <w:spacing w:after="0" w:line="193"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United expects to realize $216 million in net deferred tax assets well in advance of the statutory carryforward period. At December 31, 2014, $36 million of existing deferred tax assets were not related to net operating losses or credits, and therefore, have no expiration date. At December 31, 2014, United had state net operating loss carryforwards of approximately $26.5 million that begin to expire in 2024, and approximately $64.8 million that begin to expire in 2029, and $526 million that begin to expire in 2028, if not previously utilized. United has $427 million in federal net operating loss carryforwards that begin to expire in 2030, if not previously utilized. United has $2.80 million of federal general business tax credits that begin to expire in 2028, if not previously utilized as well as $5.1 million in federal alternative minimum tax credits which have no expiration date.</w:t>
      </w:r>
    </w:p>
    <w:p>
      <w:pPr>
        <w:spacing w:after="0" w:line="192" w:lineRule="exact"/>
        <w:rPr>
          <w:sz w:val="20"/>
          <w:szCs w:val="20"/>
          <w:color w:val="auto"/>
        </w:rPr>
      </w:pPr>
    </w:p>
    <w:p>
      <w:pPr>
        <w:jc w:val="both"/>
        <w:ind w:left="500"/>
        <w:spacing w:after="0" w:line="291" w:lineRule="auto"/>
        <w:rPr>
          <w:sz w:val="20"/>
          <w:szCs w:val="20"/>
          <w:color w:val="auto"/>
        </w:rPr>
      </w:pPr>
      <w:r>
        <w:rPr>
          <w:rFonts w:ascii="Arial" w:cs="Arial" w:eastAsia="Arial" w:hAnsi="Arial"/>
          <w:sz w:val="16"/>
          <w:szCs w:val="16"/>
          <w:color w:val="auto"/>
        </w:rPr>
        <w:t>The valuation allowance could fluctuate in future periods based on the assessment of the positive and negative evidence. Management’s conclusion at December 31, 2014 that it was more likely than not that the net deferred tax assets of $216 million will be realized is based 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the deferred tax asset. Such an increase to the deferred tax asset valuation allowance could have a material adverse effect on United’s financial condition and results of operations.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 reconciliation of the beginning and ending unrecognized tax benefit related to uncertain tax positions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F0FF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5,069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5,985</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Additions based on tax positions related to prior years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F0FFFF"/>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Decreases resulting from a lapse in the applicable statute of limitations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F0FFFF"/>
          </w:tcPr>
          <w:p>
            <w:pPr>
              <w:spacing w:after="0"/>
              <w:rPr>
                <w:sz w:val="20"/>
                <w:szCs w:val="20"/>
                <w:color w:val="auto"/>
              </w:rPr>
            </w:pPr>
            <w:r>
              <w:rPr>
                <w:rFonts w:ascii="Arial" w:cs="Arial" w:eastAsia="Arial" w:hAnsi="Arial"/>
                <w:sz w:val="18"/>
                <w:szCs w:val="18"/>
                <w:color w:val="auto"/>
              </w:rPr>
              <w:t>Decreases based on settlements with taxing authorities</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4,195</w:t>
            </w:r>
          </w:p>
        </w:tc>
        <w:tc>
          <w:tcPr>
            <w:tcW w:w="12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4,503</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Approximately $3.4 million of this amount would increase income from continuing operations, and thus affect United’s effective tax rate, if ultimately recognized into income.</w:t>
      </w:r>
    </w:p>
    <w:p>
      <w:pPr>
        <w:spacing w:after="0" w:line="197"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It is United’s policy to recognize interest and penalties accrued relative to unrecognized tax benefits in their respective federal or state income taxes accounts. In 2013 and 2012, United reversed $59,000 and $120,000, respectively, in previously recorded penalties and interest as a result of statute expiration on affected returns, settlement with a state taxing authority and a change in estimate relating to prior year tax positions. No previously recorded penalties and interest were reversed in 2014. No amounts were accrued for interest and penalties at December 31, 2014 or 2013.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66"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 continued</w:t>
      </w:r>
    </w:p>
    <w:p>
      <w:pPr>
        <w:spacing w:after="0" w:line="239"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United and its subsidiaries file a consolidated U.S. federal income tax return, as well as file various returns in the states where its banking offices are located. United’s federal and state income tax returns are no longer subject to examination by taxing authorities for years before 2011.</w:t>
      </w:r>
    </w:p>
    <w:p>
      <w:pPr>
        <w:spacing w:after="0" w:line="217"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256"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United offers a defined contribution 401(k) and Profit Sharing Plan (the “401(k) Plan”) that covers substantially all employees meeting certain minimum service requirements. The Plan allows employees to make pre-tax contributions to the 401(k) Plan and United matches these employee contributions up to 5% of eligible compensation, subject to Plan and regulatory limits. Employees begin to receive matching contributions after completing one year of service and benefits vest after three years of service. United’s Plan is administered in accordance with applicable laws and regulations. Through March 31, 2012, United matched employee 401(k) Plan contributions dollar-for-dollar up to 5% of eligible compensation. Effective April 1, 2012, the matching contribution was reduced in half to 50% of employee contributions up to 5% of eligible compensation. Compensation expense from continuing operations related to the 401(k) Plan totaled $1.20 million, $1.24 million and $1.66 million in 2014, 2013 and 2012, respectively. The 401(k) Plan allows employees to choose to invest among a number of investment options, including United’s common stock. Effective January 1, 2015, United’s common stock was no longer offered as an investment option for new contributions. During 2014, 2013 and 2012, the 401(k) Plan purchased 17,373, 48,996 and 86,350 common shares, respectively, directly from United at the average of the high and low stock price on the date of purchase.</w:t>
      </w:r>
    </w:p>
    <w:p>
      <w:pPr>
        <w:spacing w:after="0" w:line="219" w:lineRule="exact"/>
        <w:rPr>
          <w:rFonts w:ascii="Arial" w:cs="Arial" w:eastAsia="Arial" w:hAnsi="Arial"/>
          <w:sz w:val="18"/>
          <w:szCs w:val="18"/>
          <w:b w:val="1"/>
          <w:bCs w:val="1"/>
          <w:color w:val="auto"/>
        </w:rPr>
      </w:pPr>
    </w:p>
    <w:p>
      <w:pPr>
        <w:jc w:val="both"/>
        <w:ind w:left="5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United sponsors a non-qualified deferred compensation plan for its executive officers, certain other key employees and members of United’s Board of Directors and its community banks’ advisory boards of directors. The deferred compensation plan provides for the pre-tax deferral of compensation, fees and other specified benefits. The deferred compensation plan also permits each employee participant to elect to defer a portion of his or her base salary, bonus or vested restricted stock units and permits each director participant to elect to defer all or a portion of his or her director’s fees. Further, the deferred compensation plan allows for additional contributions by an employee, with matching contributions by United, for amounts that exceed the allowable amounts under the 401(k) Plan. During 2014, 2013 and 2012, United recognized $24,000, $24,000 and $24,000, respectively, in matching contributions for this provision of the deferred compensation plan. The Board of Directors may also elect to make a discretionary contribution to any or all participants. The Board of Directors elected to make a discretionary contribution of 25,000 shares of United’s common stock in 2013 to the deferred compensation plan. No discretionary contributions were made in 2014 or 2012.</w:t>
      </w:r>
    </w:p>
    <w:p>
      <w:pPr>
        <w:spacing w:after="0" w:line="208" w:lineRule="exact"/>
        <w:rPr>
          <w:rFonts w:ascii="Arial" w:cs="Arial" w:eastAsia="Arial" w:hAnsi="Arial"/>
          <w:sz w:val="18"/>
          <w:szCs w:val="18"/>
          <w:b w:val="1"/>
          <w:bCs w:val="1"/>
          <w:color w:val="auto"/>
        </w:rPr>
      </w:pPr>
    </w:p>
    <w:p>
      <w:pPr>
        <w:jc w:val="both"/>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United also has an unfunded noncontributory defined benefit pension plan (“Modified Retirement Plan”) that covers certain executive officers and other key employees. The Modified Retirement Plan provides a fixed annual retirement benefit to plan participants. Expenses incurred for these post-retirement benefits were approximately $1.46 million, $1.60 million, and $1.87 million, for 2014, 2013 and 2012, respectively. United made contributions to the plan in the form of benefit payments to participant retirees of $304,000, $272,000 in 2014, and 2013, respectively.</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Weighted-average assumptions used to determine pension benefit obligations at year end and net periodic pension cost are shown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Discount rate for disclosures</w:t>
            </w:r>
          </w:p>
        </w:tc>
        <w:tc>
          <w:tcPr>
            <w:tcW w:w="356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4.00%</w:t>
            </w:r>
          </w:p>
        </w:tc>
        <w:tc>
          <w:tcPr>
            <w:tcW w:w="1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4.50%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Discount rate for net periodic benefit cost</w:t>
            </w:r>
          </w:p>
        </w:tc>
        <w:tc>
          <w:tcPr>
            <w:tcW w:w="4920" w:type="dxa"/>
            <w:vAlign w:val="bottom"/>
            <w:gridSpan w:val="3"/>
          </w:tcPr>
          <w:p>
            <w:pPr>
              <w:jc w:val="right"/>
              <w:ind w:right="120"/>
              <w:spacing w:after="0"/>
              <w:rPr>
                <w:sz w:val="20"/>
                <w:szCs w:val="20"/>
                <w:color w:val="auto"/>
              </w:rPr>
            </w:pPr>
            <w:r>
              <w:rPr>
                <w:rFonts w:ascii="Arial" w:cs="Arial" w:eastAsia="Arial" w:hAnsi="Arial"/>
                <w:sz w:val="18"/>
                <w:szCs w:val="18"/>
                <w:color w:val="auto"/>
              </w:rPr>
              <w:t>4.50%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Rate of compensation increase</w:t>
            </w:r>
          </w:p>
        </w:tc>
        <w:tc>
          <w:tcPr>
            <w:tcW w:w="356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Measurement date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12/31/2014</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12/31/2013</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8"/>
        </w:trPr>
        <w:tc>
          <w:tcPr>
            <w:tcW w:w="580" w:type="dxa"/>
            <w:vAlign w:val="bottom"/>
            <w:tcBorders>
              <w:bottom w:val="single" w:sz="8" w:color="DCDCDC"/>
            </w:tcBorders>
          </w:tcPr>
          <w:p>
            <w:pPr>
              <w:spacing w:after="0"/>
              <w:rPr>
                <w:sz w:val="24"/>
                <w:szCs w:val="24"/>
                <w:color w:val="auto"/>
              </w:rPr>
            </w:pPr>
          </w:p>
        </w:tc>
        <w:tc>
          <w:tcPr>
            <w:tcW w:w="4020" w:type="dxa"/>
            <w:vAlign w:val="bottom"/>
            <w:tcBorders>
              <w:bottom w:val="single" w:sz="8" w:color="DCDCDC"/>
            </w:tcBorders>
          </w:tcPr>
          <w:p>
            <w:pPr>
              <w:spacing w:after="0"/>
              <w:rPr>
                <w:sz w:val="24"/>
                <w:szCs w:val="24"/>
                <w:color w:val="auto"/>
              </w:rPr>
            </w:pPr>
          </w:p>
        </w:tc>
        <w:tc>
          <w:tcPr>
            <w:tcW w:w="3560" w:type="dxa"/>
            <w:vAlign w:val="bottom"/>
            <w:tcBorders>
              <w:bottom w:val="single" w:sz="8" w:color="DCDCDC"/>
            </w:tcBorders>
          </w:tcPr>
          <w:p>
            <w:pPr>
              <w:jc w:val="right"/>
              <w:ind w:right="2270"/>
              <w:spacing w:after="0"/>
              <w:rPr>
                <w:sz w:val="20"/>
                <w:szCs w:val="20"/>
                <w:color w:val="auto"/>
              </w:rPr>
            </w:pPr>
            <w:r>
              <w:rPr>
                <w:rFonts w:ascii="Arial" w:cs="Arial" w:eastAsia="Arial" w:hAnsi="Arial"/>
                <w:sz w:val="18"/>
                <w:szCs w:val="18"/>
                <w:color w:val="auto"/>
              </w:rPr>
              <w:t>94</w:t>
            </w:r>
          </w:p>
        </w:tc>
        <w:tc>
          <w:tcPr>
            <w:tcW w:w="110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41" w:right="239" w:bottom="1440" w:gutter="0" w:footer="0" w:header="0"/>
        </w:sectPr>
      </w:pPr>
    </w:p>
    <w:bookmarkStart w:id="105" w:name="page106"/>
    <w:bookmarkEnd w:id="105"/>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 continued</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Information about changes in obligations and plan assets of the Modified Retirement Plan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0FFFF"/>
          </w:tcPr>
          <w:p>
            <w:pPr>
              <w:spacing w:after="0"/>
              <w:rPr>
                <w:sz w:val="20"/>
                <w:szCs w:val="20"/>
                <w:color w:val="auto"/>
              </w:rPr>
            </w:pPr>
            <w:r>
              <w:rPr>
                <w:rFonts w:ascii="Arial" w:cs="Arial" w:eastAsia="Arial" w:hAnsi="Arial"/>
                <w:sz w:val="18"/>
                <w:szCs w:val="18"/>
                <w:color w:val="auto"/>
              </w:rPr>
              <w:t>Accumulated benefit obligation:</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Accumulated benefit obligation - beginning of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13,320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13,155</w:t>
            </w:r>
          </w:p>
        </w:tc>
      </w:tr>
      <w:tr>
        <w:trPr>
          <w:trHeight w:val="216"/>
        </w:trPr>
        <w:tc>
          <w:tcPr>
            <w:tcW w:w="20" w:type="dxa"/>
            <w:vAlign w:val="bottom"/>
          </w:tcPr>
          <w:p>
            <w:pPr>
              <w:spacing w:after="0"/>
              <w:rPr>
                <w:sz w:val="18"/>
                <w:szCs w:val="18"/>
                <w:color w:val="auto"/>
              </w:rPr>
            </w:pPr>
          </w:p>
        </w:tc>
        <w:tc>
          <w:tcPr>
            <w:tcW w:w="7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465</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533</w:t>
            </w:r>
          </w:p>
        </w:tc>
      </w:tr>
      <w:tr>
        <w:trPr>
          <w:trHeight w:val="216"/>
        </w:trPr>
        <w:tc>
          <w:tcPr>
            <w:tcW w:w="20" w:type="dxa"/>
            <w:vAlign w:val="bottom"/>
          </w:tcPr>
          <w:p>
            <w:pPr>
              <w:spacing w:after="0"/>
              <w:rPr>
                <w:sz w:val="18"/>
                <w:szCs w:val="18"/>
                <w:color w:val="auto"/>
              </w:rPr>
            </w:pPr>
          </w:p>
        </w:tc>
        <w:tc>
          <w:tcPr>
            <w:tcW w:w="7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Actuarial (gains) losses</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1,933</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(561)</w:t>
            </w:r>
          </w:p>
        </w:tc>
      </w:tr>
      <w:tr>
        <w:trPr>
          <w:trHeight w:val="223"/>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Accumulated benefit obligation - end of year</w:t>
            </w:r>
          </w:p>
        </w:tc>
        <w:tc>
          <w:tcPr>
            <w:tcW w:w="240" w:type="dxa"/>
            <w:vAlign w:val="bottom"/>
            <w:tcBorders>
              <w:top w:val="single" w:sz="8" w:color="auto"/>
              <w:bottom w:val="single" w:sz="8" w:color="auto"/>
            </w:tcBorders>
            <w:shd w:val="clear" w:color="auto" w:fill="F0FFFF"/>
          </w:tcPr>
          <w:p>
            <w:pPr>
              <w:spacing w:after="0"/>
              <w:rPr>
                <w:sz w:val="22"/>
                <w:szCs w:val="22"/>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15,869</w:t>
            </w:r>
          </w:p>
        </w:tc>
        <w:tc>
          <w:tcPr>
            <w:tcW w:w="1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spacing w:after="0"/>
              <w:rPr>
                <w:sz w:val="22"/>
                <w:szCs w:val="22"/>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13,320</w:t>
            </w:r>
          </w:p>
        </w:tc>
        <w:tc>
          <w:tcPr>
            <w:tcW w:w="120" w:type="dxa"/>
            <w:vAlign w:val="bottom"/>
            <w:tcBorders>
              <w:bottom w:val="single" w:sz="8" w:color="F0FFFF"/>
            </w:tcBorders>
            <w:shd w:val="clear" w:color="auto" w:fill="F0FFFF"/>
          </w:tcPr>
          <w:p>
            <w:pPr>
              <w:spacing w:after="0"/>
              <w:rPr>
                <w:sz w:val="22"/>
                <w:szCs w:val="22"/>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Components of net periodic benefit cost and other amounts recognized in other comprehensive income </w:t>
      </w:r>
      <w:r>
        <w:rPr>
          <w:rFonts w:ascii="Arial" w:cs="Arial" w:eastAsia="Arial" w:hAnsi="Arial"/>
          <w:sz w:val="18"/>
          <w:szCs w:val="18"/>
          <w:i w:val="1"/>
          <w:iCs w:val="1"/>
          <w:color w:val="auto"/>
        </w:rPr>
        <w:t>(in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Amortization of net losses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1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bottom w:val="single" w:sz="8" w:color="auto"/>
            </w:tcBorders>
            <w:shd w:val="clear" w:color="auto" w:fill="F0FFFF"/>
          </w:tcPr>
          <w:p>
            <w:pPr>
              <w:spacing w:after="0"/>
              <w:rPr>
                <w:sz w:val="22"/>
                <w:szCs w:val="22"/>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spacing w:after="0"/>
              <w:rPr>
                <w:sz w:val="22"/>
                <w:szCs w:val="22"/>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auto"/>
            </w:tcBorders>
            <w:shd w:val="clear" w:color="auto" w:fill="F0FFFF"/>
          </w:tcPr>
          <w:p>
            <w:pPr>
              <w:spacing w:after="0"/>
              <w:rPr>
                <w:sz w:val="22"/>
                <w:szCs w:val="22"/>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F0FFFF"/>
            </w:tcBorders>
            <w:shd w:val="clear" w:color="auto" w:fill="F0FFFF"/>
          </w:tcPr>
          <w:p>
            <w:pPr>
              <w:spacing w:after="0"/>
              <w:rPr>
                <w:sz w:val="22"/>
                <w:szCs w:val="22"/>
                <w:color w:val="auto"/>
              </w:rPr>
            </w:pPr>
          </w:p>
        </w:tc>
      </w:tr>
    </w:tbl>
    <w:p>
      <w:pPr>
        <w:spacing w:after="0" w:line="19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The estimated net loss and prior service costs for the Modified Retirement Plan that will be amortized from accumulated other comprehensive income into net periodic benefit cost over the next fiscal year are $271,000 and $365,000, respectively, as of December 31, 2014. The following benefit payments, which reflect expected future service, are expected (in thousands) for years 2015 – 2019 and the following five years are $321,000, $769,000, $795,000, $997,000, $988,000 and $5.08 million respectively</w:t>
      </w:r>
    </w:p>
    <w:p>
      <w:pPr>
        <w:spacing w:after="0" w:line="218"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rFonts w:ascii="Arial" w:cs="Arial" w:eastAsia="Arial" w:hAnsi="Arial"/>
          <w:sz w:val="18"/>
          <w:szCs w:val="18"/>
          <w:b w:val="1"/>
          <w:bCs w:val="1"/>
          <w:color w:val="auto"/>
        </w:rPr>
      </w:pPr>
    </w:p>
    <w:p>
      <w:pPr>
        <w:jc w:val="both"/>
        <w:ind w:left="5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investment securities, wholesale borrowings and deposits.</w:t>
      </w:r>
    </w:p>
    <w:p>
      <w:pPr>
        <w:spacing w:after="0" w:line="20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In conjunction with the FASB’s fair value measurement guidance, management made an accounting policy election to measure the credit risk of its derivative financial instruments that are subject to master netting arrangements on a gross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06" w:name="page107"/>
    <w:bookmarkEnd w:id="106"/>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ind w:left="472" w:hanging="472"/>
        <w:spacing w:after="0"/>
        <w:tabs>
          <w:tab w:leader="none" w:pos="47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 continued</w:t>
      </w:r>
    </w:p>
    <w:p>
      <w:pPr>
        <w:spacing w:after="0" w:line="229" w:lineRule="exact"/>
        <w:rPr>
          <w:rFonts w:ascii="Arial" w:cs="Arial" w:eastAsia="Arial" w:hAnsi="Arial"/>
          <w:sz w:val="18"/>
          <w:szCs w:val="18"/>
          <w:b w:val="1"/>
          <w:bCs w:val="1"/>
          <w:color w:val="auto"/>
        </w:rPr>
      </w:pPr>
    </w:p>
    <w:p>
      <w:pPr>
        <w:ind w:left="49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December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7"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Derivatives Designated as Hedging Instruments under ASC 815</w:t>
      </w:r>
    </w:p>
    <w:p>
      <w:pPr>
        <w:spacing w:after="0" w:line="248" w:lineRule="exact"/>
        <w:rPr>
          <w:sz w:val="20"/>
          <w:szCs w:val="20"/>
          <w:color w:val="auto"/>
        </w:rPr>
      </w:pPr>
    </w:p>
    <w:tbl>
      <w:tblPr>
        <w:tblLayout w:type="fixed"/>
        <w:tblInd w:w="572"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Fair Value</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Balance Sheet</w:t>
            </w:r>
          </w:p>
        </w:tc>
        <w:tc>
          <w:tcPr>
            <w:tcW w:w="100" w:type="dxa"/>
            <w:vAlign w:val="bottom"/>
          </w:tcPr>
          <w:p>
            <w:pPr>
              <w:spacing w:after="0"/>
              <w:rPr>
                <w:sz w:val="17"/>
                <w:szCs w:val="17"/>
                <w:color w:val="auto"/>
              </w:rPr>
            </w:pPr>
          </w:p>
        </w:tc>
        <w:tc>
          <w:tcPr>
            <w:tcW w:w="11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3"/>
              </w:rPr>
              <w:t>December 31,</w:t>
            </w:r>
          </w:p>
        </w:tc>
        <w:tc>
          <w:tcPr>
            <w:tcW w:w="11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86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Interest Rate Products</w:t>
            </w:r>
          </w:p>
        </w:tc>
        <w:tc>
          <w:tcPr>
            <w:tcW w:w="6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F0FFFF"/>
          </w:tcPr>
          <w:p>
            <w:pPr>
              <w:spacing w:after="0"/>
              <w:rPr>
                <w:sz w:val="20"/>
                <w:szCs w:val="20"/>
                <w:color w:val="auto"/>
              </w:rPr>
            </w:pPr>
            <w:r>
              <w:rPr>
                <w:rFonts w:ascii="Arial" w:cs="Arial" w:eastAsia="Arial" w:hAnsi="Arial"/>
                <w:sz w:val="18"/>
                <w:szCs w:val="18"/>
                <w:color w:val="auto"/>
              </w:rPr>
              <w:t>Cash flow hedge of money market deposits</w:t>
            </w:r>
          </w:p>
        </w:tc>
        <w:tc>
          <w:tcPr>
            <w:tcW w:w="60" w:type="dxa"/>
            <w:vAlign w:val="bottom"/>
            <w:shd w:val="clear" w:color="auto" w:fill="F0FFFF"/>
          </w:tcPr>
          <w:p>
            <w:pPr>
              <w:spacing w:after="0"/>
              <w:rPr>
                <w:sz w:val="18"/>
                <w:szCs w:val="18"/>
                <w:color w:val="auto"/>
              </w:rPr>
            </w:pPr>
          </w:p>
        </w:tc>
        <w:tc>
          <w:tcPr>
            <w:tcW w:w="1880" w:type="dxa"/>
            <w:vAlign w:val="bottom"/>
            <w:shd w:val="clear" w:color="auto" w:fill="F0FF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right w:val="single" w:sz="8" w:color="F0FFFF"/>
            </w:tcBorders>
            <w:shd w:val="clear" w:color="auto" w:fill="F0FFFF"/>
          </w:tcPr>
          <w:p>
            <w:pPr>
              <w:spacing w:after="0"/>
              <w:rPr>
                <w:sz w:val="18"/>
                <w:szCs w:val="18"/>
                <w:color w:val="auto"/>
              </w:rPr>
            </w:pPr>
          </w:p>
        </w:tc>
        <w:tc>
          <w:tcPr>
            <w:tcW w:w="80" w:type="dxa"/>
            <w:vAlign w:val="bottom"/>
            <w:shd w:val="clear" w:color="auto" w:fill="F0FFFF"/>
          </w:tcPr>
          <w:p>
            <w:pPr>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4,782</w:t>
            </w:r>
          </w:p>
        </w:tc>
        <w:tc>
          <w:tcPr>
            <w:tcW w:w="10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Fair value hedge of corporate bonds</w:t>
            </w: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586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8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right w:val="single" w:sz="8" w:color="F0FFFF"/>
            </w:tcBorders>
            <w:shd w:val="clear" w:color="auto" w:fill="F0FFFF"/>
          </w:tcPr>
          <w:p>
            <w:pPr>
              <w:spacing w:after="0"/>
              <w:rPr>
                <w:sz w:val="22"/>
                <w:szCs w:val="22"/>
                <w:color w:val="auto"/>
              </w:rPr>
            </w:pPr>
          </w:p>
        </w:tc>
        <w:tc>
          <w:tcPr>
            <w:tcW w:w="8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300" w:type="dxa"/>
            <w:vAlign w:val="bottom"/>
            <w:tcBorders>
              <w:bottom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F0FFFF"/>
            </w:tcBorders>
            <w:shd w:val="clear" w:color="auto" w:fill="F0FFFF"/>
          </w:tcPr>
          <w:p>
            <w:pPr>
              <w:spacing w:after="0"/>
              <w:rPr>
                <w:sz w:val="22"/>
                <w:szCs w:val="22"/>
                <w:color w:val="auto"/>
              </w:rPr>
            </w:pPr>
          </w:p>
        </w:tc>
      </w:tr>
      <w:tr>
        <w:trPr>
          <w:trHeight w:val="251"/>
        </w:trPr>
        <w:tc>
          <w:tcPr>
            <w:tcW w:w="20" w:type="dxa"/>
            <w:vAlign w:val="bottom"/>
          </w:tcPr>
          <w:p>
            <w:pPr>
              <w:spacing w:after="0"/>
              <w:rPr>
                <w:sz w:val="21"/>
                <w:szCs w:val="21"/>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Cash flow hedge of short-term debt</w:t>
            </w: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Other liabilities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F0FFFF"/>
          </w:tcPr>
          <w:p>
            <w:pPr>
              <w:spacing w:after="0"/>
              <w:rPr>
                <w:sz w:val="20"/>
                <w:szCs w:val="20"/>
                <w:color w:val="auto"/>
              </w:rPr>
            </w:pPr>
            <w:r>
              <w:rPr>
                <w:rFonts w:ascii="Arial" w:cs="Arial" w:eastAsia="Arial" w:hAnsi="Arial"/>
                <w:sz w:val="18"/>
                <w:szCs w:val="18"/>
                <w:color w:val="auto"/>
              </w:rPr>
              <w:t>Cash flow hedge of money market deposits</w:t>
            </w:r>
          </w:p>
        </w:tc>
        <w:tc>
          <w:tcPr>
            <w:tcW w:w="194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Other liabilities</w:t>
            </w:r>
          </w:p>
        </w:tc>
        <w:tc>
          <w:tcPr>
            <w:tcW w:w="100" w:type="dxa"/>
            <w:vAlign w:val="bottom"/>
            <w:tcBorders>
              <w:right w:val="single" w:sz="8" w:color="F0FFFF"/>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F0FFFF"/>
          </w:tcPr>
          <w:p>
            <w:pPr>
              <w:spacing w:after="0"/>
              <w:rPr>
                <w:sz w:val="18"/>
                <w:szCs w:val="18"/>
                <w:color w:val="auto"/>
              </w:rPr>
            </w:pPr>
          </w:p>
        </w:tc>
        <w:tc>
          <w:tcPr>
            <w:tcW w:w="400" w:type="dxa"/>
            <w:vAlign w:val="bottom"/>
            <w:gridSpan w:val="2"/>
            <w:shd w:val="clear" w:color="auto" w:fill="F0FFFF"/>
          </w:tcPr>
          <w:p>
            <w:pPr>
              <w:jc w:val="right"/>
              <w:ind w:right="1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Fair value hedge of brokered CD’s</w:t>
            </w: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 of corporate bonds</w:t>
            </w:r>
          </w:p>
        </w:tc>
        <w:tc>
          <w:tcPr>
            <w:tcW w:w="194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Other liabilities</w:t>
            </w:r>
          </w:p>
        </w:tc>
        <w:tc>
          <w:tcPr>
            <w:tcW w:w="100" w:type="dxa"/>
            <w:vAlign w:val="bottom"/>
            <w:tcBorders>
              <w:right w:val="single" w:sz="8" w:color="F0FFFF"/>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F0FF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860" w:type="dxa"/>
            <w:vAlign w:val="bottom"/>
            <w:shd w:val="clear" w:color="auto" w:fill="F0FFFF"/>
          </w:tcPr>
          <w:p>
            <w:pPr>
              <w:spacing w:after="0"/>
              <w:rPr>
                <w:sz w:val="2"/>
                <w:szCs w:val="2"/>
                <w:color w:val="auto"/>
              </w:rPr>
            </w:pPr>
          </w:p>
        </w:tc>
        <w:tc>
          <w:tcPr>
            <w:tcW w:w="60" w:type="dxa"/>
            <w:vAlign w:val="bottom"/>
            <w:shd w:val="clear" w:color="auto" w:fill="F0FFFF"/>
          </w:tcPr>
          <w:p>
            <w:pPr>
              <w:spacing w:after="0"/>
              <w:rPr>
                <w:sz w:val="2"/>
                <w:szCs w:val="2"/>
                <w:color w:val="auto"/>
              </w:rPr>
            </w:pPr>
          </w:p>
        </w:tc>
        <w:tc>
          <w:tcPr>
            <w:tcW w:w="1880" w:type="dxa"/>
            <w:vAlign w:val="bottom"/>
            <w:shd w:val="clear" w:color="auto" w:fill="F0FFFF"/>
          </w:tcPr>
          <w:p>
            <w:pPr>
              <w:spacing w:after="0"/>
              <w:rPr>
                <w:sz w:val="2"/>
                <w:szCs w:val="2"/>
                <w:color w:val="auto"/>
              </w:rPr>
            </w:pPr>
          </w:p>
        </w:tc>
        <w:tc>
          <w:tcPr>
            <w:tcW w:w="100" w:type="dxa"/>
            <w:vAlign w:val="bottom"/>
            <w:tcBorders>
              <w:righ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8"/>
                <w:szCs w:val="18"/>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25,646</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492"/>
        <w:spacing w:after="0"/>
        <w:rPr>
          <w:sz w:val="20"/>
          <w:szCs w:val="20"/>
          <w:color w:val="auto"/>
        </w:rPr>
      </w:pPr>
      <w:r>
        <w:rPr>
          <w:rFonts w:ascii="Arial" w:cs="Arial" w:eastAsia="Arial" w:hAnsi="Arial"/>
          <w:sz w:val="22"/>
          <w:szCs w:val="22"/>
          <w:b w:val="1"/>
          <w:bCs w:val="1"/>
          <w:i w:val="1"/>
          <w:iCs w:val="1"/>
          <w:color w:val="auto"/>
        </w:rPr>
        <w:t>Derivatives not Designated as Hedging Instruments under ASC 815</w:t>
      </w:r>
    </w:p>
    <w:p>
      <w:pPr>
        <w:spacing w:after="0" w:line="236" w:lineRule="exact"/>
        <w:rPr>
          <w:sz w:val="20"/>
          <w:szCs w:val="20"/>
          <w:color w:val="auto"/>
        </w:rPr>
      </w:pPr>
    </w:p>
    <w:tbl>
      <w:tblPr>
        <w:tblLayout w:type="fixed"/>
        <w:tblInd w:w="892"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Fair Value</w:t>
            </w:r>
          </w:p>
        </w:tc>
        <w:tc>
          <w:tcPr>
            <w:tcW w:w="7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0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December 31,</w:t>
            </w:r>
          </w:p>
        </w:tc>
        <w:tc>
          <w:tcPr>
            <w:tcW w:w="118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20" w:type="dxa"/>
            <w:vAlign w:val="bottom"/>
          </w:tcPr>
          <w:p>
            <w:pPr>
              <w:spacing w:after="0"/>
              <w:rPr>
                <w:sz w:val="20"/>
                <w:szCs w:val="20"/>
                <w:color w:val="auto"/>
              </w:rPr>
            </w:pPr>
          </w:p>
        </w:tc>
        <w:tc>
          <w:tcPr>
            <w:tcW w:w="600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rPr>
              <w:t>Interest Rate Products</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2013</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F0FFFF"/>
          </w:tcPr>
          <w:p>
            <w:pPr>
              <w:spacing w:after="0"/>
              <w:rPr>
                <w:sz w:val="20"/>
                <w:szCs w:val="20"/>
                <w:color w:val="auto"/>
              </w:rPr>
            </w:pPr>
            <w:r>
              <w:rPr>
                <w:rFonts w:ascii="Arial" w:cs="Arial" w:eastAsia="Arial" w:hAnsi="Arial"/>
                <w:sz w:val="18"/>
                <w:szCs w:val="18"/>
                <w:color w:val="auto"/>
              </w:rPr>
              <w:t>Customer swap positions</w:t>
            </w:r>
          </w:p>
        </w:tc>
        <w:tc>
          <w:tcPr>
            <w:tcW w:w="24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898</w:t>
            </w:r>
          </w:p>
        </w:tc>
        <w:tc>
          <w:tcPr>
            <w:tcW w:w="4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Dealer offsets to customer swap positions</w:t>
            </w: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F0FFFF"/>
          </w:tcPr>
          <w:p>
            <w:pPr>
              <w:spacing w:after="0"/>
              <w:rPr>
                <w:sz w:val="20"/>
                <w:szCs w:val="20"/>
                <w:color w:val="auto"/>
              </w:rPr>
            </w:pPr>
            <w:r>
              <w:rPr>
                <w:rFonts w:ascii="Arial" w:cs="Arial" w:eastAsia="Arial" w:hAnsi="Arial"/>
                <w:sz w:val="18"/>
                <w:szCs w:val="18"/>
                <w:color w:val="auto"/>
              </w:rPr>
              <w:t>Bifurcated embedded derivatives</w:t>
            </w:r>
          </w:p>
        </w:tc>
        <w:tc>
          <w:tcPr>
            <w:tcW w:w="1520" w:type="dxa"/>
            <w:vAlign w:val="bottom"/>
            <w:gridSpan w:val="2"/>
            <w:shd w:val="clear" w:color="auto" w:fill="F0FFFF"/>
          </w:tcPr>
          <w:p>
            <w:pPr>
              <w:ind w:left="2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12,262</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12,867</w:t>
            </w:r>
          </w:p>
        </w:tc>
        <w:tc>
          <w:tcPr>
            <w:tcW w:w="4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Offsetting positions for de-designated cash flow hedges</w:t>
            </w: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0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12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20,599</w:t>
            </w: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80" w:type="dxa"/>
            <w:vAlign w:val="bottom"/>
            <w:tcBorders>
              <w:top w:val="single" w:sz="8" w:color="auto"/>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15,112</w:t>
            </w:r>
          </w:p>
        </w:tc>
        <w:tc>
          <w:tcPr>
            <w:tcW w:w="40" w:type="dxa"/>
            <w:vAlign w:val="bottom"/>
            <w:tcBorders>
              <w:bottom w:val="single" w:sz="8" w:color="F0FFFF"/>
            </w:tcBorders>
            <w:shd w:val="clear" w:color="auto" w:fill="F0FF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Customer swap positions</w:t>
            </w: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Other liabilities</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F0FFFF"/>
          </w:tcPr>
          <w:p>
            <w:pPr>
              <w:spacing w:after="0"/>
              <w:rPr>
                <w:sz w:val="20"/>
                <w:szCs w:val="20"/>
                <w:color w:val="auto"/>
              </w:rPr>
            </w:pPr>
            <w:r>
              <w:rPr>
                <w:rFonts w:ascii="Arial" w:cs="Arial" w:eastAsia="Arial" w:hAnsi="Arial"/>
                <w:sz w:val="18"/>
                <w:szCs w:val="18"/>
                <w:color w:val="auto"/>
              </w:rPr>
              <w:t>Dealer offsets to customer swap positions</w:t>
            </w:r>
          </w:p>
        </w:tc>
        <w:tc>
          <w:tcPr>
            <w:tcW w:w="1520" w:type="dxa"/>
            <w:vAlign w:val="bottom"/>
            <w:gridSpan w:val="2"/>
            <w:shd w:val="clear" w:color="auto" w:fill="F0FFFF"/>
          </w:tcPr>
          <w:p>
            <w:pPr>
              <w:ind w:left="24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915</w:t>
            </w:r>
          </w:p>
        </w:tc>
        <w:tc>
          <w:tcPr>
            <w:tcW w:w="4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Dealer offsets to bifurcated embedded derivatives</w:t>
            </w:r>
          </w:p>
        </w:tc>
        <w:tc>
          <w:tcPr>
            <w:tcW w:w="1520" w:type="dxa"/>
            <w:vAlign w:val="bottom"/>
            <w:gridSpan w:val="2"/>
          </w:tcPr>
          <w:p>
            <w:pPr>
              <w:ind w:left="2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18,324</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De-designated cash flow hedge</w:t>
            </w:r>
          </w:p>
        </w:tc>
        <w:tc>
          <w:tcPr>
            <w:tcW w:w="1520" w:type="dxa"/>
            <w:vAlign w:val="bottom"/>
            <w:tcBorders>
              <w:bottom w:val="single" w:sz="8" w:color="F0FFFF"/>
            </w:tcBorders>
            <w:gridSpan w:val="2"/>
            <w:shd w:val="clear" w:color="auto" w:fill="F0FFFF"/>
          </w:tcPr>
          <w:p>
            <w:pPr>
              <w:ind w:left="2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F0FFFF"/>
            </w:tcBorders>
            <w:shd w:val="clear" w:color="auto" w:fill="F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25,830</w:t>
            </w:r>
          </w:p>
        </w:tc>
        <w:tc>
          <w:tcPr>
            <w:tcW w:w="100" w:type="dxa"/>
            <w:vAlign w:val="bottom"/>
          </w:tcPr>
          <w:p>
            <w:pPr>
              <w:spacing w:after="0"/>
              <w:rPr>
                <w:sz w:val="18"/>
                <w:szCs w:val="18"/>
                <w:color w:val="auto"/>
              </w:rPr>
            </w:pP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20,586</w:t>
            </w:r>
          </w:p>
        </w:tc>
        <w:tc>
          <w:tcPr>
            <w:tcW w:w="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92"/>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ind w:left="492"/>
        <w:spacing w:after="0" w:line="276" w:lineRule="auto"/>
        <w:rPr>
          <w:sz w:val="20"/>
          <w:szCs w:val="20"/>
          <w:color w:val="auto"/>
        </w:rPr>
      </w:pPr>
      <w:r>
        <w:rPr>
          <w:rFonts w:ascii="Arial" w:cs="Arial" w:eastAsia="Arial" w:hAnsi="Arial"/>
          <w:sz w:val="17"/>
          <w:szCs w:val="17"/>
          <w:color w:val="auto"/>
        </w:rPr>
        <w:t xml:space="preserve">Derivative contracts that are not accounted for as hedging instruments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offsetting dealer swaps are economic hedges of the bifurcated embedded derivatives.</w:t>
      </w:r>
    </w:p>
    <w:p>
      <w:pPr>
        <w:spacing w:after="0" w:line="1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75" w:right="239" w:bottom="1440" w:gutter="0" w:footer="0" w:header="0"/>
        </w:sectPr>
      </w:pPr>
    </w:p>
    <w:bookmarkStart w:id="107" w:name="page108"/>
    <w:bookmarkEnd w:id="107"/>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3"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18"/>
          <w:szCs w:val="18"/>
          <w:b w:val="1"/>
          <w:bCs w:val="1"/>
          <w:color w:val="auto"/>
        </w:rPr>
      </w:pPr>
      <w:r>
        <w:rPr>
          <w:rFonts w:ascii="Arial" w:cs="Arial" w:eastAsia="Arial" w:hAnsi="Arial"/>
          <w:sz w:val="22"/>
          <w:szCs w:val="22"/>
          <w:b w:val="1"/>
          <w:bCs w:val="1"/>
          <w:color w:val="auto"/>
        </w:rPr>
        <w:t>Derivatives and Hedging Activities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29"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December 31, 2014, United’s interest rate swaps designated as cash flow hedges involve the payment of fixed-rate amounts to a counterparty in exchange for United receiving variable-rate payments over the life of the agreements without exchange of the underlying notional amount. United’s one current cash flow hedge is for the purpose of converting variable rate deposits to a fixed rate to protect the company in a rising rate environment. The swap has a notional amount of $175 million and is forward starting and does not begin interest settlements until 2015. At December 31, 2013, United had three swap contracts outstanding with a notional amount of $200 million that were designated as cash flow hedges of future issuances of three-month brokered deposits or other LIBOR based floating rate wholesale borrowings and three swap contracts outstanding with a total notional amount of $375 million that were designated as cash flow hedges of indexed money market accounts.</w:t>
      </w:r>
    </w:p>
    <w:p>
      <w:pPr>
        <w:spacing w:after="0" w:line="209"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in 2014, as interest payments are made on United’s LIBOR based, variable-rate wholesale borrowings and indexed deposit accounts. United’s forward starting active cash flow hedges of floating rate liabilities will begin to become effective over the next twelve months. United recognized $107,000 in hedge ineffectiveness gains on active cash flow hedges in 2014 in money market interest expense. United recognized $70,000 in hedge ineffectiveness losses on active cash flow hedges in 2013 in deposit interest expense. No such hedge ineffectiveness gains or losses were recognized on active cash flow hedges in 2012 or 2011. United expects that $3.34 million will be reclassified as an increase to deposit interest expense over the next twelve months related to these cash flow hedges.</w:t>
      </w:r>
    </w:p>
    <w:p>
      <w:pPr>
        <w:spacing w:after="0" w:line="20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During the years ended December 31, 2013 and 2012, United accelerated the reclassification of $52,000 and $237,000, respectively, in gains from terminated positions as a result of the forecasted transactions becoming probable not to occur. These amounts were recognized in loan interest revenue as hedge ineffectiveness.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29" w:lineRule="exact"/>
        <w:rPr>
          <w:sz w:val="20"/>
          <w:szCs w:val="20"/>
          <w:color w:val="auto"/>
        </w:rPr>
      </w:pPr>
    </w:p>
    <w:p>
      <w:pPr>
        <w:jc w:val="both"/>
        <w:ind w:left="500"/>
        <w:spacing w:after="0" w:line="287" w:lineRule="auto"/>
        <w:rPr>
          <w:sz w:val="20"/>
          <w:szCs w:val="20"/>
          <w:color w:val="auto"/>
        </w:rPr>
      </w:pPr>
      <w:r>
        <w:rPr>
          <w:rFonts w:ascii="Arial" w:cs="Arial" w:eastAsia="Arial" w:hAnsi="Arial"/>
          <w:sz w:val="16"/>
          <w:szCs w:val="16"/>
          <w:color w:val="auto"/>
        </w:rPr>
        <w:t>United is exposed to changes in the fair value of certain of its fixed 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payments from a counterparty in exchange for United making fixed rate payments over the life of the instrument without the exchange of the underlying notional amount. At December 31, 2014, United had 16 interest rate swaps with an aggregate notional amount of $197 million that were designated as fair value hedges of interest rate risk and were pay-variable / receive-fixed swaps hedging the changes in the fair value of fixed rate brokered time deposits resulting from changes in interest rates. At December 31, 2013, United had 24 interest rate swaps with an aggregate notional amount of $285 million that were designated as fair value hedges of interest rate risk. Eight of the interest rate swaps outstanding at December 31, 2013 with an aggregate notional amount of $86 million were receive-variable / pay-fixed swaps that were used for the purpose of hedging changes in the fair value of corporate bonds resulting from changes in interest rates. The other 16 were pay-variable / receive-fixed swaps hedging the changes in the fair value of fixed rate brokered time deposits resulting from changes in interest rates.</w:t>
      </w:r>
    </w:p>
    <w:p>
      <w:pPr>
        <w:spacing w:after="0" w:line="196"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year ended December 31, 2014, United recognized a net loss of $1.28 million related to ineffectiveness in the fair value hedging relationships. During the years ended December 31, 2013 and 2012, United recognized net gains of $1.07 million and $870,000 respectively, related to ineffectiveness of the fair value hedging relationships. Offsetting the 2012 gain was the write off of $449,000 in prepaid broker fees on brokered deposits. The prepaid broker fees were related to the brokered deposits (hedged item) that were called and resulted in a portion of the ineffectiveness gain. United also recognized a net reduction of interest expense of $4.61 million, $4.67 million and $2.42 million for the years ended December 31, 2014, 2013 and 2012, respectively, related to United’s fair value hedges of brokered time deposits, which includes net settlements on the derivatives. United recognized a $1.33 million reduction of interest revenue on securities during 2013 related to United’s fair value hedges of corporate bonds.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08" w:name="page109"/>
    <w:bookmarkEnd w:id="108"/>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ind w:left="500" w:hanging="47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 continued</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Tabular Disclosure of the Effect of Derivative Instruments on the Income Statement</w:t>
      </w:r>
    </w:p>
    <w:p>
      <w:pPr>
        <w:spacing w:after="0" w:line="229" w:lineRule="exact"/>
        <w:rPr>
          <w:rFonts w:ascii="Arial" w:cs="Arial" w:eastAsia="Arial" w:hAnsi="Arial"/>
          <w:sz w:val="18"/>
          <w:szCs w:val="18"/>
          <w:b w:val="1"/>
          <w:bCs w:val="1"/>
          <w:color w:val="auto"/>
        </w:rPr>
      </w:pPr>
    </w:p>
    <w:p>
      <w:pPr>
        <w:ind w:lef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tables below present the effect of United’s derivative financial instruments on the consolidated statement of income for the years ended December 31, 2014, 2013 and 2012.</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of Gain</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(Loss)</w:t>
            </w:r>
          </w:p>
        </w:tc>
        <w:tc>
          <w:tcPr>
            <w:tcW w:w="280" w:type="dxa"/>
            <w:vAlign w:val="bottom"/>
          </w:tcPr>
          <w:p>
            <w:pPr>
              <w:spacing w:after="0"/>
              <w:rPr>
                <w:sz w:val="12"/>
                <w:szCs w:val="12"/>
                <w:color w:val="auto"/>
              </w:rPr>
            </w:pPr>
          </w:p>
        </w:tc>
        <w:tc>
          <w:tcPr>
            <w:tcW w:w="2640" w:type="dxa"/>
            <w:vAlign w:val="bottom"/>
            <w:gridSpan w:val="8"/>
            <w:vMerge w:val="restart"/>
          </w:tcPr>
          <w:p>
            <w:pPr>
              <w:ind w:left="320"/>
              <w:spacing w:after="0"/>
              <w:rPr>
                <w:sz w:val="20"/>
                <w:szCs w:val="20"/>
                <w:color w:val="auto"/>
              </w:rPr>
            </w:pPr>
            <w:r>
              <w:rPr>
                <w:rFonts w:ascii="Arial" w:cs="Arial" w:eastAsia="Arial" w:hAnsi="Arial"/>
                <w:sz w:val="14"/>
                <w:szCs w:val="14"/>
                <w:b w:val="1"/>
                <w:bCs w:val="1"/>
                <w:color w:val="auto"/>
                <w:w w:val="92"/>
              </w:rPr>
              <w:t>Amount of Gain (Loss) Recognized in</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gridSpan w:val="7"/>
            <w:vMerge w:val="restart"/>
          </w:tcPr>
          <w:p>
            <w:pPr>
              <w:ind w:left="280"/>
              <w:spacing w:after="0"/>
              <w:rPr>
                <w:sz w:val="20"/>
                <w:szCs w:val="20"/>
                <w:color w:val="auto"/>
              </w:rPr>
            </w:pPr>
            <w:r>
              <w:rPr>
                <w:rFonts w:ascii="Arial" w:cs="Arial" w:eastAsia="Arial" w:hAnsi="Arial"/>
                <w:sz w:val="14"/>
                <w:szCs w:val="14"/>
                <w:b w:val="1"/>
                <w:bCs w:val="1"/>
                <w:color w:val="auto"/>
                <w:w w:val="92"/>
              </w:rPr>
              <w:t>Amount of Gain (Loss) Recognized in</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280" w:type="dxa"/>
            <w:vAlign w:val="bottom"/>
          </w:tcPr>
          <w:p>
            <w:pPr>
              <w:spacing w:after="0"/>
              <w:rPr>
                <w:sz w:val="12"/>
                <w:szCs w:val="12"/>
                <w:color w:val="auto"/>
              </w:rPr>
            </w:pPr>
          </w:p>
        </w:tc>
        <w:tc>
          <w:tcPr>
            <w:tcW w:w="2640" w:type="dxa"/>
            <w:vAlign w:val="bottom"/>
            <w:gridSpan w:val="8"/>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gridSpan w:val="7"/>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9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Income</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Income on Derivative</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Income on Hedged Item</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9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81"/>
              </w:rPr>
              <w:t>on</w:t>
            </w:r>
          </w:p>
        </w:tc>
        <w:tc>
          <w:tcPr>
            <w:tcW w:w="280" w:type="dxa"/>
            <w:vAlign w:val="bottom"/>
          </w:tcPr>
          <w:p>
            <w:pPr>
              <w:spacing w:after="0"/>
              <w:rPr>
                <w:sz w:val="10"/>
                <w:szCs w:val="10"/>
                <w:color w:val="auto"/>
              </w:rPr>
            </w:pPr>
          </w:p>
        </w:tc>
        <w:tc>
          <w:tcPr>
            <w:tcW w:w="6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9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F0FFFF"/>
          </w:tcPr>
          <w:p>
            <w:pPr>
              <w:spacing w:after="0"/>
              <w:rPr>
                <w:sz w:val="17"/>
                <w:szCs w:val="17"/>
                <w:color w:val="auto"/>
              </w:rPr>
            </w:pPr>
          </w:p>
        </w:tc>
        <w:tc>
          <w:tcPr>
            <w:tcW w:w="92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Interest</w:t>
            </w:r>
          </w:p>
        </w:tc>
        <w:tc>
          <w:tcPr>
            <w:tcW w:w="28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460" w:type="dxa"/>
            <w:vAlign w:val="bottom"/>
            <w:tcBorders>
              <w:left w:val="single" w:sz="8" w:color="F0FFFF"/>
            </w:tcBorders>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hedges of brokered CD’s</w:t>
            </w:r>
          </w:p>
        </w:tc>
        <w:tc>
          <w:tcPr>
            <w:tcW w:w="9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expense</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13,400</w:t>
            </w:r>
          </w:p>
        </w:tc>
        <w:tc>
          <w:tcPr>
            <w:tcW w:w="6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(16,433</w:t>
            </w:r>
          </w:p>
        </w:tc>
        <w:tc>
          <w:tcPr>
            <w:tcW w:w="34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440"/>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(14,357</w:t>
            </w:r>
          </w:p>
        </w:tc>
        <w:tc>
          <w:tcPr>
            <w:tcW w:w="460" w:type="dxa"/>
            <w:vAlign w:val="bottom"/>
            <w:tcBorders>
              <w:left w:val="single" w:sz="8" w:color="F0FFFF"/>
            </w:tcBorders>
            <w:shd w:val="clear" w:color="auto" w:fill="F0FFFF"/>
          </w:tcPr>
          <w:p>
            <w:pPr>
              <w:jc w:val="right"/>
              <w:ind w:right="156"/>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16,981</w:t>
            </w:r>
          </w:p>
        </w:tc>
        <w:tc>
          <w:tcPr>
            <w:tcW w:w="3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1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17"/>
                <w:szCs w:val="17"/>
                <w:color w:val="auto"/>
              </w:rPr>
            </w:pPr>
          </w:p>
        </w:tc>
        <w:tc>
          <w:tcPr>
            <w:tcW w:w="920" w:type="dxa"/>
            <w:vAlign w:val="bottom"/>
            <w:gridSpan w:val="2"/>
          </w:tcPr>
          <w:p>
            <w:pPr>
              <w:spacing w:after="0" w:line="201" w:lineRule="exact"/>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w w:val="96"/>
              </w:rPr>
              <w:t>Fair value hedges of corporate bonds</w:t>
            </w:r>
          </w:p>
        </w:tc>
        <w:tc>
          <w:tcPr>
            <w:tcW w:w="9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(2,487</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6,285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2,163</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(5,765</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shd w:val="clear" w:color="auto" w:fill="F0FFFF"/>
          </w:tcPr>
          <w:p>
            <w:pPr>
              <w:spacing w:after="0"/>
              <w:rPr>
                <w:sz w:val="20"/>
                <w:szCs w:val="20"/>
                <w:color w:val="auto"/>
              </w:rPr>
            </w:pPr>
          </w:p>
        </w:tc>
        <w:tc>
          <w:tcPr>
            <w:tcW w:w="7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10,913</w:t>
            </w:r>
          </w:p>
        </w:tc>
        <w:tc>
          <w:tcPr>
            <w:tcW w:w="6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(10,148</w:t>
            </w:r>
          </w:p>
        </w:tc>
        <w:tc>
          <w:tcPr>
            <w:tcW w:w="34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440"/>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(12,194</w:t>
            </w:r>
          </w:p>
        </w:tc>
        <w:tc>
          <w:tcPr>
            <w:tcW w:w="460" w:type="dxa"/>
            <w:vAlign w:val="bottom"/>
            <w:tcBorders>
              <w:left w:val="single" w:sz="8" w:color="F0FFFF"/>
            </w:tcBorders>
            <w:shd w:val="clear" w:color="auto" w:fill="F0FFFF"/>
          </w:tcPr>
          <w:p>
            <w:pPr>
              <w:jc w:val="right"/>
              <w:ind w:right="156"/>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11,216</w:t>
            </w:r>
          </w:p>
        </w:tc>
        <w:tc>
          <w:tcPr>
            <w:tcW w:w="16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1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2900" w:type="dxa"/>
            <w:vAlign w:val="bottom"/>
            <w:tcBorders>
              <w:top w:val="single" w:sz="8" w:color="F0FFFF"/>
            </w:tcBorders>
            <w:shd w:val="clear" w:color="auto" w:fill="F0FFFF"/>
          </w:tcPr>
          <w:p>
            <w:pPr>
              <w:spacing w:after="0" w:line="20" w:lineRule="exact"/>
              <w:rPr>
                <w:sz w:val="1"/>
                <w:szCs w:val="1"/>
                <w:color w:val="auto"/>
              </w:rPr>
            </w:pPr>
          </w:p>
        </w:tc>
        <w:tc>
          <w:tcPr>
            <w:tcW w:w="7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36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64"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52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2"/>
              </w:rPr>
              <w:t>Amount of Gain (Loss) Recognized in</w:t>
            </w:r>
          </w:p>
        </w:tc>
        <w:tc>
          <w:tcPr>
            <w:tcW w:w="388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3"/>
              </w:rPr>
              <w:t>Gain (Loss) Reclassified from Accumulated Other</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Other Comprehensive Income on</w:t>
            </w:r>
          </w:p>
        </w:tc>
        <w:tc>
          <w:tcPr>
            <w:tcW w:w="3060" w:type="dxa"/>
            <w:vAlign w:val="bottom"/>
            <w:gridSpan w:val="8"/>
          </w:tcPr>
          <w:p>
            <w:pPr>
              <w:jc w:val="center"/>
              <w:ind w:left="608"/>
              <w:spacing w:after="0"/>
              <w:rPr>
                <w:sz w:val="20"/>
                <w:szCs w:val="20"/>
                <w:color w:val="auto"/>
              </w:rPr>
            </w:pPr>
            <w:r>
              <w:rPr>
                <w:rFonts w:ascii="Arial" w:cs="Arial" w:eastAsia="Arial" w:hAnsi="Arial"/>
                <w:sz w:val="14"/>
                <w:szCs w:val="14"/>
                <w:b w:val="1"/>
                <w:bCs w:val="1"/>
                <w:color w:val="auto"/>
                <w:w w:val="92"/>
              </w:rPr>
              <w:t>Comprehensive Income into Income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11"/>
          </w:tcPr>
          <w:p>
            <w:pPr>
              <w:jc w:val="center"/>
              <w:ind w:left="68"/>
              <w:spacing w:after="0"/>
              <w:rPr>
                <w:sz w:val="20"/>
                <w:szCs w:val="20"/>
                <w:color w:val="auto"/>
              </w:rPr>
            </w:pPr>
            <w:r>
              <w:rPr>
                <w:rFonts w:ascii="Arial" w:cs="Arial" w:eastAsia="Arial" w:hAnsi="Arial"/>
                <w:sz w:val="14"/>
                <w:szCs w:val="14"/>
                <w:b w:val="1"/>
                <w:bCs w:val="1"/>
                <w:color w:val="auto"/>
                <w:w w:val="92"/>
              </w:rPr>
              <w:t>Gain (Loss) Recognized in Income on Derivative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5"/>
              </w:rPr>
              <w:t>Derivative (Effective Portion)</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w w:val="95"/>
              </w:rPr>
              <w:t>(Ineffective Portion)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960" w:type="dxa"/>
            <w:vAlign w:val="bottom"/>
            <w:shd w:val="clear" w:color="auto" w:fill="F0FFFF"/>
          </w:tcPr>
          <w:p>
            <w:pPr>
              <w:jc w:val="center"/>
              <w:spacing w:after="0"/>
              <w:rPr>
                <w:sz w:val="20"/>
                <w:szCs w:val="20"/>
                <w:color w:val="auto"/>
              </w:rPr>
            </w:pPr>
            <w:r>
              <w:rPr>
                <w:rFonts w:ascii="Arial" w:cs="Arial" w:eastAsia="Arial" w:hAnsi="Arial"/>
                <w:sz w:val="14"/>
                <w:szCs w:val="14"/>
                <w:color w:val="auto"/>
                <w:w w:val="90"/>
              </w:rPr>
              <w:t>Interest revenue</w:t>
            </w:r>
          </w:p>
        </w:tc>
        <w:tc>
          <w:tcPr>
            <w:tcW w:w="260" w:type="dxa"/>
            <w:vAlign w:val="bottom"/>
            <w:gridSpan w:val="2"/>
            <w:vMerge w:val="restart"/>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F0FFFF"/>
          </w:tcPr>
          <w:p>
            <w:pPr>
              <w:jc w:val="right"/>
              <w:ind w:right="160"/>
              <w:spacing w:after="0"/>
              <w:rPr>
                <w:sz w:val="20"/>
                <w:szCs w:val="20"/>
                <w:color w:val="auto"/>
              </w:rPr>
            </w:pPr>
            <w:r>
              <w:rPr>
                <w:rFonts w:ascii="Arial" w:cs="Arial" w:eastAsia="Arial" w:hAnsi="Arial"/>
                <w:sz w:val="14"/>
                <w:szCs w:val="14"/>
                <w:color w:val="auto"/>
              </w:rPr>
              <w:t>(79)</w:t>
            </w:r>
          </w:p>
        </w:tc>
        <w:tc>
          <w:tcPr>
            <w:tcW w:w="180" w:type="dxa"/>
            <w:vAlign w:val="bottom"/>
            <w:vMerge w:val="restart"/>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904</w:t>
            </w:r>
          </w:p>
        </w:tc>
        <w:tc>
          <w:tcPr>
            <w:tcW w:w="220" w:type="dxa"/>
            <w:vAlign w:val="bottom"/>
            <w:tcBorders>
              <w:right w:val="single" w:sz="8" w:color="F0FFFF"/>
            </w:tcBorders>
            <w:shd w:val="clear" w:color="auto" w:fill="F0FFFF"/>
          </w:tcPr>
          <w:p>
            <w:pPr>
              <w:spacing w:after="0"/>
              <w:rPr>
                <w:sz w:val="15"/>
                <w:szCs w:val="15"/>
                <w:color w:val="auto"/>
              </w:rPr>
            </w:pPr>
          </w:p>
        </w:tc>
        <w:tc>
          <w:tcPr>
            <w:tcW w:w="14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F0FFFF"/>
            </w:tcBorders>
            <w:vMerge w:val="restart"/>
            <w:shd w:val="clear" w:color="auto" w:fill="F0FFFF"/>
          </w:tcPr>
          <w:p>
            <w:pPr>
              <w:jc w:val="right"/>
              <w:spacing w:after="0"/>
              <w:rPr>
                <w:sz w:val="20"/>
                <w:szCs w:val="20"/>
                <w:color w:val="auto"/>
              </w:rPr>
            </w:pPr>
            <w:r>
              <w:rPr>
                <w:rFonts w:ascii="Arial" w:cs="Arial" w:eastAsia="Arial" w:hAnsi="Arial"/>
                <w:sz w:val="14"/>
                <w:szCs w:val="14"/>
                <w:color w:val="auto"/>
              </w:rPr>
              <w:t>3,712</w:t>
            </w:r>
          </w:p>
        </w:tc>
        <w:tc>
          <w:tcPr>
            <w:tcW w:w="10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4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460" w:type="dxa"/>
            <w:vAlign w:val="bottom"/>
            <w:shd w:val="clear" w:color="auto" w:fill="F0FFFF"/>
          </w:tcPr>
          <w:p>
            <w:pPr>
              <w:spacing w:after="0"/>
              <w:rPr>
                <w:sz w:val="15"/>
                <w:szCs w:val="15"/>
                <w:color w:val="auto"/>
              </w:rPr>
            </w:pPr>
          </w:p>
        </w:tc>
        <w:tc>
          <w:tcPr>
            <w:tcW w:w="180" w:type="dxa"/>
            <w:vAlign w:val="bottom"/>
            <w:tcBorders>
              <w:right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420" w:type="dxa"/>
            <w:vAlign w:val="bottom"/>
            <w:shd w:val="clear" w:color="auto" w:fill="F0FFFF"/>
          </w:tcPr>
          <w:p>
            <w:pPr>
              <w:spacing w:after="0"/>
              <w:rPr>
                <w:sz w:val="5"/>
                <w:szCs w:val="5"/>
                <w:color w:val="auto"/>
              </w:rPr>
            </w:pPr>
          </w:p>
        </w:tc>
        <w:tc>
          <w:tcPr>
            <w:tcW w:w="180" w:type="dxa"/>
            <w:vAlign w:val="bottom"/>
            <w:shd w:val="clear" w:color="auto" w:fill="F0FFFF"/>
          </w:tcPr>
          <w:p>
            <w:pPr>
              <w:spacing w:after="0"/>
              <w:rPr>
                <w:sz w:val="5"/>
                <w:szCs w:val="5"/>
                <w:color w:val="auto"/>
              </w:rPr>
            </w:pPr>
          </w:p>
        </w:tc>
        <w:tc>
          <w:tcPr>
            <w:tcW w:w="160" w:type="dxa"/>
            <w:vAlign w:val="bottom"/>
            <w:shd w:val="clear" w:color="auto" w:fill="F0FFFF"/>
          </w:tcPr>
          <w:p>
            <w:pPr>
              <w:spacing w:after="0"/>
              <w:rPr>
                <w:sz w:val="5"/>
                <w:szCs w:val="5"/>
                <w:color w:val="auto"/>
              </w:rPr>
            </w:pPr>
          </w:p>
        </w:tc>
        <w:tc>
          <w:tcPr>
            <w:tcW w:w="640" w:type="dxa"/>
            <w:vAlign w:val="bottom"/>
            <w:shd w:val="clear" w:color="auto" w:fill="F0FFFF"/>
          </w:tcPr>
          <w:p>
            <w:pPr>
              <w:spacing w:after="0"/>
              <w:rPr>
                <w:sz w:val="5"/>
                <w:szCs w:val="5"/>
                <w:color w:val="auto"/>
              </w:rPr>
            </w:pPr>
          </w:p>
        </w:tc>
        <w:tc>
          <w:tcPr>
            <w:tcW w:w="180" w:type="dxa"/>
            <w:vAlign w:val="bottom"/>
            <w:shd w:val="clear" w:color="auto" w:fill="F0FFFF"/>
          </w:tcPr>
          <w:p>
            <w:pPr>
              <w:spacing w:after="0"/>
              <w:rPr>
                <w:sz w:val="5"/>
                <w:szCs w:val="5"/>
                <w:color w:val="auto"/>
              </w:rPr>
            </w:pPr>
          </w:p>
        </w:tc>
        <w:tc>
          <w:tcPr>
            <w:tcW w:w="140" w:type="dxa"/>
            <w:vAlign w:val="bottom"/>
            <w:shd w:val="clear" w:color="auto" w:fill="F0FFFF"/>
          </w:tcPr>
          <w:p>
            <w:pPr>
              <w:spacing w:after="0"/>
              <w:rPr>
                <w:sz w:val="5"/>
                <w:szCs w:val="5"/>
                <w:color w:val="auto"/>
              </w:rPr>
            </w:pPr>
          </w:p>
        </w:tc>
        <w:tc>
          <w:tcPr>
            <w:tcW w:w="540" w:type="dxa"/>
            <w:vAlign w:val="bottom"/>
            <w:shd w:val="clear" w:color="auto" w:fill="F0FFFF"/>
          </w:tcPr>
          <w:p>
            <w:pPr>
              <w:spacing w:after="0"/>
              <w:rPr>
                <w:sz w:val="5"/>
                <w:szCs w:val="5"/>
                <w:color w:val="auto"/>
              </w:rPr>
            </w:pPr>
          </w:p>
        </w:tc>
        <w:tc>
          <w:tcPr>
            <w:tcW w:w="160" w:type="dxa"/>
            <w:vAlign w:val="bottom"/>
            <w:shd w:val="clear" w:color="auto" w:fill="F0FFFF"/>
          </w:tcPr>
          <w:p>
            <w:pPr>
              <w:spacing w:after="0"/>
              <w:rPr>
                <w:sz w:val="5"/>
                <w:szCs w:val="5"/>
                <w:color w:val="auto"/>
              </w:rPr>
            </w:pPr>
          </w:p>
        </w:tc>
        <w:tc>
          <w:tcPr>
            <w:tcW w:w="960" w:type="dxa"/>
            <w:vAlign w:val="bottom"/>
            <w:shd w:val="clear" w:color="auto" w:fill="F0FFFF"/>
          </w:tcPr>
          <w:p>
            <w:pPr>
              <w:spacing w:after="0"/>
              <w:rPr>
                <w:sz w:val="5"/>
                <w:szCs w:val="5"/>
                <w:color w:val="auto"/>
              </w:rPr>
            </w:pPr>
          </w:p>
        </w:tc>
        <w:tc>
          <w:tcPr>
            <w:tcW w:w="260" w:type="dxa"/>
            <w:vAlign w:val="bottom"/>
            <w:gridSpan w:val="2"/>
            <w:vMerge w:val="continue"/>
            <w:shd w:val="clear" w:color="auto" w:fill="F0FFFF"/>
          </w:tcPr>
          <w:p>
            <w:pPr>
              <w:spacing w:after="0"/>
              <w:rPr>
                <w:sz w:val="5"/>
                <w:szCs w:val="5"/>
                <w:color w:val="auto"/>
              </w:rPr>
            </w:pPr>
          </w:p>
        </w:tc>
        <w:tc>
          <w:tcPr>
            <w:tcW w:w="740" w:type="dxa"/>
            <w:vAlign w:val="bottom"/>
            <w:gridSpan w:val="2"/>
            <w:vMerge w:val="continue"/>
            <w:shd w:val="clear" w:color="auto" w:fill="F0FFFF"/>
          </w:tcPr>
          <w:p>
            <w:pPr>
              <w:spacing w:after="0"/>
              <w:rPr>
                <w:sz w:val="5"/>
                <w:szCs w:val="5"/>
                <w:color w:val="auto"/>
              </w:rPr>
            </w:pPr>
          </w:p>
        </w:tc>
        <w:tc>
          <w:tcPr>
            <w:tcW w:w="180" w:type="dxa"/>
            <w:vAlign w:val="bottom"/>
            <w:vMerge w:val="continue"/>
            <w:shd w:val="clear" w:color="auto" w:fill="F0FFFF"/>
          </w:tcPr>
          <w:p>
            <w:pPr>
              <w:spacing w:after="0"/>
              <w:rPr>
                <w:sz w:val="5"/>
                <w:szCs w:val="5"/>
                <w:color w:val="auto"/>
              </w:rPr>
            </w:pPr>
          </w:p>
        </w:tc>
        <w:tc>
          <w:tcPr>
            <w:tcW w:w="700" w:type="dxa"/>
            <w:vAlign w:val="bottom"/>
            <w:vMerge w:val="continue"/>
            <w:shd w:val="clear" w:color="auto" w:fill="F0FFFF"/>
          </w:tcPr>
          <w:p>
            <w:pPr>
              <w:spacing w:after="0"/>
              <w:rPr>
                <w:sz w:val="5"/>
                <w:szCs w:val="5"/>
                <w:color w:val="auto"/>
              </w:rPr>
            </w:pPr>
          </w:p>
        </w:tc>
        <w:tc>
          <w:tcPr>
            <w:tcW w:w="220" w:type="dxa"/>
            <w:vAlign w:val="bottom"/>
            <w:tcBorders>
              <w:right w:val="single" w:sz="8" w:color="F0FFFF"/>
            </w:tcBorders>
            <w:shd w:val="clear" w:color="auto" w:fill="F0FFFF"/>
          </w:tcPr>
          <w:p>
            <w:pPr>
              <w:spacing w:after="0"/>
              <w:rPr>
                <w:sz w:val="5"/>
                <w:szCs w:val="5"/>
                <w:color w:val="auto"/>
              </w:rPr>
            </w:pPr>
          </w:p>
        </w:tc>
        <w:tc>
          <w:tcPr>
            <w:tcW w:w="140" w:type="dxa"/>
            <w:vAlign w:val="bottom"/>
            <w:vMerge w:val="continue"/>
            <w:shd w:val="clear" w:color="auto" w:fill="F0FFFF"/>
          </w:tcPr>
          <w:p>
            <w:pPr>
              <w:spacing w:after="0"/>
              <w:rPr>
                <w:sz w:val="5"/>
                <w:szCs w:val="5"/>
                <w:color w:val="auto"/>
              </w:rPr>
            </w:pPr>
          </w:p>
        </w:tc>
        <w:tc>
          <w:tcPr>
            <w:tcW w:w="580" w:type="dxa"/>
            <w:vAlign w:val="bottom"/>
            <w:tcBorders>
              <w:right w:val="single" w:sz="8" w:color="F0FFFF"/>
            </w:tcBorders>
            <w:vMerge w:val="continue"/>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940" w:type="dxa"/>
            <w:vAlign w:val="bottom"/>
            <w:shd w:val="clear" w:color="auto" w:fill="F0FFFF"/>
          </w:tcPr>
          <w:p>
            <w:pPr>
              <w:spacing w:after="0"/>
              <w:rPr>
                <w:sz w:val="5"/>
                <w:szCs w:val="5"/>
                <w:color w:val="auto"/>
              </w:rPr>
            </w:pPr>
          </w:p>
        </w:tc>
        <w:tc>
          <w:tcPr>
            <w:tcW w:w="14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460" w:type="dxa"/>
            <w:vAlign w:val="bottom"/>
            <w:shd w:val="clear" w:color="auto" w:fill="F0FFFF"/>
          </w:tcPr>
          <w:p>
            <w:pPr>
              <w:spacing w:after="0"/>
              <w:rPr>
                <w:sz w:val="5"/>
                <w:szCs w:val="5"/>
                <w:color w:val="auto"/>
              </w:rPr>
            </w:pPr>
          </w:p>
        </w:tc>
        <w:tc>
          <w:tcPr>
            <w:tcW w:w="200" w:type="dxa"/>
            <w:vAlign w:val="bottom"/>
            <w:shd w:val="clear" w:color="auto" w:fill="F0FFFF"/>
          </w:tcPr>
          <w:p>
            <w:pPr>
              <w:spacing w:after="0"/>
              <w:rPr>
                <w:sz w:val="5"/>
                <w:szCs w:val="5"/>
                <w:color w:val="auto"/>
              </w:rPr>
            </w:pPr>
          </w:p>
        </w:tc>
        <w:tc>
          <w:tcPr>
            <w:tcW w:w="160" w:type="dxa"/>
            <w:vAlign w:val="bottom"/>
            <w:shd w:val="clear" w:color="auto" w:fill="F0FFFF"/>
          </w:tcPr>
          <w:p>
            <w:pPr>
              <w:spacing w:after="0"/>
              <w:rPr>
                <w:sz w:val="5"/>
                <w:szCs w:val="5"/>
                <w:color w:val="auto"/>
              </w:rPr>
            </w:pPr>
          </w:p>
        </w:tc>
        <w:tc>
          <w:tcPr>
            <w:tcW w:w="480" w:type="dxa"/>
            <w:vAlign w:val="bottom"/>
            <w:shd w:val="clear" w:color="auto" w:fill="F0FFFF"/>
          </w:tcPr>
          <w:p>
            <w:pPr>
              <w:spacing w:after="0"/>
              <w:rPr>
                <w:sz w:val="5"/>
                <w:szCs w:val="5"/>
                <w:color w:val="auto"/>
              </w:rPr>
            </w:pPr>
          </w:p>
        </w:tc>
        <w:tc>
          <w:tcPr>
            <w:tcW w:w="160" w:type="dxa"/>
            <w:vAlign w:val="bottom"/>
            <w:shd w:val="clear" w:color="auto" w:fill="F0FFFF"/>
          </w:tcPr>
          <w:p>
            <w:pPr>
              <w:spacing w:after="0"/>
              <w:rPr>
                <w:sz w:val="5"/>
                <w:szCs w:val="5"/>
                <w:color w:val="auto"/>
              </w:rPr>
            </w:pPr>
          </w:p>
        </w:tc>
        <w:tc>
          <w:tcPr>
            <w:tcW w:w="120" w:type="dxa"/>
            <w:vAlign w:val="bottom"/>
            <w:shd w:val="clear" w:color="auto" w:fill="F0FFFF"/>
          </w:tcPr>
          <w:p>
            <w:pPr>
              <w:spacing w:after="0"/>
              <w:rPr>
                <w:sz w:val="5"/>
                <w:szCs w:val="5"/>
                <w:color w:val="auto"/>
              </w:rPr>
            </w:pPr>
          </w:p>
        </w:tc>
        <w:tc>
          <w:tcPr>
            <w:tcW w:w="100" w:type="dxa"/>
            <w:vAlign w:val="bottom"/>
            <w:shd w:val="clear" w:color="auto" w:fill="F0FFFF"/>
          </w:tcPr>
          <w:p>
            <w:pPr>
              <w:spacing w:after="0"/>
              <w:rPr>
                <w:sz w:val="5"/>
                <w:szCs w:val="5"/>
                <w:color w:val="auto"/>
              </w:rPr>
            </w:pPr>
          </w:p>
        </w:tc>
        <w:tc>
          <w:tcPr>
            <w:tcW w:w="460" w:type="dxa"/>
            <w:vAlign w:val="bottom"/>
            <w:shd w:val="clear" w:color="auto" w:fill="F0FFFF"/>
          </w:tcPr>
          <w:p>
            <w:pPr>
              <w:spacing w:after="0"/>
              <w:rPr>
                <w:sz w:val="5"/>
                <w:szCs w:val="5"/>
                <w:color w:val="auto"/>
              </w:rPr>
            </w:pPr>
          </w:p>
        </w:tc>
        <w:tc>
          <w:tcPr>
            <w:tcW w:w="180" w:type="dxa"/>
            <w:vAlign w:val="bottom"/>
            <w:tcBorders>
              <w:right w:val="single" w:sz="8" w:color="F0FFFF"/>
            </w:tcBorders>
            <w:shd w:val="clear" w:color="auto" w:fill="F0FF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Interest expense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(1,931)</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w w:val="95"/>
              </w:rPr>
              <w:t>Interest rate swaps $</w:t>
            </w:r>
          </w:p>
        </w:tc>
        <w:tc>
          <w:tcPr>
            <w:tcW w:w="760" w:type="dxa"/>
            <w:vAlign w:val="bottom"/>
            <w:gridSpan w:val="3"/>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(8,437)  $</w:t>
            </w:r>
          </w:p>
        </w:tc>
        <w:tc>
          <w:tcPr>
            <w:tcW w:w="82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10,084</w:t>
            </w:r>
          </w:p>
        </w:tc>
        <w:tc>
          <w:tcPr>
            <w:tcW w:w="1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(8,739)</w:t>
            </w:r>
          </w:p>
        </w:tc>
        <w:tc>
          <w:tcPr>
            <w:tcW w:w="9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(2,010)</w:t>
            </w:r>
          </w:p>
        </w:tc>
        <w:tc>
          <w:tcPr>
            <w:tcW w:w="180" w:type="dxa"/>
            <w:vAlign w:val="bottom"/>
            <w:tcBorders>
              <w:top w:val="single" w:sz="8" w:color="auto"/>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904</w:t>
            </w:r>
          </w:p>
        </w:tc>
        <w:tc>
          <w:tcPr>
            <w:tcW w:w="220" w:type="dxa"/>
            <w:vAlign w:val="bottom"/>
            <w:tcBorders>
              <w:top w:val="single" w:sz="8" w:color="auto"/>
              <w:right w:val="single" w:sz="8" w:color="F0FFFF"/>
            </w:tcBorders>
            <w:shd w:val="clear" w:color="auto" w:fill="F0FFFF"/>
          </w:tcPr>
          <w:p>
            <w:pPr>
              <w:spacing w:after="0"/>
              <w:rPr>
                <w:sz w:val="14"/>
                <w:szCs w:val="14"/>
                <w:color w:val="auto"/>
              </w:rPr>
            </w:pPr>
          </w:p>
        </w:tc>
        <w:tc>
          <w:tcPr>
            <w:tcW w:w="1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right w:val="single" w:sz="8" w:color="F0FFFF"/>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3,712</w:t>
            </w:r>
          </w:p>
        </w:tc>
        <w:tc>
          <w:tcPr>
            <w:tcW w:w="100" w:type="dxa"/>
            <w:vAlign w:val="bottom"/>
            <w:shd w:val="clear" w:color="auto" w:fill="F0FFFF"/>
          </w:tcPr>
          <w:p>
            <w:pPr>
              <w:spacing w:after="0"/>
              <w:rPr>
                <w:sz w:val="14"/>
                <w:szCs w:val="14"/>
                <w:color w:val="auto"/>
              </w:rPr>
            </w:pPr>
          </w:p>
        </w:tc>
        <w:tc>
          <w:tcPr>
            <w:tcW w:w="940" w:type="dxa"/>
            <w:vAlign w:val="bottom"/>
            <w:shd w:val="clear" w:color="auto" w:fill="F0FFFF"/>
          </w:tcPr>
          <w:p>
            <w:pPr>
              <w:jc w:val="center"/>
              <w:spacing w:after="0" w:line="149" w:lineRule="exact"/>
              <w:rPr>
                <w:sz w:val="20"/>
                <w:szCs w:val="20"/>
                <w:color w:val="auto"/>
              </w:rPr>
            </w:pPr>
            <w:r>
              <w:rPr>
                <w:rFonts w:ascii="Arial" w:cs="Arial" w:eastAsia="Arial" w:hAnsi="Arial"/>
                <w:sz w:val="14"/>
                <w:szCs w:val="14"/>
                <w:color w:val="auto"/>
                <w:w w:val="90"/>
              </w:rPr>
              <w:t>Interest expense</w:t>
            </w:r>
          </w:p>
        </w:tc>
        <w:tc>
          <w:tcPr>
            <w:tcW w:w="2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640" w:type="dxa"/>
            <w:vAlign w:val="bottom"/>
            <w:gridSpan w:val="2"/>
            <w:shd w:val="clear" w:color="auto" w:fill="F0FF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w w:val="89"/>
              </w:rPr>
              <w:t>70</w:t>
            </w:r>
          </w:p>
        </w:tc>
        <w:tc>
          <w:tcPr>
            <w:tcW w:w="560" w:type="dxa"/>
            <w:vAlign w:val="bottom"/>
            <w:gridSpan w:val="2"/>
            <w:shd w:val="clear" w:color="auto" w:fill="F0FF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11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F0FFFF"/>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F0FF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both"/>
        <w:ind w:left="520"/>
        <w:spacing w:after="0" w:line="282" w:lineRule="auto"/>
        <w:rPr>
          <w:sz w:val="20"/>
          <w:szCs w:val="20"/>
          <w:color w:val="auto"/>
        </w:rPr>
      </w:pPr>
      <w:r>
        <w:rPr>
          <w:rFonts w:ascii="Arial" w:cs="Arial" w:eastAsia="Arial" w:hAnsi="Arial"/>
          <w:sz w:val="19"/>
          <w:szCs w:val="19"/>
          <w:color w:val="auto"/>
        </w:rPr>
        <w:t>In certain cases, the estate of deceased brokered certificate of deposit holders may put the certificate of deposit back to the issuing bank at par upon the death of the holder. When these death puts occur, a gain or loss is recognized for the difference between the carrying value and the par amount of the deposits put back. The change in the fair value of brokered time deposits that are being hedged in fair value hedging relationships reported in the table above include gains and losses from death puts and such gains and losses are included in the amount of reported ineffectiveness gains or losses.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29"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December 31, 2014, collateral totaling $32.8 million was pledged toward derivatives in a liability position.</w:t>
      </w:r>
    </w:p>
    <w:p>
      <w:pPr>
        <w:spacing w:after="0" w:line="214" w:lineRule="exact"/>
        <w:rPr>
          <w:sz w:val="20"/>
          <w:szCs w:val="20"/>
          <w:color w:val="auto"/>
        </w:rPr>
      </w:pPr>
    </w:p>
    <w:p>
      <w:pPr>
        <w:jc w:val="both"/>
        <w:ind w:left="520"/>
        <w:spacing w:after="0" w:line="276"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 in Valuation Methodology</w:t>
      </w:r>
    </w:p>
    <w:p>
      <w:pPr>
        <w:spacing w:after="0" w:line="229" w:lineRule="exact"/>
        <w:rPr>
          <w:sz w:val="20"/>
          <w:szCs w:val="20"/>
          <w:color w:val="auto"/>
        </w:rPr>
      </w:pPr>
    </w:p>
    <w:p>
      <w:pPr>
        <w:jc w:val="both"/>
        <w:ind w:left="520"/>
        <w:spacing w:after="0" w:line="255" w:lineRule="auto"/>
        <w:rPr>
          <w:sz w:val="20"/>
          <w:szCs w:val="20"/>
          <w:color w:val="auto"/>
        </w:rPr>
      </w:pPr>
      <w:r>
        <w:rPr>
          <w:rFonts w:ascii="Arial" w:cs="Arial" w:eastAsia="Arial" w:hAnsi="Arial"/>
          <w:sz w:val="18"/>
          <w:szCs w:val="18"/>
          <w:color w:val="auto"/>
        </w:rPr>
        <w:t>As of January 1, 2013, United changed its valuation methodology for over-the-counter derivatives to discount cash flows based on Overnight Index Swap (“OIS”) rates. Fully collateralized trades are discounted using OIS with no additional economic adjustments to arrive at fair value. Uncollateralized or partially collateralized trades are also discounted at OIS, but include appropriate economic adjustments for funding costs (i.e. LIBOR-OIS basis adjustment to approximate uncollateralized cost of funds) and credit risk. United changed its methodology to better align its inputs, assumptions and pricing methodologies with those used in its principal market by most dealers and major market participants. The changes in valuation methodology are applied prospectively as a change in accounting estimate and are not material to United’s financial position or results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23495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20" w:top="675" w:right="239" w:bottom="964" w:gutter="0" w:footer="0" w:header="0"/>
        </w:sectPr>
      </w:pPr>
    </w:p>
    <w:bookmarkStart w:id="109" w:name="page110"/>
    <w:bookmarkEnd w:id="109"/>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6"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Matters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Capital Requirements</w:t>
      </w:r>
    </w:p>
    <w:p>
      <w:pPr>
        <w:spacing w:after="0" w:line="229"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the financial statements. Under capital adequacy guidelines and the regulatory framework for prompt corrective action, as revised by the Basel III Capital Rules effective as of January 1, 2015,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192"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Quantitative measures (as defined) established by regulation to ensure capital adequacy require United and the Bank to maintain minimum amounts and ratios of total capital and Tier 1 capital to risk-weighted assets, and of Tier 1 capital to average assets.</w:t>
      </w:r>
    </w:p>
    <w:p>
      <w:pPr>
        <w:spacing w:after="0" w:line="197"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As of December 31, 2014, the Bank was categorized as well-capitalized under the regulatory framework for prompt corrective action in effect at such time. To be categorized as well-capitalized at December 31, 2014, the Bank must have exceeded the well-capitalized guideline ratios in effect at such time, as set forth in the table below and have met certain other requirements. Management believes that the Bank exceeded all well-capitalized requirements at December 31, 2014, and there have been no conditions or events since year-end that would change the status of well-capitalized. The regulatory designation of “well-capitalized” under prompt corrective action regulations is not applicable to United (a bank holding company). However, Regulation Y defines “well-capitalized” for a bank holding company for the purpose of determining eligibility for a streamlined review process for acquisition proposals. For such purposes, “well-capitalized” at December 31, 2014, required that United maintain a minimum Tier 1 risk-based capital ratio of 6% and a minimum Total risk-based capital ratio of 10%.</w:t>
      </w:r>
    </w:p>
    <w:p>
      <w:pPr>
        <w:spacing w:after="0" w:line="206"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color w:val="auto"/>
        </w:rPr>
        <w:t xml:space="preserve">Regulatory capital ratios at December 31, 2014 and 2013,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Regulatory Matters</w:t>
      </w:r>
    </w:p>
    <w:p>
      <w:pPr>
        <w:spacing w:after="0" w:line="24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660" w:type="dxa"/>
            <w:vAlign w:val="bottom"/>
            <w:gridSpan w:val="4"/>
          </w:tcPr>
          <w:p>
            <w:pPr>
              <w:ind w:left="800"/>
              <w:spacing w:after="0"/>
              <w:rPr>
                <w:sz w:val="20"/>
                <w:szCs w:val="20"/>
                <w:color w:val="auto"/>
              </w:rPr>
            </w:pPr>
            <w:r>
              <w:rPr>
                <w:rFonts w:ascii="Arial" w:cs="Arial" w:eastAsia="Arial" w:hAnsi="Arial"/>
                <w:sz w:val="18"/>
                <w:szCs w:val="18"/>
                <w:b w:val="1"/>
                <w:bCs w:val="1"/>
                <w:color w:val="auto"/>
              </w:rPr>
              <w:t>Regulatory</w:t>
            </w:r>
          </w:p>
        </w:tc>
        <w:tc>
          <w:tcPr>
            <w:tcW w:w="60" w:type="dxa"/>
            <w:vAlign w:val="bottom"/>
          </w:tcPr>
          <w:p>
            <w:pPr>
              <w:spacing w:after="0"/>
              <w:rPr>
                <w:sz w:val="18"/>
                <w:szCs w:val="18"/>
                <w:color w:val="auto"/>
              </w:rPr>
            </w:pPr>
          </w:p>
        </w:tc>
        <w:tc>
          <w:tcPr>
            <w:tcW w:w="264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United Community Banks, Inc.</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040" w:type="dxa"/>
            <w:vAlign w:val="bottom"/>
          </w:tcPr>
          <w:p>
            <w:pPr>
              <w:spacing w:after="0"/>
              <w:rPr>
                <w:sz w:val="20"/>
                <w:szCs w:val="20"/>
                <w:color w:val="auto"/>
              </w:rPr>
            </w:pPr>
          </w:p>
        </w:tc>
        <w:tc>
          <w:tcPr>
            <w:tcW w:w="2660" w:type="dxa"/>
            <w:vAlign w:val="bottom"/>
            <w:gridSpan w:val="4"/>
          </w:tcPr>
          <w:p>
            <w:pPr>
              <w:ind w:left="820"/>
              <w:spacing w:after="0"/>
              <w:rPr>
                <w:sz w:val="20"/>
                <w:szCs w:val="20"/>
                <w:color w:val="auto"/>
              </w:rPr>
            </w:pPr>
            <w:r>
              <w:rPr>
                <w:rFonts w:ascii="Arial" w:cs="Arial" w:eastAsia="Arial" w:hAnsi="Arial"/>
                <w:sz w:val="18"/>
                <w:szCs w:val="18"/>
                <w:b w:val="1"/>
                <w:bCs w:val="1"/>
                <w:color w:val="auto"/>
              </w:rPr>
              <w:t>Guidelines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(consolidated)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5"/>
              </w:rPr>
              <w:t>United Community Bank</w:t>
            </w:r>
          </w:p>
        </w:tc>
      </w:tr>
      <w:tr>
        <w:trPr>
          <w:trHeight w:val="198"/>
        </w:trPr>
        <w:tc>
          <w:tcPr>
            <w:tcW w:w="30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Well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30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Minimum</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Capitalized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r>
      <w:tr>
        <w:trPr>
          <w:trHeight w:val="216"/>
        </w:trPr>
        <w:tc>
          <w:tcPr>
            <w:tcW w:w="3040" w:type="dxa"/>
            <w:vAlign w:val="bottom"/>
            <w:shd w:val="clear" w:color="auto" w:fill="F0FFFF"/>
          </w:tcPr>
          <w:p>
            <w:pPr>
              <w:spacing w:after="0"/>
              <w:rPr>
                <w:sz w:val="20"/>
                <w:szCs w:val="20"/>
                <w:color w:val="auto"/>
              </w:rPr>
            </w:pPr>
            <w:r>
              <w:rPr>
                <w:rFonts w:ascii="Arial" w:cs="Arial" w:eastAsia="Arial" w:hAnsi="Arial"/>
                <w:sz w:val="18"/>
                <w:szCs w:val="18"/>
                <w:color w:val="auto"/>
              </w:rPr>
              <w:t>Risk-based ratios:</w:t>
            </w:r>
          </w:p>
        </w:tc>
        <w:tc>
          <w:tcPr>
            <w:tcW w:w="108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8"/>
                <w:szCs w:val="18"/>
                <w:color w:val="auto"/>
              </w:rPr>
              <w:t>Tier 1 capital</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4.0%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12.05%</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12.84%</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13.55%</w:t>
            </w:r>
          </w:p>
        </w:tc>
      </w:tr>
      <w:tr>
        <w:trPr>
          <w:trHeight w:val="216"/>
        </w:trPr>
        <w:tc>
          <w:tcPr>
            <w:tcW w:w="3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capital</w:t>
            </w:r>
          </w:p>
        </w:tc>
        <w:tc>
          <w:tcPr>
            <w:tcW w:w="1340" w:type="dxa"/>
            <w:vAlign w:val="bottom"/>
            <w:gridSpan w:val="2"/>
            <w:shd w:val="clear" w:color="auto" w:fill="F0FFFF"/>
          </w:tcPr>
          <w:p>
            <w:pPr>
              <w:ind w:left="860"/>
              <w:spacing w:after="0"/>
              <w:rPr>
                <w:sz w:val="20"/>
                <w:szCs w:val="20"/>
                <w:color w:val="auto"/>
              </w:rPr>
            </w:pPr>
            <w:r>
              <w:rPr>
                <w:rFonts w:ascii="Arial" w:cs="Arial" w:eastAsia="Arial" w:hAnsi="Arial"/>
                <w:sz w:val="18"/>
                <w:szCs w:val="18"/>
                <w:color w:val="auto"/>
              </w:rPr>
              <w:t>8.0</w:t>
            </w: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13.99</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14.80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Leverage ratio</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9.61</w:t>
            </w:r>
          </w:p>
        </w:tc>
      </w:tr>
      <w:tr>
        <w:trPr>
          <w:trHeight w:val="216"/>
        </w:trPr>
        <w:tc>
          <w:tcPr>
            <w:tcW w:w="3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1 capital</w:t>
            </w:r>
          </w:p>
        </w:tc>
        <w:tc>
          <w:tcPr>
            <w:tcW w:w="10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8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642,663</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649,162</w:t>
            </w:r>
          </w:p>
        </w:tc>
        <w:tc>
          <w:tcPr>
            <w:tcW w:w="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683,332</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686,687</w:t>
            </w:r>
          </w:p>
        </w:tc>
      </w:tr>
      <w:tr>
        <w:trPr>
          <w:trHeight w:val="216"/>
        </w:trPr>
        <w:tc>
          <w:tcPr>
            <w:tcW w:w="304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709,408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713,063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749,927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750,216</w:t>
            </w:r>
          </w:p>
        </w:tc>
      </w:tr>
      <w:tr>
        <w:trPr>
          <w:trHeight w:val="216"/>
        </w:trPr>
        <w:tc>
          <w:tcPr>
            <w:tcW w:w="3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Risk-weighted assets</w:t>
            </w:r>
          </w:p>
        </w:tc>
        <w:tc>
          <w:tcPr>
            <w:tcW w:w="10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5,332,822</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5,097,091</w:t>
            </w:r>
          </w:p>
        </w:tc>
        <w:tc>
          <w:tcPr>
            <w:tcW w:w="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5,320,615</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5,066,948</w:t>
            </w:r>
          </w:p>
        </w:tc>
      </w:tr>
      <w:tr>
        <w:trPr>
          <w:trHeight w:val="230"/>
        </w:trPr>
        <w:tc>
          <w:tcPr>
            <w:tcW w:w="3040" w:type="dxa"/>
            <w:vAlign w:val="bottom"/>
          </w:tcPr>
          <w:p>
            <w:pPr>
              <w:ind w:left="160"/>
              <w:spacing w:after="0"/>
              <w:rPr>
                <w:sz w:val="20"/>
                <w:szCs w:val="20"/>
                <w:color w:val="auto"/>
              </w:rPr>
            </w:pPr>
            <w:r>
              <w:rPr>
                <w:rFonts w:ascii="Arial" w:cs="Arial" w:eastAsia="Arial" w:hAnsi="Arial"/>
                <w:sz w:val="18"/>
                <w:szCs w:val="18"/>
                <w:color w:val="auto"/>
              </w:rPr>
              <w:t>Average total assets</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7,396,450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7,150,360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7,385,048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7,142,050</w:t>
            </w:r>
          </w:p>
        </w:tc>
      </w:tr>
    </w:tbl>
    <w:p>
      <w:pPr>
        <w:spacing w:after="0" w:line="207" w:lineRule="exact"/>
        <w:rPr>
          <w:sz w:val="20"/>
          <w:szCs w:val="20"/>
          <w:color w:val="auto"/>
        </w:rPr>
      </w:pPr>
    </w:p>
    <w:p>
      <w:pPr>
        <w:jc w:val="both"/>
        <w:ind w:left="500"/>
        <w:spacing w:after="0" w:line="248" w:lineRule="auto"/>
        <w:rPr>
          <w:sz w:val="20"/>
          <w:szCs w:val="20"/>
          <w:color w:val="auto"/>
        </w:rPr>
      </w:pPr>
      <w:r>
        <w:rPr>
          <w:rFonts w:ascii="Arial" w:cs="Arial" w:eastAsia="Arial" w:hAnsi="Arial"/>
          <w:sz w:val="21"/>
          <w:szCs w:val="21"/>
          <w:color w:val="auto"/>
        </w:rPr>
        <w:t>Effective January 1, 2015, the Basel III Capital Rules revised the framework for prompt corrective action by (i) introducing a CET1 ratio requirement at each level (other than critically undercapitalized), with the required CET1 ratio being 6.5% for well-capitalized status; (ii) increasing the minimum Tier 1 capital ratio requirement for each category (other than critically undercapitalized), with the minimum Tier 1 capital ratio for well-capitalized status being 8.0% (as compared to the current 6.0%); and (iii) eliminating the current provision that provides that a bank with a composite supervisory rating of 1 may have a 3% leverage ratio and still be adequately capitalized.</w:t>
      </w:r>
    </w:p>
    <w:p>
      <w:pPr>
        <w:spacing w:after="0" w:line="212"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Management believes that, as of December 31, 2014, United and the Bank would meet all capital adequacy requirements under the Basel III Capital Rules on a fully phased-in basis as if such requirements were currently in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10" w:name="page111"/>
    <w:bookmarkEnd w:id="110"/>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Dividend, Loan and Other Restrictions</w:t>
      </w:r>
    </w:p>
    <w:p>
      <w:pPr>
        <w:spacing w:after="0" w:line="229"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2014 and 2013, the Bank did not have a required reserve balance at the Federal Reserve Bank of Atlanta. Federal and state banking regulations place certain restrictions on dividends paid by the Bank to United. In addition, dividends paid to United require pre-approval of the Georgia Department of Banking and Finance and the FDIC while the Bank has an accumulated deficit (negative retained earnings). During 2014, the Bank received regulatory approval to pay cash dividends to United of $129 million.</w:t>
      </w:r>
    </w:p>
    <w:p>
      <w:pPr>
        <w:spacing w:after="0" w:line="213"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Federal Reserve Act requires that extensions of credit by the Bank to certain affiliates, including United, be secured by specific collateral, that the extension of credit to any one affiliate be limited to 10% of capital and surplus (as defined), and that extensions of credit to all such affiliates be limited to 20% of capital and surplus.</w:t>
      </w:r>
    </w:p>
    <w:p>
      <w:pPr>
        <w:spacing w:after="0" w:line="208"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w:t>
      </w:r>
    </w:p>
    <w:p>
      <w:pPr>
        <w:spacing w:after="0" w:line="213"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209" w:lineRule="exact"/>
        <w:rPr>
          <w:rFonts w:ascii="Arial" w:cs="Arial" w:eastAsia="Arial" w:hAnsi="Arial"/>
          <w:sz w:val="18"/>
          <w:szCs w:val="18"/>
          <w:b w:val="1"/>
          <w:bCs w:val="1"/>
          <w:color w:val="auto"/>
        </w:rPr>
      </w:pPr>
    </w:p>
    <w:p>
      <w:pPr>
        <w:ind w:left="480" w:hanging="472"/>
        <w:spacing w:after="0"/>
        <w:tabs>
          <w:tab w:leader="none" w:pos="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 xml:space="preserve">The following table summarizes, as of December 31, 2014 and 2013, the contract amount of off-balance sheet instruments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F0FF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8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Commitments to extend credit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878,160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747,170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Letters of credit</w:t>
            </w:r>
          </w:p>
        </w:tc>
        <w:tc>
          <w:tcPr>
            <w:tcW w:w="8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19,861</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19,846</w:t>
            </w:r>
          </w:p>
        </w:tc>
        <w:tc>
          <w:tcPr>
            <w:tcW w:w="10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Minimum Lease Payments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10,877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20"/>
                <w:szCs w:val="20"/>
                <w:color w:val="auto"/>
              </w:rPr>
            </w:pPr>
          </w:p>
        </w:tc>
      </w:tr>
    </w:tbl>
    <w:p>
      <w:pPr>
        <w:spacing w:after="0" w:line="207" w:lineRule="exact"/>
        <w:rPr>
          <w:sz w:val="20"/>
          <w:szCs w:val="20"/>
          <w:color w:val="auto"/>
        </w:rPr>
      </w:pPr>
    </w:p>
    <w:p>
      <w:pPr>
        <w:jc w:val="both"/>
        <w:ind w:left="500"/>
        <w:spacing w:after="0" w:line="234" w:lineRule="auto"/>
        <w:rPr>
          <w:sz w:val="20"/>
          <w:szCs w:val="20"/>
          <w:color w:val="auto"/>
        </w:rPr>
      </w:pPr>
      <w:r>
        <w:rPr>
          <w:rFonts w:ascii="Arial" w:cs="Arial" w:eastAsia="Arial" w:hAnsi="Arial"/>
          <w:sz w:val="22"/>
          <w:szCs w:val="22"/>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225"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18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United maintains an allowance for unfunded loan commitments which is included in the balance of other liabilities in the consolidated balance sheet. The allowance for unfunded loan commitments is determined as part of the quarterly analysis of the allowance for credit losses and is based on probable incurred losses in United’s unfunded loan commitments that are expected to result in funded loans.</w:t>
      </w:r>
    </w:p>
    <w:p>
      <w:pPr>
        <w:spacing w:after="0" w:line="20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11" w:name="page112"/>
    <w:bookmarkEnd w:id="111"/>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29"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may issue preferred stock in one or more series, up to a maximum of 10,000,000 shares. Each series shall include the number of shares issued, preferences, special rights and limitations as determined by the Board of Directors.</w:t>
      </w:r>
    </w:p>
    <w:p>
      <w:pPr>
        <w:spacing w:after="0" w:line="197"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December 31, 2013, United redeemed 21,700 shares of its Series A Non-Cumulative Preferred. On December 27, 2013, United redeemed 75,000 shares of the Fixed Rate Cumulative Perpetual Preferred Stock, Series B and redeemed the remaining 105,000 shares on January 10, 2014. On March 3, 2014, United redeemed 16,613 shares of the Cumulative Perpetual Preferred Stock, Series D. There are no preferred shares outstanding at December 31, 2014.</w:t>
      </w:r>
    </w:p>
    <w:p>
      <w:pPr>
        <w:spacing w:after="0" w:line="182" w:lineRule="exact"/>
        <w:rPr>
          <w:rFonts w:ascii="Arial" w:cs="Arial" w:eastAsia="Arial" w:hAnsi="Arial"/>
          <w:sz w:val="18"/>
          <w:szCs w:val="18"/>
          <w:b w:val="1"/>
          <w:bCs w:val="1"/>
          <w:color w:val="auto"/>
        </w:rPr>
      </w:pPr>
    </w:p>
    <w:p>
      <w:pPr>
        <w:ind w:left="480" w:hanging="472"/>
        <w:spacing w:after="0"/>
        <w:tabs>
          <w:tab w:leader="none" w:pos="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rFonts w:ascii="Arial" w:cs="Arial" w:eastAsia="Arial" w:hAnsi="Arial"/>
          <w:sz w:val="18"/>
          <w:szCs w:val="18"/>
          <w:b w:val="1"/>
          <w:bCs w:val="1"/>
          <w:color w:val="auto"/>
        </w:rPr>
      </w:pPr>
    </w:p>
    <w:p>
      <w:pPr>
        <w:jc w:val="both"/>
        <w:ind w:left="5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2007, the shareholders approved the Amended and Restated 2000 Key Employee Stock Option Plan (“2000 Plan”). Under the original terms of the 2000 Plan, awards of 500,000 options, restricted stock awards, stock awards, performance share awards or stock appreciation rights could be granted for shares of United’s common stock. In 2012, shareholders approved an amendment to increase the number of shares available for grant. Options granted under the 2000 Plan can have an exercise price no less than the fair market value at the date of grant. The general terms of the 2000 Plan include a vesting period (usually four years) with an exercisable period not to exceed ten years. Certain option and restricted stock grants provide for accelerated vesting if there is a change in control of United or certain other conditions are met (as defined in the plan document). As of December 31, 2014, 460,000 additional awards could be granted under the 2000 Plan. Through December 31, 2014, incentive stock options, nonqualified stock options, restricted stock and restricted stock unit awards, base salary stock grants and performance share awards had been granted under the 2000 Plan.</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Restricted stock and options outstanding and activity for the years ended December 31, 2014, 2013 and 2012 consisted of the following:</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Restricted Stock</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4"/>
          </w:tcPr>
          <w:p>
            <w:pPr>
              <w:ind w:left="84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7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Weighted</w:t>
            </w:r>
          </w:p>
        </w:tc>
        <w:tc>
          <w:tcPr>
            <w:tcW w:w="136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74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Term (Yrs.)</w:t>
            </w: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Value (000’s)</w:t>
            </w:r>
          </w:p>
        </w:tc>
      </w:tr>
      <w:tr>
        <w:trPr>
          <w:trHeight w:val="216"/>
        </w:trPr>
        <w:tc>
          <w:tcPr>
            <w:tcW w:w="2740" w:type="dxa"/>
            <w:vAlign w:val="bottom"/>
            <w:shd w:val="clear" w:color="auto" w:fill="F0FFFF"/>
          </w:tcPr>
          <w:p>
            <w:pPr>
              <w:spacing w:after="0"/>
              <w:rPr>
                <w:sz w:val="20"/>
                <w:szCs w:val="20"/>
                <w:color w:val="auto"/>
              </w:rPr>
            </w:pPr>
            <w:r>
              <w:rPr>
                <w:rFonts w:ascii="Arial" w:cs="Arial" w:eastAsia="Arial" w:hAnsi="Arial"/>
                <w:sz w:val="18"/>
                <w:szCs w:val="18"/>
                <w:color w:val="auto"/>
              </w:rPr>
              <w:t>December 31, 2011</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414,644</w:t>
            </w:r>
          </w:p>
        </w:tc>
        <w:tc>
          <w:tcPr>
            <w:tcW w:w="2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12.19</w:t>
            </w:r>
          </w:p>
        </w:tc>
        <w:tc>
          <w:tcPr>
            <w:tcW w:w="22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583,647</w:t>
            </w:r>
          </w:p>
        </w:tc>
        <w:tc>
          <w:tcPr>
            <w:tcW w:w="20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94.48</w:t>
            </w:r>
          </w:p>
        </w:tc>
        <w:tc>
          <w:tcPr>
            <w:tcW w:w="220" w:type="dxa"/>
            <w:vAlign w:val="bottom"/>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200,612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(114,673)</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14.77</w:t>
            </w:r>
          </w:p>
        </w:tc>
        <w:tc>
          <w:tcPr>
            <w:tcW w:w="13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23"/>
        </w:trPr>
        <w:tc>
          <w:tcPr>
            <w:tcW w:w="27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(14,999)</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(101,119)</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78.98</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740" w:type="dxa"/>
            <w:vAlign w:val="bottom"/>
            <w:shd w:val="clear" w:color="auto" w:fill="F0FFFF"/>
          </w:tcPr>
          <w:p>
            <w:pPr>
              <w:spacing w:after="0"/>
              <w:rPr>
                <w:sz w:val="20"/>
                <w:szCs w:val="20"/>
                <w:color w:val="auto"/>
              </w:rPr>
            </w:pPr>
            <w:r>
              <w:rPr>
                <w:rFonts w:ascii="Arial" w:cs="Arial" w:eastAsia="Arial" w:hAnsi="Arial"/>
                <w:sz w:val="18"/>
                <w:szCs w:val="18"/>
                <w:color w:val="auto"/>
              </w:rPr>
              <w:t>December 31, 2012</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485,584</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10.72</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482,528</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97.73</w:t>
            </w: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876,583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14.74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15.09</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(195,366)</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13.16</w:t>
            </w:r>
          </w:p>
        </w:tc>
        <w:tc>
          <w:tcPr>
            <w:tcW w:w="13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23"/>
        </w:trPr>
        <w:tc>
          <w:tcPr>
            <w:tcW w:w="27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(93,125)</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(136,756)</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94.37</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740" w:type="dxa"/>
            <w:vAlign w:val="bottom"/>
            <w:shd w:val="clear" w:color="auto" w:fill="F0FFFF"/>
          </w:tcPr>
          <w:p>
            <w:pPr>
              <w:spacing w:after="0"/>
              <w:rPr>
                <w:sz w:val="20"/>
                <w:szCs w:val="20"/>
                <w:color w:val="auto"/>
              </w:rPr>
            </w:pPr>
            <w:r>
              <w:rPr>
                <w:rFonts w:ascii="Arial" w:cs="Arial" w:eastAsia="Arial" w:hAnsi="Arial"/>
                <w:sz w:val="18"/>
                <w:szCs w:val="18"/>
                <w:color w:val="auto"/>
              </w:rPr>
              <w:t>December 31, 2013</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1,073,676</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13.73</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350,772</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97.87</w:t>
            </w: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97,016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17.33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16.71</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7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(336,691)</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12.23</w:t>
            </w:r>
          </w:p>
        </w:tc>
        <w:tc>
          <w:tcPr>
            <w:tcW w:w="13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13.78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(47,217)</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110.33</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7"/>
        </w:trPr>
        <w:tc>
          <w:tcPr>
            <w:tcW w:w="27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829,201</w:t>
            </w: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14.76</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313,555</w:t>
            </w:r>
          </w:p>
        </w:tc>
        <w:tc>
          <w:tcPr>
            <w:tcW w:w="2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2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93.40</w:t>
            </w:r>
          </w:p>
        </w:tc>
        <w:tc>
          <w:tcPr>
            <w:tcW w:w="13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120</w:t>
            </w:r>
          </w:p>
        </w:tc>
      </w:tr>
      <w:tr>
        <w:trPr>
          <w:trHeight w:val="210"/>
        </w:trPr>
        <w:tc>
          <w:tcPr>
            <w:tcW w:w="2740" w:type="dxa"/>
            <w:vAlign w:val="bottom"/>
          </w:tcPr>
          <w:p>
            <w:pPr>
              <w:spacing w:after="0"/>
              <w:rPr>
                <w:sz w:val="20"/>
                <w:szCs w:val="20"/>
                <w:color w:val="auto"/>
              </w:rPr>
            </w:pPr>
            <w:r>
              <w:rPr>
                <w:rFonts w:ascii="Arial" w:cs="Arial" w:eastAsia="Arial" w:hAnsi="Arial"/>
                <w:sz w:val="18"/>
                <w:szCs w:val="18"/>
                <w:color w:val="auto"/>
              </w:rPr>
              <w:t>Vested / Exercisable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27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at December 31, 2014</w:t>
            </w: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7,580</w:t>
            </w:r>
          </w:p>
        </w:tc>
        <w:tc>
          <w:tcPr>
            <w:tcW w:w="2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9.90</w:t>
            </w: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297,305</w:t>
            </w:r>
          </w:p>
        </w:tc>
        <w:tc>
          <w:tcPr>
            <w:tcW w:w="2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2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97.66</w:t>
            </w:r>
          </w:p>
        </w:tc>
        <w:tc>
          <w:tcPr>
            <w:tcW w:w="13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F0FFFF"/>
            </w:tcBorders>
            <w:shd w:val="clear" w:color="auto" w:fill="F0FFFF"/>
          </w:tcPr>
          <w:p>
            <w:pPr>
              <w:spacing w:after="0"/>
              <w:rPr>
                <w:sz w:val="22"/>
                <w:szCs w:val="22"/>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F0FFFF"/>
            </w:tcBorders>
            <w:shd w:val="clear" w:color="auto" w:fill="F0FFFF"/>
          </w:tcPr>
          <w:p>
            <w:pPr>
              <w:spacing w:after="0"/>
              <w:rPr>
                <w:sz w:val="22"/>
                <w:szCs w:val="22"/>
                <w:color w:val="auto"/>
              </w:rPr>
            </w:pPr>
          </w:p>
        </w:tc>
      </w:tr>
    </w:tbl>
    <w:p>
      <w:pPr>
        <w:spacing w:after="0" w:line="19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During 2013 and 2012, 9,344 shares and 20,489 shares of common stock, respectively, having a grant date fair value of $108,000, and $172,000, respectively, were granted to certain executive officers over the course of the year as part of their base compensation with no restrictions or vesting requirement. Those shares are included in the table above as granted and exercised within the same year. The grant date fair value was included in compensation expense during 2013 and 2012. No such grants were made in 2014.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12" w:name="page113"/>
    <w:bookmarkEnd w:id="112"/>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80" w:hanging="472"/>
        <w:spacing w:after="0"/>
        <w:tabs>
          <w:tab w:leader="none" w:pos="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stock options outstanding at December 31, 2014:</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1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8"/>
                <w:szCs w:val="18"/>
                <w:b w:val="1"/>
                <w:bCs w:val="1"/>
                <w:color w:val="auto"/>
              </w:rPr>
              <w:t>Options Outstanding</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Options Exercisable</w:t>
            </w:r>
          </w:p>
        </w:tc>
        <w:tc>
          <w:tcPr>
            <w:tcW w:w="160" w:type="dxa"/>
            <w:vAlign w:val="bottom"/>
          </w:tcPr>
          <w:p>
            <w:pPr>
              <w:spacing w:after="0"/>
              <w:rPr>
                <w:sz w:val="20"/>
                <w:szCs w:val="20"/>
                <w:color w:val="auto"/>
              </w:rPr>
            </w:pPr>
          </w:p>
        </w:tc>
      </w:tr>
      <w:tr>
        <w:trPr>
          <w:trHeight w:val="198"/>
        </w:trPr>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Weighted</w:t>
            </w:r>
          </w:p>
        </w:tc>
        <w:tc>
          <w:tcPr>
            <w:tcW w:w="260" w:type="dxa"/>
            <w:vAlign w:val="bottom"/>
          </w:tcPr>
          <w:p>
            <w:pPr>
              <w:spacing w:after="0"/>
              <w:rPr>
                <w:sz w:val="17"/>
                <w:szCs w:val="17"/>
                <w:color w:val="auto"/>
              </w:rPr>
            </w:pPr>
          </w:p>
        </w:tc>
        <w:tc>
          <w:tcPr>
            <w:tcW w:w="146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rPr>
              <w:t>Average</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Weighted</w:t>
            </w:r>
          </w:p>
        </w:tc>
        <w:tc>
          <w:tcPr>
            <w:tcW w:w="160" w:type="dxa"/>
            <w:vAlign w:val="bottom"/>
          </w:tcPr>
          <w:p>
            <w:pPr>
              <w:spacing w:after="0"/>
              <w:rPr>
                <w:sz w:val="17"/>
                <w:szCs w:val="17"/>
                <w:color w:val="auto"/>
              </w:rPr>
            </w:pPr>
          </w:p>
        </w:tc>
      </w:tr>
      <w:tr>
        <w:trPr>
          <w:trHeight w:val="241"/>
        </w:trPr>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Range</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Average Price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Remaining Life</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Average Price</w:t>
            </w:r>
          </w:p>
        </w:tc>
        <w:tc>
          <w:tcPr>
            <w:tcW w:w="160" w:type="dxa"/>
            <w:vAlign w:val="bottom"/>
          </w:tcPr>
          <w:p>
            <w:pPr>
              <w:spacing w:after="0"/>
              <w:rPr>
                <w:sz w:val="20"/>
                <w:szCs w:val="20"/>
                <w:color w:val="auto"/>
              </w:rPr>
            </w:pPr>
          </w:p>
        </w:tc>
      </w:tr>
      <w:tr>
        <w:trPr>
          <w:trHeight w:val="216"/>
        </w:trPr>
        <w:tc>
          <w:tcPr>
            <w:tcW w:w="14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26,823</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10.00 - 30.00</w:t>
            </w: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14.96</w:t>
            </w:r>
          </w:p>
        </w:tc>
        <w:tc>
          <w:tcPr>
            <w:tcW w:w="260" w:type="dxa"/>
            <w:vAlign w:val="bottom"/>
            <w:shd w:val="clear" w:color="auto" w:fill="F0FFFF"/>
          </w:tcPr>
          <w:p>
            <w:pPr>
              <w:spacing w:after="0"/>
              <w:rPr>
                <w:sz w:val="18"/>
                <w:szCs w:val="18"/>
                <w:color w:val="auto"/>
              </w:rPr>
            </w:pPr>
          </w:p>
        </w:tc>
        <w:tc>
          <w:tcPr>
            <w:tcW w:w="14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8.02</w:t>
            </w:r>
          </w:p>
        </w:tc>
        <w:tc>
          <w:tcPr>
            <w:tcW w:w="280" w:type="dxa"/>
            <w:vAlign w:val="bottom"/>
            <w:shd w:val="clear" w:color="auto" w:fill="F0FFFF"/>
          </w:tcPr>
          <w:p>
            <w:pPr>
              <w:spacing w:after="0"/>
              <w:rPr>
                <w:sz w:val="18"/>
                <w:szCs w:val="18"/>
                <w:color w:val="auto"/>
              </w:rPr>
            </w:pPr>
          </w:p>
        </w:tc>
        <w:tc>
          <w:tcPr>
            <w:tcW w:w="14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10,573</w:t>
            </w: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shd w:val="clear" w:color="auto" w:fill="F0FFFF"/>
          </w:tcPr>
          <w:p>
            <w:pPr>
              <w:spacing w:after="0"/>
              <w:rPr>
                <w:sz w:val="18"/>
                <w:szCs w:val="18"/>
                <w:color w:val="auto"/>
              </w:rPr>
            </w:pP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44,777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30.01 - 50.00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44,777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31.67</w:t>
            </w:r>
          </w:p>
        </w:tc>
        <w:tc>
          <w:tcPr>
            <w:tcW w:w="160" w:type="dxa"/>
            <w:vAlign w:val="bottom"/>
          </w:tcPr>
          <w:p>
            <w:pPr>
              <w:spacing w:after="0"/>
              <w:rPr>
                <w:sz w:val="18"/>
                <w:szCs w:val="18"/>
                <w:color w:val="auto"/>
              </w:rPr>
            </w:pPr>
          </w:p>
        </w:tc>
      </w:tr>
      <w:tr>
        <w:trPr>
          <w:trHeight w:val="216"/>
        </w:trPr>
        <w:tc>
          <w:tcPr>
            <w:tcW w:w="14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72,318</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50.01 - 70.00</w:t>
            </w: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66.31</w:t>
            </w:r>
          </w:p>
        </w:tc>
        <w:tc>
          <w:tcPr>
            <w:tcW w:w="17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3.13</w:t>
            </w:r>
          </w:p>
        </w:tc>
        <w:tc>
          <w:tcPr>
            <w:tcW w:w="17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72,318</w:t>
            </w: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66.31</w:t>
            </w:r>
          </w:p>
        </w:tc>
        <w:tc>
          <w:tcPr>
            <w:tcW w:w="160" w:type="dxa"/>
            <w:vAlign w:val="bottom"/>
            <w:shd w:val="clear" w:color="auto" w:fill="F0FFFF"/>
          </w:tcPr>
          <w:p>
            <w:pPr>
              <w:spacing w:after="0"/>
              <w:rPr>
                <w:sz w:val="18"/>
                <w:szCs w:val="18"/>
                <w:color w:val="auto"/>
              </w:rPr>
            </w:pP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2,075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70.01 - 90.00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77.53</w:t>
            </w:r>
          </w:p>
        </w:tc>
        <w:tc>
          <w:tcPr>
            <w:tcW w:w="160" w:type="dxa"/>
            <w:vAlign w:val="bottom"/>
          </w:tcPr>
          <w:p>
            <w:pPr>
              <w:spacing w:after="0"/>
              <w:rPr>
                <w:sz w:val="18"/>
                <w:szCs w:val="18"/>
                <w:color w:val="auto"/>
              </w:rPr>
            </w:pPr>
          </w:p>
        </w:tc>
      </w:tr>
      <w:tr>
        <w:trPr>
          <w:trHeight w:val="216"/>
        </w:trPr>
        <w:tc>
          <w:tcPr>
            <w:tcW w:w="14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28,950</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90.01 - 110.00</w:t>
            </w: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107.28</w:t>
            </w:r>
          </w:p>
        </w:tc>
        <w:tc>
          <w:tcPr>
            <w:tcW w:w="17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0.32</w:t>
            </w:r>
          </w:p>
        </w:tc>
        <w:tc>
          <w:tcPr>
            <w:tcW w:w="17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28,950</w:t>
            </w: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107.28</w:t>
            </w:r>
          </w:p>
        </w:tc>
        <w:tc>
          <w:tcPr>
            <w:tcW w:w="160" w:type="dxa"/>
            <w:vAlign w:val="bottom"/>
            <w:shd w:val="clear" w:color="auto" w:fill="F0FFFF"/>
          </w:tcPr>
          <w:p>
            <w:pPr>
              <w:spacing w:after="0"/>
              <w:rPr>
                <w:sz w:val="18"/>
                <w:szCs w:val="18"/>
                <w:color w:val="auto"/>
              </w:rPr>
            </w:pP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17,228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110.01</w:t>
            </w: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- 130.00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17,228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111.38</w:t>
            </w:r>
          </w:p>
        </w:tc>
        <w:tc>
          <w:tcPr>
            <w:tcW w:w="160" w:type="dxa"/>
            <w:vAlign w:val="bottom"/>
          </w:tcPr>
          <w:p>
            <w:pPr>
              <w:spacing w:after="0"/>
              <w:rPr>
                <w:sz w:val="18"/>
                <w:szCs w:val="18"/>
                <w:color w:val="auto"/>
              </w:rPr>
            </w:pPr>
          </w:p>
        </w:tc>
      </w:tr>
      <w:tr>
        <w:trPr>
          <w:trHeight w:val="216"/>
        </w:trPr>
        <w:tc>
          <w:tcPr>
            <w:tcW w:w="14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115,981</w:t>
            </w: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130.01</w:t>
            </w:r>
          </w:p>
        </w:tc>
        <w:tc>
          <w:tcPr>
            <w:tcW w:w="6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0"/>
              </w:rPr>
              <w:t>- 150.00</w:t>
            </w: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143.69</w:t>
            </w:r>
          </w:p>
        </w:tc>
        <w:tc>
          <w:tcPr>
            <w:tcW w:w="17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1.80</w:t>
            </w:r>
          </w:p>
        </w:tc>
        <w:tc>
          <w:tcPr>
            <w:tcW w:w="17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115,981</w:t>
            </w:r>
          </w:p>
        </w:tc>
        <w:tc>
          <w:tcPr>
            <w:tcW w:w="2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143.69</w:t>
            </w:r>
          </w:p>
        </w:tc>
        <w:tc>
          <w:tcPr>
            <w:tcW w:w="160" w:type="dxa"/>
            <w:vAlign w:val="bottom"/>
            <w:shd w:val="clear" w:color="auto" w:fill="F0FFFF"/>
          </w:tcPr>
          <w:p>
            <w:pPr>
              <w:spacing w:after="0"/>
              <w:rPr>
                <w:sz w:val="18"/>
                <w:szCs w:val="18"/>
                <w:color w:val="auto"/>
              </w:rPr>
            </w:pPr>
          </w:p>
        </w:tc>
      </w:tr>
      <w:tr>
        <w:trPr>
          <w:trHeight w:val="223"/>
        </w:trPr>
        <w:tc>
          <w:tcPr>
            <w:tcW w:w="1460" w:type="dxa"/>
            <w:vAlign w:val="bottom"/>
          </w:tcPr>
          <w:p>
            <w:pPr>
              <w:jc w:val="right"/>
              <w:spacing w:after="0"/>
              <w:rPr>
                <w:sz w:val="20"/>
                <w:szCs w:val="20"/>
                <w:color w:val="auto"/>
              </w:rPr>
            </w:pPr>
            <w:r>
              <w:rPr>
                <w:rFonts w:ascii="Arial" w:cs="Arial" w:eastAsia="Arial" w:hAnsi="Arial"/>
                <w:sz w:val="18"/>
                <w:szCs w:val="18"/>
                <w:color w:val="auto"/>
              </w:rPr>
              <w:t>5,403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150.01</w:t>
            </w: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- 170.00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5,403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152.10</w:t>
            </w:r>
          </w:p>
        </w:tc>
        <w:tc>
          <w:tcPr>
            <w:tcW w:w="160" w:type="dxa"/>
            <w:vAlign w:val="bottom"/>
          </w:tcPr>
          <w:p>
            <w:pPr>
              <w:spacing w:after="0"/>
              <w:rPr>
                <w:sz w:val="19"/>
                <w:szCs w:val="19"/>
                <w:color w:val="auto"/>
              </w:rPr>
            </w:pPr>
          </w:p>
        </w:tc>
      </w:tr>
      <w:tr>
        <w:trPr>
          <w:trHeight w:val="257"/>
        </w:trPr>
        <w:tc>
          <w:tcPr>
            <w:tcW w:w="1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313,555</w:t>
            </w:r>
          </w:p>
        </w:tc>
        <w:tc>
          <w:tcPr>
            <w:tcW w:w="26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6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0"/>
              </w:rPr>
              <w:t>- 170.00</w:t>
            </w:r>
          </w:p>
        </w:tc>
        <w:tc>
          <w:tcPr>
            <w:tcW w:w="2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93.40</w:t>
            </w:r>
          </w:p>
        </w:tc>
        <w:tc>
          <w:tcPr>
            <w:tcW w:w="172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Borders>
              <w:bottom w:val="single" w:sz="8" w:color="F0FFFF"/>
            </w:tcBorders>
            <w:shd w:val="clear" w:color="auto" w:fill="F0FFFF"/>
          </w:tcPr>
          <w:p>
            <w:pPr>
              <w:spacing w:after="0"/>
              <w:rPr>
                <w:sz w:val="22"/>
                <w:szCs w:val="22"/>
                <w:color w:val="auto"/>
              </w:rPr>
            </w:pPr>
          </w:p>
        </w:tc>
        <w:tc>
          <w:tcPr>
            <w:tcW w:w="14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297,305</w:t>
            </w:r>
          </w:p>
        </w:tc>
        <w:tc>
          <w:tcPr>
            <w:tcW w:w="2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3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97.66</w:t>
            </w:r>
          </w:p>
        </w:tc>
        <w:tc>
          <w:tcPr>
            <w:tcW w:w="160" w:type="dxa"/>
            <w:vAlign w:val="bottom"/>
            <w:tcBorders>
              <w:bottom w:val="single" w:sz="8" w:color="F0FFFF"/>
            </w:tcBorders>
            <w:shd w:val="clear" w:color="auto" w:fill="F0FFFF"/>
          </w:tcPr>
          <w:p>
            <w:pPr>
              <w:spacing w:after="0"/>
              <w:rPr>
                <w:sz w:val="22"/>
                <w:szCs w:val="22"/>
                <w:color w:val="auto"/>
              </w:rPr>
            </w:pPr>
          </w:p>
        </w:tc>
      </w:tr>
    </w:tbl>
    <w:p>
      <w:pPr>
        <w:spacing w:after="0" w:line="195" w:lineRule="exact"/>
        <w:rPr>
          <w:sz w:val="20"/>
          <w:szCs w:val="20"/>
          <w:color w:val="auto"/>
        </w:rPr>
      </w:pPr>
    </w:p>
    <w:p>
      <w:pPr>
        <w:jc w:val="both"/>
        <w:ind w:left="500"/>
        <w:spacing w:after="0" w:line="248" w:lineRule="auto"/>
        <w:rPr>
          <w:sz w:val="20"/>
          <w:szCs w:val="20"/>
          <w:color w:val="auto"/>
        </w:rPr>
      </w:pPr>
      <w:r>
        <w:rPr>
          <w:rFonts w:ascii="Arial" w:cs="Arial" w:eastAsia="Arial" w:hAnsi="Arial"/>
          <w:sz w:val="21"/>
          <w:szCs w:val="21"/>
          <w:color w:val="auto"/>
        </w:rPr>
        <w:t>The weighted average fair value of options granted in 2014 and 2013 was $9.49 and $5.10 respectively. No options were granted in 2012. The fair value of each option granted was estimated on the date of grant using the Black-Scholes model. The decrease in United’s stock price through 2010 has rendered most of its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the options.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assumptions used to determine the fair value of options are presented in the table below:</w:t>
      </w:r>
    </w:p>
    <w:p>
      <w:pPr>
        <w:spacing w:after="0" w:line="235"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00" w:type="dxa"/>
            <w:vAlign w:val="bottom"/>
            <w:gridSpan w:val="2"/>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2012</w:t>
            </w:r>
          </w:p>
        </w:tc>
      </w:tr>
      <w:tr>
        <w:trPr>
          <w:trHeight w:val="216"/>
        </w:trPr>
        <w:tc>
          <w:tcPr>
            <w:tcW w:w="20" w:type="dxa"/>
            <w:vAlign w:val="bottom"/>
          </w:tcPr>
          <w:p>
            <w:pPr>
              <w:spacing w:after="0"/>
              <w:rPr>
                <w:sz w:val="18"/>
                <w:szCs w:val="18"/>
                <w:color w:val="auto"/>
              </w:rPr>
            </w:pPr>
          </w:p>
        </w:tc>
        <w:tc>
          <w:tcPr>
            <w:tcW w:w="1980" w:type="dxa"/>
            <w:vAlign w:val="bottom"/>
            <w:shd w:val="clear" w:color="auto" w:fill="F0FFFF"/>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66%</w:t>
            </w:r>
          </w:p>
        </w:tc>
        <w:tc>
          <w:tcPr>
            <w:tcW w:w="740" w:type="dxa"/>
            <w:vAlign w:val="bottom"/>
            <w:shd w:val="clear" w:color="auto" w:fill="F0FFFF"/>
          </w:tcPr>
          <w:p>
            <w:pPr>
              <w:spacing w:after="0"/>
              <w:rPr>
                <w:sz w:val="18"/>
                <w:szCs w:val="18"/>
                <w:color w:val="auto"/>
              </w:rPr>
            </w:pPr>
          </w:p>
        </w:tc>
        <w:tc>
          <w:tcPr>
            <w:tcW w:w="5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w:t>
            </w:r>
          </w:p>
        </w:tc>
        <w:tc>
          <w:tcPr>
            <w:tcW w:w="1040" w:type="dxa"/>
            <w:vAlign w:val="bottom"/>
            <w:shd w:val="clear" w:color="auto" w:fill="F0FFFF"/>
          </w:tcPr>
          <w:p>
            <w:pPr>
              <w:ind w:left="7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1040" w:type="dxa"/>
            <w:vAlign w:val="bottom"/>
          </w:tcPr>
          <w:p>
            <w:pPr>
              <w:ind w:left="7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Expected life (in years)</w:t>
            </w:r>
          </w:p>
        </w:tc>
        <w:tc>
          <w:tcPr>
            <w:tcW w:w="3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5"/>
              </w:rPr>
              <w:t>6.25</w:t>
            </w:r>
          </w:p>
        </w:tc>
        <w:tc>
          <w:tcPr>
            <w:tcW w:w="3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3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5"/>
              </w:rPr>
              <w:t>6.25</w:t>
            </w:r>
          </w:p>
        </w:tc>
        <w:tc>
          <w:tcPr>
            <w:tcW w:w="180" w:type="dxa"/>
            <w:vAlign w:val="bottom"/>
            <w:shd w:val="clear" w:color="auto" w:fill="F0FFFF"/>
          </w:tcPr>
          <w:p>
            <w:pPr>
              <w:spacing w:after="0"/>
              <w:rPr>
                <w:sz w:val="18"/>
                <w:szCs w:val="18"/>
                <w:color w:val="auto"/>
              </w:rPr>
            </w:pPr>
          </w:p>
        </w:tc>
        <w:tc>
          <w:tcPr>
            <w:tcW w:w="1040" w:type="dxa"/>
            <w:vAlign w:val="bottom"/>
            <w:shd w:val="clear" w:color="auto" w:fill="F0FFFF"/>
          </w:tcPr>
          <w:p>
            <w:pPr>
              <w:ind w:left="760"/>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040" w:type="dxa"/>
            <w:vAlign w:val="bottom"/>
          </w:tcPr>
          <w:p>
            <w:pPr>
              <w:ind w:left="760"/>
              <w:spacing w:after="0"/>
              <w:rPr>
                <w:sz w:val="20"/>
                <w:szCs w:val="20"/>
                <w:color w:val="auto"/>
              </w:rPr>
            </w:pPr>
            <w:r>
              <w:rPr>
                <w:rFonts w:ascii="Arial" w:cs="Arial" w:eastAsia="Arial" w:hAnsi="Arial"/>
                <w:sz w:val="18"/>
                <w:szCs w:val="18"/>
                <w:color w:val="auto"/>
              </w:rPr>
              <w:t>NA</w:t>
            </w:r>
          </w:p>
        </w:tc>
      </w:tr>
    </w:tbl>
    <w:p>
      <w:pPr>
        <w:spacing w:after="0" w:line="214"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color w:val="auto"/>
        </w:rPr>
        <w:t>Compensation expense relating to options of $15,000 and $256,000, respectively, was included in earnings for 2014 and 2012. For 2013, United recognized a credit to compensation expense of $51,000 due to forfeitures of unvested options which exceeded option expense for that year. A deferred income tax benefit related to stock option expense of $6,000 and $99,000 was included in the determination of income tax expense in 2014 and 2012, respectively. For 2013, United reversed previously recognized deferred taxes of $20,000 related to the forfeited options. The amount of compensation expense for all periods was determined based on the fair value of options at the time of grant, multiplied by the number of options granted that were expected to vest, which was then amortized over the vesting period. The forfeiture rate for options is estimated to be approximately 3% per year. There were no options exercised during 2014, 2013 and 2012.</w:t>
      </w:r>
    </w:p>
    <w:p>
      <w:pPr>
        <w:spacing w:after="0" w:line="205"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operations for restricted stock in 2014, 2013 and 2012 was $4.29 million, $2.85 million and $1.66 million, respectively. The total intrinsic value of restricted stock at December 31, 2014 was approximately $15.7 million.</w:t>
      </w:r>
    </w:p>
    <w:p>
      <w:pPr>
        <w:spacing w:after="0" w:line="18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As of December 31, 2014, there was $9.56 million of unrecognized compensation cost related to nonvested stock options and restricted stock granted under the 2000 Plan. The cost is expected to be recognized over a weighted-average period of 2.89 years. The aggregate grant date fair value of options and restricted stock that vested during 2014 was $3.98 million.</w:t>
      </w:r>
    </w:p>
    <w:p>
      <w:pPr>
        <w:spacing w:after="0" w:line="208"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The DRIP had previously been suspended but was re-activated in 2014 when United restored its quarterly dividend. In 2014, 191 shares were issued under the DRIP. No shares were issued under the DRIP in 2013 or 2012.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13" w:name="page114"/>
    <w:bookmarkEnd w:id="113"/>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256" w:lineRule="exact"/>
        <w:rPr>
          <w:rFonts w:ascii="Arial" w:cs="Arial" w:eastAsia="Arial" w:hAnsi="Arial"/>
          <w:sz w:val="18"/>
          <w:szCs w:val="18"/>
          <w:b w:val="1"/>
          <w:bCs w:val="1"/>
          <w:color w:val="auto"/>
        </w:rPr>
      </w:pPr>
    </w:p>
    <w:p>
      <w:pPr>
        <w:jc w:val="both"/>
        <w:ind w:left="5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United’s 401(k) Plan regularly purchases shares of United’s common stock directly from United. During 2014, 2013 and 2012, United’s 401(k) Plan purchased 17,373 shares, 48,996 shares and 86,350 shares, respectively, directly from United at the average of the high and low stock prices on the transaction dates. Effective January 1, 2015, the 401(k) Plan discontinued offering shares of United’s common stock as an investment option. In addition, United has an Employee Stock Purchase Program (“ESPP”) that allows eligible employees to purchase shares of common stock at a 5% discount, with no commission charges. During 2014, 2013 and 2012 United issued 10,506 shares, 13,982 shares and 23,555 shares, respectively through the ESPP. Effective January 1, 2015, the discount was increased to 10% on purchases made through the ESPP.</w:t>
      </w:r>
    </w:p>
    <w:p>
      <w:pPr>
        <w:spacing w:after="0" w:line="164"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offers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United stock and settlement must be accomplished in shares at the time the deferral period is completed. United also allows restricted stock grantees to defer all or a portion of their restricted stock in the deferred compensation plan upon vesting. At December 31, 2014 and 2013, United had 357,984 and 241,832 shares, respectively, of its common stock that was issuable under the deferred compensation plan.</w:t>
      </w:r>
    </w:p>
    <w:p>
      <w:pPr>
        <w:spacing w:after="0" w:line="216" w:lineRule="exact"/>
        <w:rPr>
          <w:rFonts w:ascii="Arial" w:cs="Arial" w:eastAsia="Arial" w:hAnsi="Arial"/>
          <w:sz w:val="18"/>
          <w:szCs w:val="18"/>
          <w:b w:val="1"/>
          <w:bCs w:val="1"/>
          <w:color w:val="auto"/>
        </w:rPr>
      </w:pPr>
    </w:p>
    <w:p>
      <w:pPr>
        <w:ind w:left="480" w:hanging="472"/>
        <w:spacing w:after="0"/>
        <w:tabs>
          <w:tab w:leader="none" w:pos="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w:t>
      </w:r>
    </w:p>
    <w:p>
      <w:pPr>
        <w:spacing w:after="0" w:line="256"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256" w:lineRule="exact"/>
        <w:rPr>
          <w:sz w:val="20"/>
          <w:szCs w:val="20"/>
          <w:color w:val="auto"/>
        </w:rPr>
      </w:pPr>
    </w:p>
    <w:p>
      <w:pPr>
        <w:jc w:val="both"/>
        <w:ind w:left="7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upon quoted prices (unadjusted) in active markets for identical assets or liabilities that United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w:t>
      </w:r>
    </w:p>
    <w:p>
      <w:pPr>
        <w:spacing w:after="0" w:line="170" w:lineRule="exact"/>
        <w:rPr>
          <w:sz w:val="20"/>
          <w:szCs w:val="20"/>
          <w:color w:val="auto"/>
        </w:rPr>
      </w:pPr>
    </w:p>
    <w:p>
      <w:pPr>
        <w:jc w:val="both"/>
        <w:ind w:left="74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upon quoted prices for similar assets and liabilities in active markets, as well as inputs that are observable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(other than quoted prices), such as interest rates, foreign exchange rates, and yield curves that are observable at commonly quoted intervals.</w:t>
      </w:r>
    </w:p>
    <w:p>
      <w:pPr>
        <w:spacing w:after="0" w:line="181" w:lineRule="exact"/>
        <w:rPr>
          <w:sz w:val="20"/>
          <w:szCs w:val="20"/>
          <w:color w:val="auto"/>
        </w:rPr>
      </w:pPr>
    </w:p>
    <w:p>
      <w:pPr>
        <w:jc w:val="both"/>
        <w:ind w:left="74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14" w:name="page115"/>
    <w:bookmarkEnd w:id="114"/>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ind w:left="500" w:right="6600" w:hanging="492"/>
        <w:spacing w:after="0" w:line="583" w:lineRule="auto"/>
        <w:tabs>
          <w:tab w:leader="none" w:pos="494"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Assets and Liabilities Measured at Fair Value, continued </w:t>
      </w:r>
      <w:r>
        <w:rPr>
          <w:rFonts w:ascii="Arial" w:cs="Arial" w:eastAsia="Arial" w:hAnsi="Arial"/>
          <w:sz w:val="16"/>
          <w:szCs w:val="16"/>
          <w:b w:val="1"/>
          <w:bCs w:val="1"/>
          <w:u w:val="single" w:color="auto"/>
          <w:color w:val="auto"/>
        </w:rPr>
        <w:t>Deferred Compensation Plan Assets and Liabilities</w:t>
      </w:r>
    </w:p>
    <w:p>
      <w:pPr>
        <w:spacing w:after="0" w:line="1" w:lineRule="exact"/>
        <w:rPr>
          <w:rFonts w:ascii="Arial" w:cs="Arial" w:eastAsia="Arial" w:hAnsi="Arial"/>
          <w:sz w:val="16"/>
          <w:szCs w:val="16"/>
          <w:b w:val="1"/>
          <w:bCs w:val="1"/>
          <w:color w:val="auto"/>
        </w:rPr>
      </w:pPr>
    </w:p>
    <w:p>
      <w:pPr>
        <w:jc w:val="both"/>
        <w:ind w:left="50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69"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Mortgage Loans Held for Sale</w:t>
      </w:r>
    </w:p>
    <w:p>
      <w:pPr>
        <w:spacing w:after="0" w:line="229" w:lineRule="exact"/>
        <w:rPr>
          <w:rFonts w:ascii="Arial" w:cs="Arial" w:eastAsia="Arial" w:hAnsi="Arial"/>
          <w:sz w:val="16"/>
          <w:szCs w:val="16"/>
          <w:b w:val="1"/>
          <w:bCs w:val="1"/>
          <w:color w:val="auto"/>
        </w:rPr>
      </w:pPr>
    </w:p>
    <w:p>
      <w:pPr>
        <w:ind w:left="5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Mortgage loans held for sale are carried at the lower of cost or fair value. The fair value of mortgage loans held for sale is based on what secondary markets are currently offering for mortgage loans with similar characteristics.</w:t>
      </w:r>
    </w:p>
    <w:p>
      <w:pPr>
        <w:spacing w:after="0" w:line="193"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Loans</w:t>
      </w:r>
    </w:p>
    <w:p>
      <w:pPr>
        <w:spacing w:after="0" w:line="229" w:lineRule="exact"/>
        <w:rPr>
          <w:rFonts w:ascii="Arial" w:cs="Arial" w:eastAsia="Arial" w:hAnsi="Arial"/>
          <w:sz w:val="16"/>
          <w:szCs w:val="16"/>
          <w:b w:val="1"/>
          <w:bCs w:val="1"/>
          <w:color w:val="auto"/>
        </w:rPr>
      </w:pPr>
    </w:p>
    <w:p>
      <w:pPr>
        <w:jc w:val="both"/>
        <w:ind w:left="50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05"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Foreclosed Assets</w:t>
      </w:r>
    </w:p>
    <w:p>
      <w:pPr>
        <w:spacing w:after="0" w:line="229" w:lineRule="exact"/>
        <w:rPr>
          <w:rFonts w:ascii="Arial" w:cs="Arial" w:eastAsia="Arial" w:hAnsi="Arial"/>
          <w:sz w:val="16"/>
          <w:szCs w:val="16"/>
          <w:b w:val="1"/>
          <w:bCs w:val="1"/>
          <w:color w:val="auto"/>
        </w:rPr>
      </w:pPr>
    </w:p>
    <w:p>
      <w:pPr>
        <w:jc w:val="both"/>
        <w:ind w:left="5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216"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Derivative Financial Instruments</w:t>
      </w:r>
    </w:p>
    <w:p>
      <w:pPr>
        <w:spacing w:after="0" w:line="229" w:lineRule="exact"/>
        <w:rPr>
          <w:rFonts w:ascii="Arial" w:cs="Arial" w:eastAsia="Arial" w:hAnsi="Arial"/>
          <w:sz w:val="16"/>
          <w:szCs w:val="16"/>
          <w:b w:val="1"/>
          <w:bCs w:val="1"/>
          <w:color w:val="auto"/>
        </w:rPr>
      </w:pPr>
    </w:p>
    <w:p>
      <w:pPr>
        <w:jc w:val="both"/>
        <w:ind w:left="50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205" w:lineRule="exact"/>
        <w:rPr>
          <w:rFonts w:ascii="Arial" w:cs="Arial" w:eastAsia="Arial" w:hAnsi="Arial"/>
          <w:sz w:val="16"/>
          <w:szCs w:val="16"/>
          <w:b w:val="1"/>
          <w:bCs w:val="1"/>
          <w:color w:val="auto"/>
        </w:rPr>
      </w:pPr>
    </w:p>
    <w:p>
      <w:pPr>
        <w:jc w:val="both"/>
        <w:ind w:left="5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15" w:name="page116"/>
    <w:bookmarkEnd w:id="115"/>
    <w:p>
      <w:pPr>
        <w:jc w:val="center"/>
        <w:ind w:left="3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ind w:left="500" w:right="6600" w:hanging="492"/>
        <w:spacing w:after="0" w:line="566" w:lineRule="auto"/>
        <w:tabs>
          <w:tab w:leader="none" w:pos="494"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Assets and Liabilities Measured at Fair Value, continued </w:t>
      </w:r>
      <w:r>
        <w:rPr>
          <w:rFonts w:ascii="Arial" w:cs="Arial" w:eastAsia="Arial" w:hAnsi="Arial"/>
          <w:sz w:val="16"/>
          <w:szCs w:val="16"/>
          <w:b w:val="1"/>
          <w:bCs w:val="1"/>
          <w:u w:val="single" w:color="auto"/>
          <w:color w:val="auto"/>
        </w:rPr>
        <w:t>Derivative Financial Instruments, continued</w:t>
      </w:r>
    </w:p>
    <w:p>
      <w:pPr>
        <w:jc w:val="both"/>
        <w:ind w:left="50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2014, management had assessed the significance of the effect of the credit valuation adjustments on the overall valuation of its derivative positions and has determined that the credit valuation adjustments are not significant to the overall valuation of its derivatives. Additionally, in the review of the structured derivative inputs, it was determined that the broker quotes, used as a key valuation input, were not observable consistent with a level 2 disclosure. This resulted in the Bank transferring them to a level 3 in the ASC 820 leveling disclosures as of December 31, 2014.</w:t>
      </w:r>
    </w:p>
    <w:p>
      <w:pPr>
        <w:spacing w:after="0" w:line="173"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SBA Servicing Rights</w:t>
      </w:r>
    </w:p>
    <w:p>
      <w:pPr>
        <w:spacing w:after="0" w:line="229" w:lineRule="exact"/>
        <w:rPr>
          <w:rFonts w:ascii="Arial" w:cs="Arial" w:eastAsia="Arial" w:hAnsi="Arial"/>
          <w:sz w:val="16"/>
          <w:szCs w:val="16"/>
          <w:b w:val="1"/>
          <w:bCs w:val="1"/>
          <w:color w:val="auto"/>
        </w:rPr>
      </w:pPr>
    </w:p>
    <w:p>
      <w:pPr>
        <w:jc w:val="both"/>
        <w:ind w:left="50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As United expanded its SBA lending and subsequent loan sales activities, a servicing asset has been recognized (per ASC 860). This asset is recorded at fair value on recognition, and management has elected to carry this asset at fair value for subsequent reporting. Given the nature of the asset, the key valuation inputs are unobservable and management discloses this asset as level 3.</w:t>
      </w:r>
    </w:p>
    <w:p>
      <w:pPr>
        <w:spacing w:after="0" w:line="204"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29" w:lineRule="exact"/>
        <w:rPr>
          <w:rFonts w:ascii="Arial" w:cs="Arial" w:eastAsia="Arial" w:hAnsi="Arial"/>
          <w:sz w:val="16"/>
          <w:szCs w:val="16"/>
          <w:b w:val="1"/>
          <w:bCs w:val="1"/>
          <w:color w:val="auto"/>
        </w:rPr>
      </w:pPr>
    </w:p>
    <w:p>
      <w:pPr>
        <w:ind w:left="50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 xml:space="preserve">The table below presents United’s assets and liabilities measured at fair value on a recurring basis as of December 31, 2014 and 2013,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r>
              <w:rPr>
                <w:rFonts w:ascii="Arial" w:cs="Arial" w:eastAsia="Arial" w:hAnsi="Arial"/>
                <w:sz w:val="18"/>
                <w:szCs w:val="18"/>
                <w:b w:val="1"/>
                <w:bCs w:val="1"/>
                <w:color w:val="auto"/>
              </w:rPr>
              <w:t>December 31, 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Level 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6"/>
        </w:trPr>
        <w:tc>
          <w:tcPr>
            <w:tcW w:w="56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U.S. Treasury securities</w:t>
            </w:r>
          </w:p>
        </w:tc>
        <w:tc>
          <w:tcPr>
            <w:tcW w:w="4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12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105,709</w:t>
            </w:r>
          </w:p>
        </w:tc>
      </w:tr>
      <w:tr>
        <w:trPr>
          <w:trHeight w:val="216"/>
        </w:trPr>
        <w:tc>
          <w:tcPr>
            <w:tcW w:w="5640" w:type="dxa"/>
            <w:vAlign w:val="bottom"/>
          </w:tcPr>
          <w:p>
            <w:pPr>
              <w:ind w:left="320"/>
              <w:spacing w:after="0"/>
              <w:rPr>
                <w:sz w:val="20"/>
                <w:szCs w:val="20"/>
                <w:color w:val="auto"/>
              </w:rPr>
            </w:pPr>
            <w:r>
              <w:rPr>
                <w:rFonts w:ascii="Arial" w:cs="Arial" w:eastAsia="Arial" w:hAnsi="Arial"/>
                <w:sz w:val="18"/>
                <w:szCs w:val="18"/>
                <w:color w:val="auto"/>
              </w:rPr>
              <w:t>U.S. Agencies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36,299</w:t>
            </w:r>
          </w:p>
        </w:tc>
      </w:tr>
      <w:tr>
        <w:trPr>
          <w:trHeight w:val="216"/>
        </w:trPr>
        <w:tc>
          <w:tcPr>
            <w:tcW w:w="5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20,233</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20,233</w:t>
            </w:r>
          </w:p>
        </w:tc>
      </w:tr>
      <w:tr>
        <w:trPr>
          <w:trHeight w:val="216"/>
        </w:trPr>
        <w:tc>
          <w:tcPr>
            <w:tcW w:w="564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996,820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996,820</w:t>
            </w:r>
          </w:p>
        </w:tc>
      </w:tr>
      <w:tr>
        <w:trPr>
          <w:trHeight w:val="216"/>
        </w:trPr>
        <w:tc>
          <w:tcPr>
            <w:tcW w:w="5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164,878</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165,628</w:t>
            </w:r>
          </w:p>
        </w:tc>
      </w:tr>
      <w:tr>
        <w:trPr>
          <w:trHeight w:val="216"/>
        </w:trPr>
        <w:tc>
          <w:tcPr>
            <w:tcW w:w="564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455,928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455,928</w:t>
            </w:r>
          </w:p>
        </w:tc>
      </w:tr>
      <w:tr>
        <w:trPr>
          <w:trHeight w:val="216"/>
        </w:trPr>
        <w:tc>
          <w:tcPr>
            <w:tcW w:w="5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2,117</w:t>
            </w:r>
          </w:p>
        </w:tc>
      </w:tr>
      <w:tr>
        <w:trPr>
          <w:trHeight w:val="216"/>
        </w:trPr>
        <w:tc>
          <w:tcPr>
            <w:tcW w:w="564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r>
      <w:tr>
        <w:trPr>
          <w:trHeight w:val="216"/>
        </w:trPr>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SBA servicing rights</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2,551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2,551</w:t>
            </w:r>
          </w:p>
        </w:tc>
      </w:tr>
      <w:tr>
        <w:trPr>
          <w:trHeight w:val="223"/>
        </w:trPr>
        <w:tc>
          <w:tcPr>
            <w:tcW w:w="564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20,599</w:t>
            </w:r>
          </w:p>
        </w:tc>
      </w:tr>
      <w:tr>
        <w:trPr>
          <w:trHeight w:val="257"/>
        </w:trPr>
        <w:tc>
          <w:tcPr>
            <w:tcW w:w="5640" w:type="dxa"/>
            <w:vAlign w:val="bottom"/>
            <w:tcBorders>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F0FFFF"/>
            </w:tcBorders>
            <w:gridSpan w:val="2"/>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109,573</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1,684,612</w:t>
            </w: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top w:val="single" w:sz="8" w:color="auto"/>
              <w:bottom w:val="single" w:sz="8" w:color="auto"/>
            </w:tcBorders>
            <w:shd w:val="clear" w:color="auto" w:fill="F0FFFF"/>
          </w:tcPr>
          <w:p>
            <w:pPr>
              <w:spacing w:after="0"/>
              <w:rPr>
                <w:sz w:val="22"/>
                <w:szCs w:val="22"/>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1,809,748</w:t>
            </w:r>
          </w:p>
        </w:tc>
        <w:tc>
          <w:tcPr>
            <w:tcW w:w="100" w:type="dxa"/>
            <w:vAlign w:val="bottom"/>
            <w:tcBorders>
              <w:bottom w:val="single" w:sz="8" w:color="F0FFFF"/>
            </w:tcBorders>
            <w:shd w:val="clear" w:color="auto" w:fill="F0FFFF"/>
          </w:tcPr>
          <w:p>
            <w:pPr>
              <w:spacing w:after="0"/>
              <w:rPr>
                <w:sz w:val="22"/>
                <w:szCs w:val="22"/>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compensation plan liability</w:t>
            </w:r>
          </w:p>
        </w:tc>
        <w:tc>
          <w:tcPr>
            <w:tcW w:w="4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3,864</w:t>
            </w:r>
          </w:p>
        </w:tc>
        <w:tc>
          <w:tcPr>
            <w:tcW w:w="12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3,864</w:t>
            </w:r>
          </w:p>
        </w:tc>
      </w:tr>
      <w:tr>
        <w:trPr>
          <w:trHeight w:val="223"/>
        </w:trPr>
        <w:tc>
          <w:tcPr>
            <w:tcW w:w="564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31,997</w:t>
            </w:r>
          </w:p>
        </w:tc>
      </w:tr>
      <w:tr>
        <w:trPr>
          <w:trHeight w:val="257"/>
        </w:trPr>
        <w:tc>
          <w:tcPr>
            <w:tcW w:w="5640" w:type="dxa"/>
            <w:vAlign w:val="bottom"/>
            <w:tcBorders>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F0FFFF"/>
            </w:tcBorders>
            <w:gridSpan w:val="2"/>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13,018</w:t>
            </w:r>
          </w:p>
        </w:tc>
        <w:tc>
          <w:tcPr>
            <w:tcW w:w="1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18,979</w:t>
            </w: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35,861</w:t>
            </w:r>
          </w:p>
        </w:tc>
        <w:tc>
          <w:tcPr>
            <w:tcW w:w="100" w:type="dxa"/>
            <w:vAlign w:val="bottom"/>
            <w:tcBorders>
              <w:bottom w:val="single" w:sz="8" w:color="F0FFFF"/>
            </w:tcBorders>
            <w:shd w:val="clear" w:color="auto" w:fill="F0FF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December 31, 2013</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Level 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State and political subdivisions</w:t>
            </w:r>
          </w:p>
        </w:tc>
        <w:tc>
          <w:tcPr>
            <w:tcW w:w="202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23,242</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23,242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1,145,347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1,145,347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Corporate bonds</w:t>
            </w:r>
          </w:p>
        </w:tc>
        <w:tc>
          <w:tcPr>
            <w:tcW w:w="16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249,946</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250,296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410,633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410,633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16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23,833</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23,833</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020" w:type="dxa"/>
            <w:vAlign w:val="bottom"/>
            <w:shd w:val="clear" w:color="auto" w:fill="F0FFFF"/>
          </w:tcPr>
          <w:p>
            <w:pPr>
              <w:spacing w:after="0"/>
              <w:rPr>
                <w:sz w:val="2"/>
                <w:szCs w:val="2"/>
                <w:color w:val="auto"/>
              </w:rPr>
            </w:pPr>
          </w:p>
        </w:tc>
        <w:tc>
          <w:tcPr>
            <w:tcW w:w="16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860" w:type="dxa"/>
            <w:vAlign w:val="bottom"/>
            <w:gridSpan w:val="3"/>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1,855,700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1,859,546</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16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16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46,232</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46,232</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020" w:type="dxa"/>
            <w:vAlign w:val="bottom"/>
            <w:shd w:val="clear" w:color="auto" w:fill="F0FFFF"/>
          </w:tcPr>
          <w:p>
            <w:pPr>
              <w:spacing w:after="0"/>
              <w:rPr>
                <w:sz w:val="2"/>
                <w:szCs w:val="2"/>
                <w:color w:val="auto"/>
              </w:rPr>
            </w:pPr>
          </w:p>
        </w:tc>
        <w:tc>
          <w:tcPr>
            <w:tcW w:w="16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860" w:type="dxa"/>
            <w:vAlign w:val="bottom"/>
            <w:gridSpan w:val="3"/>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46,232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49,728</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20" w:type="dxa"/>
            <w:vAlign w:val="bottom"/>
            <w:vMerge w:val="restart"/>
          </w:tcPr>
          <w:p>
            <w:pPr>
              <w:jc w:val="right"/>
              <w:ind w:right="7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6"/>
        </w:trPr>
        <w:tc>
          <w:tcPr>
            <w:tcW w:w="360" w:type="dxa"/>
            <w:vAlign w:val="bottom"/>
            <w:tcBorders>
              <w:bottom w:val="single" w:sz="8" w:color="DCDCDC"/>
            </w:tcBorders>
          </w:tcPr>
          <w:p>
            <w:pPr>
              <w:spacing w:after="0"/>
              <w:rPr>
                <w:sz w:val="24"/>
                <w:szCs w:val="24"/>
                <w:color w:val="auto"/>
              </w:rPr>
            </w:pPr>
          </w:p>
        </w:tc>
        <w:tc>
          <w:tcPr>
            <w:tcW w:w="4020" w:type="dxa"/>
            <w:vAlign w:val="bottom"/>
            <w:tcBorders>
              <w:bottom w:val="single" w:sz="8" w:color="DCDCDC"/>
            </w:tcBorders>
          </w:tcPr>
          <w:p>
            <w:pPr>
              <w:spacing w:after="0"/>
              <w:rPr>
                <w:sz w:val="24"/>
                <w:szCs w:val="24"/>
                <w:color w:val="auto"/>
              </w:rPr>
            </w:pPr>
          </w:p>
        </w:tc>
        <w:tc>
          <w:tcPr>
            <w:tcW w:w="162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832"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42"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 continued</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and Liabilities Measured at Fair Value on a Recurring Basis, continued</w:t>
      </w:r>
    </w:p>
    <w:p>
      <w:pPr>
        <w:spacing w:after="0" w:line="229"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2014</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center"/>
              <w:ind w:right="520"/>
              <w:spacing w:after="0" w:line="198" w:lineRule="exact"/>
              <w:rPr>
                <w:sz w:val="20"/>
                <w:szCs w:val="20"/>
                <w:color w:val="auto"/>
              </w:rPr>
            </w:pPr>
            <w:r>
              <w:rPr>
                <w:rFonts w:ascii="Arial" w:cs="Arial" w:eastAsia="Arial" w:hAnsi="Arial"/>
                <w:sz w:val="18"/>
                <w:szCs w:val="18"/>
                <w:b w:val="1"/>
                <w:bCs w:val="1"/>
                <w:color w:val="auto"/>
                <w:w w:val="89"/>
              </w:rPr>
              <w:t>SBA</w:t>
            </w: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Derivative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servicing</w:t>
            </w: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Available-for-</w:t>
            </w:r>
          </w:p>
        </w:tc>
        <w:tc>
          <w:tcPr>
            <w:tcW w:w="14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Available-for-</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Available-for-</w:t>
            </w:r>
          </w:p>
        </w:tc>
      </w:tr>
      <w:tr>
        <w:trPr>
          <w:trHeight w:val="24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1"/>
              </w:rPr>
              <w:t>Asset</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rights</w:t>
            </w:r>
          </w:p>
        </w:tc>
        <w:tc>
          <w:tcPr>
            <w:tcW w:w="140" w:type="dxa"/>
            <w:vAlign w:val="bottom"/>
          </w:tcPr>
          <w:p>
            <w:pPr>
              <w:spacing w:after="0"/>
              <w:rPr>
                <w:sz w:val="20"/>
                <w:szCs w:val="20"/>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6"/>
              </w:rPr>
              <w:t>Sale</w:t>
            </w:r>
          </w:p>
        </w:tc>
        <w:tc>
          <w:tcPr>
            <w:tcW w:w="120" w:type="dxa"/>
            <w:vAlign w:val="bottom"/>
          </w:tcPr>
          <w:p>
            <w:pPr>
              <w:spacing w:after="0"/>
              <w:rPr>
                <w:sz w:val="20"/>
                <w:szCs w:val="20"/>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6"/>
              </w:rPr>
              <w:t>Sale</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Sale</w:t>
            </w:r>
          </w:p>
        </w:tc>
      </w:tr>
      <w:tr>
        <w:trPr>
          <w:trHeight w:val="216"/>
        </w:trPr>
        <w:tc>
          <w:tcPr>
            <w:tcW w:w="20" w:type="dxa"/>
            <w:vAlign w:val="bottom"/>
          </w:tcPr>
          <w:p>
            <w:pPr>
              <w:spacing w:after="0"/>
              <w:rPr>
                <w:sz w:val="18"/>
                <w:szCs w:val="18"/>
                <w:color w:val="auto"/>
              </w:rPr>
            </w:pPr>
          </w:p>
        </w:tc>
        <w:tc>
          <w:tcPr>
            <w:tcW w:w="2360" w:type="dxa"/>
            <w:vAlign w:val="bottom"/>
            <w:shd w:val="clear" w:color="auto" w:fill="F0FFFF"/>
          </w:tcPr>
          <w:p>
            <w:pPr>
              <w:spacing w:after="0"/>
              <w:rPr>
                <w:sz w:val="20"/>
                <w:szCs w:val="20"/>
                <w:color w:val="auto"/>
              </w:rPr>
            </w:pPr>
            <w:r>
              <w:rPr>
                <w:rFonts w:ascii="Arial" w:cs="Arial" w:eastAsia="Arial" w:hAnsi="Arial"/>
                <w:sz w:val="18"/>
                <w:szCs w:val="18"/>
                <w:color w:val="auto"/>
                <w:w w:val="96"/>
              </w:rPr>
              <w:t>Balance at beginning of period</w:t>
            </w: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3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F0FFFF"/>
          </w:tcPr>
          <w:p>
            <w:pPr>
              <w:spacing w:after="0"/>
              <w:rPr>
                <w:sz w:val="18"/>
                <w:szCs w:val="18"/>
                <w:color w:val="auto"/>
              </w:rPr>
            </w:pPr>
          </w:p>
        </w:tc>
        <w:tc>
          <w:tcPr>
            <w:tcW w:w="1320" w:type="dxa"/>
            <w:vAlign w:val="bottom"/>
            <w:gridSpan w:val="3"/>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40" w:type="dxa"/>
            <w:vAlign w:val="bottom"/>
            <w:gridSpan w:val="3"/>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360" w:type="dxa"/>
            <w:vAlign w:val="bottom"/>
            <w:gridSpan w:val="3"/>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Sales and settlements</w:t>
            </w:r>
          </w:p>
        </w:tc>
        <w:tc>
          <w:tcPr>
            <w:tcW w:w="12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36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rPr>
              <w:t>Other comprehensive</w:t>
            </w: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F0FFFF"/>
          </w:tcPr>
          <w:p>
            <w:pPr>
              <w:spacing w:after="0"/>
              <w:rPr>
                <w:sz w:val="20"/>
                <w:szCs w:val="20"/>
                <w:color w:val="auto"/>
              </w:rPr>
            </w:pPr>
            <w:r>
              <w:rPr>
                <w:rFonts w:ascii="Arial" w:cs="Arial" w:eastAsia="Arial" w:hAnsi="Arial"/>
                <w:sz w:val="18"/>
                <w:szCs w:val="18"/>
                <w:color w:val="auto"/>
              </w:rPr>
              <w:t>income</w:t>
            </w:r>
          </w:p>
        </w:tc>
        <w:tc>
          <w:tcPr>
            <w:tcW w:w="120" w:type="dxa"/>
            <w:vAlign w:val="bottom"/>
            <w:shd w:val="clear" w:color="auto" w:fill="F0FFFF"/>
          </w:tcPr>
          <w:p>
            <w:pPr>
              <w:spacing w:after="0"/>
              <w:rPr>
                <w:sz w:val="20"/>
                <w:szCs w:val="20"/>
                <w:color w:val="auto"/>
              </w:rPr>
            </w:pPr>
          </w:p>
        </w:tc>
        <w:tc>
          <w:tcPr>
            <w:tcW w:w="1320" w:type="dxa"/>
            <w:vAlign w:val="bottom"/>
            <w:gridSpan w:val="3"/>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300" w:type="dxa"/>
            <w:vAlign w:val="bottom"/>
            <w:gridSpan w:val="3"/>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360" w:type="dxa"/>
            <w:vAlign w:val="bottom"/>
            <w:gridSpan w:val="3"/>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360" w:type="dxa"/>
            <w:vAlign w:val="bottom"/>
          </w:tcPr>
          <w:p>
            <w:pPr>
              <w:ind w:left="140"/>
              <w:spacing w:after="0" w:line="201" w:lineRule="exact"/>
              <w:rPr>
                <w:sz w:val="20"/>
                <w:szCs w:val="20"/>
                <w:color w:val="auto"/>
              </w:rPr>
            </w:pPr>
            <w:r>
              <w:rPr>
                <w:rFonts w:ascii="Arial" w:cs="Arial" w:eastAsia="Arial" w:hAnsi="Arial"/>
                <w:sz w:val="18"/>
                <w:szCs w:val="18"/>
                <w:color w:val="auto"/>
              </w:rPr>
              <w:t>Amounts included in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320"/>
              <w:spacing w:after="0"/>
              <w:rPr>
                <w:sz w:val="20"/>
                <w:szCs w:val="20"/>
                <w:color w:val="auto"/>
              </w:rPr>
            </w:pPr>
            <w:r>
              <w:rPr>
                <w:rFonts w:ascii="Arial" w:cs="Arial" w:eastAsia="Arial" w:hAnsi="Arial"/>
                <w:sz w:val="18"/>
                <w:szCs w:val="18"/>
                <w:color w:val="auto"/>
              </w:rPr>
              <w:t>earnings - fair value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360" w:type="dxa"/>
            <w:vAlign w:val="bottom"/>
            <w:shd w:val="clear" w:color="auto" w:fill="F0FFFF"/>
          </w:tcPr>
          <w:p>
            <w:pPr>
              <w:ind w:left="140"/>
              <w:spacing w:after="0" w:line="201" w:lineRule="exact"/>
              <w:rPr>
                <w:sz w:val="20"/>
                <w:szCs w:val="20"/>
                <w:color w:val="auto"/>
              </w:rPr>
            </w:pPr>
            <w:r>
              <w:rPr>
                <w:rFonts w:ascii="Arial" w:cs="Arial" w:eastAsia="Arial" w:hAnsi="Arial"/>
                <w:sz w:val="18"/>
                <w:szCs w:val="18"/>
                <w:color w:val="auto"/>
                <w:w w:val="97"/>
              </w:rPr>
              <w:t>Transfers between valuation</w:t>
            </w: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36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levels, net</w:t>
            </w:r>
          </w:p>
        </w:tc>
        <w:tc>
          <w:tcPr>
            <w:tcW w:w="12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12,262</w:t>
            </w:r>
          </w:p>
        </w:tc>
        <w:tc>
          <w:tcPr>
            <w:tcW w:w="2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00" w:type="dxa"/>
            <w:vAlign w:val="bottom"/>
            <w:tcBorders>
              <w:bottom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18,979</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080" w:type="dxa"/>
            <w:vAlign w:val="bottom"/>
            <w:tcBorders>
              <w:bottom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00" w:type="dxa"/>
            <w:vAlign w:val="bottom"/>
            <w:tcBorders>
              <w:bottom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12,262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r>
      <w:tr>
        <w:trPr>
          <w:trHeight w:val="21"/>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at December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2180" w:type="dxa"/>
            <w:vAlign w:val="bottom"/>
          </w:tcPr>
          <w:p>
            <w:pPr>
              <w:ind w:left="720"/>
              <w:spacing w:after="0"/>
              <w:rPr>
                <w:sz w:val="20"/>
                <w:szCs w:val="20"/>
                <w:color w:val="auto"/>
              </w:rPr>
            </w:pPr>
            <w:r>
              <w:rPr>
                <w:rFonts w:ascii="Arial" w:cs="Arial" w:eastAsia="Arial" w:hAnsi="Arial"/>
                <w:sz w:val="18"/>
                <w:szCs w:val="18"/>
                <w:b w:val="1"/>
                <w:bCs w:val="1"/>
                <w:color w:val="auto"/>
              </w:rPr>
              <w:t>Valuation</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Level 3 Assets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21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Technique</w:t>
            </w:r>
          </w:p>
        </w:tc>
        <w:tc>
          <w:tcPr>
            <w:tcW w:w="120" w:type="dxa"/>
            <w:vAlign w:val="bottom"/>
          </w:tcPr>
          <w:p>
            <w:pPr>
              <w:spacing w:after="0"/>
              <w:rPr>
                <w:sz w:val="20"/>
                <w:szCs w:val="20"/>
                <w:color w:val="auto"/>
              </w:rPr>
            </w:pPr>
          </w:p>
        </w:tc>
        <w:tc>
          <w:tcPr>
            <w:tcW w:w="2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Pr>
          <w:p>
            <w:pPr>
              <w:spacing w:after="0"/>
              <w:rPr>
                <w:sz w:val="20"/>
                <w:szCs w:val="20"/>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1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Discount rate</w:t>
            </w:r>
          </w:p>
        </w:tc>
        <w:tc>
          <w:tcPr>
            <w:tcW w:w="1340" w:type="dxa"/>
            <w:vAlign w:val="bottom"/>
            <w:gridSpan w:val="3"/>
            <w:shd w:val="clear" w:color="auto" w:fill="F0FFFF"/>
          </w:tcPr>
          <w:p>
            <w:pPr>
              <w:jc w:val="right"/>
              <w:ind w:right="20"/>
              <w:spacing w:after="0" w:line="201"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8"/>
                <w:szCs w:val="18"/>
                <w:color w:val="auto"/>
              </w:rPr>
              <w:t>SBA Servicing Rights</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2,551</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Discounted cash flow</w:t>
            </w:r>
          </w:p>
        </w:tc>
        <w:tc>
          <w:tcPr>
            <w:tcW w:w="120" w:type="dxa"/>
            <w:vAlign w:val="bottom"/>
            <w:shd w:val="clear" w:color="auto" w:fill="F0FFFF"/>
          </w:tcPr>
          <w:p>
            <w:pPr>
              <w:spacing w:after="0"/>
              <w:rPr>
                <w:sz w:val="20"/>
                <w:szCs w:val="20"/>
                <w:color w:val="auto"/>
              </w:rPr>
            </w:pPr>
          </w:p>
        </w:tc>
        <w:tc>
          <w:tcPr>
            <w:tcW w:w="2220" w:type="dxa"/>
            <w:vAlign w:val="bottom"/>
            <w:shd w:val="clear" w:color="auto" w:fill="F0FFFF"/>
          </w:tcPr>
          <w:p>
            <w:pPr>
              <w:spacing w:after="0"/>
              <w:rPr>
                <w:sz w:val="20"/>
                <w:szCs w:val="20"/>
                <w:color w:val="auto"/>
              </w:rPr>
            </w:pPr>
            <w:r>
              <w:rPr>
                <w:rFonts w:ascii="Arial" w:cs="Arial" w:eastAsia="Arial" w:hAnsi="Arial"/>
                <w:sz w:val="18"/>
                <w:szCs w:val="18"/>
                <w:color w:val="auto"/>
              </w:rPr>
              <w:t>Prepayment Rate</w:t>
            </w:r>
          </w:p>
        </w:tc>
        <w:tc>
          <w:tcPr>
            <w:tcW w:w="134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60"/>
              <w:spacing w:after="0" w:line="201" w:lineRule="exact"/>
              <w:rPr>
                <w:sz w:val="20"/>
                <w:szCs w:val="20"/>
                <w:color w:val="auto"/>
              </w:rPr>
            </w:pPr>
            <w:r>
              <w:rPr>
                <w:rFonts w:ascii="Arial" w:cs="Arial" w:eastAsia="Arial" w:hAnsi="Arial"/>
                <w:sz w:val="18"/>
                <w:szCs w:val="18"/>
                <w:color w:val="auto"/>
              </w:rPr>
              <w:t>750</w:t>
            </w: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350</w:t>
            </w:r>
          </w:p>
        </w:tc>
        <w:tc>
          <w:tcPr>
            <w:tcW w:w="21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Indicative bid</w:t>
            </w:r>
          </w:p>
        </w:tc>
        <w:tc>
          <w:tcPr>
            <w:tcW w:w="120" w:type="dxa"/>
            <w:vAlign w:val="bottom"/>
            <w:shd w:val="clear" w:color="auto" w:fill="F0FFFF"/>
          </w:tcPr>
          <w:p>
            <w:pPr>
              <w:spacing w:after="0"/>
              <w:rPr>
                <w:sz w:val="17"/>
                <w:szCs w:val="17"/>
                <w:color w:val="auto"/>
              </w:rPr>
            </w:pPr>
          </w:p>
        </w:tc>
        <w:tc>
          <w:tcPr>
            <w:tcW w:w="22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4"/>
              </w:rPr>
              <w:t>Multiple factors, including but</w:t>
            </w:r>
          </w:p>
        </w:tc>
        <w:tc>
          <w:tcPr>
            <w:tcW w:w="10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ind w:left="90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provided by a broker</w:t>
            </w:r>
          </w:p>
        </w:tc>
        <w:tc>
          <w:tcPr>
            <w:tcW w:w="120" w:type="dxa"/>
            <w:vAlign w:val="bottom"/>
            <w:shd w:val="clear" w:color="auto" w:fill="F0FFFF"/>
          </w:tcPr>
          <w:p>
            <w:pPr>
              <w:spacing w:after="0"/>
              <w:rPr>
                <w:sz w:val="18"/>
                <w:szCs w:val="18"/>
                <w:color w:val="auto"/>
              </w:rPr>
            </w:pPr>
          </w:p>
        </w:tc>
        <w:tc>
          <w:tcPr>
            <w:tcW w:w="2220" w:type="dxa"/>
            <w:vAlign w:val="bottom"/>
            <w:shd w:val="clear" w:color="auto" w:fill="F0FFFF"/>
          </w:tcPr>
          <w:p>
            <w:pPr>
              <w:spacing w:after="0"/>
              <w:rPr>
                <w:sz w:val="20"/>
                <w:szCs w:val="20"/>
                <w:color w:val="auto"/>
              </w:rPr>
            </w:pPr>
            <w:r>
              <w:rPr>
                <w:rFonts w:ascii="Arial" w:cs="Arial" w:eastAsia="Arial" w:hAnsi="Arial"/>
                <w:sz w:val="18"/>
                <w:szCs w:val="18"/>
                <w:color w:val="auto"/>
              </w:rPr>
              <w:t>not limited to, current</w:t>
            </w: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20" w:type="dxa"/>
            <w:vAlign w:val="bottom"/>
            <w:shd w:val="clear" w:color="auto" w:fill="F0FFFF"/>
          </w:tcPr>
          <w:p>
            <w:pPr>
              <w:spacing w:after="0"/>
              <w:rPr>
                <w:sz w:val="20"/>
                <w:szCs w:val="20"/>
                <w:color w:val="auto"/>
              </w:rPr>
            </w:pPr>
            <w:r>
              <w:rPr>
                <w:rFonts w:ascii="Arial" w:cs="Arial" w:eastAsia="Arial" w:hAnsi="Arial"/>
                <w:sz w:val="18"/>
                <w:szCs w:val="18"/>
                <w:color w:val="auto"/>
              </w:rPr>
              <w:t>operations, financial</w:t>
            </w: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20" w:type="dxa"/>
            <w:vAlign w:val="bottom"/>
            <w:shd w:val="clear" w:color="auto" w:fill="F0FFFF"/>
          </w:tcPr>
          <w:p>
            <w:pPr>
              <w:spacing w:after="0"/>
              <w:rPr>
                <w:sz w:val="20"/>
                <w:szCs w:val="20"/>
                <w:color w:val="auto"/>
              </w:rPr>
            </w:pPr>
            <w:r>
              <w:rPr>
                <w:rFonts w:ascii="Arial" w:cs="Arial" w:eastAsia="Arial" w:hAnsi="Arial"/>
                <w:sz w:val="18"/>
                <w:szCs w:val="18"/>
                <w:color w:val="auto"/>
              </w:rPr>
              <w:t>condition, cash flows, and</w:t>
            </w: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20" w:type="dxa"/>
            <w:vAlign w:val="bottom"/>
            <w:shd w:val="clear" w:color="auto" w:fill="F0FFFF"/>
          </w:tcPr>
          <w:p>
            <w:pPr>
              <w:spacing w:after="0"/>
              <w:rPr>
                <w:sz w:val="20"/>
                <w:szCs w:val="20"/>
                <w:color w:val="auto"/>
              </w:rPr>
            </w:pPr>
            <w:r>
              <w:rPr>
                <w:rFonts w:ascii="Arial" w:cs="Arial" w:eastAsia="Arial" w:hAnsi="Arial"/>
                <w:sz w:val="18"/>
                <w:szCs w:val="18"/>
                <w:color w:val="auto"/>
              </w:rPr>
              <w:t>recently executed financing</w:t>
            </w: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20" w:type="dxa"/>
            <w:vAlign w:val="bottom"/>
            <w:shd w:val="clear" w:color="auto" w:fill="F0FFFF"/>
          </w:tcPr>
          <w:p>
            <w:pPr>
              <w:spacing w:after="0"/>
              <w:rPr>
                <w:sz w:val="20"/>
                <w:szCs w:val="20"/>
                <w:color w:val="auto"/>
              </w:rPr>
            </w:pPr>
            <w:r>
              <w:rPr>
                <w:rFonts w:ascii="Arial" w:cs="Arial" w:eastAsia="Arial" w:hAnsi="Arial"/>
                <w:sz w:val="18"/>
                <w:szCs w:val="18"/>
                <w:color w:val="auto"/>
              </w:rPr>
              <w:t>transactions related to the</w:t>
            </w: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1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220" w:type="dxa"/>
            <w:vAlign w:val="bottom"/>
            <w:shd w:val="clear" w:color="auto" w:fill="F0FFFF"/>
          </w:tcPr>
          <w:p>
            <w:pPr>
              <w:spacing w:after="0"/>
              <w:rPr>
                <w:sz w:val="20"/>
                <w:szCs w:val="20"/>
                <w:color w:val="auto"/>
              </w:rPr>
            </w:pPr>
            <w:r>
              <w:rPr>
                <w:rFonts w:ascii="Arial" w:cs="Arial" w:eastAsia="Arial" w:hAnsi="Arial"/>
                <w:sz w:val="18"/>
                <w:szCs w:val="18"/>
                <w:color w:val="auto"/>
              </w:rPr>
              <w:t>company</w:t>
            </w:r>
          </w:p>
        </w:tc>
        <w:tc>
          <w:tcPr>
            <w:tcW w:w="100" w:type="dxa"/>
            <w:vAlign w:val="bottom"/>
            <w:shd w:val="clear" w:color="auto" w:fill="F0FFFF"/>
          </w:tcPr>
          <w:p>
            <w:pPr>
              <w:spacing w:after="0"/>
              <w:rPr>
                <w:sz w:val="20"/>
                <w:szCs w:val="20"/>
                <w:color w:val="auto"/>
              </w:rPr>
            </w:pPr>
          </w:p>
        </w:tc>
        <w:tc>
          <w:tcPr>
            <w:tcW w:w="10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8"/>
                <w:szCs w:val="18"/>
                <w:color w:val="auto"/>
              </w:rPr>
              <w:t>Derivatives assets</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12,262</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Dealer Priced</w:t>
            </w:r>
          </w:p>
        </w:tc>
        <w:tc>
          <w:tcPr>
            <w:tcW w:w="120" w:type="dxa"/>
            <w:vAlign w:val="bottom"/>
            <w:shd w:val="clear" w:color="auto" w:fill="F0FFFF"/>
          </w:tcPr>
          <w:p>
            <w:pPr>
              <w:spacing w:after="0"/>
              <w:rPr>
                <w:sz w:val="18"/>
                <w:szCs w:val="18"/>
                <w:color w:val="auto"/>
              </w:rPr>
            </w:pPr>
          </w:p>
        </w:tc>
        <w:tc>
          <w:tcPr>
            <w:tcW w:w="2220" w:type="dxa"/>
            <w:vAlign w:val="bottom"/>
            <w:shd w:val="clear" w:color="auto" w:fill="F0FFFF"/>
          </w:tcPr>
          <w:p>
            <w:pPr>
              <w:spacing w:after="0"/>
              <w:rPr>
                <w:sz w:val="20"/>
                <w:szCs w:val="20"/>
                <w:color w:val="auto"/>
              </w:rPr>
            </w:pPr>
            <w:r>
              <w:rPr>
                <w:rFonts w:ascii="Arial" w:cs="Arial" w:eastAsia="Arial" w:hAnsi="Arial"/>
                <w:sz w:val="18"/>
                <w:szCs w:val="18"/>
                <w:color w:val="auto"/>
              </w:rPr>
              <w:t>Dealer Priced</w:t>
            </w: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ind w:left="9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18,979</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F0FFFF"/>
          </w:tcPr>
          <w:p>
            <w:pPr>
              <w:spacing w:after="0"/>
              <w:rPr>
                <w:sz w:val="20"/>
                <w:szCs w:val="20"/>
                <w:color w:val="auto"/>
              </w:rPr>
            </w:pPr>
            <w:r>
              <w:rPr>
                <w:rFonts w:ascii="Arial" w:cs="Arial" w:eastAsia="Arial" w:hAnsi="Arial"/>
                <w:sz w:val="18"/>
                <w:szCs w:val="18"/>
                <w:color w:val="auto"/>
              </w:rPr>
              <w:t>Dealer Priced</w:t>
            </w:r>
          </w:p>
        </w:tc>
        <w:tc>
          <w:tcPr>
            <w:tcW w:w="120" w:type="dxa"/>
            <w:vAlign w:val="bottom"/>
            <w:shd w:val="clear" w:color="auto" w:fill="F0FFFF"/>
          </w:tcPr>
          <w:p>
            <w:pPr>
              <w:spacing w:after="0"/>
              <w:rPr>
                <w:sz w:val="18"/>
                <w:szCs w:val="18"/>
                <w:color w:val="auto"/>
              </w:rPr>
            </w:pPr>
          </w:p>
        </w:tc>
        <w:tc>
          <w:tcPr>
            <w:tcW w:w="2220" w:type="dxa"/>
            <w:vAlign w:val="bottom"/>
            <w:shd w:val="clear" w:color="auto" w:fill="F0FFFF"/>
          </w:tcPr>
          <w:p>
            <w:pPr>
              <w:spacing w:after="0"/>
              <w:rPr>
                <w:sz w:val="20"/>
                <w:szCs w:val="20"/>
                <w:color w:val="auto"/>
              </w:rPr>
            </w:pPr>
            <w:r>
              <w:rPr>
                <w:rFonts w:ascii="Arial" w:cs="Arial" w:eastAsia="Arial" w:hAnsi="Arial"/>
                <w:sz w:val="18"/>
                <w:szCs w:val="18"/>
                <w:color w:val="auto"/>
              </w:rPr>
              <w:t>Dealer Priced</w:t>
            </w: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ind w:left="9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00"/>
        <w:spacing w:after="0"/>
        <w:rPr>
          <w:sz w:val="20"/>
          <w:szCs w:val="20"/>
          <w:color w:val="auto"/>
        </w:rPr>
      </w:pPr>
      <w:r>
        <w:rPr>
          <w:rFonts w:ascii="Arial" w:cs="Arial" w:eastAsia="Arial" w:hAnsi="Arial"/>
          <w:sz w:val="22"/>
          <w:szCs w:val="22"/>
          <w:b w:val="1"/>
          <w:bCs w:val="1"/>
          <w:u w:val="single" w:color="auto"/>
          <w:color w:val="auto"/>
        </w:rPr>
        <w:t>Assets and Liabilities Measured at Fair Value on a Nonrecurring Basis</w:t>
      </w:r>
    </w:p>
    <w:p>
      <w:pPr>
        <w:spacing w:after="0" w:line="24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fair value that were recognized at fair value below cost at the end of the period. The table below presents United’s assets and liabilities measured at fair value on a nonrecurring basis as of December 31, 2014 and 2013,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34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Loans</w:t>
            </w:r>
          </w:p>
        </w:tc>
        <w:tc>
          <w:tcPr>
            <w:tcW w:w="22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ind w:left="76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ind w:left="72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83,541</w:t>
            </w:r>
          </w:p>
        </w:tc>
        <w:tc>
          <w:tcPr>
            <w:tcW w:w="3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83,541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Foreclosed properties</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F0FFFF"/>
            </w:tcBorders>
            <w:gridSpan w:val="2"/>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ind w:left="760"/>
              <w:spacing w:after="0"/>
              <w:rPr>
                <w:sz w:val="20"/>
                <w:szCs w:val="20"/>
                <w:color w:val="auto"/>
              </w:rPr>
            </w:pPr>
            <w:r>
              <w:rPr>
                <w:rFonts w:ascii="Arial" w:cs="Arial" w:eastAsia="Arial" w:hAnsi="Arial"/>
                <w:sz w:val="18"/>
                <w:szCs w:val="18"/>
                <w:color w:val="auto"/>
                <w:w w:val="88"/>
              </w:rPr>
              <w:t>—</w:t>
            </w:r>
          </w:p>
        </w:tc>
        <w:tc>
          <w:tcPr>
            <w:tcW w:w="34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85,096</w:t>
            </w:r>
          </w:p>
        </w:tc>
        <w:tc>
          <w:tcPr>
            <w:tcW w:w="16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85,096</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40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2013</w:t>
            </w:r>
          </w:p>
        </w:tc>
        <w:tc>
          <w:tcPr>
            <w:tcW w:w="1860" w:type="dxa"/>
            <w:vAlign w:val="bottom"/>
            <w:tcBorders>
              <w:bottom w:val="single" w:sz="8" w:color="auto"/>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40" w:type="dxa"/>
            <w:vAlign w:val="bottom"/>
            <w:tcBorders>
              <w:bottom w:val="single" w:sz="8" w:color="F0FFFF"/>
            </w:tcBorders>
            <w:shd w:val="clear" w:color="auto" w:fill="F0FFFF"/>
          </w:tcPr>
          <w:p>
            <w:pPr>
              <w:spacing w:after="0"/>
              <w:rPr>
                <w:sz w:val="19"/>
                <w:szCs w:val="19"/>
                <w:color w:val="auto"/>
              </w:rPr>
            </w:pPr>
          </w:p>
        </w:tc>
        <w:tc>
          <w:tcPr>
            <w:tcW w:w="34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00" w:type="dxa"/>
            <w:vAlign w:val="bottom"/>
            <w:tcBorders>
              <w:bottom w:val="single" w:sz="8" w:color="F0FFFF"/>
            </w:tcBorders>
            <w:shd w:val="clear" w:color="auto" w:fill="F0FFFF"/>
          </w:tcPr>
          <w:p>
            <w:pPr>
              <w:spacing w:after="0"/>
              <w:rPr>
                <w:sz w:val="19"/>
                <w:szCs w:val="19"/>
                <w:color w:val="auto"/>
              </w:rPr>
            </w:pPr>
          </w:p>
        </w:tc>
        <w:tc>
          <w:tcPr>
            <w:tcW w:w="32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8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Loans</w:t>
            </w:r>
          </w:p>
        </w:tc>
        <w:tc>
          <w:tcPr>
            <w:tcW w:w="22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ind w:left="76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ind w:left="72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82,798</w:t>
            </w:r>
          </w:p>
        </w:tc>
        <w:tc>
          <w:tcPr>
            <w:tcW w:w="3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82,798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Foreclosed properties</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3,747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F0FFFF"/>
            </w:tcBorders>
            <w:gridSpan w:val="2"/>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ind w:left="760"/>
              <w:spacing w:after="0"/>
              <w:rPr>
                <w:sz w:val="20"/>
                <w:szCs w:val="20"/>
                <w:color w:val="auto"/>
              </w:rPr>
            </w:pPr>
            <w:r>
              <w:rPr>
                <w:rFonts w:ascii="Arial" w:cs="Arial" w:eastAsia="Arial" w:hAnsi="Arial"/>
                <w:sz w:val="18"/>
                <w:szCs w:val="18"/>
                <w:color w:val="auto"/>
                <w:w w:val="88"/>
              </w:rPr>
              <w:t>—</w:t>
            </w:r>
          </w:p>
        </w:tc>
        <w:tc>
          <w:tcPr>
            <w:tcW w:w="34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86,545</w:t>
            </w:r>
          </w:p>
        </w:tc>
        <w:tc>
          <w:tcPr>
            <w:tcW w:w="16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86,545</w:t>
            </w:r>
          </w:p>
        </w:tc>
        <w:tc>
          <w:tcPr>
            <w:tcW w:w="10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669"/>
        </w:trPr>
        <w:tc>
          <w:tcPr>
            <w:tcW w:w="4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3400" w:type="dxa"/>
            <w:vAlign w:val="bottom"/>
            <w:tcBorders>
              <w:bottom w:val="single" w:sz="8" w:color="DCDCDC"/>
            </w:tcBorders>
          </w:tcPr>
          <w:p>
            <w:pPr>
              <w:spacing w:after="0"/>
              <w:rPr>
                <w:sz w:val="24"/>
                <w:szCs w:val="24"/>
                <w:color w:val="auto"/>
              </w:rPr>
            </w:pPr>
          </w:p>
        </w:tc>
        <w:tc>
          <w:tcPr>
            <w:tcW w:w="2080" w:type="dxa"/>
            <w:vAlign w:val="bottom"/>
            <w:tcBorders>
              <w:bottom w:val="single" w:sz="8" w:color="DCDCDC"/>
            </w:tcBorders>
            <w:gridSpan w:val="2"/>
          </w:tcPr>
          <w:p>
            <w:pPr>
              <w:jc w:val="right"/>
              <w:ind w:right="120"/>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42" w:lineRule="exact"/>
        <w:rPr>
          <w:sz w:val="20"/>
          <w:szCs w:val="20"/>
          <w:color w:val="auto"/>
        </w:rPr>
      </w:pPr>
    </w:p>
    <w:p>
      <w:pPr>
        <w:ind w:left="480" w:hanging="472"/>
        <w:spacing w:after="0"/>
        <w:tabs>
          <w:tab w:leader="none" w:pos="4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 continued</w:t>
      </w:r>
    </w:p>
    <w:p>
      <w:pPr>
        <w:spacing w:after="0" w:line="229" w:lineRule="exact"/>
        <w:rPr>
          <w:rFonts w:ascii="Arial" w:cs="Arial" w:eastAsia="Arial" w:hAnsi="Arial"/>
          <w:sz w:val="18"/>
          <w:szCs w:val="18"/>
          <w:b w:val="1"/>
          <w:bCs w:val="1"/>
          <w:color w:val="auto"/>
        </w:rPr>
      </w:pPr>
    </w:p>
    <w:p>
      <w:pPr>
        <w:jc w:val="both"/>
        <w:ind w:left="5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18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and Liabilities Not Measured at Fair Value</w:t>
      </w:r>
    </w:p>
    <w:p>
      <w:pPr>
        <w:spacing w:after="0" w:line="229"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20"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United’s cash and cash equivalents and repurchase agreements have short maturities and therefore the carrying value approximates fair value. The fair value of securities available-for-sale equals the balance sheet value. Due to the short-term settlement of accrued interest receivable and payable, the carrying amount closely approximates fair value.</w:t>
      </w:r>
    </w:p>
    <w:p>
      <w:pPr>
        <w:spacing w:after="0" w:line="208"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215"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15"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42" w:lineRule="exact"/>
        <w:rPr>
          <w:sz w:val="20"/>
          <w:szCs w:val="20"/>
          <w:color w:val="auto"/>
        </w:rPr>
      </w:pPr>
    </w:p>
    <w:p>
      <w:pPr>
        <w:ind w:left="500" w:right="6260" w:hanging="492"/>
        <w:spacing w:after="0" w:line="566" w:lineRule="auto"/>
        <w:tabs>
          <w:tab w:leader="none" w:pos="494"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Assets and Liabilities Measured at Fair Value, continued </w:t>
      </w:r>
      <w:r>
        <w:rPr>
          <w:rFonts w:ascii="Arial" w:cs="Arial" w:eastAsia="Arial" w:hAnsi="Arial"/>
          <w:sz w:val="16"/>
          <w:szCs w:val="16"/>
          <w:b w:val="1"/>
          <w:bCs w:val="1"/>
          <w:u w:val="single" w:color="auto"/>
          <w:color w:val="auto"/>
        </w:rPr>
        <w:t>Assets and Liabilities Not Measured at Fair Value, continued</w:t>
      </w:r>
    </w:p>
    <w:p>
      <w:pPr>
        <w:ind w:left="50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at December 31, 2014 and 2013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Fair Value Level</w:t>
            </w:r>
          </w:p>
        </w:tc>
        <w:tc>
          <w:tcPr>
            <w:tcW w:w="1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December 31, 2014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Arial" w:cs="Arial" w:eastAsia="Arial" w:hAnsi="Arial"/>
                <w:sz w:val="18"/>
                <w:szCs w:val="18"/>
                <w:color w:val="auto"/>
              </w:rPr>
              <w:t>Securities held to maturity</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415,267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425,233</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Loans, net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4,600,500</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4,549,027</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4,710,559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Arial" w:cs="Arial" w:eastAsia="Arial" w:hAnsi="Arial"/>
                <w:sz w:val="18"/>
                <w:szCs w:val="18"/>
                <w:color w:val="auto"/>
              </w:rPr>
              <w:t>Mortgage loans held for sale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13,737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14,139</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6,326,513</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6,328,264</w:t>
            </w:r>
          </w:p>
        </w:tc>
        <w:tc>
          <w:tcPr>
            <w:tcW w:w="3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6,328,264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Arial" w:cs="Arial" w:eastAsia="Arial" w:hAnsi="Arial"/>
                <w:sz w:val="18"/>
                <w:szCs w:val="18"/>
                <w:color w:val="auto"/>
              </w:rPr>
              <w:t>Federal Home Loan Bank advances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270,125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270,125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129,865</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132,814</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132,814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2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2013</w:t>
            </w:r>
          </w:p>
        </w:tc>
        <w:tc>
          <w:tcPr>
            <w:tcW w:w="24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96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2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00" w:type="dxa"/>
            <w:vAlign w:val="bottom"/>
            <w:tcBorders>
              <w:bottom w:val="single" w:sz="8" w:color="F0FFFF"/>
            </w:tcBorders>
            <w:shd w:val="clear" w:color="auto" w:fill="F0FFFF"/>
          </w:tcPr>
          <w:p>
            <w:pPr>
              <w:spacing w:after="0"/>
              <w:rPr>
                <w:sz w:val="19"/>
                <w:szCs w:val="19"/>
                <w:color w:val="auto"/>
              </w:rPr>
            </w:pPr>
          </w:p>
        </w:tc>
        <w:tc>
          <w:tcPr>
            <w:tcW w:w="32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8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Securities held to maturity</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479,742</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485,585</w:t>
            </w:r>
          </w:p>
        </w:tc>
        <w:tc>
          <w:tcPr>
            <w:tcW w:w="3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4,252,504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4,165,591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4,165,591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Mortgage loans held for sale</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10,319</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10,529</w:t>
            </w: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6,201,505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6,204,815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6,204,815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Federal Home Loan Bank advances</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120,125</w:t>
            </w:r>
          </w:p>
        </w:tc>
        <w:tc>
          <w:tcPr>
            <w:tcW w:w="1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120,125</w:t>
            </w:r>
          </w:p>
        </w:tc>
        <w:tc>
          <w:tcPr>
            <w:tcW w:w="3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120,125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129,865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130,262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130,262</w:t>
            </w: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January 27, 2015, United announced that it had entered into a definitive merger agreement to acquire MoneyTree Corporation (“MoneyTree“) and its wholly-owned bank subsidiary, First National Bank (“FNB”). MoneyTree and FNB are headquartered in Lenoir City, Tennessee and FNB currently operates 10 branches in east Tennessee. At December 31, 2014, FNB had $425 million in assets, $354 million in deposits and $253 million in loans. The resulting combination will enhance both United’s position in key growth markets in east Tennessee and its ability to offer expanded banking products to FNB’s customer base.</w:t>
      </w:r>
    </w:p>
    <w:p>
      <w:pPr>
        <w:spacing w:after="0" w:line="215" w:lineRule="exact"/>
        <w:rPr>
          <w:rFonts w:ascii="Arial" w:cs="Arial" w:eastAsia="Arial" w:hAnsi="Arial"/>
          <w:sz w:val="18"/>
          <w:szCs w:val="18"/>
          <w:b w:val="1"/>
          <w:bCs w:val="1"/>
          <w:color w:val="auto"/>
        </w:rPr>
      </w:pPr>
    </w:p>
    <w:p>
      <w:pPr>
        <w:jc w:val="both"/>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Under the terms of the merger agreement, MoneyTree shareholders will receive merger consideration consisting of 80 percent common stock of United and 20 percent cash in the aggregate, with a fixed exchange ratio that is valued at approximately $52 million based on United’s January 27, 2015 closing price of $17.65 per share. Completion of the transaction is subject to customary closing conditions, including the receipt of required regulatory approvals and the approval of MoneyTree’s shareholders. The transaction is expected to close in the second quarter of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42" w:lineRule="exact"/>
        <w:rPr>
          <w:sz w:val="20"/>
          <w:szCs w:val="20"/>
          <w:color w:val="auto"/>
        </w:rPr>
      </w:pPr>
    </w:p>
    <w:p>
      <w:pPr>
        <w:ind w:left="560" w:hanging="552"/>
        <w:spacing w:after="0"/>
        <w:tabs>
          <w:tab w:leader="none" w:pos="5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Statements of United Community Banks, Inc. (Parent Only)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760" w:type="dxa"/>
            <w:vAlign w:val="bottom"/>
            <w:gridSpan w:val="4"/>
          </w:tcPr>
          <w:p>
            <w:pPr>
              <w:jc w:val="center"/>
              <w:ind w:right="240"/>
              <w:spacing w:after="0"/>
              <w:rPr>
                <w:sz w:val="20"/>
                <w:szCs w:val="20"/>
                <w:color w:val="auto"/>
              </w:rPr>
            </w:pPr>
            <w:r>
              <w:rPr>
                <w:rFonts w:ascii="Arial" w:cs="Arial" w:eastAsia="Arial" w:hAnsi="Arial"/>
                <w:sz w:val="18"/>
                <w:szCs w:val="18"/>
                <w:i w:val="1"/>
                <w:iCs w:val="1"/>
                <w:color w:val="auto"/>
                <w:w w:val="91"/>
              </w:rPr>
              <w:t>(in thousands)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760" w:type="dxa"/>
            <w:vAlign w:val="bottom"/>
            <w:gridSpan w:val="5"/>
          </w:tcPr>
          <w:p>
            <w:pPr>
              <w:spacing w:after="0"/>
              <w:rPr>
                <w:sz w:val="18"/>
                <w:szCs w:val="18"/>
                <w:color w:val="auto"/>
              </w:rPr>
            </w:pPr>
          </w:p>
        </w:tc>
        <w:tc>
          <w:tcPr>
            <w:tcW w:w="4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Dividends from bank and other subsidiaries</w:t>
            </w:r>
          </w:p>
        </w:tc>
        <w:tc>
          <w:tcPr>
            <w:tcW w:w="4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132,000</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50,000</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tcPr>
          <w:p>
            <w:pPr>
              <w:spacing w:after="0"/>
              <w:rPr>
                <w:sz w:val="20"/>
                <w:szCs w:val="20"/>
                <w:color w:val="auto"/>
              </w:rPr>
            </w:pPr>
            <w:r>
              <w:rPr>
                <w:rFonts w:ascii="Arial" w:cs="Arial" w:eastAsia="Arial" w:hAnsi="Arial"/>
                <w:sz w:val="18"/>
                <w:szCs w:val="18"/>
                <w:color w:val="auto"/>
              </w:rPr>
              <w:t>Shared service fees from subsidiaries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8,057</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1,217</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00" w:type="dxa"/>
            <w:vAlign w:val="bottom"/>
            <w:shd w:val="clear" w:color="auto" w:fill="F0FFFF"/>
          </w:tcPr>
          <w:p>
            <w:pPr>
              <w:spacing w:after="0"/>
              <w:rPr>
                <w:sz w:val="2"/>
                <w:szCs w:val="2"/>
                <w:color w:val="auto"/>
              </w:rPr>
            </w:pPr>
          </w:p>
        </w:tc>
        <w:tc>
          <w:tcPr>
            <w:tcW w:w="124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8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80" w:type="dxa"/>
            <w:vAlign w:val="bottom"/>
            <w:tcBorders>
              <w:right w:val="single" w:sz="8" w:color="F0FF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tcPr>
          <w:p>
            <w:pPr>
              <w:ind w:left="340"/>
              <w:spacing w:after="0"/>
              <w:rPr>
                <w:sz w:val="20"/>
                <w:szCs w:val="20"/>
                <w:color w:val="auto"/>
              </w:rPr>
            </w:pPr>
            <w:r>
              <w:rPr>
                <w:rFonts w:ascii="Arial" w:cs="Arial" w:eastAsia="Arial" w:hAnsi="Arial"/>
                <w:sz w:val="18"/>
                <w:szCs w:val="18"/>
                <w:color w:val="auto"/>
              </w:rPr>
              <w:t>Total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140,481</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57,981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760" w:type="dxa"/>
            <w:vAlign w:val="bottom"/>
            <w:gridSpan w:val="5"/>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60" w:type="dxa"/>
            <w:vAlign w:val="bottom"/>
            <w:gridSpan w:val="5"/>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11,550</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10,977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9,868</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8,658</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00" w:type="dxa"/>
            <w:vAlign w:val="bottom"/>
            <w:shd w:val="clear" w:color="auto" w:fill="F0FFFF"/>
          </w:tcPr>
          <w:p>
            <w:pPr>
              <w:spacing w:after="0"/>
              <w:rPr>
                <w:sz w:val="2"/>
                <w:szCs w:val="2"/>
                <w:color w:val="auto"/>
              </w:rPr>
            </w:pPr>
          </w:p>
        </w:tc>
        <w:tc>
          <w:tcPr>
            <w:tcW w:w="124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8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80" w:type="dxa"/>
            <w:vAlign w:val="bottom"/>
            <w:tcBorders>
              <w:right w:val="single" w:sz="8" w:color="F0FF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tcPr>
          <w:p>
            <w:pPr>
              <w:ind w:left="340"/>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21,418</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19,635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2,357</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24,862</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00" w:type="dxa"/>
            <w:vAlign w:val="bottom"/>
            <w:shd w:val="clear" w:color="auto" w:fill="F0FFFF"/>
          </w:tcPr>
          <w:p>
            <w:pPr>
              <w:spacing w:after="0"/>
              <w:rPr>
                <w:sz w:val="2"/>
                <w:szCs w:val="2"/>
                <w:color w:val="auto"/>
              </w:rPr>
            </w:pPr>
          </w:p>
        </w:tc>
        <w:tc>
          <w:tcPr>
            <w:tcW w:w="124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8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80" w:type="dxa"/>
            <w:vAlign w:val="bottom"/>
            <w:tcBorders>
              <w:right w:val="single" w:sz="8" w:color="F0FF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tcPr>
          <w:p>
            <w:pPr>
              <w:ind w:left="340"/>
              <w:spacing w:after="0"/>
              <w:rPr>
                <w:sz w:val="20"/>
                <w:szCs w:val="20"/>
                <w:color w:val="auto"/>
              </w:rPr>
            </w:pPr>
            <w:r>
              <w:rPr>
                <w:rFonts w:ascii="Arial" w:cs="Arial" w:eastAsia="Arial" w:hAnsi="Arial"/>
                <w:sz w:val="18"/>
                <w:szCs w:val="18"/>
                <w:color w:val="auto"/>
              </w:rPr>
              <w:t>Income (loss) before equity in undistributed loss of subsidiaries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121,420</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63,208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Equity in undistributed earnings of subsidiaries</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(53,800)</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209,932</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44,493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00" w:type="dxa"/>
            <w:vAlign w:val="bottom"/>
            <w:shd w:val="clear" w:color="auto" w:fill="F0FFFF"/>
          </w:tcPr>
          <w:p>
            <w:pPr>
              <w:spacing w:after="0"/>
              <w:rPr>
                <w:sz w:val="2"/>
                <w:szCs w:val="2"/>
                <w:color w:val="auto"/>
              </w:rPr>
            </w:pPr>
          </w:p>
        </w:tc>
        <w:tc>
          <w:tcPr>
            <w:tcW w:w="124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8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F0FF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tcPr>
          <w:p>
            <w:pPr>
              <w:ind w:left="3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67,620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273,140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60" w:type="dxa"/>
            <w:vAlign w:val="bottom"/>
            <w:gridSpan w:val="4"/>
            <w:vMerge w:val="restart"/>
          </w:tcPr>
          <w:p>
            <w:pPr>
              <w:jc w:val="center"/>
              <w:ind w:right="240"/>
              <w:spacing w:after="0"/>
              <w:rPr>
                <w:sz w:val="20"/>
                <w:szCs w:val="20"/>
                <w:color w:val="auto"/>
              </w:rPr>
            </w:pPr>
            <w:r>
              <w:rPr>
                <w:rFonts w:ascii="Arial" w:cs="Arial" w:eastAsia="Arial" w:hAnsi="Arial"/>
                <w:sz w:val="18"/>
                <w:szCs w:val="18"/>
                <w:b w:val="1"/>
                <w:bCs w:val="1"/>
                <w:color w:val="auto"/>
                <w:w w:val="87"/>
              </w:rPr>
              <w:t>Balance Sheet</w:t>
            </w: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6760" w:type="dxa"/>
            <w:vAlign w:val="bottom"/>
            <w:gridSpan w:val="5"/>
          </w:tcPr>
          <w:p>
            <w:pPr>
              <w:jc w:val="center"/>
              <w:ind w:left="3670"/>
              <w:spacing w:after="0"/>
              <w:rPr>
                <w:sz w:val="20"/>
                <w:szCs w:val="20"/>
                <w:color w:val="auto"/>
              </w:rPr>
            </w:pPr>
            <w:r>
              <w:rPr>
                <w:rFonts w:ascii="Arial" w:cs="Arial" w:eastAsia="Arial" w:hAnsi="Arial"/>
                <w:sz w:val="18"/>
                <w:szCs w:val="18"/>
                <w:b w:val="1"/>
                <w:bCs w:val="1"/>
                <w:color w:val="auto"/>
                <w:w w:val="89"/>
              </w:rPr>
              <w:t>As of December 31, 2014 and 2013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60" w:type="dxa"/>
            <w:vAlign w:val="bottom"/>
            <w:gridSpan w:val="4"/>
          </w:tcPr>
          <w:p>
            <w:pPr>
              <w:jc w:val="center"/>
              <w:ind w:right="240"/>
              <w:spacing w:after="0"/>
              <w:rPr>
                <w:sz w:val="20"/>
                <w:szCs w:val="20"/>
                <w:color w:val="auto"/>
              </w:rPr>
            </w:pPr>
            <w:r>
              <w:rPr>
                <w:rFonts w:ascii="Arial" w:cs="Arial" w:eastAsia="Arial" w:hAnsi="Arial"/>
                <w:sz w:val="18"/>
                <w:szCs w:val="18"/>
                <w:i w:val="1"/>
                <w:iCs w:val="1"/>
                <w:color w:val="auto"/>
                <w:w w:val="91"/>
              </w:rPr>
              <w:t>(in thousands)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31,967</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36,338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tcPr>
          <w:p>
            <w:pPr>
              <w:spacing w:after="0"/>
              <w:rPr>
                <w:sz w:val="20"/>
                <w:szCs w:val="20"/>
                <w:color w:val="auto"/>
              </w:rPr>
            </w:pPr>
            <w:r>
              <w:rPr>
                <w:rFonts w:ascii="Arial" w:cs="Arial" w:eastAsia="Arial" w:hAnsi="Arial"/>
                <w:sz w:val="18"/>
                <w:szCs w:val="18"/>
                <w:color w:val="auto"/>
              </w:rPr>
              <w:t>Investment in subsidiaries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816,919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869,665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32,295</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00" w:type="dxa"/>
            <w:vAlign w:val="bottom"/>
            <w:shd w:val="clear" w:color="auto" w:fill="F0FFFF"/>
          </w:tcPr>
          <w:p>
            <w:pPr>
              <w:spacing w:after="0"/>
              <w:rPr>
                <w:sz w:val="2"/>
                <w:szCs w:val="2"/>
                <w:color w:val="auto"/>
              </w:rPr>
            </w:pPr>
          </w:p>
        </w:tc>
        <w:tc>
          <w:tcPr>
            <w:tcW w:w="124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8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tcPr>
          <w:p>
            <w:pPr>
              <w:ind w:left="16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881,181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940,975</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0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760" w:type="dxa"/>
            <w:vAlign w:val="bottom"/>
            <w:gridSpan w:val="4"/>
          </w:tcPr>
          <w:p>
            <w:pPr>
              <w:spacing w:after="0" w:line="176" w:lineRule="exact"/>
              <w:rPr>
                <w:sz w:val="20"/>
                <w:szCs w:val="20"/>
                <w:color w:val="auto"/>
              </w:rPr>
            </w:pPr>
            <w:r>
              <w:rPr>
                <w:rFonts w:ascii="Arial" w:cs="Arial" w:eastAsia="Arial" w:hAnsi="Arial"/>
                <w:sz w:val="18"/>
                <w:szCs w:val="18"/>
                <w:color w:val="auto"/>
                <w:w w:val="97"/>
              </w:rPr>
              <w:t>Liabilities and Shareholders’ Equity</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restart"/>
          </w:tcPr>
          <w:p>
            <w:pPr>
              <w:spacing w:after="0"/>
              <w:rPr>
                <w:sz w:val="18"/>
                <w:szCs w:val="18"/>
                <w:color w:val="auto"/>
              </w:rPr>
            </w:pPr>
          </w:p>
        </w:tc>
        <w:tc>
          <w:tcPr>
            <w:tcW w:w="40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spacing w:after="0"/>
              <w:rPr>
                <w:sz w:val="18"/>
                <w:szCs w:val="18"/>
                <w:color w:val="auto"/>
              </w:rPr>
            </w:pPr>
          </w:p>
        </w:tc>
        <w:tc>
          <w:tcPr>
            <w:tcW w:w="280" w:type="dxa"/>
            <w:vAlign w:val="bottom"/>
            <w:gridSpan w:val="2"/>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60" w:type="dxa"/>
            <w:vAlign w:val="bottom"/>
            <w:gridSpan w:val="5"/>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129,865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129,865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11,739</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15,395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00" w:type="dxa"/>
            <w:vAlign w:val="bottom"/>
            <w:shd w:val="clear" w:color="auto" w:fill="F0FFFF"/>
          </w:tcPr>
          <w:p>
            <w:pPr>
              <w:spacing w:after="0"/>
              <w:rPr>
                <w:sz w:val="2"/>
                <w:szCs w:val="2"/>
                <w:color w:val="auto"/>
              </w:rPr>
            </w:pPr>
          </w:p>
        </w:tc>
        <w:tc>
          <w:tcPr>
            <w:tcW w:w="124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8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tcPr>
          <w:p>
            <w:pPr>
              <w:ind w:left="1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141,604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145,260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739,577</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795,715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000" w:type="dxa"/>
            <w:vAlign w:val="bottom"/>
            <w:shd w:val="clear" w:color="auto" w:fill="F0FFFF"/>
          </w:tcPr>
          <w:p>
            <w:pPr>
              <w:spacing w:after="0"/>
              <w:rPr>
                <w:sz w:val="2"/>
                <w:szCs w:val="2"/>
                <w:color w:val="auto"/>
              </w:rPr>
            </w:pPr>
          </w:p>
        </w:tc>
        <w:tc>
          <w:tcPr>
            <w:tcW w:w="124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8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60" w:type="dxa"/>
            <w:vAlign w:val="bottom"/>
            <w:gridSpan w:val="5"/>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881,181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940,975</w:t>
            </w:r>
          </w:p>
        </w:tc>
        <w:tc>
          <w:tcPr>
            <w:tcW w:w="0" w:type="dxa"/>
            <w:vAlign w:val="bottom"/>
          </w:tcPr>
          <w:p>
            <w:pPr>
              <w:spacing w:after="0"/>
              <w:rPr>
                <w:sz w:val="1"/>
                <w:szCs w:val="1"/>
                <w:color w:val="auto"/>
              </w:rPr>
            </w:pPr>
          </w:p>
        </w:tc>
      </w:tr>
      <w:tr>
        <w:trPr>
          <w:trHeight w:val="21"/>
        </w:trPr>
        <w:tc>
          <w:tcPr>
            <w:tcW w:w="6180" w:type="dxa"/>
            <w:vAlign w:val="bottom"/>
            <w:gridSpan w:val="4"/>
            <w:vMerge w:val="restart"/>
          </w:tcPr>
          <w:p>
            <w:pPr>
              <w:jc w:val="center"/>
              <w:ind w:left="5150"/>
              <w:spacing w:after="0"/>
              <w:rPr>
                <w:sz w:val="20"/>
                <w:szCs w:val="20"/>
                <w:color w:val="auto"/>
              </w:rPr>
            </w:pPr>
            <w:r>
              <w:rPr>
                <w:rFonts w:ascii="Arial" w:cs="Arial" w:eastAsia="Arial" w:hAnsi="Arial"/>
                <w:sz w:val="18"/>
                <w:szCs w:val="18"/>
                <w:color w:val="auto"/>
                <w:w w:val="86"/>
              </w:rPr>
              <w:t>109</w:t>
            </w: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6180" w:type="dxa"/>
            <w:vAlign w:val="bottom"/>
            <w:tcBorders>
              <w:bottom w:val="single" w:sz="8" w:color="DCDCDC"/>
            </w:tcBorders>
            <w:gridSpan w:val="4"/>
            <w:vMerge w:val="continue"/>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6"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42"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Statements of United Community Banks, Inc. (Parent Only),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6800" w:type="dxa"/>
            <w:vAlign w:val="bottom"/>
          </w:tcPr>
          <w:p>
            <w:pPr>
              <w:ind w:left="47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67,620</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273,140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Adjustments to reconcile net income to net cash used in</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Equity in undistributed earnings of the subsidiaries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53,800</w:t>
            </w: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(209,932)</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(44,493)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4,304</w:t>
            </w: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3,045</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Change in assets and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ind w:left="5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2,529</w:t>
            </w: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(29,168)</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21,722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0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(9,177)</w:t>
            </w: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5,682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(20,483)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119,098</w:t>
            </w:r>
          </w:p>
        </w:tc>
        <w:tc>
          <w:tcPr>
            <w:tcW w:w="34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42,849</w:t>
            </w:r>
          </w:p>
        </w:tc>
        <w:tc>
          <w:tcPr>
            <w:tcW w:w="2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(7,280)</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Purchases and disposal of premises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Sales and paydowns of securities available for sale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537</w:t>
            </w:r>
          </w:p>
        </w:tc>
        <w:tc>
          <w:tcPr>
            <w:tcW w:w="3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8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vMerge w:val="continue"/>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Repayment of subordinated notes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(30,500)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Proceeds from issuance of senior notes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680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w w:val="92"/>
              </w:rPr>
              <w:t>Proceeds from issuance of common stock for dividend reinvestment and employee benefit</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plans</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469</w:t>
            </w:r>
          </w:p>
        </w:tc>
        <w:tc>
          <w:tcPr>
            <w:tcW w:w="3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net of offering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12,206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exercise of warrant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19,389</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Repurchase of outstanding warrant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Retirement of preferred stock</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(121,613)</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(75,217)</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(1,810)</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Series A preferred stock</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Cash dividends on Series B preferred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Series D preferred stock</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(1,657)</w:t>
            </w:r>
          </w:p>
        </w:tc>
        <w:tc>
          <w:tcPr>
            <w:tcW w:w="1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8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vMerge w:val="continue"/>
          </w:tcPr>
          <w:p>
            <w:pPr>
              <w:spacing w:after="0"/>
              <w:rPr>
                <w:sz w:val="19"/>
                <w:szCs w:val="19"/>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(123,962)</w:t>
            </w: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(61,144)</w:t>
            </w:r>
          </w:p>
        </w:tc>
        <w:tc>
          <w:tcPr>
            <w:tcW w:w="1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8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(4,371)</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(17,709)</w:t>
            </w:r>
          </w:p>
        </w:tc>
        <w:tc>
          <w:tcPr>
            <w:tcW w:w="1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(12,585)</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vMerge w:val="continue"/>
          </w:tcPr>
          <w:p>
            <w:pPr>
              <w:spacing w:after="0"/>
              <w:rPr>
                <w:sz w:val="19"/>
                <w:szCs w:val="19"/>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color w:val="auto"/>
              </w:rPr>
              <w:t>Cash at beginning of year</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36,338</w:t>
            </w:r>
          </w:p>
        </w:tc>
        <w:tc>
          <w:tcPr>
            <w:tcW w:w="34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54,047</w:t>
            </w:r>
          </w:p>
        </w:tc>
        <w:tc>
          <w:tcPr>
            <w:tcW w:w="1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66,632</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8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0" w:type="dxa"/>
            <w:vAlign w:val="bottom"/>
            <w:vMerge w:val="continue"/>
          </w:tcPr>
          <w:p>
            <w:pPr>
              <w:spacing w:after="0"/>
              <w:rPr>
                <w:sz w:val="22"/>
                <w:szCs w:val="22"/>
                <w:color w:val="auto"/>
              </w:rPr>
            </w:pPr>
          </w:p>
        </w:tc>
        <w:tc>
          <w:tcPr>
            <w:tcW w:w="68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Cash at end of year</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31,967</w:t>
            </w:r>
          </w:p>
        </w:tc>
        <w:tc>
          <w:tcPr>
            <w:tcW w:w="34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36,338</w:t>
            </w:r>
          </w:p>
        </w:tc>
        <w:tc>
          <w:tcPr>
            <w:tcW w:w="3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54,047</w:t>
            </w:r>
          </w:p>
        </w:tc>
        <w:tc>
          <w:tcPr>
            <w:tcW w:w="0" w:type="dxa"/>
            <w:vAlign w:val="bottom"/>
          </w:tcPr>
          <w:p>
            <w:pPr>
              <w:spacing w:after="0"/>
              <w:rPr>
                <w:sz w:val="1"/>
                <w:szCs w:val="1"/>
                <w:color w:val="auto"/>
              </w:rPr>
            </w:pPr>
          </w:p>
        </w:tc>
      </w:tr>
      <w:tr>
        <w:trPr>
          <w:trHeight w:val="669"/>
        </w:trPr>
        <w:tc>
          <w:tcPr>
            <w:tcW w:w="460" w:type="dxa"/>
            <w:vAlign w:val="bottom"/>
            <w:tcBorders>
              <w:bottom w:val="single" w:sz="8" w:color="DCDCDC"/>
            </w:tcBorders>
          </w:tcPr>
          <w:p>
            <w:pPr>
              <w:spacing w:after="0"/>
              <w:rPr>
                <w:sz w:val="24"/>
                <w:szCs w:val="24"/>
                <w:color w:val="auto"/>
              </w:rPr>
            </w:pPr>
          </w:p>
        </w:tc>
        <w:tc>
          <w:tcPr>
            <w:tcW w:w="6800" w:type="dxa"/>
            <w:vAlign w:val="bottom"/>
            <w:tcBorders>
              <w:top w:val="single" w:sz="8" w:color="F0FFFF"/>
              <w:bottom w:val="single" w:sz="8" w:color="DCDCDC"/>
            </w:tcBorders>
          </w:tcPr>
          <w:p>
            <w:pPr>
              <w:ind w:left="5120"/>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860" w:type="dxa"/>
            <w:vAlign w:val="bottom"/>
            <w:tcBorders>
              <w:top w:val="single" w:sz="8" w:color="auto"/>
              <w:bottom w:val="single" w:sz="8" w:color="DCDCDC"/>
            </w:tcBorders>
          </w:tcPr>
          <w:p>
            <w:pPr>
              <w:spacing w:after="0"/>
              <w:rPr>
                <w:sz w:val="24"/>
                <w:szCs w:val="24"/>
                <w:color w:val="auto"/>
              </w:rPr>
            </w:pPr>
          </w:p>
        </w:tc>
        <w:tc>
          <w:tcPr>
            <w:tcW w:w="34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840" w:type="dxa"/>
            <w:vAlign w:val="bottom"/>
            <w:tcBorders>
              <w:top w:val="single" w:sz="8" w:color="auto"/>
              <w:bottom w:val="single" w:sz="8" w:color="DCDCDC"/>
            </w:tcBorders>
          </w:tcPr>
          <w:p>
            <w:pPr>
              <w:spacing w:after="0"/>
              <w:rPr>
                <w:sz w:val="24"/>
                <w:szCs w:val="24"/>
                <w:color w:val="auto"/>
              </w:rPr>
            </w:pPr>
          </w:p>
        </w:tc>
        <w:tc>
          <w:tcPr>
            <w:tcW w:w="20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86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6" w:right="239" w:bottom="1440" w:gutter="0" w:footer="0" w:header="0"/>
        </w:sectPr>
      </w:pPr>
    </w:p>
    <w:bookmarkStart w:id="121" w:name="page122"/>
    <w:bookmarkEnd w:id="121"/>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past two years, United did not have any change in or disagreements with its accountants on any matters of accounting principles or practices or financial statement disclosure.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December 31, 2014.</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SEC’s rules and forms and that the disclosure controls and procedures are designed to ensure that the information required to be disclosed in reports that are filed or submitted under the Exchange Act is recorded, processed, summarized and reported within the time periods specified.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changes were made to United’s internal control over financial reporting during the fourth quarter of 2014 that materially affected, or are reasonably likely to materially affect, United’s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is responsible for establishing and maintaining adequate internal control over financial reporting. Management’s assessment of the effectiveness of United’s internal control over financial reporting as of December 31, 2014 is included in Item 8 of this report under the heading “Management’s Report on Internal Control Over Financial Reporting.“</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items required to be reported on Form 8-K during the fourth quarter of 2014 that were not reported on Form 8-K.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PART III</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2014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contained under the heading “Compensation of Executive Officers and Directors” in the Proxy Statement to be used in connection with the solicitation of proxies for United’s 2015 Annual Meeting of Shareholders, to be filed with the SEC, is incorporated herein by reference.</w:t>
      </w:r>
    </w:p>
    <w:p>
      <w:pPr>
        <w:spacing w:after="0" w:line="200" w:lineRule="exact"/>
        <w:rPr>
          <w:sz w:val="20"/>
          <w:szCs w:val="20"/>
          <w:color w:val="auto"/>
        </w:rPr>
      </w:pPr>
    </w:p>
    <w:p>
      <w:pPr>
        <w:spacing w:after="0" w:line="213"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contained under the heading “Principal and Management Shareholders“ and the “Equity Compensation Plan Information” table in the Proxy Statement to be used in connection with the solicitation of proxies for United’s 2015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SEC.</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“Corporate Governance – Certain Relationships and Related Transactions” in the Proxy Statement to be used in connection with the solicitation of proxies for United’s 2015 Annual Meeting of Shareholders, to be filed with the SEC, is incorporated herein by reference.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“Other Matters – Independent Registered Public Accounting Firm” in the Proxy Statement to be used in connection with the solicitation of proxies for United’s 2015 Annual Meeting of Shareholders, to be filed with the SEC, is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23" w:name="page124"/>
    <w:bookmarkEnd w:id="123"/>
    <w:p>
      <w:pPr>
        <w:ind w:left="5280"/>
        <w:spacing w:after="0"/>
        <w:rPr>
          <w:sz w:val="20"/>
          <w:szCs w:val="20"/>
          <w:color w:val="auto"/>
        </w:rPr>
      </w:pPr>
      <w:r>
        <w:rPr>
          <w:rFonts w:ascii="Arial" w:cs="Arial" w:eastAsia="Arial" w:hAnsi="Arial"/>
          <w:sz w:val="22"/>
          <w:szCs w:val="22"/>
          <w:b w:val="1"/>
          <w:bCs w:val="1"/>
          <w:color w:val="auto"/>
        </w:rPr>
        <w:t>PART IV</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spacing w:after="0"/>
        <w:tabs>
          <w:tab w:leader="none" w:pos="440" w:val="left"/>
          <w:tab w:leader="none" w:pos="1240" w:val="left"/>
        </w:tabs>
        <w:rPr>
          <w:sz w:val="20"/>
          <w:szCs w:val="20"/>
          <w:color w:val="auto"/>
        </w:rPr>
      </w:pPr>
      <w:r>
        <w:rPr>
          <w:rFonts w:ascii="Arial" w:cs="Arial" w:eastAsia="Arial" w:hAnsi="Arial"/>
          <w:sz w:val="18"/>
          <w:szCs w:val="18"/>
          <w:color w:val="auto"/>
        </w:rPr>
        <w:t>(a)</w:t>
        <w:tab/>
        <w:t>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Statement of Income - Years ended December 31, 2014, 2013, and 2012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Balance Sheet - December 31, 2014 and 2013</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Statement of Changes in Shareholders’ Equity - Years ended December 31, 2014, 2013, and 2012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Statement of Cash Flows - Years ended December 31, 2014, 2013, and 2012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1260" w:hanging="793"/>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225" w:lineRule="exact"/>
        <w:rPr>
          <w:rFonts w:ascii="Arial" w:cs="Arial" w:eastAsia="Arial" w:hAnsi="Arial"/>
          <w:sz w:val="18"/>
          <w:szCs w:val="18"/>
          <w:color w:val="auto"/>
        </w:rPr>
      </w:pPr>
    </w:p>
    <w:p>
      <w:pPr>
        <w:ind w:left="1260" w:hanging="793"/>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The following exhibits are required to be filed with this report by Item 601 of Regulation S-K:</w:t>
      </w:r>
    </w:p>
    <w:p>
      <w:pPr>
        <w:spacing w:after="0" w:line="24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3507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spacing w:after="0" w:line="236" w:lineRule="exact"/>
        <w:rPr>
          <w:sz w:val="20"/>
          <w:szCs w:val="20"/>
          <w:color w:val="auto"/>
        </w:rPr>
      </w:pPr>
    </w:p>
    <w:p>
      <w:pPr>
        <w:jc w:val="both"/>
        <w:ind w:left="1280" w:hanging="807"/>
        <w:spacing w:after="0" w:line="264" w:lineRule="auto"/>
        <w:tabs>
          <w:tab w:leader="none" w:pos="12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January 27, 2015 by and between United Community Banks, Inc. and MoneyTree Corporation (incorporated herein by reference to exhibit 2.1 to United Community Banks, Inc.’s Current Report on Form 8-K, File No. 001-35095, filed with the SEC on January 28, 2015)</w:t>
      </w:r>
    </w:p>
    <w:p>
      <w:pPr>
        <w:spacing w:after="0" w:line="181" w:lineRule="exact"/>
        <w:rPr>
          <w:sz w:val="20"/>
          <w:szCs w:val="20"/>
          <w:color w:val="auto"/>
        </w:rPr>
      </w:pPr>
    </w:p>
    <w:p>
      <w:pPr>
        <w:jc w:val="both"/>
        <w:ind w:left="1280" w:hanging="807"/>
        <w:spacing w:after="0" w:line="342" w:lineRule="auto"/>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Incorporation of United Community Banks, Inc., as amended (incorporated herein by reference to Exhibit 3.1 to United Community Banks, Inc.’s Quarterly Report on Form 10-Q for the period ended June 30, 2011, filed with the SEC on August 9, 2011).</w:t>
      </w:r>
    </w:p>
    <w:p>
      <w:pPr>
        <w:spacing w:after="0" w:line="124" w:lineRule="exact"/>
        <w:rPr>
          <w:sz w:val="20"/>
          <w:szCs w:val="20"/>
          <w:color w:val="auto"/>
        </w:rPr>
      </w:pPr>
    </w:p>
    <w:p>
      <w:pPr>
        <w:jc w:val="both"/>
        <w:ind w:left="1280" w:hanging="807"/>
        <w:spacing w:after="0" w:line="342" w:lineRule="auto"/>
        <w:tabs>
          <w:tab w:leader="none" w:pos="12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United Community Banks, Inc., as amended (incorporated herein by reference to Exhibit 3.2 to United Community Banks, Inc.’s Quarterly Report on Form 10-Q for the period ended March 31, 2011, filed with the SEC on May 4, 2011).</w:t>
      </w:r>
    </w:p>
    <w:p>
      <w:pPr>
        <w:spacing w:after="0" w:line="124" w:lineRule="exact"/>
        <w:rPr>
          <w:sz w:val="20"/>
          <w:szCs w:val="20"/>
          <w:color w:val="auto"/>
        </w:rPr>
      </w:pPr>
    </w:p>
    <w:p>
      <w:pPr>
        <w:jc w:val="both"/>
        <w:ind w:left="1280" w:hanging="807"/>
        <w:spacing w:after="0" w:line="308" w:lineRule="auto"/>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See Exhibits 3.1 and 3.2 for provisions of the Restated Articles of Incorporation of United Community Banks, Inc., as amended, and the Amended and Restated Bylaws, as amended, of United Community Banks, Inc., which define the rights of security holders.</w:t>
      </w:r>
    </w:p>
    <w:p>
      <w:pPr>
        <w:spacing w:after="0" w:line="147" w:lineRule="exact"/>
        <w:rPr>
          <w:sz w:val="20"/>
          <w:szCs w:val="20"/>
          <w:color w:val="auto"/>
        </w:rPr>
      </w:pPr>
    </w:p>
    <w:p>
      <w:pPr>
        <w:jc w:val="both"/>
        <w:ind w:left="1280" w:hanging="852"/>
        <w:spacing w:after="0" w:line="264" w:lineRule="auto"/>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United Community Banks, Inc.’s Profit Sharing Plan, amended and restated as of January 1, 2001 (incorporated herein by reference to Exhibit 4.3 to United Community Banks, Inc.’s Registration Statement on Form S-8, File No. 333-86876, filed with the SEC on April 24, 2002).*</w:t>
      </w:r>
    </w:p>
    <w:p>
      <w:pPr>
        <w:spacing w:after="0" w:line="181" w:lineRule="exact"/>
        <w:rPr>
          <w:sz w:val="20"/>
          <w:szCs w:val="20"/>
          <w:color w:val="auto"/>
        </w:rPr>
      </w:pPr>
    </w:p>
    <w:p>
      <w:pPr>
        <w:jc w:val="both"/>
        <w:ind w:left="1280" w:hanging="852"/>
        <w:spacing w:after="0" w:line="264" w:lineRule="auto"/>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 to United Community Banks, Inc.’s Profit Sharing Plan, dated as of March 15, 2002 (incorporated herein by reference to Exhibit 4.4 to United Community Banks, Inc.’s Registration Statement on Form S-8, File No. 333-86876, filed with the SEC on April 24, 2002).*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24" w:name="page125"/>
    <w:bookmarkEnd w:id="124"/>
    <w:p>
      <w:pPr>
        <w:spacing w:after="0"/>
        <w:tabs>
          <w:tab w:leader="none" w:pos="12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3507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5075" cy="17145"/>
                    </a:xfrm>
                    <a:prstGeom prst="rect">
                      <a:avLst/>
                    </a:prstGeom>
                    <a:noFill/>
                  </pic:spPr>
                </pic:pic>
              </a:graphicData>
            </a:graphic>
          </wp:anchor>
        </w:drawing>
      </w:r>
    </w:p>
    <w:p>
      <w:pPr>
        <w:spacing w:after="0" w:line="236" w:lineRule="exact"/>
        <w:rPr>
          <w:sz w:val="20"/>
          <w:szCs w:val="20"/>
          <w:color w:val="auto"/>
        </w:rPr>
      </w:pPr>
    </w:p>
    <w:p>
      <w:pPr>
        <w:jc w:val="both"/>
        <w:ind w:left="1280" w:hanging="852"/>
        <w:spacing w:after="0" w:line="264" w:lineRule="auto"/>
        <w:tabs>
          <w:tab w:leader="none" w:pos="12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Split-Dollar Agreement between United Community Banks, Inc. and Jimmy C. Tallent dated June 1, 1994 (incorporated herein by reference to Exhibit 10.11 to United Community Banks, Inc.’s Annual Report on Form 10-K for the year ended December 31, 1994, File No. 0-21656).*</w:t>
      </w:r>
    </w:p>
    <w:p>
      <w:pPr>
        <w:spacing w:after="0" w:line="181" w:lineRule="exact"/>
        <w:rPr>
          <w:sz w:val="20"/>
          <w:szCs w:val="20"/>
          <w:color w:val="auto"/>
        </w:rPr>
      </w:pPr>
    </w:p>
    <w:p>
      <w:pPr>
        <w:jc w:val="both"/>
        <w:ind w:left="1280" w:hanging="852"/>
        <w:spacing w:after="0" w:line="308" w:lineRule="auto"/>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United Community Banks, Inc.’s Amended and Restated 2000 Key Employee Stock Option Plan (incorporated herein by reference to Exhibit 10.1 to United Community Banks, Inc.’s Current Report on Form 8-K, File No. 000-21656, filed with the SEC on May 1, 2007).*</w:t>
      </w:r>
    </w:p>
    <w:p>
      <w:pPr>
        <w:spacing w:after="0" w:line="147" w:lineRule="exact"/>
        <w:rPr>
          <w:sz w:val="20"/>
          <w:szCs w:val="20"/>
          <w:color w:val="auto"/>
        </w:rPr>
      </w:pPr>
    </w:p>
    <w:p>
      <w:pPr>
        <w:jc w:val="both"/>
        <w:ind w:left="1280" w:hanging="852"/>
        <w:spacing w:after="0" w:line="312" w:lineRule="auto"/>
        <w:tabs>
          <w:tab w:leader="none" w:pos="12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Amended and Restated Change of Control Severance Agreement by and between United Community Banks, Inc. and Jimmy C. Tallent, H. Lynn Harton, Rex S. Schuette, and Bill Gilbert (incorporated herein by reference to Exhibit 10.8 to United Community Banks, Inc.’s Annual Report on Form 10-K for the year ended December 31, 2008, File No. 000-21656, filed with the SEC on February 27, 2009).*</w:t>
      </w:r>
    </w:p>
    <w:p>
      <w:pPr>
        <w:spacing w:after="0" w:line="147" w:lineRule="exact"/>
        <w:rPr>
          <w:sz w:val="20"/>
          <w:szCs w:val="20"/>
          <w:color w:val="auto"/>
        </w:rPr>
      </w:pPr>
    </w:p>
    <w:p>
      <w:pPr>
        <w:jc w:val="both"/>
        <w:ind w:left="1280" w:hanging="852"/>
        <w:spacing w:after="0" w:line="264" w:lineRule="auto"/>
        <w:tabs>
          <w:tab w:leader="none" w:pos="12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United Community Banks, Inc.’s Amended and Restated Modified Retirement Plan, effective as of January 1, 2005 (incorporated herein by reference to Exhibit 10.10 to United Community Banks, Inc.’s Annual Report on Form 10-K for the year ended December 31, 2008, File No. 000-21656, filed with the SEC on February 27, 2009).*</w:t>
      </w:r>
    </w:p>
    <w:p>
      <w:pPr>
        <w:spacing w:after="0" w:line="181" w:lineRule="exact"/>
        <w:rPr>
          <w:sz w:val="20"/>
          <w:szCs w:val="20"/>
          <w:color w:val="auto"/>
        </w:rPr>
      </w:pPr>
    </w:p>
    <w:p>
      <w:pPr>
        <w:jc w:val="both"/>
        <w:ind w:left="1280" w:hanging="852"/>
        <w:spacing w:after="0" w:line="264" w:lineRule="auto"/>
        <w:tabs>
          <w:tab w:leader="none" w:pos="12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United Community Banks, Inc.’s Amended and Restated Deferred Compensation Plan, effective as of January 1, 2005 (incorporated herein by reference to Exhibit 10.11 to United Community Banks, Inc.’s Annual Report on Form 10-K for the year ended December 31, 2008, File No. 000-21656, filed with the SEC on February 27, 2009).*</w:t>
      </w:r>
    </w:p>
    <w:p>
      <w:pPr>
        <w:spacing w:after="0" w:line="181" w:lineRule="exact"/>
        <w:rPr>
          <w:sz w:val="20"/>
          <w:szCs w:val="20"/>
          <w:color w:val="auto"/>
        </w:rPr>
      </w:pPr>
    </w:p>
    <w:p>
      <w:pPr>
        <w:jc w:val="both"/>
        <w:ind w:left="1280" w:hanging="852"/>
        <w:spacing w:after="0" w:line="264" w:lineRule="auto"/>
        <w:tabs>
          <w:tab w:leader="none" w:pos="12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United Community Banks, Inc. Amended and Restated Dividend Reinvestment and Share Purchase Plan (incorporated herein by reference to Exhibit 4 to United Community Banks, Inc.’s Registration Statement on Form S-3D, File No. 333-197026, filed with the SEC on June 25, 2014).*</w:t>
      </w:r>
    </w:p>
    <w:p>
      <w:pPr>
        <w:spacing w:after="0" w:line="181" w:lineRule="exact"/>
        <w:rPr>
          <w:sz w:val="20"/>
          <w:szCs w:val="20"/>
          <w:color w:val="auto"/>
        </w:rPr>
      </w:pPr>
    </w:p>
    <w:p>
      <w:pPr>
        <w:jc w:val="both"/>
        <w:ind w:left="1280" w:hanging="852"/>
        <w:spacing w:after="0" w:line="264" w:lineRule="auto"/>
        <w:tabs>
          <w:tab w:leader="none" w:pos="12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United Community Banks, Inc. Employee Stock Purchase Plan, effective as of December 20, 2005 (incorporated herein by reference to Exhibit 4 to United Community Banks, Inc.’s Registration Statement on Form S-8, File No. 333-130489, filed with the SEC on December 20, 2005).*</w:t>
      </w:r>
    </w:p>
    <w:p>
      <w:pPr>
        <w:spacing w:after="0" w:line="181" w:lineRule="exact"/>
        <w:rPr>
          <w:sz w:val="20"/>
          <w:szCs w:val="20"/>
          <w:color w:val="auto"/>
        </w:rPr>
      </w:pPr>
    </w:p>
    <w:p>
      <w:pPr>
        <w:ind w:left="380"/>
        <w:spacing w:after="0"/>
        <w:tabs>
          <w:tab w:leader="none" w:pos="12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United Community Banks, Inc.’s Management Incentive Plan, effective as of January 1, 2007 (incorporated herein by reference to Exhibit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10.5 to United Community Banks, Inc.’s Current Report on Form 8-K, File No. 000-21656, filed with the SEC on May 1, 2007).*</w:t>
      </w:r>
    </w:p>
    <w:p>
      <w:pPr>
        <w:spacing w:after="0" w:line="211" w:lineRule="exact"/>
        <w:rPr>
          <w:sz w:val="20"/>
          <w:szCs w:val="20"/>
          <w:color w:val="auto"/>
        </w:rPr>
      </w:pPr>
    </w:p>
    <w:p>
      <w:pPr>
        <w:jc w:val="both"/>
        <w:ind w:left="1280" w:hanging="894"/>
        <w:spacing w:after="0" w:line="264" w:lineRule="auto"/>
        <w:tabs>
          <w:tab w:leader="none" w:pos="12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Amendment No. 1 to United Community Banks, Inc.’s Amended and Restated 2000 Key Employee Stock Option Plan dated April 13, 2007 (incorporated herein by reference to Exhibit 10.1 to United Community Banks, Inc.’s Current Report on Form 8-K, File No. 000-21656, filed with the SEC on April 13, 2007).*</w:t>
      </w:r>
    </w:p>
    <w:p>
      <w:pPr>
        <w:spacing w:after="0" w:line="181" w:lineRule="exact"/>
        <w:rPr>
          <w:sz w:val="20"/>
          <w:szCs w:val="20"/>
          <w:color w:val="auto"/>
        </w:rPr>
      </w:pPr>
    </w:p>
    <w:p>
      <w:pPr>
        <w:jc w:val="both"/>
        <w:ind w:left="1280" w:hanging="897"/>
        <w:spacing w:after="0" w:line="264" w:lineRule="auto"/>
        <w:tabs>
          <w:tab w:leader="none" w:pos="12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Investment Agreement, dated as of March 16, 2011, between United Community Banks, Inc. and Corsair Georgia, L.P. (incorporated herein by reference to Exhibit 10.1 to United Community Banks, Inc.’s Current Report on Form 8-K, File No. 001-35095, filed with the SEC on March 17, 2011).*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5" w:name="page126"/>
    <w:bookmarkEnd w:id="125"/>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522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52220" cy="17145"/>
                    </a:xfrm>
                    <a:prstGeom prst="rect">
                      <a:avLst/>
                    </a:prstGeom>
                    <a:noFill/>
                  </pic:spPr>
                </pic:pic>
              </a:graphicData>
            </a:graphic>
          </wp:anchor>
        </w:drawing>
      </w:r>
    </w:p>
    <w:p>
      <w:pPr>
        <w:spacing w:after="0" w:line="236" w:lineRule="exact"/>
        <w:rPr>
          <w:sz w:val="20"/>
          <w:szCs w:val="20"/>
          <w:color w:val="auto"/>
        </w:rPr>
      </w:pPr>
    </w:p>
    <w:p>
      <w:pPr>
        <w:jc w:val="both"/>
        <w:ind w:left="1260" w:hanging="877"/>
        <w:spacing w:after="0" w:line="264" w:lineRule="auto"/>
        <w:tabs>
          <w:tab w:leader="none" w:pos="12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Employment Agreement, dated as of September 14, 2012, between United Community Bank and H. Lynn Harton (incorporated herein by reference to Exhibit 10.1 to United Community Banks, Inc.’s Current Report on Form 8-K, File No. 001-35095, filed with the SEC on September 19, 2012).*</w:t>
      </w:r>
    </w:p>
    <w:p>
      <w:pPr>
        <w:spacing w:after="0" w:line="181" w:lineRule="exact"/>
        <w:rPr>
          <w:sz w:val="20"/>
          <w:szCs w:val="20"/>
          <w:color w:val="auto"/>
        </w:rPr>
      </w:pPr>
    </w:p>
    <w:p>
      <w:pPr>
        <w:jc w:val="both"/>
        <w:ind w:left="1260" w:hanging="877"/>
        <w:spacing w:after="0" w:line="264" w:lineRule="auto"/>
        <w:tabs>
          <w:tab w:leader="none" w:pos="12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Credit Agreement dated as of January 7, 2014, between United Community Banks, Inc. and Synovus Bank. (incorporated herein by reference to Exhibit 10.21 to United Community Banks, Inc.’s Annual Report on Form 10-K for the year ended December 31, 2013, File No. 001-35095, filed with the SEC on February 28, 2014).</w:t>
      </w:r>
    </w:p>
    <w:p>
      <w:pPr>
        <w:spacing w:after="0" w:line="181"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Incentive Stock Option Award Agreement.*</w:t>
      </w:r>
    </w:p>
    <w:p>
      <w:pPr>
        <w:spacing w:after="0" w:line="225"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Nonqualified Stock Option Award Agreement.*</w:t>
      </w:r>
    </w:p>
    <w:p>
      <w:pPr>
        <w:spacing w:after="0" w:line="225"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Restricted Stock Unit Award Agreement.*</w:t>
      </w:r>
    </w:p>
    <w:p>
      <w:pPr>
        <w:spacing w:after="0" w:line="225" w:lineRule="exact"/>
        <w:rPr>
          <w:sz w:val="20"/>
          <w:szCs w:val="20"/>
          <w:color w:val="auto"/>
        </w:rPr>
      </w:pPr>
    </w:p>
    <w:p>
      <w:pPr>
        <w:ind w:left="1260" w:right="20" w:hanging="775"/>
        <w:spacing w:after="0" w:line="277"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Code of Ethical Conduct (incorporated herein by reference to Exhibit 14 to United Community Banks, Inc.’s Annual Report on Form 10-K for the year ended December 31, 2003, File No. 000-21656, filed with the SEC on March 8, 2004).</w:t>
      </w:r>
    </w:p>
    <w:p>
      <w:pPr>
        <w:spacing w:after="0" w:line="17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89"/>
              </w:rPr>
              <w:t>21</w:t>
            </w:r>
          </w:p>
        </w:tc>
        <w:tc>
          <w:tcPr>
            <w:tcW w:w="10220" w:type="dxa"/>
            <w:vAlign w:val="bottom"/>
          </w:tcPr>
          <w:p>
            <w:pPr>
              <w:ind w:left="140"/>
              <w:spacing w:after="0"/>
              <w:rPr>
                <w:sz w:val="20"/>
                <w:szCs w:val="20"/>
                <w:color w:val="auto"/>
              </w:rPr>
            </w:pPr>
            <w:r>
              <w:rPr>
                <w:rFonts w:ascii="Arial" w:cs="Arial" w:eastAsia="Arial" w:hAnsi="Arial"/>
                <w:sz w:val="18"/>
                <w:szCs w:val="18"/>
                <w:color w:val="auto"/>
              </w:rPr>
              <w:t>Subsidiaries of United.</w:t>
            </w:r>
          </w:p>
        </w:tc>
      </w:tr>
      <w:tr>
        <w:trPr>
          <w:trHeight w:val="432"/>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1"/>
              </w:rPr>
              <w:t>23.1</w:t>
            </w:r>
          </w:p>
        </w:tc>
        <w:tc>
          <w:tcPr>
            <w:tcW w:w="10220" w:type="dxa"/>
            <w:vAlign w:val="bottom"/>
          </w:tcPr>
          <w:p>
            <w:pPr>
              <w:ind w:left="1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1"/>
              </w:rPr>
              <w:t>23.2</w:t>
            </w:r>
          </w:p>
        </w:tc>
        <w:tc>
          <w:tcPr>
            <w:tcW w:w="10220" w:type="dxa"/>
            <w:vAlign w:val="bottom"/>
          </w:tcPr>
          <w:p>
            <w:pPr>
              <w:ind w:left="1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89"/>
              </w:rPr>
              <w:t>24</w:t>
            </w:r>
          </w:p>
        </w:tc>
        <w:tc>
          <w:tcPr>
            <w:tcW w:w="10220" w:type="dxa"/>
            <w:vAlign w:val="bottom"/>
          </w:tcPr>
          <w:p>
            <w:pPr>
              <w:ind w:left="140"/>
              <w:spacing w:after="0"/>
              <w:rPr>
                <w:sz w:val="20"/>
                <w:szCs w:val="20"/>
                <w:color w:val="auto"/>
              </w:rPr>
            </w:pPr>
            <w:r>
              <w:rPr>
                <w:rFonts w:ascii="Arial" w:cs="Arial" w:eastAsia="Arial" w:hAnsi="Arial"/>
                <w:sz w:val="18"/>
                <w:szCs w:val="18"/>
                <w:color w:val="auto"/>
              </w:rPr>
              <w:t>Power of Attorney of certain officers and directors of United (included on Signature Page)</w:t>
            </w:r>
          </w:p>
        </w:tc>
      </w:tr>
      <w:tr>
        <w:trPr>
          <w:trHeight w:val="418"/>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1"/>
              </w:rPr>
              <w:t>31.1</w:t>
            </w:r>
          </w:p>
        </w:tc>
        <w:tc>
          <w:tcPr>
            <w:tcW w:w="10220" w:type="dxa"/>
            <w:vAlign w:val="bottom"/>
          </w:tcPr>
          <w:p>
            <w:pPr>
              <w:ind w:left="140"/>
              <w:spacing w:after="0"/>
              <w:rPr>
                <w:sz w:val="20"/>
                <w:szCs w:val="20"/>
                <w:color w:val="auto"/>
              </w:rPr>
            </w:pPr>
            <w:r>
              <w:rPr>
                <w:rFonts w:ascii="Arial" w:cs="Arial" w:eastAsia="Arial" w:hAnsi="Arial"/>
                <w:sz w:val="18"/>
                <w:szCs w:val="18"/>
                <w:color w:val="auto"/>
                <w:w w:val="91"/>
              </w:rPr>
              <w:t>Certification by Jimmy C. Tallent, Chairman and Chief Executive Officer of United Community Banks, Inc., as adopted pursuant to Section</w:t>
            </w:r>
          </w:p>
        </w:tc>
      </w:tr>
      <w:tr>
        <w:trPr>
          <w:trHeight w:val="230"/>
        </w:trPr>
        <w:tc>
          <w:tcPr>
            <w:tcW w:w="980" w:type="dxa"/>
            <w:vAlign w:val="bottom"/>
          </w:tcPr>
          <w:p>
            <w:pPr>
              <w:spacing w:after="0"/>
              <w:rPr>
                <w:sz w:val="20"/>
                <w:szCs w:val="20"/>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1"/>
              </w:rPr>
              <w:t>31.2</w:t>
            </w:r>
          </w:p>
        </w:tc>
        <w:tc>
          <w:tcPr>
            <w:tcW w:w="10220" w:type="dxa"/>
            <w:vAlign w:val="bottom"/>
          </w:tcPr>
          <w:p>
            <w:pPr>
              <w:ind w:left="140"/>
              <w:spacing w:after="0"/>
              <w:rPr>
                <w:sz w:val="20"/>
                <w:szCs w:val="20"/>
                <w:color w:val="auto"/>
              </w:rPr>
            </w:pPr>
            <w:r>
              <w:rPr>
                <w:rFonts w:ascii="Arial" w:cs="Arial" w:eastAsia="Arial" w:hAnsi="Arial"/>
                <w:sz w:val="18"/>
                <w:szCs w:val="18"/>
                <w:color w:val="auto"/>
                <w:w w:val="96"/>
              </w:rPr>
              <w:t>Certification by Rex S. Schuette, Executive Vice President and Chief Financial Officer of United Community Banks, Inc., as adopted</w:t>
            </w:r>
          </w:p>
        </w:tc>
      </w:tr>
      <w:tr>
        <w:trPr>
          <w:trHeight w:val="230"/>
        </w:trPr>
        <w:tc>
          <w:tcPr>
            <w:tcW w:w="980" w:type="dxa"/>
            <w:vAlign w:val="bottom"/>
          </w:tcPr>
          <w:p>
            <w:pPr>
              <w:spacing w:after="0"/>
              <w:rPr>
                <w:sz w:val="20"/>
                <w:szCs w:val="20"/>
                <w:color w:val="auto"/>
              </w:rPr>
            </w:pPr>
          </w:p>
        </w:tc>
        <w:tc>
          <w:tcPr>
            <w:tcW w:w="10220" w:type="dxa"/>
            <w:vAlign w:val="bottom"/>
          </w:tcPr>
          <w:p>
            <w:pPr>
              <w:ind w:left="1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32"/>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89"/>
              </w:rPr>
              <w:t>32</w:t>
            </w:r>
          </w:p>
        </w:tc>
        <w:tc>
          <w:tcPr>
            <w:tcW w:w="10220" w:type="dxa"/>
            <w:vAlign w:val="bottom"/>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98"/>
              </w:rPr>
              <w:t>101.INS**</w:t>
            </w:r>
          </w:p>
        </w:tc>
        <w:tc>
          <w:tcPr>
            <w:tcW w:w="10220" w:type="dxa"/>
            <w:vAlign w:val="bottom"/>
          </w:tcPr>
          <w:p>
            <w:pPr>
              <w:ind w:left="140"/>
              <w:spacing w:after="0"/>
              <w:rPr>
                <w:sz w:val="20"/>
                <w:szCs w:val="20"/>
                <w:color w:val="auto"/>
              </w:rPr>
            </w:pPr>
            <w:r>
              <w:rPr>
                <w:rFonts w:ascii="Arial" w:cs="Arial" w:eastAsia="Arial" w:hAnsi="Arial"/>
                <w:sz w:val="18"/>
                <w:szCs w:val="18"/>
                <w:color w:val="auto"/>
              </w:rPr>
              <w:t>XBRL Report Instance Document</w:t>
            </w:r>
          </w:p>
        </w:tc>
      </w:tr>
      <w:tr>
        <w:trPr>
          <w:trHeight w:val="432"/>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101.SCH**</w:t>
            </w:r>
          </w:p>
        </w:tc>
        <w:tc>
          <w:tcPr>
            <w:tcW w:w="102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80" w:type="dxa"/>
            <w:vAlign w:val="bottom"/>
          </w:tcPr>
          <w:p>
            <w:pPr>
              <w:jc w:val="center"/>
              <w:ind w:right="30"/>
              <w:spacing w:after="0"/>
              <w:rPr>
                <w:sz w:val="20"/>
                <w:szCs w:val="20"/>
                <w:color w:val="auto"/>
              </w:rPr>
            </w:pPr>
            <w:r>
              <w:rPr>
                <w:rFonts w:ascii="Arial" w:cs="Arial" w:eastAsia="Arial" w:hAnsi="Arial"/>
                <w:sz w:val="18"/>
                <w:szCs w:val="18"/>
                <w:color w:val="auto"/>
              </w:rPr>
              <w:t>101.CAL**</w:t>
            </w:r>
          </w:p>
        </w:tc>
        <w:tc>
          <w:tcPr>
            <w:tcW w:w="1022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432"/>
        </w:trPr>
        <w:tc>
          <w:tcPr>
            <w:tcW w:w="980" w:type="dxa"/>
            <w:vAlign w:val="bottom"/>
          </w:tcPr>
          <w:p>
            <w:pPr>
              <w:jc w:val="center"/>
              <w:ind w:right="30"/>
              <w:spacing w:after="0"/>
              <w:rPr>
                <w:sz w:val="20"/>
                <w:szCs w:val="20"/>
                <w:color w:val="auto"/>
              </w:rPr>
            </w:pPr>
            <w:r>
              <w:rPr>
                <w:rFonts w:ascii="Arial" w:cs="Arial" w:eastAsia="Arial" w:hAnsi="Arial"/>
                <w:sz w:val="18"/>
                <w:szCs w:val="18"/>
                <w:color w:val="auto"/>
              </w:rPr>
              <w:t>101.LAB**</w:t>
            </w:r>
          </w:p>
        </w:tc>
        <w:tc>
          <w:tcPr>
            <w:tcW w:w="1022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432"/>
        </w:trPr>
        <w:tc>
          <w:tcPr>
            <w:tcW w:w="980" w:type="dxa"/>
            <w:vAlign w:val="bottom"/>
          </w:tcPr>
          <w:p>
            <w:pPr>
              <w:jc w:val="center"/>
              <w:ind w:right="30"/>
              <w:spacing w:after="0"/>
              <w:rPr>
                <w:sz w:val="20"/>
                <w:szCs w:val="20"/>
                <w:color w:val="auto"/>
              </w:rPr>
            </w:pPr>
            <w:r>
              <w:rPr>
                <w:rFonts w:ascii="Arial" w:cs="Arial" w:eastAsia="Arial" w:hAnsi="Arial"/>
                <w:sz w:val="18"/>
                <w:szCs w:val="18"/>
                <w:color w:val="auto"/>
                <w:w w:val="95"/>
              </w:rPr>
              <w:t>101.PRE**</w:t>
            </w:r>
          </w:p>
        </w:tc>
        <w:tc>
          <w:tcPr>
            <w:tcW w:w="10220" w:type="dxa"/>
            <w:vAlign w:val="bottom"/>
          </w:tcPr>
          <w:p>
            <w:pPr>
              <w:ind w:left="14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8"/>
              </w:rPr>
              <w:t>101.DEF**</w:t>
            </w:r>
          </w:p>
        </w:tc>
        <w:tc>
          <w:tcPr>
            <w:tcW w:w="1022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29" w:lineRule="exact"/>
        <w:rPr>
          <w:sz w:val="20"/>
          <w:szCs w:val="20"/>
          <w:color w:val="auto"/>
        </w:rPr>
      </w:pPr>
    </w:p>
    <w:p>
      <w:pPr>
        <w:ind w:left="500" w:hanging="492"/>
        <w:spacing w:after="0" w:line="258"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Annual Report on Form 10-K pursuant to Item 15(b) of Form 10-K.</w:t>
      </w:r>
    </w:p>
    <w:p>
      <w:pPr>
        <w:spacing w:after="0" w:line="1"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Pursuant to the requirements of Section 13 or 15(d) of the Securities Exchange Act of 1934, United has duly caused this annual report on Form 10-K, to be signed on its behalf by the undersigned, thereunto duly authorized, in the City of Blairsville, State of Georgia, on the 27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2015.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rPr>
              <w:t>UNITED COMMUNITY BANKS, INC.</w:t>
            </w:r>
          </w:p>
        </w:tc>
      </w:tr>
      <w:tr>
        <w:trPr>
          <w:trHeight w:val="234"/>
        </w:trPr>
        <w:tc>
          <w:tcPr>
            <w:tcW w:w="3700" w:type="dxa"/>
            <w:vAlign w:val="bottom"/>
          </w:tcPr>
          <w:p>
            <w:pPr>
              <w:spacing w:after="0"/>
              <w:rPr>
                <w:sz w:val="20"/>
                <w:szCs w:val="20"/>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w w:val="93"/>
              </w:rPr>
              <w:t>(Registrant)</w:t>
            </w:r>
          </w:p>
        </w:tc>
      </w:tr>
      <w:tr>
        <w:trPr>
          <w:trHeight w:val="439"/>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/s/ Jimmy C. Tallent</w:t>
            </w:r>
          </w:p>
        </w:tc>
        <w:tc>
          <w:tcPr>
            <w:tcW w:w="1680" w:type="dxa"/>
            <w:vAlign w:val="bottom"/>
          </w:tcPr>
          <w:p>
            <w:pPr>
              <w:spacing w:after="0"/>
              <w:rPr>
                <w:sz w:val="24"/>
                <w:szCs w:val="24"/>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b w:val="1"/>
                <w:bCs w:val="1"/>
                <w:i w:val="1"/>
                <w:iCs w:val="1"/>
                <w:color w:val="auto"/>
              </w:rPr>
              <w:t>/s/ Rex S. Schuette</w:t>
            </w:r>
          </w:p>
        </w:tc>
      </w:tr>
      <w:tr>
        <w:trPr>
          <w:trHeight w:val="202"/>
        </w:trPr>
        <w:tc>
          <w:tcPr>
            <w:tcW w:w="3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Jimmy C. Tallent</w:t>
            </w:r>
          </w:p>
        </w:tc>
        <w:tc>
          <w:tcPr>
            <w:tcW w:w="168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5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Rex S. Schuette</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168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(Principal Financial Officer)</w:t>
            </w:r>
          </w:p>
        </w:tc>
      </w:tr>
      <w:tr>
        <w:trPr>
          <w:trHeight w:val="466"/>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Alan H. Kumler</w:t>
            </w:r>
          </w:p>
        </w:tc>
        <w:tc>
          <w:tcPr>
            <w:tcW w:w="168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Alan H. Kumler</w:t>
            </w: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340" w:type="dxa"/>
            <w:vAlign w:val="bottom"/>
          </w:tcPr>
          <w:p>
            <w:pPr>
              <w:spacing w:after="0"/>
              <w:rPr>
                <w:sz w:val="17"/>
                <w:szCs w:val="17"/>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w w:val="97"/>
              </w:rPr>
              <w:t>Senior Vice President, Chief Accounting Officer</w:t>
            </w:r>
          </w:p>
        </w:tc>
        <w:tc>
          <w:tcPr>
            <w:tcW w:w="1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459"/>
        </w:trPr>
        <w:tc>
          <w:tcPr>
            <w:tcW w:w="3700" w:type="dxa"/>
            <w:vAlign w:val="bottom"/>
          </w:tcPr>
          <w:p>
            <w:pPr>
              <w:spacing w:after="0"/>
              <w:rPr>
                <w:sz w:val="24"/>
                <w:szCs w:val="24"/>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w w:val="99"/>
              </w:rPr>
              <w:t>POWER OF ATTORNEY AND SIGNATURES</w:t>
            </w:r>
          </w:p>
        </w:tc>
      </w:tr>
    </w:tbl>
    <w:p>
      <w:pPr>
        <w:spacing w:after="0" w:line="22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Jimmy C. Tallent and W.C. Nelson, Jr., or either of them, as attorney-in-fact, with each having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United and in the capacities set forth and on the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2015.</w:t>
      </w:r>
    </w:p>
    <w:p>
      <w:pPr>
        <w:sectPr>
          <w:pgSz w:w="11900" w:h="16838" w:orient="portrait"/>
          <w:cols w:equalWidth="0" w:num="1">
            <w:col w:w="11420"/>
          </w:cols>
          <w:pgMar w:left="240" w:top="666"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right="152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right="1860"/>
        <w:spacing w:after="0" w:line="292" w:lineRule="auto"/>
        <w:rPr>
          <w:sz w:val="20"/>
          <w:szCs w:val="20"/>
          <w:color w:val="auto"/>
        </w:rPr>
      </w:pPr>
      <w:r>
        <w:rPr>
          <w:rFonts w:ascii="Arial" w:cs="Arial" w:eastAsia="Arial" w:hAnsi="Arial"/>
          <w:sz w:val="18"/>
          <w:szCs w:val="18"/>
          <w:color w:val="auto"/>
        </w:rPr>
        <w:t>Senior Vice President, Chief Accounting Officer (Principal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H. Lynn Harton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Operating Officer and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W.C. Nelson,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 C. Nelson,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3395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Clifford V. Brokaw</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Clifford V. Brokaw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95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L. Cathy Cox</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95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 Steven J. Goldstein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Steven J.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95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Thomas A. Richlovsky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95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95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360" w:space="720"/>
            <w:col w:w="5340"/>
          </w:cols>
          <w:pgMar w:left="240" w:top="666" w:right="23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108077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232"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Incentive Stock Option Award Agreement.</w:t>
      </w:r>
    </w:p>
    <w:p>
      <w:pPr>
        <w:spacing w:after="0" w:line="225"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Nonqualified Stock Option Award Agreement.</w:t>
      </w:r>
    </w:p>
    <w:p>
      <w:pPr>
        <w:spacing w:after="0" w:line="225"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Restricted Stock Unit Award Agreement.</w:t>
      </w:r>
    </w:p>
    <w:p>
      <w:pPr>
        <w:spacing w:after="0" w:line="225"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United.</w:t>
      </w:r>
    </w:p>
    <w:p>
      <w:pPr>
        <w:spacing w:after="0" w:line="225"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225"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of certain officers and directors of United (included on Signature Page).</w:t>
      </w:r>
    </w:p>
    <w:p>
      <w:pPr>
        <w:spacing w:after="0" w:line="225" w:lineRule="exact"/>
        <w:rPr>
          <w:sz w:val="20"/>
          <w:szCs w:val="20"/>
          <w:color w:val="auto"/>
        </w:rPr>
      </w:pPr>
    </w:p>
    <w:p>
      <w:pPr>
        <w:ind w:left="28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by Jimmy C. Tallent, Chairman and Chief Executive Officer of United Community Banks, Inc., as adopted pursuant to Section</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302 of the Sarbanes-Oxley Act of 2002.</w:t>
      </w:r>
    </w:p>
    <w:p>
      <w:pPr>
        <w:spacing w:after="0" w:line="211" w:lineRule="exact"/>
        <w:rPr>
          <w:sz w:val="20"/>
          <w:szCs w:val="20"/>
          <w:color w:val="auto"/>
        </w:rPr>
      </w:pPr>
    </w:p>
    <w:p>
      <w:pPr>
        <w:ind w:left="1040" w:hanging="757"/>
        <w:spacing w:after="0" w:line="277" w:lineRule="auto"/>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by Rex S. Schuette, Executive Vice President and Chief Financial Officer of United Community Banks, Inc., as adopted pursuant to Section 302 of the Sarbanes-Oxley Act of 2002.</w:t>
      </w:r>
    </w:p>
    <w:p>
      <w:pPr>
        <w:spacing w:after="0" w:line="170" w:lineRule="exact"/>
        <w:rPr>
          <w:sz w:val="20"/>
          <w:szCs w:val="20"/>
          <w:color w:val="auto"/>
        </w:rPr>
      </w:pPr>
    </w:p>
    <w:p>
      <w:pPr>
        <w:ind w:left="5580" w:right="1620" w:hanging="5237"/>
        <w:spacing w:after="0" w:line="810" w:lineRule="auto"/>
        <w:tabs>
          <w:tab w:leader="none" w:pos="10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8640" w:type="dxa"/>
            <w:vAlign w:val="bottom"/>
          </w:tcPr>
          <w:p>
            <w:pPr>
              <w:jc w:val="right"/>
              <w:spacing w:after="0"/>
              <w:rPr>
                <w:sz w:val="20"/>
                <w:szCs w:val="20"/>
                <w:color w:val="auto"/>
              </w:rPr>
            </w:pPr>
            <w:r>
              <w:rPr>
                <w:rFonts w:ascii="Arial" w:cs="Arial" w:eastAsia="Arial" w:hAnsi="Arial"/>
                <w:sz w:val="18"/>
                <w:szCs w:val="18"/>
                <w:b w:val="1"/>
                <w:bCs w:val="1"/>
                <w:color w:val="auto"/>
              </w:rPr>
              <w:t>EXHIBIT 10.15</w:t>
            </w:r>
          </w:p>
        </w:tc>
      </w:tr>
      <w:tr>
        <w:trPr>
          <w:trHeight w:val="441"/>
        </w:trPr>
        <w:tc>
          <w:tcPr>
            <w:tcW w:w="2780" w:type="dxa"/>
            <w:vAlign w:val="bottom"/>
          </w:tcPr>
          <w:p>
            <w:pPr>
              <w:spacing w:after="0"/>
              <w:rPr>
                <w:sz w:val="24"/>
                <w:szCs w:val="24"/>
                <w:color w:val="auto"/>
              </w:rPr>
            </w:pPr>
          </w:p>
        </w:tc>
        <w:tc>
          <w:tcPr>
            <w:tcW w:w="8640" w:type="dxa"/>
            <w:vAlign w:val="bottom"/>
          </w:tcPr>
          <w:p>
            <w:pPr>
              <w:jc w:val="center"/>
              <w:ind w:right="2690"/>
              <w:spacing w:after="0"/>
              <w:rPr>
                <w:sz w:val="20"/>
                <w:szCs w:val="20"/>
                <w:color w:val="auto"/>
              </w:rPr>
            </w:pPr>
            <w:r>
              <w:rPr>
                <w:rFonts w:ascii="Arial" w:cs="Arial" w:eastAsia="Arial" w:hAnsi="Arial"/>
                <w:sz w:val="18"/>
                <w:szCs w:val="18"/>
                <w:b w:val="1"/>
                <w:bCs w:val="1"/>
                <w:color w:val="auto"/>
              </w:rPr>
              <w:t>UNITED COMMUNITY BANKS, INC.</w:t>
            </w:r>
          </w:p>
        </w:tc>
      </w:tr>
      <w:tr>
        <w:trPr>
          <w:trHeight w:val="216"/>
        </w:trPr>
        <w:tc>
          <w:tcPr>
            <w:tcW w:w="2780" w:type="dxa"/>
            <w:vAlign w:val="bottom"/>
          </w:tcPr>
          <w:p>
            <w:pPr>
              <w:spacing w:after="0"/>
              <w:rPr>
                <w:sz w:val="18"/>
                <w:szCs w:val="18"/>
                <w:color w:val="auto"/>
              </w:rPr>
            </w:pPr>
          </w:p>
        </w:tc>
        <w:tc>
          <w:tcPr>
            <w:tcW w:w="8640" w:type="dxa"/>
            <w:vAlign w:val="bottom"/>
          </w:tcPr>
          <w:p>
            <w:pPr>
              <w:jc w:val="center"/>
              <w:ind w:right="2670"/>
              <w:spacing w:after="0"/>
              <w:rPr>
                <w:sz w:val="20"/>
                <w:szCs w:val="20"/>
                <w:color w:val="auto"/>
              </w:rPr>
            </w:pPr>
            <w:r>
              <w:rPr>
                <w:rFonts w:ascii="Arial" w:cs="Arial" w:eastAsia="Arial" w:hAnsi="Arial"/>
                <w:sz w:val="18"/>
                <w:szCs w:val="18"/>
                <w:b w:val="1"/>
                <w:bCs w:val="1"/>
                <w:color w:val="auto"/>
                <w:w w:val="99"/>
              </w:rPr>
              <w:t>AMENDED AND RESTATED</w:t>
            </w:r>
          </w:p>
        </w:tc>
      </w:tr>
      <w:tr>
        <w:trPr>
          <w:trHeight w:val="234"/>
        </w:trPr>
        <w:tc>
          <w:tcPr>
            <w:tcW w:w="2780" w:type="dxa"/>
            <w:vAlign w:val="bottom"/>
          </w:tcPr>
          <w:p>
            <w:pPr>
              <w:spacing w:after="0"/>
              <w:rPr>
                <w:sz w:val="20"/>
                <w:szCs w:val="20"/>
                <w:color w:val="auto"/>
              </w:rPr>
            </w:pPr>
          </w:p>
        </w:tc>
        <w:tc>
          <w:tcPr>
            <w:tcW w:w="8640" w:type="dxa"/>
            <w:vAlign w:val="bottom"/>
          </w:tcPr>
          <w:p>
            <w:pPr>
              <w:jc w:val="center"/>
              <w:ind w:right="2670"/>
              <w:spacing w:after="0"/>
              <w:rPr>
                <w:sz w:val="20"/>
                <w:szCs w:val="20"/>
                <w:color w:val="auto"/>
              </w:rPr>
            </w:pPr>
            <w:r>
              <w:rPr>
                <w:rFonts w:ascii="Arial" w:cs="Arial" w:eastAsia="Arial" w:hAnsi="Arial"/>
                <w:sz w:val="18"/>
                <w:szCs w:val="18"/>
                <w:b w:val="1"/>
                <w:bCs w:val="1"/>
                <w:color w:val="auto"/>
              </w:rPr>
              <w:t>2000 KEY EMPLOYEE STOCK OPTION PLAN</w:t>
            </w:r>
          </w:p>
        </w:tc>
      </w:tr>
      <w:tr>
        <w:trPr>
          <w:trHeight w:val="441"/>
        </w:trPr>
        <w:tc>
          <w:tcPr>
            <w:tcW w:w="2780" w:type="dxa"/>
            <w:vAlign w:val="bottom"/>
          </w:tcPr>
          <w:p>
            <w:pPr>
              <w:spacing w:after="0"/>
              <w:rPr>
                <w:sz w:val="24"/>
                <w:szCs w:val="24"/>
                <w:color w:val="auto"/>
              </w:rPr>
            </w:pPr>
          </w:p>
        </w:tc>
        <w:tc>
          <w:tcPr>
            <w:tcW w:w="8640" w:type="dxa"/>
            <w:vAlign w:val="bottom"/>
          </w:tcPr>
          <w:p>
            <w:pPr>
              <w:jc w:val="center"/>
              <w:ind w:right="2670"/>
              <w:spacing w:after="0"/>
              <w:rPr>
                <w:sz w:val="20"/>
                <w:szCs w:val="20"/>
                <w:color w:val="auto"/>
              </w:rPr>
            </w:pPr>
            <w:r>
              <w:rPr>
                <w:rFonts w:ascii="Arial" w:cs="Arial" w:eastAsia="Arial" w:hAnsi="Arial"/>
                <w:sz w:val="18"/>
                <w:szCs w:val="18"/>
                <w:b w:val="1"/>
                <w:bCs w:val="1"/>
                <w:color w:val="auto"/>
              </w:rPr>
              <w:t>STOCK OPTION AWARD AGREEMENT</w:t>
            </w:r>
          </w:p>
        </w:tc>
      </w:tr>
      <w:tr>
        <w:trPr>
          <w:trHeight w:val="234"/>
        </w:trPr>
        <w:tc>
          <w:tcPr>
            <w:tcW w:w="2780" w:type="dxa"/>
            <w:vAlign w:val="bottom"/>
          </w:tcPr>
          <w:p>
            <w:pPr>
              <w:spacing w:after="0"/>
              <w:rPr>
                <w:sz w:val="20"/>
                <w:szCs w:val="20"/>
                <w:color w:val="auto"/>
              </w:rPr>
            </w:pPr>
          </w:p>
        </w:tc>
        <w:tc>
          <w:tcPr>
            <w:tcW w:w="8640" w:type="dxa"/>
            <w:vAlign w:val="bottom"/>
          </w:tcPr>
          <w:p>
            <w:pPr>
              <w:jc w:val="center"/>
              <w:ind w:right="2690"/>
              <w:spacing w:after="0"/>
              <w:rPr>
                <w:sz w:val="20"/>
                <w:szCs w:val="20"/>
                <w:color w:val="auto"/>
              </w:rPr>
            </w:pPr>
            <w:r>
              <w:rPr>
                <w:rFonts w:ascii="Arial" w:cs="Arial" w:eastAsia="Arial" w:hAnsi="Arial"/>
                <w:sz w:val="18"/>
                <w:szCs w:val="18"/>
                <w:b w:val="1"/>
                <w:bCs w:val="1"/>
                <w:color w:val="auto"/>
                <w:w w:val="90"/>
              </w:rPr>
              <w:t>(Incentive Stock Option – Key Employee)</w:t>
            </w:r>
          </w:p>
        </w:tc>
      </w:tr>
      <w:tr>
        <w:trPr>
          <w:trHeight w:val="45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8640" w:type="dxa"/>
            <w:vAlign w:val="bottom"/>
          </w:tcPr>
          <w:p>
            <w:pPr>
              <w:jc w:val="right"/>
              <w:spacing w:after="0"/>
              <w:rPr>
                <w:sz w:val="20"/>
                <w:szCs w:val="20"/>
                <w:color w:val="auto"/>
              </w:rPr>
            </w:pPr>
            <w:r>
              <w:rPr>
                <w:rFonts w:ascii="Arial" w:cs="Arial" w:eastAsia="Arial" w:hAnsi="Arial"/>
                <w:sz w:val="18"/>
                <w:szCs w:val="18"/>
                <w:color w:val="auto"/>
              </w:rPr>
              <w:t>___________________________________</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8640" w:type="dxa"/>
            <w:vAlign w:val="bottom"/>
          </w:tcPr>
          <w:p>
            <w:pPr>
              <w:jc w:val="right"/>
              <w:spacing w:after="0"/>
              <w:rPr>
                <w:sz w:val="20"/>
                <w:szCs w:val="20"/>
                <w:color w:val="auto"/>
              </w:rPr>
            </w:pPr>
            <w:r>
              <w:rPr>
                <w:rFonts w:ascii="Arial" w:cs="Arial" w:eastAsia="Arial" w:hAnsi="Arial"/>
                <w:sz w:val="18"/>
                <w:szCs w:val="18"/>
                <w:color w:val="auto"/>
              </w:rPr>
              <w:t>_____________________________ Shares</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Exercise Price:</w:t>
            </w:r>
          </w:p>
        </w:tc>
        <w:tc>
          <w:tcPr>
            <w:tcW w:w="8640" w:type="dxa"/>
            <w:vAlign w:val="bottom"/>
          </w:tcPr>
          <w:p>
            <w:pPr>
              <w:jc w:val="right"/>
              <w:spacing w:after="0"/>
              <w:rPr>
                <w:sz w:val="20"/>
                <w:szCs w:val="20"/>
                <w:color w:val="auto"/>
              </w:rPr>
            </w:pPr>
            <w:r>
              <w:rPr>
                <w:rFonts w:ascii="Arial" w:cs="Arial" w:eastAsia="Arial" w:hAnsi="Arial"/>
                <w:sz w:val="18"/>
                <w:szCs w:val="18"/>
                <w:color w:val="auto"/>
              </w:rPr>
              <w:t>$____________________ per Share</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8640" w:type="dxa"/>
            <w:vAlign w:val="bottom"/>
          </w:tcPr>
          <w:p>
            <w:pPr>
              <w:jc w:val="right"/>
              <w:spacing w:after="0"/>
              <w:rPr>
                <w:sz w:val="20"/>
                <w:szCs w:val="20"/>
                <w:color w:val="auto"/>
              </w:rPr>
            </w:pPr>
            <w:r>
              <w:rPr>
                <w:rFonts w:ascii="Arial" w:cs="Arial" w:eastAsia="Arial" w:hAnsi="Arial"/>
                <w:sz w:val="18"/>
                <w:szCs w:val="18"/>
                <w:color w:val="auto"/>
              </w:rPr>
              <w:t>__________________________________</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640" w:type="dxa"/>
            <w:vAlign w:val="bottom"/>
          </w:tcPr>
          <w:p>
            <w:pPr>
              <w:jc w:val="right"/>
              <w:spacing w:after="0"/>
              <w:rPr>
                <w:sz w:val="20"/>
                <w:szCs w:val="20"/>
                <w:color w:val="auto"/>
              </w:rPr>
            </w:pPr>
            <w:r>
              <w:rPr>
                <w:rFonts w:ascii="Arial" w:cs="Arial" w:eastAsia="Arial" w:hAnsi="Arial"/>
                <w:sz w:val="18"/>
                <w:szCs w:val="18"/>
                <w:color w:val="auto"/>
              </w:rPr>
              <w:t>Per attached Optionee Statement</w:t>
            </w:r>
          </w:p>
        </w:tc>
      </w:tr>
      <w:tr>
        <w:trPr>
          <w:trHeight w:val="230"/>
        </w:trPr>
        <w:tc>
          <w:tcPr>
            <w:tcW w:w="2780" w:type="dxa"/>
            <w:vAlign w:val="bottom"/>
          </w:tcPr>
          <w:p>
            <w:pPr>
              <w:spacing w:after="0"/>
              <w:rPr>
                <w:sz w:val="20"/>
                <w:szCs w:val="20"/>
                <w:color w:val="auto"/>
              </w:rPr>
            </w:pPr>
          </w:p>
        </w:tc>
        <w:tc>
          <w:tcPr>
            <w:tcW w:w="8640" w:type="dxa"/>
            <w:vAlign w:val="bottom"/>
          </w:tcPr>
          <w:p>
            <w:pPr>
              <w:jc w:val="right"/>
              <w:spacing w:after="0"/>
              <w:rPr>
                <w:sz w:val="20"/>
                <w:szCs w:val="20"/>
                <w:color w:val="auto"/>
              </w:rPr>
            </w:pPr>
            <w:r>
              <w:rPr>
                <w:rFonts w:ascii="Arial" w:cs="Arial" w:eastAsia="Arial" w:hAnsi="Arial"/>
                <w:sz w:val="18"/>
                <w:szCs w:val="18"/>
                <w:color w:val="auto"/>
              </w:rPr>
              <w:t>referred to herein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8640" w:type="dxa"/>
            <w:vAlign w:val="bottom"/>
          </w:tcPr>
          <w:p>
            <w:pPr>
              <w:jc w:val="right"/>
              <w:spacing w:after="0"/>
              <w:rPr>
                <w:sz w:val="20"/>
                <w:szCs w:val="20"/>
                <w:color w:val="auto"/>
              </w:rPr>
            </w:pPr>
            <w:r>
              <w:rPr>
                <w:rFonts w:ascii="Arial" w:cs="Arial" w:eastAsia="Arial" w:hAnsi="Arial"/>
                <w:sz w:val="18"/>
                <w:szCs w:val="18"/>
                <w:color w:val="auto"/>
              </w:rPr>
              <w:t>Any county and any contiguous county</w:t>
            </w:r>
          </w:p>
        </w:tc>
      </w:tr>
      <w:tr>
        <w:trPr>
          <w:trHeight w:val="216"/>
        </w:trPr>
        <w:tc>
          <w:tcPr>
            <w:tcW w:w="2780" w:type="dxa"/>
            <w:vAlign w:val="bottom"/>
          </w:tcPr>
          <w:p>
            <w:pPr>
              <w:spacing w:after="0"/>
              <w:rPr>
                <w:sz w:val="18"/>
                <w:szCs w:val="18"/>
                <w:color w:val="auto"/>
              </w:rPr>
            </w:pPr>
          </w:p>
        </w:tc>
        <w:tc>
          <w:tcPr>
            <w:tcW w:w="8640" w:type="dxa"/>
            <w:vAlign w:val="bottom"/>
          </w:tcPr>
          <w:p>
            <w:pPr>
              <w:jc w:val="right"/>
              <w:spacing w:after="0"/>
              <w:rPr>
                <w:sz w:val="20"/>
                <w:szCs w:val="20"/>
                <w:color w:val="auto"/>
              </w:rPr>
            </w:pPr>
            <w:r>
              <w:rPr>
                <w:rFonts w:ascii="Arial" w:cs="Arial" w:eastAsia="Arial" w:hAnsi="Arial"/>
                <w:sz w:val="18"/>
                <w:szCs w:val="18"/>
                <w:color w:val="auto"/>
              </w:rPr>
              <w:t>and any metropolitan statistical area in</w:t>
            </w:r>
          </w:p>
        </w:tc>
      </w:tr>
      <w:tr>
        <w:trPr>
          <w:trHeight w:val="216"/>
        </w:trPr>
        <w:tc>
          <w:tcPr>
            <w:tcW w:w="2780" w:type="dxa"/>
            <w:vAlign w:val="bottom"/>
          </w:tcPr>
          <w:p>
            <w:pPr>
              <w:spacing w:after="0"/>
              <w:rPr>
                <w:sz w:val="18"/>
                <w:szCs w:val="18"/>
                <w:color w:val="auto"/>
              </w:rPr>
            </w:pPr>
          </w:p>
        </w:tc>
        <w:tc>
          <w:tcPr>
            <w:tcW w:w="8640" w:type="dxa"/>
            <w:vAlign w:val="bottom"/>
          </w:tcPr>
          <w:p>
            <w:pPr>
              <w:jc w:val="right"/>
              <w:spacing w:after="0"/>
              <w:rPr>
                <w:sz w:val="20"/>
                <w:szCs w:val="20"/>
                <w:color w:val="auto"/>
              </w:rPr>
            </w:pPr>
            <w:r>
              <w:rPr>
                <w:rFonts w:ascii="Arial" w:cs="Arial" w:eastAsia="Arial" w:hAnsi="Arial"/>
                <w:sz w:val="18"/>
                <w:szCs w:val="18"/>
                <w:color w:val="auto"/>
              </w:rPr>
              <w:t>which any of the Company’s subsidiary</w:t>
            </w:r>
          </w:p>
        </w:tc>
      </w:tr>
      <w:tr>
        <w:trPr>
          <w:trHeight w:val="230"/>
        </w:trPr>
        <w:tc>
          <w:tcPr>
            <w:tcW w:w="2780" w:type="dxa"/>
            <w:vAlign w:val="bottom"/>
          </w:tcPr>
          <w:p>
            <w:pPr>
              <w:spacing w:after="0"/>
              <w:rPr>
                <w:sz w:val="20"/>
                <w:szCs w:val="20"/>
                <w:color w:val="auto"/>
              </w:rPr>
            </w:pPr>
          </w:p>
        </w:tc>
        <w:tc>
          <w:tcPr>
            <w:tcW w:w="8640" w:type="dxa"/>
            <w:vAlign w:val="bottom"/>
          </w:tcPr>
          <w:p>
            <w:pPr>
              <w:jc w:val="right"/>
              <w:spacing w:after="0"/>
              <w:rPr>
                <w:sz w:val="20"/>
                <w:szCs w:val="20"/>
                <w:color w:val="auto"/>
              </w:rPr>
            </w:pPr>
            <w:r>
              <w:rPr>
                <w:rFonts w:ascii="Arial" w:cs="Arial" w:eastAsia="Arial" w:hAnsi="Arial"/>
                <w:sz w:val="18"/>
                <w:szCs w:val="18"/>
                <w:color w:val="auto"/>
              </w:rPr>
              <w:t>banks has an office as of the date hereof.</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___</w:t>
      </w:r>
      <w:r>
        <w:rPr>
          <w:rFonts w:ascii="Arial" w:cs="Arial" w:eastAsia="Arial" w:hAnsi="Arial"/>
          <w:sz w:val="17"/>
          <w:szCs w:val="17"/>
          <w:b w:val="1"/>
          <w:bCs w:val="1"/>
          <w:color w:val="auto"/>
        </w:rPr>
        <w:t xml:space="preserve"> </w:t>
      </w:r>
      <w:r>
        <w:rPr>
          <w:rFonts w:ascii="Arial" w:cs="Arial" w:eastAsia="Arial" w:hAnsi="Arial"/>
          <w:sz w:val="17"/>
          <w:szCs w:val="17"/>
          <w:color w:val="auto"/>
        </w:rPr>
        <w:t>day of</w:t>
      </w:r>
      <w:r>
        <w:rPr>
          <w:rFonts w:ascii="Arial" w:cs="Arial" w:eastAsia="Arial" w:hAnsi="Arial"/>
          <w:sz w:val="17"/>
          <w:szCs w:val="17"/>
          <w:b w:val="1"/>
          <w:bCs w:val="1"/>
          <w:color w:val="auto"/>
        </w:rPr>
        <w:t xml:space="preserve"> ________________</w:t>
      </w:r>
      <w:r>
        <w:rPr>
          <w:rFonts w:ascii="Arial" w:cs="Arial" w:eastAsia="Arial" w:hAnsi="Arial"/>
          <w:sz w:val="17"/>
          <w:szCs w:val="17"/>
          <w:color w:val="auto"/>
        </w:rPr>
        <w:t>,</w:t>
      </w:r>
      <w:r>
        <w:rPr>
          <w:rFonts w:ascii="Arial" w:cs="Arial" w:eastAsia="Arial" w:hAnsi="Arial"/>
          <w:sz w:val="17"/>
          <w:szCs w:val="17"/>
          <w:b w:val="1"/>
          <w:bCs w:val="1"/>
          <w:color w:val="auto"/>
        </w:rPr>
        <w:t xml:space="preserve"> _______</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w:t>
      </w:r>
    </w:p>
    <w:p>
      <w:pPr>
        <w:spacing w:after="0" w:line="2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United Community Banks, Inc. Amended and Restated 2000 Key Employee Stock Option Plan (the “Plan”) was adopted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March 15,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Optionee performs valuable services for the Company or a Subsidiary; and</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or the committee responsible for the administration of the Plan has determined to grant the Option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as provided herein;</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the Option</w:t>
      </w:r>
      <w:r>
        <w:rPr>
          <w:rFonts w:ascii="Arial" w:cs="Arial" w:eastAsia="Arial" w:hAnsi="Arial"/>
          <w:sz w:val="18"/>
          <w:szCs w:val="18"/>
          <w:b w:val="1"/>
          <w:bCs w:val="1"/>
          <w:color w:val="auto"/>
        </w:rPr>
        <w:t>.</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shares of the Company’s Common Stock, par value $1.00 per share (the “Shares”), is hereby granted to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that the Optionee can purchase upon exercise of the Option is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29" w:name="page130"/>
    <w:bookmarkEnd w:id="129"/>
    <w:p>
      <w:pPr>
        <w:ind w:right="180"/>
        <w:spacing w:after="0" w:line="303"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u w:val="single" w:color="auto"/>
          <w:color w:val="auto"/>
        </w:rPr>
        <w:t>Option Exercise Price</w:t>
      </w:r>
      <w:r>
        <w:rPr>
          <w:rFonts w:ascii="Arial" w:cs="Arial" w:eastAsia="Arial" w:hAnsi="Arial"/>
          <w:sz w:val="16"/>
          <w:szCs w:val="16"/>
          <w:color w:val="auto"/>
        </w:rPr>
        <w:t>. The price the Optionee must pay to exercise the Option (the “</w:t>
      </w: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is set forth above.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per Share may not be less than one hundred percent (100%) of the Fair Market Value of a Share on the Date of Grant (one hundred and ten percent (110%) of the Fair Market Value of a Share if the Participant owns (within the meaning of Section 424(d) of the Code) stock of the Company or any Subsidiary possessing more than ten percent (10%) of the total combined voting power of all classes of stock of the Company or Subsidiary).</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that the Option is granted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is set forth above.</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u w:val="single" w:color="auto"/>
          <w:color w:val="auto"/>
        </w:rPr>
        <w:t>Type of Option</w:t>
      </w:r>
      <w:r>
        <w:rPr>
          <w:rFonts w:ascii="Arial" w:cs="Arial" w:eastAsia="Arial" w:hAnsi="Arial"/>
          <w:sz w:val="16"/>
          <w:szCs w:val="16"/>
          <w:color w:val="auto"/>
        </w:rPr>
        <w:t>. Subject to Section 6.1 of the Plan, the Option is intended to qualify as an Incentive Stock Option within the meaning of Section</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422 of the Code; provided, however, that nothing in this Agreement shall be interpreted as a representation, guarantee or other undertaking on the part of the Company that the Option is or will be determined to be an Incentive Stock Option within the meaning of Section 422 of the Code. To the extent this Option is not treated as an Incentive Stock Option, it will be treated as a Nonqualified Stock Option. If the Option (including all other Options under the Plan and all other incentive stock options of the Company or any Subsidiary) are first exercisable in any calendar year for Shares having an aggregate Fair Market Value (determined as of the Date of Grant) that exceeds one hundred thousand dollars ($100,000), the Option shall be treated as a Nonqualified Stock Option to the extent required by Section 422 of the Code with respect to such excess Shares.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construed in accordance and consistent with, and subject to, the provisions of the Plan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incorporated herein by reference) and, except as otherwise expressly set forth herein, the capitalized terms used in this Agreement shall have the same definitions as set forth in the Plan.</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Option is evidenced by this Agreement. If the Optionee does not execute this Agreement within thirty (30) days of</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the Agreement, the Committee may in its discretion cancel the Option and this Agreement.</w:t>
      </w:r>
    </w:p>
    <w:p>
      <w:pPr>
        <w:spacing w:after="0" w:line="189"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Option shall be exercisable to the extent and in the manner provided herein for a period of ten (10) years from the Date of Grant (five (5) years from the Date of Grant if the Participant owns (within the meaning of Section 424(d) of the Code) stock of the Company or any Subsidiary possessing more than ten percent (10%) of the total combined voting power of all classes of stock of the Company or Subsidiary) (the “</w:t>
      </w:r>
      <w:r>
        <w:rPr>
          <w:rFonts w:ascii="Arial" w:cs="Arial" w:eastAsia="Arial" w:hAnsi="Arial"/>
          <w:sz w:val="18"/>
          <w:szCs w:val="18"/>
          <w:b w:val="1"/>
          <w:bCs w:val="1"/>
          <w:i w:val="1"/>
          <w:iCs w:val="1"/>
          <w:color w:val="auto"/>
        </w:rPr>
        <w:t>Exercise Term</w:t>
      </w:r>
      <w:r>
        <w:rPr>
          <w:rFonts w:ascii="Arial" w:cs="Arial" w:eastAsia="Arial" w:hAnsi="Arial"/>
          <w:sz w:val="18"/>
          <w:szCs w:val="18"/>
          <w:color w:val="auto"/>
        </w:rPr>
        <w:t>”); provided, however, that the Exercise Term may end earlier as provided in Sections 5 and 13 hereof.</w:t>
      </w:r>
    </w:p>
    <w:p>
      <w:pPr>
        <w:spacing w:after="0" w:line="210"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Option shall vest and become exercisable in accordance with the vesting schedule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The Optionee may exercise the Option to the extent it is vested during the Exercise Term, subject to any limitations on exercise contained in Section 7 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0" w:name="page131"/>
    <w:bookmarkEnd w:id="130"/>
    <w:p>
      <w:pPr>
        <w:ind w:left="640" w:hanging="632"/>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 and Payment</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Delivery</w:t>
      </w:r>
      <w:r>
        <w:rPr>
          <w:rFonts w:ascii="Arial" w:cs="Arial" w:eastAsia="Arial" w:hAnsi="Arial"/>
          <w:sz w:val="16"/>
          <w:szCs w:val="16"/>
          <w:color w:val="auto"/>
        </w:rPr>
        <w:t>. To exercise the Option, the Optionee must deliver a completed copy of the Option Exercise Form,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herein by reference, to the address indicated on such Form or such other address designated by the Company from time to time. The Committee may establish a minimum number of Shares (e.g., 100) for which the Option may be exercised at a particular time. Contemporaneously with the delivery of the Option Exercise Form, the Optionee shall tender to the Company the aggregate Option Exercise Price for the Shares as to which the Optionee is exercising the Option by (i) cash, check, or wire transfer, (ii) delivering or properly attesting to ownership of Shares (that have been owned by the Optionee for such period as may be required by the Committee) with a Fair Market Value at the date of exercise equal to the aggregate Option Exercise Price for the Shares as to which the Optionee is exercising the Option, (iii) delivery of a proper notice electing a Net Exercise, (iv) a broker-assisted cashless exercise transaction through a brokerage firm designated by the Optionee, (v) such other method of payment as may be acceptable to the Committee pursuant to the Plan or (vi) any combination of the foregoing. The Company shall deliver to the Optionee certificates evidencing the Shares as to which the Option was exercised within thirty (30) days of the date on which the Optionee delivers the Option Exercise Form and makes payment of the aggregate Option Exercise Price to the Company or shall make such Shares available for electronic delivery in the U.S. to an account the Optionee designates in writing within three (3) business days after the date on which the Optionee delivers the Option Exercise Form and makes payment of the aggregate Option Exercise Price to the Company, and in either case such Shares shall be free and clear of all liens, security interests, pledges or other claims or charges, except those provided in this Agreement or the Plan, or any other agreement affecting the Shares. Notwithstanding the foregoing, if the Optionee is a non-exempt employee for purposes of the Fair Labor Standards Act of 1938, the Optionee may not exercise any Option prior to the date that is six (6) months after the Date of Grant unless the Optionee’s employment has terminated due to death, Disability, or Retirement after the Date of Grant.</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No Rights as Shareholder</w:t>
      </w:r>
      <w:r>
        <w:rPr>
          <w:rFonts w:ascii="Arial" w:cs="Arial" w:eastAsia="Arial" w:hAnsi="Arial"/>
          <w:sz w:val="16"/>
          <w:szCs w:val="16"/>
          <w:color w:val="auto"/>
        </w:rPr>
        <w:t>. The Optionee shall not be deemed to be the holder of, or to have any of the rights of a holder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Option until (i) the Option shall have been exercised pursuant to the terms of this Agreement and the Optionee shall have paid the full purchase price for the number of Shares in respect of which the Option was exercised, (ii) the Company shall have issued and delivered the Shares to the Optionee, and</w:t>
      </w:r>
    </w:p>
    <w:p>
      <w:pPr>
        <w:spacing w:after="0" w:line="2" w:lineRule="exact"/>
        <w:rPr>
          <w:sz w:val="20"/>
          <w:szCs w:val="20"/>
          <w:color w:val="auto"/>
        </w:rPr>
      </w:pPr>
    </w:p>
    <w:p>
      <w:pPr>
        <w:ind w:right="20" w:firstLine="8"/>
        <w:spacing w:after="0" w:line="261" w:lineRule="auto"/>
        <w:tabs>
          <w:tab w:leader="none" w:pos="31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Optionee’s name shall have been entered as a shareholder of record on the books of the Company, whereupon the Optionee shall have full voting and other ownership rights with respect to such Shares, subject to divestment pursuant to Section 13.</w:t>
      </w:r>
    </w:p>
    <w:p>
      <w:pPr>
        <w:spacing w:after="0" w:line="207"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Termination of Employment for Cause</w:t>
      </w:r>
      <w:r>
        <w:rPr>
          <w:rFonts w:ascii="Arial" w:cs="Arial" w:eastAsia="Arial" w:hAnsi="Arial"/>
          <w:sz w:val="18"/>
          <w:szCs w:val="18"/>
          <w:color w:val="auto"/>
        </w:rPr>
        <w:t>. If the Optionee’s employment is terminated by the Company for Cause, the outstanding Option shall expire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and the Optionee’s right to exercise the outstanding Option (whether vested or not vested) shall terminate immediately upon the date of the Optionee’s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1" w:name="page132"/>
    <w:bookmarkEnd w:id="131"/>
    <w:p>
      <w:pPr>
        <w:spacing w:after="0"/>
        <w:tabs>
          <w:tab w:leader="none" w:pos="7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6" w:lineRule="exact"/>
        <w:rPr>
          <w:sz w:val="20"/>
          <w:szCs w:val="20"/>
          <w:color w:val="auto"/>
        </w:rPr>
      </w:pPr>
    </w:p>
    <w:p>
      <w:pPr>
        <w:jc w:val="both"/>
        <w:ind w:firstLine="8"/>
        <w:spacing w:after="0" w:line="276" w:lineRule="auto"/>
        <w:tabs>
          <w:tab w:leader="none" w:pos="802"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the Optionee’s employment with the Company is terminated involuntarily by the Company without Cause or is terminated by the Optionee for Good Reason (as defined in subsection (2) below), the Option shall continue to vest in accordance with the original vesting schedule set forth in this Agreement (just as if the Optionee had remained employed) and shall remain exercisable at any time prior to the expiration of the term of the Option. In the event of the Optionee’s death after a termination covered by this subsection 5.2, the Option shall continue to vest and be exercisable in accordance with this subsection 5.2 as if the Optionee had lived and the Option shall be exercisable by the persons described in Section 5.3.</w:t>
      </w:r>
    </w:p>
    <w:p>
      <w:pPr>
        <w:spacing w:after="0" w:line="199" w:lineRule="exact"/>
        <w:rPr>
          <w:rFonts w:ascii="Arial" w:cs="Arial" w:eastAsia="Arial" w:hAnsi="Arial"/>
          <w:sz w:val="17"/>
          <w:szCs w:val="17"/>
          <w:color w:val="auto"/>
        </w:rPr>
      </w:pPr>
    </w:p>
    <w:p>
      <w:pPr>
        <w:jc w:val="both"/>
        <w:ind w:firstLine="8"/>
        <w:spacing w:after="0" w:line="286" w:lineRule="auto"/>
        <w:tabs>
          <w:tab w:leader="none" w:pos="772"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purposes of this Option, the Optionee shall be entitled to terminate his employment with the Company for Good Reason in the event, without the Optionee’s express written consent, of any one of the following acts by the Company, or failures by the Company to act, unless, in the case of any act or failure to act described in paragraphs (i), (iii), or (iv) below, such act or failure to act is corrected prior to the Optionee’s date of termination:</w:t>
      </w:r>
    </w:p>
    <w:p>
      <w:pPr>
        <w:spacing w:after="0" w:line="192" w:lineRule="exact"/>
        <w:rPr>
          <w:rFonts w:ascii="Arial" w:cs="Arial" w:eastAsia="Arial" w:hAnsi="Arial"/>
          <w:sz w:val="17"/>
          <w:szCs w:val="17"/>
          <w:color w:val="auto"/>
        </w:rPr>
      </w:pPr>
    </w:p>
    <w:p>
      <w:pPr>
        <w:ind w:left="2060" w:hanging="755"/>
        <w:spacing w:after="0"/>
        <w:tabs>
          <w:tab w:leader="none" w:pos="20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material reduction in the Optionee’s responsibilities at the Company; or</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required relocation of the Optionee’s employment to a location outside of the market area of the Company; or</w:t>
      </w:r>
    </w:p>
    <w:p>
      <w:pPr>
        <w:spacing w:after="0" w:line="252" w:lineRule="exact"/>
        <w:rPr>
          <w:rFonts w:ascii="Arial" w:cs="Arial" w:eastAsia="Arial" w:hAnsi="Arial"/>
          <w:sz w:val="18"/>
          <w:szCs w:val="18"/>
          <w:color w:val="auto"/>
        </w:rPr>
      </w:pPr>
    </w:p>
    <w:p>
      <w:pPr>
        <w:ind w:left="1300" w:right="20" w:firstLine="5"/>
        <w:spacing w:after="0" w:line="277" w:lineRule="auto"/>
        <w:tabs>
          <w:tab w:leader="none" w:pos="209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Optionee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left="1300" w:firstLine="5"/>
        <w:spacing w:after="0" w:line="259" w:lineRule="auto"/>
        <w:tabs>
          <w:tab w:leader="none" w:pos="2223"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substantial reduction in the Optionee’s base salary, a material reduction in his incentive compensation or the taking of any action by the Company which would, directly or indirectly, materially reduce any of the benefits provided to the Optionee under any of the Company’s pension, 401(k) deferred compensation, life insurance, medical, accident or disability plans in which the Optionee is participating.</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Optionee’s right to terminate employment for Good Reason shall not be affected by the Optionee’s incapacity due to physical or mental illness, except for a Disability as defined in the Plan. The Optionee’s continued employment shall not constitute consent to, or a waiver of rights with respect to, any act or failure to act constituting Good Reason hereunder.</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Termination of Employment Due to Death</w:t>
      </w:r>
      <w:r>
        <w:rPr>
          <w:rFonts w:ascii="Arial" w:cs="Arial" w:eastAsia="Arial" w:hAnsi="Arial"/>
          <w:sz w:val="18"/>
          <w:szCs w:val="18"/>
          <w:color w:val="auto"/>
        </w:rPr>
        <w:t>. If the Optionee dies while actively employed by the Company, the outstanding unvested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shall immediately vest, and thereafter the Option shall remain exercisable at any time prior to its expiration date or for one (1) year after the date of death, whichever period is shorter, (i) by such person(s) who have acquired the Optionee’s rights by will or the laws of descent and distribution, or (ii) if no such person in (i) exists, by the executor or representative of the Optionee’s estate.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Termination of Employment by Disability</w:t>
      </w:r>
      <w:r>
        <w:rPr>
          <w:rFonts w:ascii="Arial" w:cs="Arial" w:eastAsia="Arial" w:hAnsi="Arial"/>
          <w:sz w:val="18"/>
          <w:szCs w:val="18"/>
          <w:color w:val="auto"/>
        </w:rPr>
        <w:t>. In the event the employment of the Optionee with the Company is terminated by reason of Disability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Plan), the outstanding unvested portion of the Option shall expire as of the date the employment of the Optionee is terminated by reason of Disability, and the outstanding vested portion of the Option as of that date shall remain exercisable at any time prior to its expiration date, or for one (1) year after the termination of the Optionee’s employment by reason of Disability, whichever period is shorter.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2" w:name="page133"/>
    <w:bookmarkEnd w:id="132"/>
    <w:p>
      <w:pPr>
        <w:jc w:val="both"/>
        <w:spacing w:after="0" w:line="277"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Voluntary Termination of Employment or Retirement</w:t>
      </w:r>
      <w:r>
        <w:rPr>
          <w:rFonts w:ascii="Arial" w:cs="Arial" w:eastAsia="Arial" w:hAnsi="Arial"/>
          <w:sz w:val="17"/>
          <w:szCs w:val="17"/>
          <w:color w:val="auto"/>
        </w:rPr>
        <w:t>. If the Optionee voluntarily terminates his or her employment with the Company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Good Reason), including upon Retirement, the outstanding unvested portion of the Option shall expire as of the date of termination of employment, and the vested portion of the Option as of the date of termination of employment shall remain exercisable (i) if the Optionee is not eligible for Retirement as of the date of such termination, at any time prior to its expiration date or for three (3) months after the date of termination of employment, whichever period is shorter, or (ii) if the Optionee is eligible for Retirement as of the date of such termination, at any time prior to its expiration date.</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Section and Sections 8 and 13, employment with the Company includes employment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and service as a member of the Board of Directors of the Company or a Subsidiary. A change of employment between the Company and any Subsidiary or between Subsidiaries or a change in the nature of the Optionee’s service relationship with the Company and the Subsidiaries (e.g., from employee to Director or Director to employee) without any interruption in the Optionee’s provision of services is not a termination of employment under this Agreement.</w:t>
      </w:r>
    </w:p>
    <w:p>
      <w:pPr>
        <w:spacing w:after="0" w:line="211"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Option shall not be transferable other than by will or by the laws of descent and distribution, and, during the lifetime of the Optionee, the Option shall be exercisable only by the Optionee except as provided in Section 5.3.</w:t>
      </w:r>
    </w:p>
    <w:p>
      <w:pPr>
        <w:spacing w:after="0" w:line="193"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Laws Restrictions</w:t>
      </w:r>
      <w:r>
        <w:rPr>
          <w:rFonts w:ascii="Arial" w:cs="Arial" w:eastAsia="Arial" w:hAnsi="Arial"/>
          <w:sz w:val="18"/>
          <w:szCs w:val="18"/>
          <w:color w:val="auto"/>
        </w:rPr>
        <w: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Option may not be exercised at any time unless, in the opinion of counsel for the Company, the issuance and sale of the Shares issued upon such exercise is exempt from registration under the Securities Act of 1933, as amended, or any other applicable federal or state securities law, rule or regulation, or the Shares have been duly registered under such laws. The Company intends to register the Shares issuable upon the exercise of the Option; however, until the Shares have been registered under all applicable laws, the Optionee shall represent, warrant and agree, as a condition to the exercise of any Option, that the Shares are being purchased for investment only and without a view to any sale or distribution of such Shares and that such Shares shall not be transferred or disposed of in any manner without registration under such laws, unless it is the opinion of counsel for the Company that such a disposition is exempt from such registration. The Optionee acknowledges that an appropriate legend giving notice of the foregoing restrictions may appear conspicuously on all certificates evidencing the Shares issued upon the exercise of the Option.</w:t>
      </w:r>
    </w:p>
    <w:p>
      <w:pPr>
        <w:spacing w:after="0" w:line="202" w:lineRule="exact"/>
        <w:rPr>
          <w:sz w:val="20"/>
          <w:szCs w:val="20"/>
          <w:color w:val="auto"/>
        </w:rPr>
      </w:pPr>
    </w:p>
    <w:p>
      <w:pPr>
        <w:ind w:left="640" w:hanging="632"/>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Nothing in this Agreement or the Plan shall be interpreted or construed to confer upon the Optionee any right with respect to continuance of employment by the Company, nor shall this Agreement or the Plan interfere in any way with the right of the Company to terminate the Optionee’s employment at any time.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3" w:name="page134"/>
    <w:bookmarkEnd w:id="133"/>
    <w:p>
      <w:pPr>
        <w:ind w:left="640" w:hanging="632"/>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Company Transactions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In the event of a change in capitalization, the Committee shall make appropriate adjustments in accordance with the provisions of Section 4.3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adjustment shall be effective and final, binding and conclusive for all purposes of the Plan and this Agreement.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In the event of a proposed sale of all or substantially all of the assets or stock of the Company, the merger of the Company with or into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such that shareholders of the Company immediately prior to the merger exchange their Shares of stock in the Company for cash and/or shares of another entity or any other Change in Control or corporate transaction to which the Committee deems this provision applicable (any such event is referred to as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Committee may, in its discretion, without consent of the Optionee:</w:t>
      </w:r>
    </w:p>
    <w:p>
      <w:pPr>
        <w:spacing w:after="0" w:line="211" w:lineRule="exact"/>
        <w:rPr>
          <w:sz w:val="20"/>
          <w:szCs w:val="20"/>
          <w:color w:val="auto"/>
        </w:rPr>
      </w:pPr>
    </w:p>
    <w:p>
      <w:pPr>
        <w:jc w:val="both"/>
        <w:ind w:firstLine="1305"/>
        <w:spacing w:after="0" w:line="264" w:lineRule="auto"/>
        <w:tabs>
          <w:tab w:leader="none" w:pos="2307" w:val="left"/>
        </w:tabs>
        <w:numPr>
          <w:ilvl w:val="1"/>
          <w:numId w:val="81"/>
        </w:numPr>
        <w:rPr>
          <w:rFonts w:ascii="Arial" w:cs="Arial" w:eastAsia="Arial" w:hAnsi="Arial"/>
          <w:sz w:val="18"/>
          <w:szCs w:val="18"/>
          <w:color w:val="auto"/>
        </w:rPr>
      </w:pPr>
      <w:r>
        <w:rPr>
          <w:rFonts w:ascii="Arial" w:cs="Arial" w:eastAsia="Arial" w:hAnsi="Arial"/>
          <w:sz w:val="18"/>
          <w:szCs w:val="18"/>
          <w:color w:val="auto"/>
        </w:rPr>
        <w:t>cause the Option to be assumed, or arrange for the substitution, in exchange for the Option, of options to purchase equity securities other than Shares (including, if appropriate, equity securities of an entity other than the Company), on such terms and conditions as the Committee determines are appropriate;</w:t>
      </w:r>
    </w:p>
    <w:p>
      <w:pPr>
        <w:spacing w:after="0" w:line="208" w:lineRule="exact"/>
        <w:rPr>
          <w:rFonts w:ascii="Arial" w:cs="Arial" w:eastAsia="Arial" w:hAnsi="Arial"/>
          <w:sz w:val="18"/>
          <w:szCs w:val="18"/>
          <w:color w:val="auto"/>
        </w:rPr>
      </w:pPr>
    </w:p>
    <w:p>
      <w:pPr>
        <w:jc w:val="both"/>
        <w:ind w:firstLine="1305"/>
        <w:spacing w:after="0" w:line="264" w:lineRule="auto"/>
        <w:tabs>
          <w:tab w:leader="none" w:pos="2056" w:val="left"/>
        </w:tabs>
        <w:numPr>
          <w:ilvl w:val="1"/>
          <w:numId w:val="81"/>
        </w:numPr>
        <w:rPr>
          <w:rFonts w:ascii="Arial" w:cs="Arial" w:eastAsia="Arial" w:hAnsi="Arial"/>
          <w:sz w:val="18"/>
          <w:szCs w:val="18"/>
          <w:color w:val="auto"/>
        </w:rPr>
      </w:pPr>
      <w:r>
        <w:rPr>
          <w:rFonts w:ascii="Arial" w:cs="Arial" w:eastAsia="Arial" w:hAnsi="Arial"/>
          <w:sz w:val="18"/>
          <w:szCs w:val="18"/>
          <w:color w:val="auto"/>
        </w:rPr>
        <w:t>accelerate the vesting of or right to exercise the Option, in whole or in part, immediately prior to or in connection with the closing or completion of any such Transaction, and cause the expiration of the Option to the extent not vested, or not timely exercised or purchased by the date of the closing or completion of any such Transaction or other date thereafter designated by the Committee; or</w:t>
      </w:r>
    </w:p>
    <w:p>
      <w:pPr>
        <w:spacing w:after="0" w:line="208" w:lineRule="exact"/>
        <w:rPr>
          <w:rFonts w:ascii="Arial" w:cs="Arial" w:eastAsia="Arial" w:hAnsi="Arial"/>
          <w:sz w:val="18"/>
          <w:szCs w:val="18"/>
          <w:color w:val="auto"/>
        </w:rPr>
      </w:pPr>
    </w:p>
    <w:p>
      <w:pPr>
        <w:jc w:val="both"/>
        <w:ind w:firstLine="1305"/>
        <w:spacing w:after="0" w:line="286" w:lineRule="auto"/>
        <w:tabs>
          <w:tab w:leader="none" w:pos="2107" w:val="left"/>
        </w:tabs>
        <w:numPr>
          <w:ilvl w:val="1"/>
          <w:numId w:val="81"/>
        </w:numPr>
        <w:rPr>
          <w:rFonts w:ascii="Arial" w:cs="Arial" w:eastAsia="Arial" w:hAnsi="Arial"/>
          <w:sz w:val="17"/>
          <w:szCs w:val="17"/>
          <w:color w:val="auto"/>
        </w:rPr>
      </w:pPr>
      <w:r>
        <w:rPr>
          <w:rFonts w:ascii="Arial" w:cs="Arial" w:eastAsia="Arial" w:hAnsi="Arial"/>
          <w:sz w:val="17"/>
          <w:szCs w:val="17"/>
          <w:color w:val="auto"/>
        </w:rPr>
        <w:t>cancel or arrange for the cancellation of all or any portion of the Option in exchange for a cash payment of the excess, if any, of the Fair Market Value of the Shares or portion thereof being canceled over the purchase price with respect to the Option or portion thereof being canceled (an Option whose purchase price equals or exceeds the Fair Market Value of the Shares may be canceled without any payment therefor).</w:t>
      </w:r>
    </w:p>
    <w:p>
      <w:pPr>
        <w:spacing w:after="0" w:line="188" w:lineRule="exact"/>
        <w:rPr>
          <w:rFonts w:ascii="Arial" w:cs="Arial" w:eastAsia="Arial" w:hAnsi="Arial"/>
          <w:sz w:val="17"/>
          <w:szCs w:val="17"/>
          <w:color w:val="auto"/>
        </w:rPr>
      </w:pPr>
    </w:p>
    <w:p>
      <w:pPr>
        <w:ind w:left="720" w:hanging="712"/>
        <w:spacing w:after="0"/>
        <w:tabs>
          <w:tab w:leader="none" w:pos="7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Prior to the issuance of Shares to the Optionee upon exercise of the Option, the Optionee shall pay the federal, state, and local income taxes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amounts as may be required by law to be withheld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(if any) to the Company in cash or by check or wire transfer. In satisfaction of the Withholding Taxes, the Optionee may make a written election (the “Tax Election”) to satisfy such withholding obligation by a broker-assisted cashless exercise transaction through a brokerage firm designated by the Optionee, by delivering Shares (that have been owned by the Optionee for such period as may be required by the Committee) or by having the Company retain from the Shares to be delivered a number of Shares having an aggregate Fair Market Value equal to the Withholding Taxes, provided that, if the Optionee may be subject to liability under Section 16(b) of the Exchange Act, the election must comply with the requirements applicable to Share transactions by the Optionee, and Shares may only be used to pay the minimum required withholdings. The Company shall have the right to deduct from any amounts payable to the Optionee for salary, bonuses or otherwise an amount equal to Withholding Taxes with respect to the Option.</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If the Optionee makes a disposition, within the meaning of Section 424(c) of the Code and regulations promulgated thereunder, of any Share 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issued to him pursuant to his exercise of the Option within the two-year period commencing on the day after the Date of Grant or within the one-year period commencing on the day after the date of transfer of such Share or Shares to the Optionee pursuant to such exercise, the Optionee shall, within ten (10) days of such disposition, notify the Company thereof, by delivery of written notice to the Company at its principal executive office, and immediately deliver to the Company the amount of Withholding Taxes (if 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4" w:name="page135"/>
    <w:bookmarkEnd w:id="134"/>
    <w:p>
      <w:pPr>
        <w:ind w:left="720" w:hanging="712"/>
        <w:spacing w:after="0"/>
        <w:tabs>
          <w:tab w:leader="none" w:pos="7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 Bound by the Plan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Optionee hereby acknowledges receipt of a copy of the Plan and agrees to be bound by all the terms and provisions thereof.</w:t>
      </w:r>
    </w:p>
    <w:p>
      <w:pPr>
        <w:spacing w:after="0" w:line="248" w:lineRule="exact"/>
        <w:rPr>
          <w:sz w:val="20"/>
          <w:szCs w:val="20"/>
          <w:color w:val="auto"/>
        </w:rPr>
      </w:pPr>
    </w:p>
    <w:p>
      <w:pPr>
        <w:ind w:left="720" w:hanging="712"/>
        <w:spacing w:after="0"/>
        <w:tabs>
          <w:tab w:leader="none" w:pos="7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Agreement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expressly otherwise provided herein, this Agreement may not be modified, amended, suspended or terminated, and any terms or conditions may not be waived, except by a written instrument executed by the parties hereto.</w:t>
      </w:r>
    </w:p>
    <w:p>
      <w:pPr>
        <w:spacing w:after="0" w:line="193" w:lineRule="exact"/>
        <w:rPr>
          <w:sz w:val="20"/>
          <w:szCs w:val="20"/>
          <w:color w:val="auto"/>
        </w:rPr>
      </w:pPr>
    </w:p>
    <w:p>
      <w:pPr>
        <w:ind w:left="720" w:hanging="712"/>
        <w:spacing w:after="0"/>
        <w:tabs>
          <w:tab w:leader="none" w:pos="7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and Rescission of Awards; Return of Profits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If, during his employment with the Company or at any time during the one (1) year period after the Date of Termination,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violates the restrictive covenants set forth in Section 13.2 below, then the Committee shall, notwithstanding any other provision in this Agreement to the contrary, (i) cancel any outstanding portion of the Option (whether or not vested), and (ii) repurchase any Shares issued to the Optionee pursuant to exercise of the Option during the period six (6) months prior to and one (1) year after the Date of Termination at a per Share repurchase price equal to the Option Exercise Price, and require the Optionee to pay to the Company any gain realized by Optionee from the sale of Shares issued to the Optionee pursuant to exercise of the Option during such period.</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The Optionee will not directly or indirectly, individually, or on behalf of any Person other than the Company or a Subsidiary:</w:t>
      </w:r>
    </w:p>
    <w:p>
      <w:pPr>
        <w:spacing w:after="0" w:line="256" w:lineRule="exact"/>
        <w:rPr>
          <w:sz w:val="20"/>
          <w:szCs w:val="20"/>
          <w:color w:val="auto"/>
        </w:rPr>
      </w:pPr>
    </w:p>
    <w:p>
      <w:pPr>
        <w:ind w:left="760" w:hanging="752"/>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solicit any Customers for the purpose of providing services identical to or reasonably substitutable for the Company’s Business;</w:t>
      </w:r>
    </w:p>
    <w:p>
      <w:pPr>
        <w:spacing w:after="0" w:line="252" w:lineRule="exact"/>
        <w:rPr>
          <w:rFonts w:ascii="Arial" w:cs="Arial" w:eastAsia="Arial" w:hAnsi="Arial"/>
          <w:sz w:val="18"/>
          <w:szCs w:val="18"/>
          <w:color w:val="auto"/>
        </w:rPr>
      </w:pPr>
    </w:p>
    <w:p>
      <w:pPr>
        <w:ind w:firstLine="8"/>
        <w:spacing w:after="0" w:line="277" w:lineRule="auto"/>
        <w:tabs>
          <w:tab w:leader="none" w:pos="8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97" w:lineRule="exact"/>
        <w:rPr>
          <w:rFonts w:ascii="Arial" w:cs="Arial" w:eastAsia="Arial" w:hAnsi="Arial"/>
          <w:sz w:val="18"/>
          <w:szCs w:val="18"/>
          <w:color w:val="auto"/>
        </w:rPr>
      </w:pPr>
    </w:p>
    <w:p>
      <w:pPr>
        <w:ind w:left="780" w:hanging="772"/>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firstLine="8"/>
        <w:spacing w:after="0" w:line="264" w:lineRule="auto"/>
        <w:tabs>
          <w:tab w:leader="none" w:pos="734" w:val="left"/>
        </w:tabs>
        <w:numPr>
          <w:ilvl w:val="0"/>
          <w:numId w:val="86"/>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5" w:name="page136"/>
    <w:bookmarkEnd w:id="135"/>
    <w:p>
      <w:pPr>
        <w:jc w:val="both"/>
        <w:spacing w:after="0" w:line="257" w:lineRule="auto"/>
        <w:rPr>
          <w:sz w:val="20"/>
          <w:szCs w:val="20"/>
          <w:color w:val="auto"/>
        </w:rPr>
      </w:pPr>
      <w:r>
        <w:rPr>
          <w:rFonts w:ascii="Arial" w:cs="Arial" w:eastAsia="Arial" w:hAnsi="Arial"/>
          <w:sz w:val="18"/>
          <w:szCs w:val="18"/>
          <w:color w:val="auto"/>
        </w:rPr>
        <w:t>The Optionee further agrees that he or she will not, except as necessary to carry out his duties as an employee of the Company, disclose or use Confidential Information. The Optionee further agrees that, upon termination or expiration of employment with the Company for any reason whatsoever or at any time, the Optionee will upon request by the Company deliver promptly to the Company all materials (including electronically-stored materials), documents, plans, records, notes, or other papers, and any copies in the Optionee’s possession or control, relating in any way to the Company’s Business, which at all times shall be the property of the Company.</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For purposes of this Section 13, the following terms shall have the meanings specified below:</w:t>
      </w:r>
    </w:p>
    <w:p>
      <w:pPr>
        <w:spacing w:after="0" w:line="256" w:lineRule="exact"/>
        <w:rPr>
          <w:sz w:val="20"/>
          <w:szCs w:val="20"/>
          <w:color w:val="auto"/>
        </w:rPr>
      </w:pPr>
    </w:p>
    <w:p>
      <w:pPr>
        <w:ind w:right="60" w:firstLine="8"/>
        <w:spacing w:after="0" w:line="277" w:lineRule="auto"/>
        <w:tabs>
          <w:tab w:leader="none" w:pos="7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firstLine="8"/>
        <w:spacing w:after="0" w:line="254" w:lineRule="auto"/>
        <w:tabs>
          <w:tab w:leader="none" w:pos="917"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information, without regard to form, relating to the Company’s or any Subsidiary’s customers,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219" w:lineRule="exact"/>
        <w:rPr>
          <w:rFonts w:ascii="Arial" w:cs="Arial" w:eastAsia="Arial" w:hAnsi="Arial"/>
          <w:sz w:val="18"/>
          <w:szCs w:val="18"/>
          <w:color w:val="auto"/>
        </w:rPr>
      </w:pPr>
    </w:p>
    <w:p>
      <w:pPr>
        <w:jc w:val="both"/>
        <w:ind w:firstLine="8"/>
        <w:spacing w:after="0" w:line="264" w:lineRule="auto"/>
        <w:tabs>
          <w:tab w:leader="none" w:pos="846"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Persons that (1) the Optionee serviced or solicited on behalf of the Company or any Subsidiary, (2) whose dealings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any Subsidiary were coordinated or supervised, in whole or in part, by the Optionee, or (3) about whom the Optionee obtained Confidential Information, in each case during the term of this Agreement or while otherwise employed by the Company.</w:t>
      </w:r>
    </w:p>
    <w:p>
      <w:pPr>
        <w:spacing w:after="0" w:line="208" w:lineRule="exact"/>
        <w:rPr>
          <w:rFonts w:ascii="Arial" w:cs="Arial" w:eastAsia="Arial" w:hAnsi="Arial"/>
          <w:sz w:val="18"/>
          <w:szCs w:val="18"/>
          <w:color w:val="auto"/>
        </w:rPr>
      </w:pPr>
    </w:p>
    <w:p>
      <w:pPr>
        <w:ind w:left="760" w:hanging="752"/>
        <w:spacing w:after="0"/>
        <w:tabs>
          <w:tab w:leader="none" w:pos="7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Date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date upon which the Optionee’s employment with the Company ceases for any reason.</w:t>
      </w:r>
    </w:p>
    <w:p>
      <w:pPr>
        <w:spacing w:after="0" w:line="252" w:lineRule="exact"/>
        <w:rPr>
          <w:rFonts w:ascii="Arial" w:cs="Arial" w:eastAsia="Arial" w:hAnsi="Arial"/>
          <w:sz w:val="18"/>
          <w:szCs w:val="18"/>
          <w:color w:val="auto"/>
        </w:rPr>
      </w:pPr>
    </w:p>
    <w:p>
      <w:pPr>
        <w:ind w:firstLine="8"/>
        <w:spacing w:after="0" w:line="277" w:lineRule="auto"/>
        <w:tabs>
          <w:tab w:leader="none" w:pos="772"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individual, corporation, bank, partnership, joint venture, association, joint-stock company, trust,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entity.</w:t>
      </w:r>
    </w:p>
    <w:p>
      <w:pPr>
        <w:spacing w:after="0" w:line="197" w:lineRule="exact"/>
        <w:rPr>
          <w:rFonts w:ascii="Arial" w:cs="Arial" w:eastAsia="Arial" w:hAnsi="Arial"/>
          <w:sz w:val="18"/>
          <w:szCs w:val="18"/>
          <w:color w:val="auto"/>
        </w:rPr>
      </w:pPr>
    </w:p>
    <w:p>
      <w:pPr>
        <w:ind w:firstLine="8"/>
        <w:spacing w:after="0" w:line="277" w:lineRule="auto"/>
        <w:tabs>
          <w:tab w:leader="none" w:pos="8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93" w:lineRule="exact"/>
        <w:rPr>
          <w:sz w:val="20"/>
          <w:szCs w:val="20"/>
          <w:color w:val="auto"/>
        </w:rPr>
      </w:pPr>
    </w:p>
    <w:p>
      <w:pPr>
        <w:ind w:left="720" w:hanging="712"/>
        <w:spacing w:after="0"/>
        <w:tabs>
          <w:tab w:leader="none" w:pos="7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Scope of Restrictions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639"/>
        <w:spacing w:after="0" w:line="257" w:lineRule="auto"/>
        <w:rPr>
          <w:sz w:val="20"/>
          <w:szCs w:val="20"/>
          <w:color w:val="auto"/>
        </w:rPr>
      </w:pPr>
      <w:r>
        <w:rPr>
          <w:rFonts w:ascii="Arial" w:cs="Arial" w:eastAsia="Arial" w:hAnsi="Arial"/>
          <w:sz w:val="18"/>
          <w:szCs w:val="18"/>
          <w:color w:val="auto"/>
        </w:rPr>
        <w:t>Should any provision of this Agreement, including Section 13, be held by a court of competent jurisdiction to be unenforceable or invalid for any reason, the remaining provisions of this Agreement shall not be affected by such holding and shall continue in full force in accordance with their terms. If any court of competent jurisdiction shall determine that the restrictions set forth in any provision of Section 13 are overbroad or unreasonable as applied to Optionee, the parties hereto acknowledge their mutual intention and agreement that those restrictions be enforced to the fullest extent the court deems reasonable, and the Agreement shall be modified to that extent.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36" w:name="page137"/>
    <w:bookmarkEnd w:id="136"/>
    <w:p>
      <w:pPr>
        <w:ind w:left="720" w:hanging="712"/>
        <w:spacing w:after="0"/>
        <w:tabs>
          <w:tab w:leader="none" w:pos="7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United States and the laws of the State of Georgia without giving effect to the conflicts of laws principles thereof.</w:t>
      </w:r>
    </w:p>
    <w:p>
      <w:pPr>
        <w:spacing w:after="0" w:line="193" w:lineRule="exact"/>
        <w:rPr>
          <w:sz w:val="20"/>
          <w:szCs w:val="20"/>
          <w:color w:val="auto"/>
        </w:rPr>
      </w:pPr>
    </w:p>
    <w:p>
      <w:pPr>
        <w:ind w:left="720" w:hanging="712"/>
        <w:spacing w:after="0"/>
        <w:tabs>
          <w:tab w:leader="none" w:pos="7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in Interest</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shall be binding upon, and inure to the benefit of, the Company and its successors and assigns, and, subject to Section 9.2, upon any person acquiring, whether by merger, consolidation, reorganization, purchase of stock or assets, or otherwise, all or substantially all of the Company’s assets and business. This Agreement shall inure to the benefit of the Optionee’s heirs and legal representatives. All obligations imposed upon the Optionee and all rights granted to the Company under this Agreement shall be final, binding and conclusive upon the Optionee’s heirs, executors, administrators and successors.</w:t>
      </w:r>
    </w:p>
    <w:p>
      <w:pPr>
        <w:spacing w:after="0" w:line="211" w:lineRule="exact"/>
        <w:rPr>
          <w:sz w:val="20"/>
          <w:szCs w:val="20"/>
          <w:color w:val="auto"/>
        </w:rPr>
      </w:pPr>
    </w:p>
    <w:p>
      <w:pPr>
        <w:ind w:left="720" w:hanging="712"/>
        <w:spacing w:after="0"/>
        <w:tabs>
          <w:tab w:leader="none" w:pos="7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3" w:lineRule="exact"/>
        <w:rPr>
          <w:sz w:val="20"/>
          <w:szCs w:val="20"/>
          <w:color w:val="auto"/>
        </w:rPr>
      </w:pPr>
    </w:p>
    <w:p>
      <w:pPr>
        <w:ind w:left="720" w:hanging="712"/>
        <w:spacing w:after="0"/>
        <w:tabs>
          <w:tab w:leader="none" w:pos="7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Resolution of Disputes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Any dispute or disagreement which may arise under, or as a result of, or in any way relate to, the interpretation, construction or application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Plan shall be determined by the Committee. Any determination made by the Committee shall be final, binding and conclusive on the Optionee and the Company and their successors, assigns, heirs, executors, administrators and legal representatives for all purposes.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To the extent permitted by applicable law, any dispute, disagreement or claim which may arise under, or as a result of, or in any way relate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18.3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7" w:name="page138"/>
    <w:bookmarkEnd w:id="137"/>
    <w:p>
      <w:pPr>
        <w:ind w:left="720" w:hanging="712"/>
        <w:spacing w:after="0"/>
        <w:tabs>
          <w:tab w:leader="none" w:pos="7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Construction</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legal construction and interpretation of this Agreement (including, but not limited to, issues of gender, plural or singular, governing law and severability) shall be governed by the provisions of Article 19 of the Plan.</w:t>
      </w:r>
    </w:p>
    <w:p>
      <w:pPr>
        <w:spacing w:after="0" w:line="193" w:lineRule="exact"/>
        <w:rPr>
          <w:sz w:val="20"/>
          <w:szCs w:val="20"/>
          <w:color w:val="auto"/>
        </w:rPr>
      </w:pPr>
    </w:p>
    <w:p>
      <w:pPr>
        <w:ind w:left="720" w:hanging="712"/>
        <w:spacing w:after="0"/>
        <w:tabs>
          <w:tab w:leader="none" w:pos="7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Option is intended to be exempt from the requirements of Section 409A of the Internal Revenue Code of 1986, as amended and the standards, regulations or other guidance promulgated hereunder (“Section 409A”). Any action that may be taken (and, to the extent possible, any action actually taken) by the Company shall not be taken (or shall be void and without effect), if such action results in the Option becoming subject to and violating the requirements of Section 409A. Any provision in this Agreement that is determined to result in the Option becoming subject to and violating the requirements of Section 409A shall be void and without effect. In addition, any provision that is required to appear in this Agreement to conform the Option’s exemption from Section 409A that is not expressly set forth herein shall be deemed to be set forth herein, and the Agreement shall be administered in all respects as if such provision were expressly set forth.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PAGE FOLLOWS]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6350</wp:posOffset>
            </wp:positionV>
            <wp:extent cx="28384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14605</wp:posOffset>
            </wp:positionV>
            <wp:extent cx="28384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signing below, the Optionee hereby accepts the Option subject to all its terms and provisions and agrees to be bound by the terms and provisions of this Agreement and the Plan. The Optionee hereby agrees to accept as binding, conclusive and final all decisions or interpretations of the Board of Directors of the Company, or the Compensation Committee or other Committee responsible for the administration of the Plan, upon any questions arising under the Plan. The Optionee authorizes the Company to withhold, in accordance with applicable law, from any compensation payable to him or her, any taxes required to be withheld by federal, state, local or foreign law as a result of the grant, existence or exercise of the Option, or subsequent sale of the Shares.</w:t>
      </w:r>
    </w:p>
    <w:p>
      <w:pPr>
        <w:spacing w:after="0" w:line="154"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OPTIONEE</w:t>
      </w:r>
    </w:p>
    <w:p>
      <w:pPr>
        <w:spacing w:after="0" w:line="22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6350</wp:posOffset>
            </wp:positionV>
            <wp:extent cx="28384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FOLLOW]</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8640" w:type="dxa"/>
            <w:vAlign w:val="bottom"/>
          </w:tcPr>
          <w:p>
            <w:pPr>
              <w:jc w:val="right"/>
              <w:spacing w:after="0"/>
              <w:rPr>
                <w:sz w:val="20"/>
                <w:szCs w:val="20"/>
                <w:color w:val="auto"/>
              </w:rPr>
            </w:pPr>
            <w:r>
              <w:rPr>
                <w:rFonts w:ascii="Arial" w:cs="Arial" w:eastAsia="Arial" w:hAnsi="Arial"/>
                <w:sz w:val="18"/>
                <w:szCs w:val="18"/>
                <w:b w:val="1"/>
                <w:bCs w:val="1"/>
                <w:color w:val="auto"/>
              </w:rPr>
              <w:t>EXHIBIT 10.16</w:t>
            </w:r>
          </w:p>
        </w:tc>
      </w:tr>
      <w:tr>
        <w:trPr>
          <w:trHeight w:val="441"/>
        </w:trPr>
        <w:tc>
          <w:tcPr>
            <w:tcW w:w="2780" w:type="dxa"/>
            <w:vAlign w:val="bottom"/>
          </w:tcPr>
          <w:p>
            <w:pPr>
              <w:spacing w:after="0"/>
              <w:rPr>
                <w:sz w:val="24"/>
                <w:szCs w:val="24"/>
                <w:color w:val="auto"/>
              </w:rPr>
            </w:pPr>
          </w:p>
        </w:tc>
        <w:tc>
          <w:tcPr>
            <w:tcW w:w="8640" w:type="dxa"/>
            <w:vAlign w:val="bottom"/>
          </w:tcPr>
          <w:p>
            <w:pPr>
              <w:jc w:val="center"/>
              <w:ind w:right="2690"/>
              <w:spacing w:after="0"/>
              <w:rPr>
                <w:sz w:val="20"/>
                <w:szCs w:val="20"/>
                <w:color w:val="auto"/>
              </w:rPr>
            </w:pPr>
            <w:r>
              <w:rPr>
                <w:rFonts w:ascii="Arial" w:cs="Arial" w:eastAsia="Arial" w:hAnsi="Arial"/>
                <w:sz w:val="18"/>
                <w:szCs w:val="18"/>
                <w:b w:val="1"/>
                <w:bCs w:val="1"/>
                <w:color w:val="auto"/>
              </w:rPr>
              <w:t>UNITED COMMUNITY BANKS, INC.</w:t>
            </w:r>
          </w:p>
        </w:tc>
      </w:tr>
      <w:tr>
        <w:trPr>
          <w:trHeight w:val="216"/>
        </w:trPr>
        <w:tc>
          <w:tcPr>
            <w:tcW w:w="2780" w:type="dxa"/>
            <w:vAlign w:val="bottom"/>
          </w:tcPr>
          <w:p>
            <w:pPr>
              <w:spacing w:after="0"/>
              <w:rPr>
                <w:sz w:val="18"/>
                <w:szCs w:val="18"/>
                <w:color w:val="auto"/>
              </w:rPr>
            </w:pPr>
          </w:p>
        </w:tc>
        <w:tc>
          <w:tcPr>
            <w:tcW w:w="8640" w:type="dxa"/>
            <w:vAlign w:val="bottom"/>
          </w:tcPr>
          <w:p>
            <w:pPr>
              <w:jc w:val="center"/>
              <w:ind w:right="2670"/>
              <w:spacing w:after="0"/>
              <w:rPr>
                <w:sz w:val="20"/>
                <w:szCs w:val="20"/>
                <w:color w:val="auto"/>
              </w:rPr>
            </w:pPr>
            <w:r>
              <w:rPr>
                <w:rFonts w:ascii="Arial" w:cs="Arial" w:eastAsia="Arial" w:hAnsi="Arial"/>
                <w:sz w:val="18"/>
                <w:szCs w:val="18"/>
                <w:b w:val="1"/>
                <w:bCs w:val="1"/>
                <w:color w:val="auto"/>
                <w:w w:val="99"/>
              </w:rPr>
              <w:t>AMENDED AND RESTATED</w:t>
            </w:r>
          </w:p>
        </w:tc>
      </w:tr>
      <w:tr>
        <w:trPr>
          <w:trHeight w:val="234"/>
        </w:trPr>
        <w:tc>
          <w:tcPr>
            <w:tcW w:w="2780" w:type="dxa"/>
            <w:vAlign w:val="bottom"/>
          </w:tcPr>
          <w:p>
            <w:pPr>
              <w:spacing w:after="0"/>
              <w:rPr>
                <w:sz w:val="20"/>
                <w:szCs w:val="20"/>
                <w:color w:val="auto"/>
              </w:rPr>
            </w:pPr>
          </w:p>
        </w:tc>
        <w:tc>
          <w:tcPr>
            <w:tcW w:w="8640" w:type="dxa"/>
            <w:vAlign w:val="bottom"/>
          </w:tcPr>
          <w:p>
            <w:pPr>
              <w:jc w:val="center"/>
              <w:ind w:right="2670"/>
              <w:spacing w:after="0"/>
              <w:rPr>
                <w:sz w:val="20"/>
                <w:szCs w:val="20"/>
                <w:color w:val="auto"/>
              </w:rPr>
            </w:pPr>
            <w:r>
              <w:rPr>
                <w:rFonts w:ascii="Arial" w:cs="Arial" w:eastAsia="Arial" w:hAnsi="Arial"/>
                <w:sz w:val="18"/>
                <w:szCs w:val="18"/>
                <w:b w:val="1"/>
                <w:bCs w:val="1"/>
                <w:color w:val="auto"/>
              </w:rPr>
              <w:t>2000 KEY EMPLOYEE STOCK OPTION PLAN</w:t>
            </w:r>
          </w:p>
        </w:tc>
      </w:tr>
      <w:tr>
        <w:trPr>
          <w:trHeight w:val="441"/>
        </w:trPr>
        <w:tc>
          <w:tcPr>
            <w:tcW w:w="2780" w:type="dxa"/>
            <w:vAlign w:val="bottom"/>
          </w:tcPr>
          <w:p>
            <w:pPr>
              <w:spacing w:after="0"/>
              <w:rPr>
                <w:sz w:val="24"/>
                <w:szCs w:val="24"/>
                <w:color w:val="auto"/>
              </w:rPr>
            </w:pPr>
          </w:p>
        </w:tc>
        <w:tc>
          <w:tcPr>
            <w:tcW w:w="8640" w:type="dxa"/>
            <w:vAlign w:val="bottom"/>
          </w:tcPr>
          <w:p>
            <w:pPr>
              <w:jc w:val="center"/>
              <w:ind w:right="2670"/>
              <w:spacing w:after="0"/>
              <w:rPr>
                <w:sz w:val="20"/>
                <w:szCs w:val="20"/>
                <w:color w:val="auto"/>
              </w:rPr>
            </w:pPr>
            <w:r>
              <w:rPr>
                <w:rFonts w:ascii="Arial" w:cs="Arial" w:eastAsia="Arial" w:hAnsi="Arial"/>
                <w:sz w:val="18"/>
                <w:szCs w:val="18"/>
                <w:b w:val="1"/>
                <w:bCs w:val="1"/>
                <w:color w:val="auto"/>
              </w:rPr>
              <w:t>STOCK OPTION AWARD AGREEMENT</w:t>
            </w:r>
          </w:p>
        </w:tc>
      </w:tr>
      <w:tr>
        <w:trPr>
          <w:trHeight w:val="234"/>
        </w:trPr>
        <w:tc>
          <w:tcPr>
            <w:tcW w:w="2780" w:type="dxa"/>
            <w:vAlign w:val="bottom"/>
          </w:tcPr>
          <w:p>
            <w:pPr>
              <w:spacing w:after="0"/>
              <w:rPr>
                <w:sz w:val="20"/>
                <w:szCs w:val="20"/>
                <w:color w:val="auto"/>
              </w:rPr>
            </w:pPr>
          </w:p>
        </w:tc>
        <w:tc>
          <w:tcPr>
            <w:tcW w:w="8640" w:type="dxa"/>
            <w:vAlign w:val="bottom"/>
          </w:tcPr>
          <w:p>
            <w:pPr>
              <w:jc w:val="center"/>
              <w:ind w:right="2670"/>
              <w:spacing w:after="0"/>
              <w:rPr>
                <w:sz w:val="20"/>
                <w:szCs w:val="20"/>
                <w:color w:val="auto"/>
              </w:rPr>
            </w:pPr>
            <w:r>
              <w:rPr>
                <w:rFonts w:ascii="Arial" w:cs="Arial" w:eastAsia="Arial" w:hAnsi="Arial"/>
                <w:sz w:val="18"/>
                <w:szCs w:val="18"/>
                <w:b w:val="1"/>
                <w:bCs w:val="1"/>
                <w:color w:val="auto"/>
                <w:w w:val="91"/>
              </w:rPr>
              <w:t>(Nonqualified Stock Option – Key Employee)</w:t>
            </w:r>
          </w:p>
        </w:tc>
      </w:tr>
      <w:tr>
        <w:trPr>
          <w:trHeight w:val="45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8640" w:type="dxa"/>
            <w:vAlign w:val="bottom"/>
          </w:tcPr>
          <w:p>
            <w:pPr>
              <w:jc w:val="right"/>
              <w:spacing w:after="0"/>
              <w:rPr>
                <w:sz w:val="20"/>
                <w:szCs w:val="20"/>
                <w:color w:val="auto"/>
              </w:rPr>
            </w:pPr>
            <w:r>
              <w:rPr>
                <w:rFonts w:ascii="Arial" w:cs="Arial" w:eastAsia="Arial" w:hAnsi="Arial"/>
                <w:sz w:val="18"/>
                <w:szCs w:val="18"/>
                <w:color w:val="auto"/>
              </w:rPr>
              <w:t>_______________________________</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8640" w:type="dxa"/>
            <w:vAlign w:val="bottom"/>
          </w:tcPr>
          <w:p>
            <w:pPr>
              <w:jc w:val="right"/>
              <w:spacing w:after="0"/>
              <w:rPr>
                <w:sz w:val="20"/>
                <w:szCs w:val="20"/>
                <w:color w:val="auto"/>
              </w:rPr>
            </w:pPr>
            <w:r>
              <w:rPr>
                <w:rFonts w:ascii="Arial" w:cs="Arial" w:eastAsia="Arial" w:hAnsi="Arial"/>
                <w:sz w:val="18"/>
                <w:szCs w:val="18"/>
                <w:b w:val="1"/>
                <w:bCs w:val="1"/>
                <w:color w:val="auto"/>
              </w:rPr>
              <w:t xml:space="preserve">_________________________ </w:t>
            </w:r>
            <w:r>
              <w:rPr>
                <w:rFonts w:ascii="Arial" w:cs="Arial" w:eastAsia="Arial" w:hAnsi="Arial"/>
                <w:sz w:val="18"/>
                <w:szCs w:val="18"/>
                <w:color w:val="auto"/>
              </w:rPr>
              <w:t>Shares</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Exercise Price:</w:t>
            </w:r>
          </w:p>
        </w:tc>
        <w:tc>
          <w:tcPr>
            <w:tcW w:w="8640" w:type="dxa"/>
            <w:vAlign w:val="bottom"/>
          </w:tcPr>
          <w:p>
            <w:pPr>
              <w:jc w:val="right"/>
              <w:spacing w:after="0"/>
              <w:rPr>
                <w:sz w:val="20"/>
                <w:szCs w:val="20"/>
                <w:color w:val="auto"/>
              </w:rPr>
            </w:pPr>
            <w:r>
              <w:rPr>
                <w:rFonts w:ascii="Arial" w:cs="Arial" w:eastAsia="Arial" w:hAnsi="Arial"/>
                <w:sz w:val="18"/>
                <w:szCs w:val="18"/>
                <w:b w:val="1"/>
                <w:bCs w:val="1"/>
                <w:color w:val="auto"/>
              </w:rPr>
              <w:t xml:space="preserve">$_______________ </w:t>
            </w:r>
            <w:r>
              <w:rPr>
                <w:rFonts w:ascii="Arial" w:cs="Arial" w:eastAsia="Arial" w:hAnsi="Arial"/>
                <w:sz w:val="18"/>
                <w:szCs w:val="18"/>
                <w:color w:val="auto"/>
              </w:rPr>
              <w:t>per Share</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8640" w:type="dxa"/>
            <w:vAlign w:val="bottom"/>
          </w:tcPr>
          <w:p>
            <w:pPr>
              <w:jc w:val="right"/>
              <w:spacing w:after="0"/>
              <w:rPr>
                <w:sz w:val="20"/>
                <w:szCs w:val="20"/>
                <w:color w:val="auto"/>
              </w:rPr>
            </w:pPr>
            <w:r>
              <w:rPr>
                <w:rFonts w:ascii="Arial" w:cs="Arial" w:eastAsia="Arial" w:hAnsi="Arial"/>
                <w:sz w:val="18"/>
                <w:szCs w:val="18"/>
                <w:color w:val="auto"/>
              </w:rPr>
              <w:t>_______________________________</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640" w:type="dxa"/>
            <w:vAlign w:val="bottom"/>
          </w:tcPr>
          <w:p>
            <w:pPr>
              <w:jc w:val="right"/>
              <w:spacing w:after="0"/>
              <w:rPr>
                <w:sz w:val="20"/>
                <w:szCs w:val="20"/>
                <w:color w:val="auto"/>
              </w:rPr>
            </w:pPr>
            <w:r>
              <w:rPr>
                <w:rFonts w:ascii="Arial" w:cs="Arial" w:eastAsia="Arial" w:hAnsi="Arial"/>
                <w:sz w:val="18"/>
                <w:szCs w:val="18"/>
                <w:color w:val="auto"/>
              </w:rPr>
              <w:t>Per attached Optionee Statement</w:t>
            </w:r>
          </w:p>
        </w:tc>
      </w:tr>
      <w:tr>
        <w:trPr>
          <w:trHeight w:val="230"/>
        </w:trPr>
        <w:tc>
          <w:tcPr>
            <w:tcW w:w="2780" w:type="dxa"/>
            <w:vAlign w:val="bottom"/>
          </w:tcPr>
          <w:p>
            <w:pPr>
              <w:spacing w:after="0"/>
              <w:rPr>
                <w:sz w:val="20"/>
                <w:szCs w:val="20"/>
                <w:color w:val="auto"/>
              </w:rPr>
            </w:pPr>
          </w:p>
        </w:tc>
        <w:tc>
          <w:tcPr>
            <w:tcW w:w="8640" w:type="dxa"/>
            <w:vAlign w:val="bottom"/>
          </w:tcPr>
          <w:p>
            <w:pPr>
              <w:jc w:val="right"/>
              <w:spacing w:after="0"/>
              <w:rPr>
                <w:sz w:val="20"/>
                <w:szCs w:val="20"/>
                <w:color w:val="auto"/>
              </w:rPr>
            </w:pPr>
            <w:r>
              <w:rPr>
                <w:rFonts w:ascii="Arial" w:cs="Arial" w:eastAsia="Arial" w:hAnsi="Arial"/>
                <w:sz w:val="18"/>
                <w:szCs w:val="18"/>
                <w:color w:val="auto"/>
              </w:rPr>
              <w:t>referred to herein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8640" w:type="dxa"/>
            <w:vAlign w:val="bottom"/>
          </w:tcPr>
          <w:p>
            <w:pPr>
              <w:jc w:val="right"/>
              <w:spacing w:after="0"/>
              <w:rPr>
                <w:sz w:val="20"/>
                <w:szCs w:val="20"/>
                <w:color w:val="auto"/>
              </w:rPr>
            </w:pPr>
            <w:r>
              <w:rPr>
                <w:rFonts w:ascii="Arial" w:cs="Arial" w:eastAsia="Arial" w:hAnsi="Arial"/>
                <w:sz w:val="18"/>
                <w:szCs w:val="18"/>
                <w:color w:val="auto"/>
              </w:rPr>
              <w:t>Any county and any contiguous county</w:t>
            </w:r>
          </w:p>
        </w:tc>
      </w:tr>
      <w:tr>
        <w:trPr>
          <w:trHeight w:val="216"/>
        </w:trPr>
        <w:tc>
          <w:tcPr>
            <w:tcW w:w="2780" w:type="dxa"/>
            <w:vAlign w:val="bottom"/>
          </w:tcPr>
          <w:p>
            <w:pPr>
              <w:spacing w:after="0"/>
              <w:rPr>
                <w:sz w:val="18"/>
                <w:szCs w:val="18"/>
                <w:color w:val="auto"/>
              </w:rPr>
            </w:pPr>
          </w:p>
        </w:tc>
        <w:tc>
          <w:tcPr>
            <w:tcW w:w="8640" w:type="dxa"/>
            <w:vAlign w:val="bottom"/>
          </w:tcPr>
          <w:p>
            <w:pPr>
              <w:jc w:val="right"/>
              <w:spacing w:after="0"/>
              <w:rPr>
                <w:sz w:val="20"/>
                <w:szCs w:val="20"/>
                <w:color w:val="auto"/>
              </w:rPr>
            </w:pPr>
            <w:r>
              <w:rPr>
                <w:rFonts w:ascii="Arial" w:cs="Arial" w:eastAsia="Arial" w:hAnsi="Arial"/>
                <w:sz w:val="18"/>
                <w:szCs w:val="18"/>
                <w:color w:val="auto"/>
              </w:rPr>
              <w:t>and any metropolitan statistical area in</w:t>
            </w:r>
          </w:p>
        </w:tc>
      </w:tr>
      <w:tr>
        <w:trPr>
          <w:trHeight w:val="216"/>
        </w:trPr>
        <w:tc>
          <w:tcPr>
            <w:tcW w:w="2780" w:type="dxa"/>
            <w:vAlign w:val="bottom"/>
          </w:tcPr>
          <w:p>
            <w:pPr>
              <w:spacing w:after="0"/>
              <w:rPr>
                <w:sz w:val="18"/>
                <w:szCs w:val="18"/>
                <w:color w:val="auto"/>
              </w:rPr>
            </w:pPr>
          </w:p>
        </w:tc>
        <w:tc>
          <w:tcPr>
            <w:tcW w:w="8640" w:type="dxa"/>
            <w:vAlign w:val="bottom"/>
          </w:tcPr>
          <w:p>
            <w:pPr>
              <w:jc w:val="right"/>
              <w:spacing w:after="0"/>
              <w:rPr>
                <w:sz w:val="20"/>
                <w:szCs w:val="20"/>
                <w:color w:val="auto"/>
              </w:rPr>
            </w:pPr>
            <w:r>
              <w:rPr>
                <w:rFonts w:ascii="Arial" w:cs="Arial" w:eastAsia="Arial" w:hAnsi="Arial"/>
                <w:sz w:val="18"/>
                <w:szCs w:val="18"/>
                <w:color w:val="auto"/>
              </w:rPr>
              <w:t>which any of the Company’s subsidiary</w:t>
            </w:r>
          </w:p>
        </w:tc>
      </w:tr>
      <w:tr>
        <w:trPr>
          <w:trHeight w:val="230"/>
        </w:trPr>
        <w:tc>
          <w:tcPr>
            <w:tcW w:w="2780" w:type="dxa"/>
            <w:vAlign w:val="bottom"/>
          </w:tcPr>
          <w:p>
            <w:pPr>
              <w:spacing w:after="0"/>
              <w:rPr>
                <w:sz w:val="20"/>
                <w:szCs w:val="20"/>
                <w:color w:val="auto"/>
              </w:rPr>
            </w:pPr>
          </w:p>
        </w:tc>
        <w:tc>
          <w:tcPr>
            <w:tcW w:w="8640" w:type="dxa"/>
            <w:vAlign w:val="bottom"/>
          </w:tcPr>
          <w:p>
            <w:pPr>
              <w:jc w:val="right"/>
              <w:spacing w:after="0"/>
              <w:rPr>
                <w:sz w:val="20"/>
                <w:szCs w:val="20"/>
                <w:color w:val="auto"/>
              </w:rPr>
            </w:pPr>
            <w:r>
              <w:rPr>
                <w:rFonts w:ascii="Arial" w:cs="Arial" w:eastAsia="Arial" w:hAnsi="Arial"/>
                <w:sz w:val="18"/>
                <w:szCs w:val="18"/>
                <w:color w:val="auto"/>
              </w:rPr>
              <w:t>banks has an office as of the date hereof.</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w:t>
      </w:r>
      <w:r>
        <w:rPr>
          <w:rFonts w:ascii="Arial" w:cs="Arial" w:eastAsia="Arial" w:hAnsi="Arial"/>
          <w:sz w:val="17"/>
          <w:szCs w:val="17"/>
          <w:b w:val="1"/>
          <w:bCs w:val="1"/>
          <w:color w:val="auto"/>
        </w:rPr>
        <w:t xml:space="preserve"> ____ </w:t>
      </w:r>
      <w:r>
        <w:rPr>
          <w:rFonts w:ascii="Arial" w:cs="Arial" w:eastAsia="Arial" w:hAnsi="Arial"/>
          <w:sz w:val="17"/>
          <w:szCs w:val="17"/>
          <w:color w:val="auto"/>
        </w:rPr>
        <w:t>day of</w:t>
      </w:r>
      <w:r>
        <w:rPr>
          <w:rFonts w:ascii="Arial" w:cs="Arial" w:eastAsia="Arial" w:hAnsi="Arial"/>
          <w:sz w:val="17"/>
          <w:szCs w:val="17"/>
          <w:b w:val="1"/>
          <w:bCs w:val="1"/>
          <w:color w:val="auto"/>
        </w:rPr>
        <w:t xml:space="preserve"> ______________</w:t>
      </w:r>
      <w:r>
        <w:rPr>
          <w:rFonts w:ascii="Arial" w:cs="Arial" w:eastAsia="Arial" w:hAnsi="Arial"/>
          <w:sz w:val="17"/>
          <w:szCs w:val="17"/>
          <w:color w:val="auto"/>
        </w:rPr>
        <w:t>,</w:t>
      </w:r>
      <w:r>
        <w:rPr>
          <w:rFonts w:ascii="Arial" w:cs="Arial" w:eastAsia="Arial" w:hAnsi="Arial"/>
          <w:sz w:val="17"/>
          <w:szCs w:val="17"/>
          <w:b w:val="1"/>
          <w:bCs w:val="1"/>
          <w:color w:val="auto"/>
        </w:rPr>
        <w:t xml:space="preserve"> _______</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United Community Banks, Inc. Amended and Restated 2000 Key Employee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was adopted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March 15,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Optionee performs valuable services for the Company or a Subsidiary; and</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or the committee responsible for the administration of the Plan has determined to grant the Option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as provided herein;</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the Option</w:t>
      </w:r>
      <w:r>
        <w:rPr>
          <w:rFonts w:ascii="Arial" w:cs="Arial" w:eastAsia="Arial" w:hAnsi="Arial"/>
          <w:sz w:val="18"/>
          <w:szCs w:val="18"/>
          <w:b w:val="1"/>
          <w:bCs w:val="1"/>
          <w:color w:val="auto"/>
        </w:rPr>
        <w:t>.</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shares of the Company’s Common Stock, par value $1.00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 hereby granted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that the Optionee can purchase upon exercise of the Option is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40" w:name="page141"/>
    <w:bookmarkEnd w:id="140"/>
    <w:p>
      <w:pPr>
        <w:jc w:val="both"/>
        <w:spacing w:after="0" w:line="28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price the Optionee must pay to exercise the Option (the “</w:t>
      </w:r>
      <w:r>
        <w:rPr>
          <w:rFonts w:ascii="Arial" w:cs="Arial" w:eastAsia="Arial" w:hAnsi="Arial"/>
          <w:sz w:val="18"/>
          <w:szCs w:val="18"/>
          <w:b w:val="1"/>
          <w:bCs w:val="1"/>
          <w:i w:val="1"/>
          <w:iCs w:val="1"/>
          <w:color w:val="auto"/>
        </w:rPr>
        <w:t>Option Exercise Price</w:t>
      </w:r>
      <w:r>
        <w:rPr>
          <w:rFonts w:ascii="Arial" w:cs="Arial" w:eastAsia="Arial" w:hAnsi="Arial"/>
          <w:sz w:val="18"/>
          <w:szCs w:val="18"/>
          <w:color w:val="auto"/>
        </w:rPr>
        <w:t>”) is set forth above.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per Share may not be less than one hundred percent (100%) of the Fair Market Value of a Share on the Date of Grant.</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that the Option is granted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is set forth above.</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u w:val="single" w:color="auto"/>
          <w:color w:val="auto"/>
        </w:rPr>
        <w:t>Type of Option</w:t>
      </w:r>
      <w:r>
        <w:rPr>
          <w:rFonts w:ascii="Arial" w:cs="Arial" w:eastAsia="Arial" w:hAnsi="Arial"/>
          <w:sz w:val="18"/>
          <w:szCs w:val="18"/>
          <w:color w:val="auto"/>
        </w:rPr>
        <w:t>. The Option is intended to be a Nonqualified Stock Option. It is not intended to qualify as an Incentive Stock Option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Section 422 of the Internal Revenue Code of 1986, as amended from time to time, or any successor provision thereto.</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construed in accordance and consistent with, and subject to, the provisions of the Plan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incorporated herein by reference) and, except as otherwise expressly set forth herein, the capitalized terms used in this Agreement shall have the same definitions as set forth in the Plan.</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Option is evidenced by this Agreement. If the Optionee does not execute this Agreement within thirty (30) days of</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the Agreement, the Committee may in its discretion cancel the Option and this Agreement.</w:t>
      </w:r>
    </w:p>
    <w:p>
      <w:pPr>
        <w:spacing w:after="0" w:line="189"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Option shall be exercisable to the extent and in the manner provided herein for a period of ten (10) years from the Date of Grant (the “</w:t>
      </w:r>
      <w:r>
        <w:rPr>
          <w:rFonts w:ascii="Arial" w:cs="Arial" w:eastAsia="Arial" w:hAnsi="Arial"/>
          <w:sz w:val="18"/>
          <w:szCs w:val="18"/>
          <w:b w:val="1"/>
          <w:bCs w:val="1"/>
          <w:i w:val="1"/>
          <w:iCs w:val="1"/>
          <w:color w:val="auto"/>
        </w:rPr>
        <w:t>Exercise Term</w:t>
      </w:r>
      <w:r>
        <w:rPr>
          <w:rFonts w:ascii="Arial" w:cs="Arial" w:eastAsia="Arial" w:hAnsi="Arial"/>
          <w:sz w:val="18"/>
          <w:szCs w:val="18"/>
          <w:color w:val="auto"/>
        </w:rPr>
        <w:t>”); provided, however, that the Exercise Term may end earlier as provided in Sections 5 and 13 hereof.</w:t>
      </w:r>
    </w:p>
    <w:p>
      <w:pPr>
        <w:spacing w:after="0" w:line="193"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Option shall vest and become exercisable in accordance with the vesting schedule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The Optionee may exercise the Option to the extent it is vested during the Exercise Term, subject to any limitations on exercise contained in Section 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1" w:name="page142"/>
    <w:bookmarkEnd w:id="141"/>
    <w:p>
      <w:pPr>
        <w:ind w:left="640" w:hanging="632"/>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 and Payment</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Delivery</w:t>
      </w:r>
      <w:r>
        <w:rPr>
          <w:rFonts w:ascii="Arial" w:cs="Arial" w:eastAsia="Arial" w:hAnsi="Arial"/>
          <w:sz w:val="16"/>
          <w:szCs w:val="16"/>
          <w:color w:val="auto"/>
        </w:rPr>
        <w:t>. To exercise the Option, the Optionee must deliver a completed copy of the Option Exercise Form, attached hereto as Exhibit A and</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herein by reference, to the address indicated on such Form or such other address designated by the Company from time to time. The Committee may establish a minimum number of Shares (e.g., 100) for which the Option may be exercised at a particular time. Contemporaneously with the delivery of the Option Exercise Form, the Optionee shall tender to the Company the aggregate Option Exercise Price for the Shares as to which the Optionee is exercising the Option by (i) cash, check, or wire transfer, (ii) delivering or properly attesting to ownership of Shares (that have been owned by the Optionee for such period as may be required by the Committee) with a Fair Market Value at the date of exercise equal to the aggregate Option Exercise Price for the Shares as to which the Optionee is exercising the Option, (iii) delivery of a proper notice electing a Net Exercise, (iv) a broker-assisted cashless exercise transaction through a brokerage firm designated by the Optionee, (v) such other method of payment as may be acceptable to the Committee pursuant to the Plan or (vi) any combination of the foregoing. The Company shall deliver to the Optionee certificates evidencing the Shares as to which the Option was exercised within thirty (30) days of the date on which the Optionee delivers the Option Exercise Form and makes payment of the aggregate Option Exercise Price to the Company or shall make such Shares available for electronic delivery in the U.S. to an account the Optionee designates in writing within three (3) business days after the date on which the Optionee delivers the Option Exercise Form and makes payment of the aggregate Option Exercise Price to the Company, and in either case such Shares shall be free and clear of all liens, security interests, pledges or other claims or charges, except those provided in this Agreement or the Plan, or any other agreement affecting the Shares. Notwithstanding the foregoing, if the Optionee is a non-exempt employee for purposes of the Fair Labor Standards Act of 1938, the Optionee may not exercise any Option prior to the date that is six (6) months after the Date of Grant unless the Optionee’s employment has terminated due to death, Disability, or Retirement after the Date of Grant.</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No Rights as Shareholder</w:t>
      </w:r>
      <w:r>
        <w:rPr>
          <w:rFonts w:ascii="Arial" w:cs="Arial" w:eastAsia="Arial" w:hAnsi="Arial"/>
          <w:sz w:val="16"/>
          <w:szCs w:val="16"/>
          <w:color w:val="auto"/>
        </w:rPr>
        <w:t>. The Optionee shall not be deemed to be the holder of, or to have any of the rights of a holder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Option until (i) the Option shall have been exercised pursuant to the terms of this Agreement and the Optionee shall have paid the full purchase price for the number of Shares in respect of which the Option was exercised, (ii) the Company shall have issued and delivered the Shares to the Optionee, and</w:t>
      </w:r>
    </w:p>
    <w:p>
      <w:pPr>
        <w:spacing w:after="0" w:line="2" w:lineRule="exact"/>
        <w:rPr>
          <w:sz w:val="20"/>
          <w:szCs w:val="20"/>
          <w:color w:val="auto"/>
        </w:rPr>
      </w:pPr>
    </w:p>
    <w:p>
      <w:pPr>
        <w:ind w:right="20" w:firstLine="8"/>
        <w:spacing w:after="0" w:line="261" w:lineRule="auto"/>
        <w:tabs>
          <w:tab w:leader="none" w:pos="31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Optionee’s name shall have been entered as a shareholder of record on the books of the Company, whereupon the Optionee shall have full voting and other ownership rights with respect to such Shares, subject to divestment pursuant to Section 13.</w:t>
      </w:r>
    </w:p>
    <w:p>
      <w:pPr>
        <w:spacing w:after="0" w:line="207" w:lineRule="exact"/>
        <w:rPr>
          <w:sz w:val="20"/>
          <w:szCs w:val="20"/>
          <w:color w:val="auto"/>
        </w:rPr>
      </w:pPr>
    </w:p>
    <w:p>
      <w:pPr>
        <w:ind w:left="640" w:hanging="632"/>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Termination of Employment for Cause</w:t>
      </w:r>
      <w:r>
        <w:rPr>
          <w:rFonts w:ascii="Arial" w:cs="Arial" w:eastAsia="Arial" w:hAnsi="Arial"/>
          <w:sz w:val="18"/>
          <w:szCs w:val="18"/>
          <w:color w:val="auto"/>
        </w:rPr>
        <w:t>. If the Optionee’s employment is terminated by the Company for Cause, the outstanding Option shall expire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and the Optionee’s right to exercise the outstanding Option (whether vested or not vested) shall terminate immediately upon the date of the Optionee’s termination of employment.</w:t>
      </w:r>
    </w:p>
    <w:p>
      <w:pPr>
        <w:spacing w:after="0" w:line="20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6" w:lineRule="exact"/>
        <w:rPr>
          <w:sz w:val="20"/>
          <w:szCs w:val="20"/>
          <w:color w:val="auto"/>
        </w:rPr>
      </w:pPr>
    </w:p>
    <w:p>
      <w:pPr>
        <w:jc w:val="both"/>
        <w:ind w:firstLine="8"/>
        <w:spacing w:after="0" w:line="276" w:lineRule="auto"/>
        <w:tabs>
          <w:tab w:leader="none" w:pos="80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Optionee’s employment with the Company is terminated involuntarily by the Company without Cause or is terminated by the Optionee for Good Reason (as defined in subsection (2) below), the Option shall continue to vest in accordance with the original vesting schedule set forth in this Agreement (just as if the Optionee had remained employed) and shall remain exercisable at any time prior to the expiration of the term of the Option. In the event of the Optionee’s death after a termination covered by this subsection 5.2, the Option shall continue to vest and be exercisable in accordance with this subsection 5.2 as if the Optionee had lived and the Option shall be exercisable by the persons described in Section 5.3.</w:t>
      </w:r>
    </w:p>
    <w:p>
      <w:pPr>
        <w:spacing w:after="0" w:line="199" w:lineRule="exact"/>
        <w:rPr>
          <w:rFonts w:ascii="Arial" w:cs="Arial" w:eastAsia="Arial" w:hAnsi="Arial"/>
          <w:sz w:val="17"/>
          <w:szCs w:val="17"/>
          <w:color w:val="auto"/>
        </w:rPr>
      </w:pPr>
    </w:p>
    <w:p>
      <w:pPr>
        <w:jc w:val="both"/>
        <w:ind w:firstLine="8"/>
        <w:spacing w:after="0" w:line="286" w:lineRule="auto"/>
        <w:tabs>
          <w:tab w:leader="none" w:pos="77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purposes of this Option, the Optionee shall be entitled to terminate his employment with the Company for Good Reason in the event, without the Optionee’s express written consent, of any one of the following acts by the Company, or failures by the Company to act, unless, in the case of any act or failure to act described in paragraphs (i), (iii), or (iv) below, such act or failure to act is corrected prior to the Optionee’s date of termination:</w:t>
      </w:r>
    </w:p>
    <w:p>
      <w:pPr>
        <w:spacing w:after="0" w:line="192" w:lineRule="exact"/>
        <w:rPr>
          <w:rFonts w:ascii="Arial" w:cs="Arial" w:eastAsia="Arial" w:hAnsi="Arial"/>
          <w:sz w:val="17"/>
          <w:szCs w:val="17"/>
          <w:color w:val="auto"/>
        </w:rPr>
      </w:pPr>
    </w:p>
    <w:p>
      <w:pPr>
        <w:ind w:left="1960" w:hanging="655"/>
        <w:spacing w:after="0"/>
        <w:tabs>
          <w:tab w:leader="none" w:pos="19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material reduction in the Optionee’s responsibilities at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2" w:name="page143"/>
    <w:bookmarkEnd w:id="142"/>
    <w:p>
      <w:pPr>
        <w:ind w:left="2020" w:hanging="715"/>
        <w:spacing w:after="0"/>
        <w:tabs>
          <w:tab w:leader="none" w:pos="20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required relocation of the Optionee’s employment to a location outside of the market area of the Company; or</w:t>
      </w:r>
    </w:p>
    <w:p>
      <w:pPr>
        <w:spacing w:after="0" w:line="252" w:lineRule="exact"/>
        <w:rPr>
          <w:rFonts w:ascii="Arial" w:cs="Arial" w:eastAsia="Arial" w:hAnsi="Arial"/>
          <w:sz w:val="18"/>
          <w:szCs w:val="18"/>
          <w:color w:val="auto"/>
        </w:rPr>
      </w:pPr>
    </w:p>
    <w:p>
      <w:pPr>
        <w:ind w:left="1300" w:firstLine="5"/>
        <w:spacing w:after="0" w:line="277" w:lineRule="auto"/>
        <w:tabs>
          <w:tab w:leader="none" w:pos="203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Optionee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left="1300" w:firstLine="5"/>
        <w:spacing w:after="0" w:line="259" w:lineRule="auto"/>
        <w:tabs>
          <w:tab w:leader="none" w:pos="198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substantial reduction in the Optionee’s base salary, a material reduction in his incentive compensation or the taking of any action by the Company which would, directly or indirectly, materially reduce any of the benefits provided to the Optionee under any of the Company’s pension, 401(k), deferred compensation, life insurance, medical, accident or disability plans in which the Optionee is participating.</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Optionee’s right to terminate employment for Good Reason shall not be affected by the Optionee’s incapacity due to physical or mental illness, except for a Disability as defined in the Plan. The Optionee’s continued employment shall not constitute consent to, or a waiver of rights with respect to, any act or failure to act constituting Good Reason hereunder.</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Termination of Employment Due to Death</w:t>
      </w:r>
      <w:r>
        <w:rPr>
          <w:rFonts w:ascii="Arial" w:cs="Arial" w:eastAsia="Arial" w:hAnsi="Arial"/>
          <w:sz w:val="18"/>
          <w:szCs w:val="18"/>
          <w:color w:val="auto"/>
        </w:rPr>
        <w:t>. If the Optionee dies while actively employed by the Company, the outstanding unvested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shall immediately vest, and thereafter the Option shall remain exercisable at any time prior to its expiration date or for one (1) year after the date of death, whichever period is shorter, (i) by such person(s) who have acquired the Optionee’s rights by will or the laws of descent and distribution, or (ii) if no such person in (i) exists, by the executor or representative of the Optionee’s estate.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Termination of Employment by Disability</w:t>
      </w:r>
      <w:r>
        <w:rPr>
          <w:rFonts w:ascii="Arial" w:cs="Arial" w:eastAsia="Arial" w:hAnsi="Arial"/>
          <w:sz w:val="18"/>
          <w:szCs w:val="18"/>
          <w:color w:val="auto"/>
        </w:rPr>
        <w:t>. In the event the employment of the Optionee with the Company is terminated by reason of Disability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Plan), the outstanding unvested portion of the Option shall expire as of the date the employment of the Optionee is terminated by reason of Disability, and the outstanding vested portion of the Option as of that date shall remain exercisable at any time prior to its expiration date or for one (1) year after the termination of the Optionee’s employment by reason of Disability, whichever period is shorter.</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Voluntary Termination of Employment or Retirement</w:t>
      </w:r>
      <w:r>
        <w:rPr>
          <w:rFonts w:ascii="Arial" w:cs="Arial" w:eastAsia="Arial" w:hAnsi="Arial"/>
          <w:sz w:val="17"/>
          <w:szCs w:val="17"/>
          <w:color w:val="auto"/>
        </w:rPr>
        <w:t>. If the Optionee voluntarily terminates his or her employment with the Company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Good Reason), including upon Retirement, the outstanding unvested portion of the Option shall expire as of the date of termination of employment, and the vested portion of the Option as of the date of termination of employment shall remain exercisable (i) if the Optionee is not eligible for Retirement as of the date of such termination, at any time prior to its expiration date or for three (3) months after the date of termination of employment, whichever period is shorter, or (ii) if the Optionee is eligible for Retirement as of the date of such termination, at any time prior to its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3" w:name="page144"/>
    <w:bookmarkEnd w:id="143"/>
    <w:p>
      <w:pPr>
        <w:jc w:val="both"/>
        <w:spacing w:after="0" w:line="258"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Section 5 and Sections 8 and 13, employment with the Company includes employment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and service as a member of the Board of Directors of the Company or a Subsidiary. A change of employment between the Company and any Subsidiary or between Subsidiaries or a change in the nature of the Optionee’s service relationship with the Company and the Subsidiaries (e.g., from employee to Director or Director to employee) without any interruption in the Optionee’s provision of services is not a termination of employment under this Agreement.</w:t>
      </w:r>
    </w:p>
    <w:p>
      <w:pPr>
        <w:spacing w:after="0" w:line="211" w:lineRule="exact"/>
        <w:rPr>
          <w:sz w:val="20"/>
          <w:szCs w:val="20"/>
          <w:color w:val="auto"/>
        </w:rPr>
      </w:pPr>
    </w:p>
    <w:p>
      <w:pPr>
        <w:ind w:left="640" w:hanging="632"/>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Option shall not be transferable other than by will or by the laws of descent and distribution, and, during the lifetime of the Optionee, the Option shall be exercisable only by the Optionee except as provided in Section 5.3. Notwithstanding the foregoing, any portion or all of the Option which is vested may be transferred, in whole or in part, without consideration, to another person or entity to the extent permitted by the Plan (a “Permitted Transferee”). Appropriate evidence of any such transfer to the Permitted Transferees shall be delivered to the Company on such forms as the Committee or Company shall prescribe and shall comply with and indicate the Optionee’s (if during the lifetime of the Optionee) and the Permitted Transferee’s agreement to abide by the Company’s then current stock option transfer guidelines. If all or part of the Option is transferred to a Permitted Transferee, the Permitted Transferee shall remain subject to all terms and conditions applicable to such Option prior to the transfer.</w:t>
      </w:r>
    </w:p>
    <w:p>
      <w:pPr>
        <w:spacing w:after="0" w:line="201" w:lineRule="exact"/>
        <w:rPr>
          <w:sz w:val="20"/>
          <w:szCs w:val="20"/>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Laws Restrictions</w:t>
      </w:r>
      <w:r>
        <w:rPr>
          <w:rFonts w:ascii="Arial" w:cs="Arial" w:eastAsia="Arial" w:hAnsi="Arial"/>
          <w:sz w:val="18"/>
          <w:szCs w:val="18"/>
          <w:color w:val="auto"/>
        </w:rPr>
        <w: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Option may not be exercised at any time unless, in the opinion of counsel for the Company, the issuance and sale of the Shares issued upon such exercise is exempt from registration under the Securities Act of 1933, as amended, or any other applicable federal or state securities law, rule or regulation, or the Shares have been duly registered under such laws. The Company intends to register the Shares issuable upon the exercise of the Option; however, until the Shares have been registered under all applicable laws, the Optionee shall represent, warrant and agree, as a condition to the exercise of any Option, that the Shares are being purchased for investment only and without a view to any sale or distribution of such Shares and that such Shares shall not be transferred or disposed of in any manner without registration under such laws, unless it is the opinion of counsel for the Company that such a disposition is exempt from such registration. The Optionee acknowledges that an appropriate legend giving notice of the foregoing restrictions may appear conspicuously on all certificates evidencing the Shares issued upon the exercise of the Option.</w:t>
      </w:r>
    </w:p>
    <w:p>
      <w:pPr>
        <w:spacing w:after="0" w:line="202"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Nothing in this Agreement or the Plan shall be interpreted or construed to confer upon the Optionee any right with respect to continuance of employment by the Company, nor shall this Agreement or the Plan interfere in any way with the right of the Company to terminate the Optionee’s employment at any time.</w:t>
      </w:r>
    </w:p>
    <w:p>
      <w:pPr>
        <w:spacing w:after="0" w:line="147"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Company Transactions</w:t>
      </w:r>
      <w:r>
        <w:rPr>
          <w:rFonts w:ascii="Arial" w:cs="Arial" w:eastAsia="Arial" w:hAnsi="Arial"/>
          <w:sz w:val="18"/>
          <w:szCs w:val="18"/>
          <w:b w:val="1"/>
          <w:bCs w:val="1"/>
          <w:color w:val="auto"/>
        </w:rPr>
        <w:t>.</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In the event of a change in capitalization, the Committee shall make appropriate adjustments in accordance with the provisions of Section 4.3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adjustment shall be effective and final, binding and conclusive for all purposes of the Plan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4" w:name="page145"/>
    <w:bookmarkEnd w:id="144"/>
    <w:p>
      <w:pPr>
        <w:jc w:val="both"/>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In the event of a proposed sale of all or substantially all of the assets or stock of the Company, the merger of the Company with or into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such that shareholders of the Company immediately prior to the merger exchange their Shares of stock in the Company for cash and/or shares of another entity or any other Change in Control or corporate transaction to which the Committee deems this provision applicable (any such event is referred to as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Committee may, in its discretion, without consent of the Optionee:</w:t>
      </w:r>
    </w:p>
    <w:p>
      <w:pPr>
        <w:spacing w:after="0" w:line="211" w:lineRule="exact"/>
        <w:rPr>
          <w:sz w:val="20"/>
          <w:szCs w:val="20"/>
          <w:color w:val="auto"/>
        </w:rPr>
      </w:pPr>
    </w:p>
    <w:p>
      <w:pPr>
        <w:jc w:val="both"/>
        <w:ind w:firstLine="1305"/>
        <w:spacing w:after="0" w:line="264" w:lineRule="auto"/>
        <w:tabs>
          <w:tab w:leader="none" w:pos="227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cause the Option to be assumed, or arrange for the substitution, in exchange for the Option, of options to purchase equity securities other than Shares (including, if appropriate, equity securities of an entity other than the Company), on such terms and conditions as the Committee determines are appropriate;</w:t>
      </w:r>
    </w:p>
    <w:p>
      <w:pPr>
        <w:spacing w:after="0" w:line="208" w:lineRule="exact"/>
        <w:rPr>
          <w:rFonts w:ascii="Arial" w:cs="Arial" w:eastAsia="Arial" w:hAnsi="Arial"/>
          <w:sz w:val="18"/>
          <w:szCs w:val="18"/>
          <w:color w:val="auto"/>
        </w:rPr>
      </w:pPr>
    </w:p>
    <w:p>
      <w:pPr>
        <w:jc w:val="both"/>
        <w:ind w:firstLine="1305"/>
        <w:spacing w:after="0" w:line="264" w:lineRule="auto"/>
        <w:tabs>
          <w:tab w:leader="none" w:pos="202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accelerate the vesting of or right to exercise the Option, in whole or in part, immediately prior to or in connection with the closing or completion of any such Transaction, and cause the expiration of the Option to the extent not vested, or not timely exercised or purchased by the date of the closing or completion of any such Transaction or other date thereafter designated by the Committee; or</w:t>
      </w:r>
    </w:p>
    <w:p>
      <w:pPr>
        <w:spacing w:after="0" w:line="208" w:lineRule="exact"/>
        <w:rPr>
          <w:rFonts w:ascii="Arial" w:cs="Arial" w:eastAsia="Arial" w:hAnsi="Arial"/>
          <w:sz w:val="18"/>
          <w:szCs w:val="18"/>
          <w:color w:val="auto"/>
        </w:rPr>
      </w:pPr>
    </w:p>
    <w:p>
      <w:pPr>
        <w:jc w:val="both"/>
        <w:ind w:firstLine="1305"/>
        <w:spacing w:after="0" w:line="286" w:lineRule="auto"/>
        <w:tabs>
          <w:tab w:leader="none" w:pos="2107" w:val="left"/>
        </w:tabs>
        <w:numPr>
          <w:ilvl w:val="1"/>
          <w:numId w:val="107"/>
        </w:numPr>
        <w:rPr>
          <w:rFonts w:ascii="Arial" w:cs="Arial" w:eastAsia="Arial" w:hAnsi="Arial"/>
          <w:sz w:val="17"/>
          <w:szCs w:val="17"/>
          <w:color w:val="auto"/>
        </w:rPr>
      </w:pPr>
      <w:r>
        <w:rPr>
          <w:rFonts w:ascii="Arial" w:cs="Arial" w:eastAsia="Arial" w:hAnsi="Arial"/>
          <w:sz w:val="17"/>
          <w:szCs w:val="17"/>
          <w:color w:val="auto"/>
        </w:rPr>
        <w:t>cancel or arrange for the cancellation of all or any portion of the Option in exchange for a cash payment of the excess, if any, of the Fair Market Value of the Shares or portion thereof being canceled over the purchase price with respect to the Option or portion thereof being canceled (an Option whose purchase price equals or exceeds the Fair Market Value of the Shares may be canceled without any payment therefor).</w:t>
      </w:r>
    </w:p>
    <w:p>
      <w:pPr>
        <w:spacing w:after="0" w:line="188" w:lineRule="exact"/>
        <w:rPr>
          <w:rFonts w:ascii="Arial" w:cs="Arial" w:eastAsia="Arial" w:hAnsi="Arial"/>
          <w:sz w:val="17"/>
          <w:szCs w:val="17"/>
          <w:color w:val="auto"/>
        </w:rPr>
      </w:pPr>
    </w:p>
    <w:p>
      <w:pPr>
        <w:ind w:left="720" w:hanging="712"/>
        <w:spacing w:after="0"/>
        <w:tabs>
          <w:tab w:leader="none" w:pos="7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the issuance of Shares to the Optionee upon exercise of the Option, the Optionee shall pay the federal, state, and local income taxes and other amounts as may be required by law to be withheld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(if any) to the Company in cash or by check or wire transfer. In satisfaction of the Withholding Taxes, the Optionee may make a written election (the “</w:t>
      </w:r>
      <w:r>
        <w:rPr>
          <w:rFonts w:ascii="Arial" w:cs="Arial" w:eastAsia="Arial" w:hAnsi="Arial"/>
          <w:sz w:val="18"/>
          <w:szCs w:val="18"/>
          <w:b w:val="1"/>
          <w:bCs w:val="1"/>
          <w:i w:val="1"/>
          <w:iCs w:val="1"/>
          <w:color w:val="auto"/>
        </w:rPr>
        <w:t>Tax Election</w:t>
      </w:r>
      <w:r>
        <w:rPr>
          <w:rFonts w:ascii="Arial" w:cs="Arial" w:eastAsia="Arial" w:hAnsi="Arial"/>
          <w:sz w:val="18"/>
          <w:szCs w:val="18"/>
          <w:color w:val="auto"/>
        </w:rPr>
        <w:t>”) to satisfy such withholding obligation by a broker-assisted cashless exercise transaction through a brokerage firm designated by the Optionee, by delivering Shares (that have been owned by the Optionee for such period as may be required by the Committee) or by having the Company retain from the Shares to be delivered a number of Shares having an aggregate Fair Market Value equal to the Withholding Taxes, provided that, if the Optionee may be subject to liability under Section 16(b) of the Exchange Act, the election must comply with the requirements applicable to Share transactions by the Optionee, and Shares may only be used to pay the minimum required withholdings. The Company shall have the right to deduct from any amounts payable to the Optionee for salary, bonuses or otherwise an amount equal to Withholding Taxes with respect to the Option.</w:t>
      </w:r>
    </w:p>
    <w:p>
      <w:pPr>
        <w:spacing w:after="0" w:line="220" w:lineRule="exact"/>
        <w:rPr>
          <w:sz w:val="20"/>
          <w:szCs w:val="20"/>
          <w:color w:val="auto"/>
        </w:rPr>
      </w:pPr>
    </w:p>
    <w:p>
      <w:pPr>
        <w:ind w:left="720" w:hanging="712"/>
        <w:spacing w:after="0"/>
        <w:tabs>
          <w:tab w:leader="none" w:pos="7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 Bound by the Plan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Optionee hereby acknowledges receipt of a copy of the Plan and agrees to be bound by all the terms and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5" w:name="page146"/>
    <w:bookmarkEnd w:id="145"/>
    <w:p>
      <w:pPr>
        <w:ind w:left="720" w:hanging="712"/>
        <w:spacing w:after="0"/>
        <w:tabs>
          <w:tab w:leader="none" w:pos="7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Agreement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expressly otherwise provided herein, this Agreement may not be modified, amended, suspended or terminated, and any terms or conditions may not be waived, except by a written instrument executed by the parties hereto.</w:t>
      </w:r>
    </w:p>
    <w:p>
      <w:pPr>
        <w:spacing w:after="0" w:line="193" w:lineRule="exact"/>
        <w:rPr>
          <w:sz w:val="20"/>
          <w:szCs w:val="20"/>
          <w:color w:val="auto"/>
        </w:rPr>
      </w:pPr>
    </w:p>
    <w:p>
      <w:pPr>
        <w:ind w:left="720" w:hanging="712"/>
        <w:spacing w:after="0"/>
        <w:tabs>
          <w:tab w:leader="none" w:pos="7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and Rescission of Awards; Return of Profits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If, during his employment with the Company or at any time during the one (1) year period after the Date of Termination, the Optionee violates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restrictive covenants set forth in Section 13.2 below, then the Committee shall, notwithstanding any other provision in this Agreement to the contrary, (i) cancel any outstanding portion of the Option (whether or not vested), and (ii) repurchase any Shares issued to the Optionee pursuant to exercise of the Option during the period six (6) months prior to and one (1) year after the Date of Termination at a per Share repurchase price equal to the Option Exercise Price, and require the Optionee to pay to the Company any gain realized by Optionee from the sale of Shares issued to the Optionee pursuant to exercise of the Option during such period.</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The Optionee will not directly or indirectly, individually, or on behalf of any Person other than the Company or a Subsidiary:</w:t>
      </w:r>
    </w:p>
    <w:p>
      <w:pPr>
        <w:spacing w:after="0" w:line="256" w:lineRule="exact"/>
        <w:rPr>
          <w:sz w:val="20"/>
          <w:szCs w:val="20"/>
          <w:color w:val="auto"/>
        </w:rPr>
      </w:pPr>
    </w:p>
    <w:p>
      <w:pPr>
        <w:ind w:left="760" w:hanging="752"/>
        <w:spacing w:after="0"/>
        <w:tabs>
          <w:tab w:leader="none" w:pos="7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solicit any Customers for the purpose of providing services identical to or reasonably substitutable for the Company’s Business;</w:t>
      </w:r>
    </w:p>
    <w:p>
      <w:pPr>
        <w:spacing w:after="0" w:line="252" w:lineRule="exact"/>
        <w:rPr>
          <w:rFonts w:ascii="Arial" w:cs="Arial" w:eastAsia="Arial" w:hAnsi="Arial"/>
          <w:sz w:val="18"/>
          <w:szCs w:val="18"/>
          <w:color w:val="auto"/>
        </w:rPr>
      </w:pPr>
    </w:p>
    <w:p>
      <w:pPr>
        <w:ind w:firstLine="8"/>
        <w:spacing w:after="0" w:line="277" w:lineRule="auto"/>
        <w:tabs>
          <w:tab w:leader="none" w:pos="8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97" w:lineRule="exact"/>
        <w:rPr>
          <w:rFonts w:ascii="Arial" w:cs="Arial" w:eastAsia="Arial" w:hAnsi="Arial"/>
          <w:sz w:val="18"/>
          <w:szCs w:val="18"/>
          <w:color w:val="auto"/>
        </w:rPr>
      </w:pPr>
    </w:p>
    <w:p>
      <w:pPr>
        <w:ind w:left="780" w:hanging="772"/>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firstLine="8"/>
        <w:spacing w:after="0" w:line="264" w:lineRule="auto"/>
        <w:tabs>
          <w:tab w:leader="none" w:pos="7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Optionee further agrees that he or she will not, except as necessary to carry out his duties as an employee of the Company, disclose or use Confidential Information. The Optionee further agrees that, upon termination or expiration of employment with the Company for any reason whatsoever or at any time, the Optionee will upon request by the Company deliver promptly to the Company all materials (including electronically-stored materials), documents, plans, records, notes, or other papers, and any copies in the Optionee’s possession or control, relating in any way to the Company’s Business, which at all times shall be the property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6" w:name="page147"/>
    <w:bookmarkEnd w:id="146"/>
    <w:p>
      <w:pPr>
        <w:spacing w:after="0"/>
        <w:tabs>
          <w:tab w:leader="none" w:pos="8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For purposes of this Section 13, the following terms shall have the meanings specified below:</w:t>
      </w:r>
    </w:p>
    <w:p>
      <w:pPr>
        <w:spacing w:after="0" w:line="256" w:lineRule="exact"/>
        <w:rPr>
          <w:sz w:val="20"/>
          <w:szCs w:val="20"/>
          <w:color w:val="auto"/>
        </w:rPr>
      </w:pPr>
    </w:p>
    <w:p>
      <w:pPr>
        <w:ind w:right="60" w:firstLine="8"/>
        <w:spacing w:after="0" w:line="277" w:lineRule="auto"/>
        <w:tabs>
          <w:tab w:leader="none" w:pos="7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firstLine="8"/>
        <w:spacing w:after="0" w:line="254" w:lineRule="auto"/>
        <w:tabs>
          <w:tab w:leader="none" w:pos="91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information, without regard to form, relating to the Company’s or any Subsidiary’s customers,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219" w:lineRule="exact"/>
        <w:rPr>
          <w:rFonts w:ascii="Arial" w:cs="Arial" w:eastAsia="Arial" w:hAnsi="Arial"/>
          <w:sz w:val="18"/>
          <w:szCs w:val="18"/>
          <w:color w:val="auto"/>
        </w:rPr>
      </w:pPr>
    </w:p>
    <w:p>
      <w:pPr>
        <w:jc w:val="both"/>
        <w:ind w:firstLine="8"/>
        <w:spacing w:after="0" w:line="264" w:lineRule="auto"/>
        <w:tabs>
          <w:tab w:leader="none" w:pos="846"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Persons that (1) the Optionee serviced or solicited on behalf of the Company or any Subsidiary, (2) whose dealings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any Subsidiary were coordinated or supervised, in whole or in part, by the Optionee, or (3) about whom the Optionee obtained Confidential Information, in each case during the term of this Agreement or while otherwise employed by the Company.</w:t>
      </w:r>
    </w:p>
    <w:p>
      <w:pPr>
        <w:spacing w:after="0" w:line="208" w:lineRule="exact"/>
        <w:rPr>
          <w:rFonts w:ascii="Arial" w:cs="Arial" w:eastAsia="Arial" w:hAnsi="Arial"/>
          <w:sz w:val="18"/>
          <w:szCs w:val="18"/>
          <w:color w:val="auto"/>
        </w:rPr>
      </w:pPr>
    </w:p>
    <w:p>
      <w:pPr>
        <w:ind w:left="760" w:hanging="752"/>
        <w:spacing w:after="0"/>
        <w:tabs>
          <w:tab w:leader="none" w:pos="7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Date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date upon which the Optionee’s employment with the Company ceases for any reason.</w:t>
      </w:r>
    </w:p>
    <w:p>
      <w:pPr>
        <w:spacing w:after="0" w:line="252" w:lineRule="exact"/>
        <w:rPr>
          <w:rFonts w:ascii="Arial" w:cs="Arial" w:eastAsia="Arial" w:hAnsi="Arial"/>
          <w:sz w:val="18"/>
          <w:szCs w:val="18"/>
          <w:color w:val="auto"/>
        </w:rPr>
      </w:pPr>
    </w:p>
    <w:p>
      <w:pPr>
        <w:ind w:firstLine="8"/>
        <w:spacing w:after="0" w:line="277" w:lineRule="auto"/>
        <w:tabs>
          <w:tab w:leader="none" w:pos="772"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individual, corporation, bank, partnership, joint venture, association, joint-stock company, trust,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entity.</w:t>
      </w:r>
    </w:p>
    <w:p>
      <w:pPr>
        <w:spacing w:after="0" w:line="197" w:lineRule="exact"/>
        <w:rPr>
          <w:rFonts w:ascii="Arial" w:cs="Arial" w:eastAsia="Arial" w:hAnsi="Arial"/>
          <w:sz w:val="18"/>
          <w:szCs w:val="18"/>
          <w:color w:val="auto"/>
        </w:rPr>
      </w:pPr>
    </w:p>
    <w:p>
      <w:pPr>
        <w:ind w:firstLine="8"/>
        <w:spacing w:after="0" w:line="277" w:lineRule="auto"/>
        <w:tabs>
          <w:tab w:leader="none" w:pos="8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93" w:lineRule="exact"/>
        <w:rPr>
          <w:sz w:val="20"/>
          <w:szCs w:val="20"/>
          <w:color w:val="auto"/>
        </w:rPr>
      </w:pPr>
    </w:p>
    <w:p>
      <w:pPr>
        <w:ind w:left="720" w:hanging="712"/>
        <w:spacing w:after="0"/>
        <w:tabs>
          <w:tab w:leader="none" w:pos="7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Scope of Restrictions.</w:t>
      </w:r>
    </w:p>
    <w:p>
      <w:pPr>
        <w:spacing w:after="0" w:line="256" w:lineRule="exact"/>
        <w:rPr>
          <w:sz w:val="20"/>
          <w:szCs w:val="20"/>
          <w:color w:val="auto"/>
        </w:rPr>
      </w:pPr>
    </w:p>
    <w:p>
      <w:pPr>
        <w:jc w:val="both"/>
        <w:ind w:firstLine="639"/>
        <w:spacing w:after="0" w:line="257" w:lineRule="auto"/>
        <w:rPr>
          <w:sz w:val="20"/>
          <w:szCs w:val="20"/>
          <w:color w:val="auto"/>
        </w:rPr>
      </w:pPr>
      <w:r>
        <w:rPr>
          <w:rFonts w:ascii="Arial" w:cs="Arial" w:eastAsia="Arial" w:hAnsi="Arial"/>
          <w:sz w:val="18"/>
          <w:szCs w:val="18"/>
          <w:color w:val="auto"/>
        </w:rPr>
        <w:t>Should any provision of this Agreement, including Section 13, be held by a court of competent jurisdiction to be unenforceable or invalid for any reason, the remaining provisions of this Agreement shall not be affected by such holding and shall continue in full force in accordance with their terms. If any court of competent jurisdiction shall determine that the restrictions set forth in any provision of Section 13 are overbroad or unreasonable as applied to Optionee, the parties hereto acknowledge their mutual intention and agreement that those restrictions be enforced to the fullest extent the court deems reasonable, and the Agreement shall be modified to that extent.</w:t>
      </w:r>
    </w:p>
    <w:p>
      <w:pPr>
        <w:spacing w:after="0" w:line="211" w:lineRule="exact"/>
        <w:rPr>
          <w:sz w:val="20"/>
          <w:szCs w:val="20"/>
          <w:color w:val="auto"/>
        </w:rPr>
      </w:pPr>
    </w:p>
    <w:p>
      <w:pPr>
        <w:ind w:left="720" w:hanging="712"/>
        <w:spacing w:after="0"/>
        <w:tabs>
          <w:tab w:leader="none" w:pos="7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United States and the laws of the State of Georgia without giving effect to the conflicts of laws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7" w:name="page148"/>
    <w:bookmarkEnd w:id="147"/>
    <w:p>
      <w:pPr>
        <w:ind w:left="720" w:hanging="712"/>
        <w:spacing w:after="0"/>
        <w:tabs>
          <w:tab w:leader="none" w:pos="7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in Interest</w:t>
      </w:r>
      <w:r>
        <w:rPr>
          <w:rFonts w:ascii="Arial" w:cs="Arial" w:eastAsia="Arial" w:hAnsi="Arial"/>
          <w:sz w:val="18"/>
          <w:szCs w:val="18"/>
          <w:b w:val="1"/>
          <w:bCs w:val="1"/>
          <w:color w:val="auto"/>
        </w:rPr>
        <w:t>.</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Agreement shall be binding upon, and inure to the benefit of, the Company and its successors and assigns, and, subject to Section 9.2, upon any person acquiring, whether by merger, consolidation, reorganization, purchase of stock or assets, or otherwise, all or substantially all of the Company’s assets and business. This Agreement shall inure to the benefit of the Optionee’s heirs and legal representatives. All obligations imposed upon the Optionee and all rights granted to the Company under this Agreement shall be final, binding and conclusive upon the Optionee’s heirs, executors, administrators and successors.</w:t>
      </w:r>
    </w:p>
    <w:p>
      <w:pPr>
        <w:spacing w:after="0" w:line="211" w:lineRule="exact"/>
        <w:rPr>
          <w:sz w:val="20"/>
          <w:szCs w:val="20"/>
          <w:color w:val="auto"/>
        </w:rPr>
      </w:pPr>
    </w:p>
    <w:p>
      <w:pPr>
        <w:ind w:left="720" w:hanging="712"/>
        <w:spacing w:after="0"/>
        <w:tabs>
          <w:tab w:leader="none" w:pos="7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u w:val="single" w:color="auto"/>
          <w:color w:val="auto"/>
        </w:rPr>
        <w:t>Resolution of Disputes</w:t>
      </w:r>
      <w:r>
        <w:rPr>
          <w:rFonts w:ascii="Arial" w:cs="Arial" w:eastAsia="Arial" w:hAnsi="Arial"/>
          <w:sz w:val="15"/>
          <w:szCs w:val="15"/>
          <w:b w:val="1"/>
          <w:bCs w:val="1"/>
          <w:color w:val="auto"/>
        </w:rPr>
        <w:t>.</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Any dispute or disagreement which may arise under, or as a result of, or in any way relate to, the interpretation, construction or application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Plan shall be determined by the Committee. Any determination made by the Committee shall be final, binding and conclusive on the Optionee and the Company and their successors, assigns, heirs, executors, administrators and legal representatives for all purposes.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To the extent permitted by applicable law, any dispute, disagreement or claim which may arise under, or as a result of, or in any way relate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18.3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8" w:name="page149"/>
    <w:bookmarkEnd w:id="148"/>
    <w:p>
      <w:pPr>
        <w:ind w:left="720" w:hanging="712"/>
        <w:spacing w:after="0"/>
        <w:tabs>
          <w:tab w:leader="none" w:pos="7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Construction</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legal construction and interpretation of this Agreement (including, but not limited to, issues of gender, plural or singular, governing law and severability) shall be governed by the provisions of Article 19 of the Plan.</w:t>
      </w:r>
    </w:p>
    <w:p>
      <w:pPr>
        <w:spacing w:after="0" w:line="193" w:lineRule="exact"/>
        <w:rPr>
          <w:sz w:val="20"/>
          <w:szCs w:val="20"/>
          <w:color w:val="auto"/>
        </w:rPr>
      </w:pPr>
    </w:p>
    <w:p>
      <w:pPr>
        <w:ind w:left="720" w:hanging="712"/>
        <w:spacing w:after="0"/>
        <w:tabs>
          <w:tab w:leader="none" w:pos="7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Option is intended to be exempt from the requirements of Section 409A of the Internal Revenue Code of 1986, as amended and the standards, regulations or other guidance promulgated hereunder (“Section 409A”). Any action that may be taken (and, to the extent possible, any action actually taken) by the Company shall not be taken (or shall be void and without effect), if such action results in the Option becoming subject to and violating the requirements of Section 409A. Any provision in this Agreement that is determined to result in the Option becoming subject to and violating the requirements of Section 409A shall be void and without effect. In addition, any provision that is required to appear in this Agreement to conform the Option’s exemption from Section 409A that is not expressly set forth herein shall be deemed to be set forth herein, and the Agreement shall be administered in all respects as if such provision were expressly set forth.</w:t>
      </w:r>
    </w:p>
    <w:p>
      <w:pPr>
        <w:spacing w:after="0" w:line="21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[EXECUTION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6350</wp:posOffset>
            </wp:positionV>
            <wp:extent cx="28384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14605</wp:posOffset>
            </wp:positionV>
            <wp:extent cx="28384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signing below, the Optionee hereby accepts the Option subject to all its terms and provisions and agrees to be bound by the terms and provisions of this Agreement and the Plan. The Optionee hereby agrees to accept as binding, conclusive and final all decisions or interpretations of the Board of Directors of the Company, or the Compensation Committee or other Committee responsible for the administration of the Plan, upon any questions arising under the Plan. The Optionee authorizes the Company to withhold, in accordance with applicable law, from any compensation payable to him or her, any taxes required to be withheld by federal, state, local or foreign law as a result of the grant, existence or exercise of the Option, or subsequent sale of the Shares.</w:t>
      </w:r>
    </w:p>
    <w:p>
      <w:pPr>
        <w:spacing w:after="0" w:line="154"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OPTIONEE</w:t>
      </w:r>
    </w:p>
    <w:p>
      <w:pPr>
        <w:spacing w:after="0" w:line="22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6350</wp:posOffset>
            </wp:positionV>
            <wp:extent cx="28384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8940" w:type="dxa"/>
            <w:vAlign w:val="bottom"/>
          </w:tcPr>
          <w:p>
            <w:pPr>
              <w:jc w:val="right"/>
              <w:spacing w:after="0"/>
              <w:rPr>
                <w:sz w:val="20"/>
                <w:szCs w:val="20"/>
                <w:color w:val="auto"/>
              </w:rPr>
            </w:pPr>
            <w:r>
              <w:rPr>
                <w:rFonts w:ascii="Arial" w:cs="Arial" w:eastAsia="Arial" w:hAnsi="Arial"/>
                <w:sz w:val="18"/>
                <w:szCs w:val="18"/>
                <w:b w:val="1"/>
                <w:bCs w:val="1"/>
                <w:color w:val="auto"/>
              </w:rPr>
              <w:t>EXHIBIT 10.17</w:t>
            </w:r>
          </w:p>
        </w:tc>
      </w:tr>
      <w:tr>
        <w:trPr>
          <w:trHeight w:val="441"/>
        </w:trPr>
        <w:tc>
          <w:tcPr>
            <w:tcW w:w="2480" w:type="dxa"/>
            <w:vAlign w:val="bottom"/>
          </w:tcPr>
          <w:p>
            <w:pPr>
              <w:spacing w:after="0"/>
              <w:rPr>
                <w:sz w:val="24"/>
                <w:szCs w:val="24"/>
                <w:color w:val="auto"/>
              </w:rPr>
            </w:pPr>
          </w:p>
        </w:tc>
        <w:tc>
          <w:tcPr>
            <w:tcW w:w="8940" w:type="dxa"/>
            <w:vAlign w:val="bottom"/>
          </w:tcPr>
          <w:p>
            <w:pPr>
              <w:jc w:val="center"/>
              <w:ind w:right="2390"/>
              <w:spacing w:after="0"/>
              <w:rPr>
                <w:sz w:val="20"/>
                <w:szCs w:val="20"/>
                <w:color w:val="auto"/>
              </w:rPr>
            </w:pPr>
            <w:r>
              <w:rPr>
                <w:rFonts w:ascii="Arial" w:cs="Arial" w:eastAsia="Arial" w:hAnsi="Arial"/>
                <w:sz w:val="18"/>
                <w:szCs w:val="18"/>
                <w:b w:val="1"/>
                <w:bCs w:val="1"/>
                <w:color w:val="auto"/>
              </w:rPr>
              <w:t>UNITED COMMUNITY BANKS, INC.</w:t>
            </w:r>
          </w:p>
        </w:tc>
      </w:tr>
      <w:tr>
        <w:trPr>
          <w:trHeight w:val="216"/>
        </w:trPr>
        <w:tc>
          <w:tcPr>
            <w:tcW w:w="2480" w:type="dxa"/>
            <w:vAlign w:val="bottom"/>
          </w:tcPr>
          <w:p>
            <w:pPr>
              <w:spacing w:after="0"/>
              <w:rPr>
                <w:sz w:val="18"/>
                <w:szCs w:val="18"/>
                <w:color w:val="auto"/>
              </w:rPr>
            </w:pPr>
          </w:p>
        </w:tc>
        <w:tc>
          <w:tcPr>
            <w:tcW w:w="8940" w:type="dxa"/>
            <w:vAlign w:val="bottom"/>
          </w:tcPr>
          <w:p>
            <w:pPr>
              <w:jc w:val="center"/>
              <w:ind w:right="2370"/>
              <w:spacing w:after="0"/>
              <w:rPr>
                <w:sz w:val="20"/>
                <w:szCs w:val="20"/>
                <w:color w:val="auto"/>
              </w:rPr>
            </w:pPr>
            <w:r>
              <w:rPr>
                <w:rFonts w:ascii="Arial" w:cs="Arial" w:eastAsia="Arial" w:hAnsi="Arial"/>
                <w:sz w:val="18"/>
                <w:szCs w:val="18"/>
                <w:b w:val="1"/>
                <w:bCs w:val="1"/>
                <w:color w:val="auto"/>
                <w:w w:val="99"/>
              </w:rPr>
              <w:t>AMENDED AND RESTATED</w:t>
            </w:r>
          </w:p>
        </w:tc>
      </w:tr>
      <w:tr>
        <w:trPr>
          <w:trHeight w:val="234"/>
        </w:trPr>
        <w:tc>
          <w:tcPr>
            <w:tcW w:w="2480" w:type="dxa"/>
            <w:vAlign w:val="bottom"/>
          </w:tcPr>
          <w:p>
            <w:pPr>
              <w:spacing w:after="0"/>
              <w:rPr>
                <w:sz w:val="20"/>
                <w:szCs w:val="20"/>
                <w:color w:val="auto"/>
              </w:rPr>
            </w:pPr>
          </w:p>
        </w:tc>
        <w:tc>
          <w:tcPr>
            <w:tcW w:w="8940" w:type="dxa"/>
            <w:vAlign w:val="bottom"/>
          </w:tcPr>
          <w:p>
            <w:pPr>
              <w:jc w:val="center"/>
              <w:ind w:right="2370"/>
              <w:spacing w:after="0"/>
              <w:rPr>
                <w:sz w:val="20"/>
                <w:szCs w:val="20"/>
                <w:color w:val="auto"/>
              </w:rPr>
            </w:pPr>
            <w:r>
              <w:rPr>
                <w:rFonts w:ascii="Arial" w:cs="Arial" w:eastAsia="Arial" w:hAnsi="Arial"/>
                <w:sz w:val="18"/>
                <w:szCs w:val="18"/>
                <w:b w:val="1"/>
                <w:bCs w:val="1"/>
                <w:color w:val="auto"/>
              </w:rPr>
              <w:t>2000 KEY EMPLOYEE STOCK OPTION PLAN</w:t>
            </w:r>
          </w:p>
        </w:tc>
      </w:tr>
      <w:tr>
        <w:trPr>
          <w:trHeight w:val="441"/>
        </w:trPr>
        <w:tc>
          <w:tcPr>
            <w:tcW w:w="2480" w:type="dxa"/>
            <w:vAlign w:val="bottom"/>
          </w:tcPr>
          <w:p>
            <w:pPr>
              <w:spacing w:after="0"/>
              <w:rPr>
                <w:sz w:val="24"/>
                <w:szCs w:val="24"/>
                <w:color w:val="auto"/>
              </w:rPr>
            </w:pPr>
          </w:p>
        </w:tc>
        <w:tc>
          <w:tcPr>
            <w:tcW w:w="8940" w:type="dxa"/>
            <w:vAlign w:val="bottom"/>
          </w:tcPr>
          <w:p>
            <w:pPr>
              <w:jc w:val="center"/>
              <w:ind w:right="2390"/>
              <w:spacing w:after="0"/>
              <w:rPr>
                <w:sz w:val="20"/>
                <w:szCs w:val="20"/>
                <w:color w:val="auto"/>
              </w:rPr>
            </w:pPr>
            <w:r>
              <w:rPr>
                <w:rFonts w:ascii="Arial" w:cs="Arial" w:eastAsia="Arial" w:hAnsi="Arial"/>
                <w:sz w:val="18"/>
                <w:szCs w:val="18"/>
                <w:b w:val="1"/>
                <w:bCs w:val="1"/>
                <w:color w:val="auto"/>
              </w:rPr>
              <w:t>RESTRICTED STOCK UNIT AWARD AGREEMENT</w:t>
            </w:r>
          </w:p>
        </w:tc>
      </w:tr>
      <w:tr>
        <w:trPr>
          <w:trHeight w:val="234"/>
        </w:trPr>
        <w:tc>
          <w:tcPr>
            <w:tcW w:w="2480" w:type="dxa"/>
            <w:vAlign w:val="bottom"/>
          </w:tcPr>
          <w:p>
            <w:pPr>
              <w:spacing w:after="0"/>
              <w:rPr>
                <w:sz w:val="20"/>
                <w:szCs w:val="20"/>
                <w:color w:val="auto"/>
              </w:rPr>
            </w:pPr>
          </w:p>
        </w:tc>
        <w:tc>
          <w:tcPr>
            <w:tcW w:w="8940" w:type="dxa"/>
            <w:vAlign w:val="bottom"/>
          </w:tcPr>
          <w:p>
            <w:pPr>
              <w:jc w:val="center"/>
              <w:ind w:right="2370"/>
              <w:spacing w:after="0"/>
              <w:rPr>
                <w:sz w:val="20"/>
                <w:szCs w:val="20"/>
                <w:color w:val="auto"/>
              </w:rPr>
            </w:pPr>
            <w:r>
              <w:rPr>
                <w:rFonts w:ascii="Arial" w:cs="Arial" w:eastAsia="Arial" w:hAnsi="Arial"/>
                <w:sz w:val="18"/>
                <w:szCs w:val="18"/>
                <w:b w:val="1"/>
                <w:bCs w:val="1"/>
                <w:color w:val="auto"/>
                <w:w w:val="91"/>
              </w:rPr>
              <w:t>(Key Employee)</w:t>
            </w:r>
          </w:p>
        </w:tc>
      </w:tr>
      <w:tr>
        <w:trPr>
          <w:trHeight w:val="459"/>
        </w:trPr>
        <w:tc>
          <w:tcPr>
            <w:tcW w:w="248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8940" w:type="dxa"/>
            <w:vAlign w:val="bottom"/>
          </w:tcPr>
          <w:p>
            <w:pPr>
              <w:jc w:val="right"/>
              <w:spacing w:after="0"/>
              <w:rPr>
                <w:sz w:val="20"/>
                <w:szCs w:val="20"/>
                <w:color w:val="auto"/>
              </w:rPr>
            </w:pPr>
            <w:r>
              <w:rPr>
                <w:rFonts w:ascii="Arial" w:cs="Arial" w:eastAsia="Arial" w:hAnsi="Arial"/>
                <w:sz w:val="18"/>
                <w:szCs w:val="18"/>
                <w:color w:val="auto"/>
              </w:rPr>
              <w:t>________________________________</w:t>
            </w:r>
          </w:p>
        </w:tc>
      </w:tr>
      <w:tr>
        <w:trPr>
          <w:trHeight w:val="432"/>
        </w:trPr>
        <w:tc>
          <w:tcPr>
            <w:tcW w:w="248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8940" w:type="dxa"/>
            <w:vAlign w:val="bottom"/>
          </w:tcPr>
          <w:p>
            <w:pPr>
              <w:jc w:val="right"/>
              <w:spacing w:after="0"/>
              <w:rPr>
                <w:sz w:val="20"/>
                <w:szCs w:val="20"/>
                <w:color w:val="auto"/>
              </w:rPr>
            </w:pPr>
            <w:r>
              <w:rPr>
                <w:rFonts w:ascii="Arial" w:cs="Arial" w:eastAsia="Arial" w:hAnsi="Arial"/>
                <w:sz w:val="18"/>
                <w:szCs w:val="18"/>
                <w:b w:val="1"/>
                <w:bCs w:val="1"/>
                <w:color w:val="auto"/>
              </w:rPr>
              <w:t xml:space="preserve">___________________________ </w:t>
            </w:r>
            <w:r>
              <w:rPr>
                <w:rFonts w:ascii="Arial" w:cs="Arial" w:eastAsia="Arial" w:hAnsi="Arial"/>
                <w:sz w:val="18"/>
                <w:szCs w:val="18"/>
                <w:color w:val="auto"/>
              </w:rPr>
              <w:t>RSUs</w:t>
            </w:r>
          </w:p>
        </w:tc>
      </w:tr>
      <w:tr>
        <w:trPr>
          <w:trHeight w:val="432"/>
        </w:trPr>
        <w:tc>
          <w:tcPr>
            <w:tcW w:w="24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8940" w:type="dxa"/>
            <w:vAlign w:val="bottom"/>
          </w:tcPr>
          <w:p>
            <w:pPr>
              <w:jc w:val="right"/>
              <w:spacing w:after="0"/>
              <w:rPr>
                <w:sz w:val="20"/>
                <w:szCs w:val="20"/>
                <w:color w:val="auto"/>
              </w:rPr>
            </w:pPr>
            <w:r>
              <w:rPr>
                <w:rFonts w:ascii="Arial" w:cs="Arial" w:eastAsia="Arial" w:hAnsi="Arial"/>
                <w:sz w:val="18"/>
                <w:szCs w:val="18"/>
                <w:color w:val="auto"/>
              </w:rPr>
              <w:t>________________________________</w:t>
            </w:r>
          </w:p>
        </w:tc>
      </w:tr>
      <w:tr>
        <w:trPr>
          <w:trHeight w:val="418"/>
        </w:trPr>
        <w:tc>
          <w:tcPr>
            <w:tcW w:w="24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940" w:type="dxa"/>
            <w:vAlign w:val="bottom"/>
          </w:tcPr>
          <w:p>
            <w:pPr>
              <w:jc w:val="right"/>
              <w:spacing w:after="0"/>
              <w:rPr>
                <w:sz w:val="20"/>
                <w:szCs w:val="20"/>
                <w:color w:val="auto"/>
              </w:rPr>
            </w:pPr>
            <w:r>
              <w:rPr>
                <w:rFonts w:ascii="Arial" w:cs="Arial" w:eastAsia="Arial" w:hAnsi="Arial"/>
                <w:sz w:val="18"/>
                <w:szCs w:val="18"/>
                <w:color w:val="auto"/>
              </w:rPr>
              <w:t>Per attached Grantee Statement referred to</w:t>
            </w:r>
          </w:p>
        </w:tc>
      </w:tr>
      <w:tr>
        <w:trPr>
          <w:trHeight w:val="230"/>
        </w:trPr>
        <w:tc>
          <w:tcPr>
            <w:tcW w:w="2480" w:type="dxa"/>
            <w:vAlign w:val="bottom"/>
          </w:tcPr>
          <w:p>
            <w:pPr>
              <w:spacing w:after="0"/>
              <w:rPr>
                <w:sz w:val="20"/>
                <w:szCs w:val="20"/>
                <w:color w:val="auto"/>
              </w:rPr>
            </w:pPr>
          </w:p>
        </w:tc>
        <w:tc>
          <w:tcPr>
            <w:tcW w:w="8940" w:type="dxa"/>
            <w:vAlign w:val="bottom"/>
          </w:tcPr>
          <w:p>
            <w:pPr>
              <w:jc w:val="right"/>
              <w:spacing w:after="0"/>
              <w:rPr>
                <w:sz w:val="20"/>
                <w:szCs w:val="20"/>
                <w:color w:val="auto"/>
              </w:rPr>
            </w:pPr>
            <w:r>
              <w:rPr>
                <w:rFonts w:ascii="Arial" w:cs="Arial" w:eastAsia="Arial" w:hAnsi="Arial"/>
                <w:sz w:val="18"/>
                <w:szCs w:val="18"/>
                <w:color w:val="auto"/>
              </w:rPr>
              <w:t>herein as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w:t>
            </w:r>
          </w:p>
        </w:tc>
      </w:tr>
      <w:tr>
        <w:trPr>
          <w:trHeight w:val="418"/>
        </w:trPr>
        <w:tc>
          <w:tcPr>
            <w:tcW w:w="24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8940" w:type="dxa"/>
            <w:vAlign w:val="bottom"/>
          </w:tcPr>
          <w:p>
            <w:pPr>
              <w:jc w:val="right"/>
              <w:spacing w:after="0"/>
              <w:rPr>
                <w:sz w:val="20"/>
                <w:szCs w:val="20"/>
                <w:color w:val="auto"/>
              </w:rPr>
            </w:pPr>
            <w:r>
              <w:rPr>
                <w:rFonts w:ascii="Arial" w:cs="Arial" w:eastAsia="Arial" w:hAnsi="Arial"/>
                <w:sz w:val="18"/>
                <w:szCs w:val="18"/>
                <w:color w:val="auto"/>
              </w:rPr>
              <w:t>Any county and any contiguous county</w:t>
            </w:r>
          </w:p>
        </w:tc>
      </w:tr>
      <w:tr>
        <w:trPr>
          <w:trHeight w:val="216"/>
        </w:trPr>
        <w:tc>
          <w:tcPr>
            <w:tcW w:w="2480" w:type="dxa"/>
            <w:vAlign w:val="bottom"/>
          </w:tcPr>
          <w:p>
            <w:pPr>
              <w:spacing w:after="0"/>
              <w:rPr>
                <w:sz w:val="18"/>
                <w:szCs w:val="18"/>
                <w:color w:val="auto"/>
              </w:rPr>
            </w:pPr>
          </w:p>
        </w:tc>
        <w:tc>
          <w:tcPr>
            <w:tcW w:w="8940" w:type="dxa"/>
            <w:vAlign w:val="bottom"/>
          </w:tcPr>
          <w:p>
            <w:pPr>
              <w:jc w:val="right"/>
              <w:spacing w:after="0"/>
              <w:rPr>
                <w:sz w:val="20"/>
                <w:szCs w:val="20"/>
                <w:color w:val="auto"/>
              </w:rPr>
            </w:pPr>
            <w:r>
              <w:rPr>
                <w:rFonts w:ascii="Arial" w:cs="Arial" w:eastAsia="Arial" w:hAnsi="Arial"/>
                <w:sz w:val="18"/>
                <w:szCs w:val="18"/>
                <w:color w:val="auto"/>
              </w:rPr>
              <w:t>and any metropolitan statistical area in</w:t>
            </w:r>
          </w:p>
        </w:tc>
      </w:tr>
      <w:tr>
        <w:trPr>
          <w:trHeight w:val="216"/>
        </w:trPr>
        <w:tc>
          <w:tcPr>
            <w:tcW w:w="2480" w:type="dxa"/>
            <w:vAlign w:val="bottom"/>
          </w:tcPr>
          <w:p>
            <w:pPr>
              <w:spacing w:after="0"/>
              <w:rPr>
                <w:sz w:val="18"/>
                <w:szCs w:val="18"/>
                <w:color w:val="auto"/>
              </w:rPr>
            </w:pPr>
          </w:p>
        </w:tc>
        <w:tc>
          <w:tcPr>
            <w:tcW w:w="8940" w:type="dxa"/>
            <w:vAlign w:val="bottom"/>
          </w:tcPr>
          <w:p>
            <w:pPr>
              <w:jc w:val="right"/>
              <w:spacing w:after="0"/>
              <w:rPr>
                <w:sz w:val="20"/>
                <w:szCs w:val="20"/>
                <w:color w:val="auto"/>
              </w:rPr>
            </w:pPr>
            <w:r>
              <w:rPr>
                <w:rFonts w:ascii="Arial" w:cs="Arial" w:eastAsia="Arial" w:hAnsi="Arial"/>
                <w:sz w:val="18"/>
                <w:szCs w:val="18"/>
                <w:color w:val="auto"/>
              </w:rPr>
              <w:t>which any of the Company’s subsidiary</w:t>
            </w:r>
          </w:p>
        </w:tc>
      </w:tr>
      <w:tr>
        <w:trPr>
          <w:trHeight w:val="230"/>
        </w:trPr>
        <w:tc>
          <w:tcPr>
            <w:tcW w:w="2480" w:type="dxa"/>
            <w:vAlign w:val="bottom"/>
          </w:tcPr>
          <w:p>
            <w:pPr>
              <w:spacing w:after="0"/>
              <w:rPr>
                <w:sz w:val="20"/>
                <w:szCs w:val="20"/>
                <w:color w:val="auto"/>
              </w:rPr>
            </w:pPr>
          </w:p>
        </w:tc>
        <w:tc>
          <w:tcPr>
            <w:tcW w:w="8940" w:type="dxa"/>
            <w:vAlign w:val="bottom"/>
          </w:tcPr>
          <w:p>
            <w:pPr>
              <w:jc w:val="right"/>
              <w:spacing w:after="0"/>
              <w:rPr>
                <w:sz w:val="20"/>
                <w:szCs w:val="20"/>
                <w:color w:val="auto"/>
              </w:rPr>
            </w:pPr>
            <w:r>
              <w:rPr>
                <w:rFonts w:ascii="Arial" w:cs="Arial" w:eastAsia="Arial" w:hAnsi="Arial"/>
                <w:sz w:val="18"/>
                <w:szCs w:val="18"/>
                <w:color w:val="auto"/>
              </w:rPr>
              <w:t>banks has an office as of the date hereof.</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 _____day of ______, _________,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maintains the United Community Banks, Inc. Amended and Restated 2000 Key Employee Stock Option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Grantee has been selected by the Committee to receive a Restricted Stock Unit Award under the Plan;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IT IS AGREED</w:t>
      </w:r>
      <w:r>
        <w:rPr>
          <w:rFonts w:ascii="Arial" w:cs="Arial" w:eastAsia="Arial" w:hAnsi="Arial"/>
          <w:sz w:val="18"/>
          <w:szCs w:val="18"/>
          <w:color w:val="auto"/>
        </w:rPr>
        <w:t>, by and between the Company and the Grantee, as follows:</w:t>
      </w:r>
    </w:p>
    <w:p>
      <w:pPr>
        <w:spacing w:after="0" w:line="252" w:lineRule="exact"/>
        <w:rPr>
          <w:sz w:val="20"/>
          <w:szCs w:val="20"/>
          <w:color w:val="auto"/>
        </w:rPr>
      </w:pPr>
    </w:p>
    <w:p>
      <w:pPr>
        <w:ind w:left="1280" w:hanging="624"/>
        <w:spacing w:after="0"/>
        <w:tabs>
          <w:tab w:leader="none" w:pos="12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Restricted Stock Units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 The Company hereby grants to the Grantee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 This Agreement (including any Exhibits)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51" w:name="page152"/>
    <w:bookmarkEnd w:id="151"/>
    <w:p>
      <w:pPr>
        <w:ind w:firstLine="1297"/>
        <w:spacing w:after="0" w:line="342" w:lineRule="auto"/>
        <w:rPr>
          <w:sz w:val="20"/>
          <w:szCs w:val="20"/>
          <w:color w:val="auto"/>
        </w:rPr>
      </w:pPr>
      <w:r>
        <w:rPr>
          <w:rFonts w:ascii="Arial" w:cs="Arial" w:eastAsia="Arial" w:hAnsi="Arial"/>
          <w:sz w:val="16"/>
          <w:szCs w:val="16"/>
          <w:color w:val="auto"/>
        </w:rPr>
        <w:t>1.3 This Award is conditioned on the Grantee’s execution of this Agreement. If this Agreement is not executed by the Grantee and returned to the Company within seven days of receipt of Agreement, it may be canceled by the Committee resulting in the immediate forfeiture of all RSUs.</w:t>
      </w:r>
    </w:p>
    <w:p>
      <w:pPr>
        <w:spacing w:after="0" w:line="147" w:lineRule="exact"/>
        <w:rPr>
          <w:sz w:val="20"/>
          <w:szCs w:val="20"/>
          <w:color w:val="auto"/>
        </w:rPr>
      </w:pPr>
    </w:p>
    <w:p>
      <w:pPr>
        <w:ind w:left="1280" w:hanging="624"/>
        <w:spacing w:after="0"/>
        <w:tabs>
          <w:tab w:leader="none" w:pos="12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Termination of Employment</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Subject to Sections 2.2 through 2.5 below and Section 8, if the Grantee remains employed by the Company, the RSUs shall vest in accordance with the provisions of Exhibit A. Each date on which the RSUs vest is hereinafter referred to as a “Vesting Date”.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“Initial Restriction Period”).</w:t>
      </w:r>
    </w:p>
    <w:p>
      <w:pPr>
        <w:spacing w:after="0" w:line="21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Except as otherwise provided below, on the Vesting Date, a number of Shares equal to the number of vested RSUs shall be issued to the Grantee free and clear of all restrictions imposed by this Agreement (except those imposed by Sections 3.3 and 8 below). The Company shall transfer such Shares to an unrestricted account in the name of the Grantee as soon as practical (and no later than thirty (30) days) after the Vesting Date. For purposes of this Agreement, employment with a Subsidiary of the Company or service as a member of the Board of Directors of the Company or a Subsidiary shall be considered employment with the Company.</w:t>
      </w:r>
    </w:p>
    <w:p>
      <w:pPr>
        <w:spacing w:after="0" w:line="21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Grantee’s employment is terminated by the Company for Cause (as defined in the Plan), the unvested RSUs shall be forfeited immediately as of the date of termination of employment.</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2" w:lineRule="exact"/>
        <w:rPr>
          <w:sz w:val="20"/>
          <w:szCs w:val="20"/>
          <w:color w:val="auto"/>
        </w:rPr>
      </w:pPr>
    </w:p>
    <w:p>
      <w:pPr>
        <w:jc w:val="both"/>
        <w:ind w:firstLine="1953"/>
        <w:spacing w:after="0" w:line="255" w:lineRule="auto"/>
        <w:tabs>
          <w:tab w:leader="none" w:pos="2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the Grantee’s employment with the Company is terminated involuntarily by the Company without Cause (as defined in the Plan) or is terminated by the Grantee for Good Reason (as defined in subsection (2) below), in either event after the expiration of the Initial Restriction Period, the unvested RSUs shall continue to vest in accordance with the original vesting schedule and shall be subject to performance criteria, if provided for, in Exhibit A (just as if the Grantee had remained employed). In the event of the Grantee’s death after a termination covered by this Section 2.3, the unvested RSUs shall continue to vest as if the Grantee had lived and upon vesting, a number of Shares equal to the number of vested RSUs shall be transferred to the Grantee’s surviving spouse or, if none, to his estate.</w:t>
      </w:r>
    </w:p>
    <w:p>
      <w:pPr>
        <w:spacing w:after="0" w:line="220" w:lineRule="exact"/>
        <w:rPr>
          <w:rFonts w:ascii="Arial" w:cs="Arial" w:eastAsia="Arial" w:hAnsi="Arial"/>
          <w:sz w:val="18"/>
          <w:szCs w:val="18"/>
          <w:color w:val="auto"/>
        </w:rPr>
      </w:pPr>
    </w:p>
    <w:p>
      <w:pPr>
        <w:jc w:val="both"/>
        <w:ind w:firstLine="1953"/>
        <w:spacing w:after="0" w:line="276" w:lineRule="auto"/>
        <w:tabs>
          <w:tab w:leader="none" w:pos="2703" w:val="left"/>
        </w:tabs>
        <w:numPr>
          <w:ilvl w:val="1"/>
          <w:numId w:val="122"/>
        </w:numPr>
        <w:rPr>
          <w:rFonts w:ascii="Arial" w:cs="Arial" w:eastAsia="Arial" w:hAnsi="Arial"/>
          <w:sz w:val="17"/>
          <w:szCs w:val="17"/>
          <w:color w:val="auto"/>
        </w:rPr>
      </w:pPr>
      <w:r>
        <w:rPr>
          <w:rFonts w:ascii="Arial" w:cs="Arial" w:eastAsia="Arial" w:hAnsi="Arial"/>
          <w:sz w:val="17"/>
          <w:szCs w:val="17"/>
          <w:color w:val="auto"/>
        </w:rPr>
        <w:t>For purposes of this Agreement, the Grantee shall be entitled to terminate his or her employment with the Company for Good Reason in the event of, without the Grantee’s express written consent, any one of the acts by the Company set forth below, after the expiration of the Initial Restriction Period, and satisfaction of the following conditions: (a) Grantee provides notice to Company of such Good Reason condition within 90 days of his learning of its initial existence; (b) Company is given 30 days to remedy the Good Reason condition and fails to do so; and (c) Grantee terminates employment within 6 months of his learning of the initial existence of the Good Reason condition. The Good Reason conditions are:</w:t>
      </w:r>
    </w:p>
    <w:p>
      <w:pPr>
        <w:spacing w:after="0" w:line="199" w:lineRule="exact"/>
        <w:rPr>
          <w:rFonts w:ascii="Arial" w:cs="Arial" w:eastAsia="Arial" w:hAnsi="Arial"/>
          <w:sz w:val="17"/>
          <w:szCs w:val="17"/>
          <w:color w:val="auto"/>
        </w:rPr>
      </w:pPr>
    </w:p>
    <w:p>
      <w:pPr>
        <w:ind w:left="1960" w:hanging="655"/>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material reduction in the Grantee’s responsibilities at the Company; 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2" w:name="page153"/>
    <w:bookmarkEnd w:id="152"/>
    <w:p>
      <w:pPr>
        <w:ind w:left="2020" w:hanging="715"/>
        <w:spacing w:after="0"/>
        <w:tabs>
          <w:tab w:leader="none" w:pos="2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required relocation of the Grantee’s employment to a location outside of the market area of the Company; or</w:t>
      </w:r>
    </w:p>
    <w:p>
      <w:pPr>
        <w:spacing w:after="0" w:line="252" w:lineRule="exact"/>
        <w:rPr>
          <w:rFonts w:ascii="Arial" w:cs="Arial" w:eastAsia="Arial" w:hAnsi="Arial"/>
          <w:sz w:val="18"/>
          <w:szCs w:val="18"/>
          <w:color w:val="auto"/>
        </w:rPr>
      </w:pPr>
    </w:p>
    <w:p>
      <w:pPr>
        <w:ind w:left="1300" w:firstLine="5"/>
        <w:spacing w:after="0" w:line="277" w:lineRule="auto"/>
        <w:tabs>
          <w:tab w:leader="none" w:pos="212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Grantee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left="1300" w:firstLine="5"/>
        <w:spacing w:after="0" w:line="259" w:lineRule="auto"/>
        <w:tabs>
          <w:tab w:leader="none" w:pos="207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substantial reduction in the Grantee’s base salary, a material reduction in his incentive compensation or the taking of any action by the Company which would, directly or indirectly, materially reduce any of the benefits provided to the Grantee under any of the Company’s pension, 401(k), deferred compensation, life insurance, medical, accident or disability plans in which the Grantee is participating.</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except for a Disability as defined in the Plan. The Grantee’s continued employment shall not constitute consent to, or a waiver of rights with respect to, any act or failure to act constituting Good Reason hereunder.</w:t>
      </w:r>
    </w:p>
    <w:p>
      <w:pPr>
        <w:spacing w:after="0" w:line="20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Termination of Employment Due to Death or Disability</w:t>
      </w:r>
      <w:r>
        <w:rPr>
          <w:rFonts w:ascii="Arial" w:cs="Arial" w:eastAsia="Arial" w:hAnsi="Arial"/>
          <w:sz w:val="16"/>
          <w:szCs w:val="16"/>
          <w:color w:val="auto"/>
        </w:rPr>
        <w:t>. Subject to Exhibit A (just as if the Grantee had remained employed), if the Grantee’s employment is terminated by the Company as a result of death or Disability, the unvested portion of the grant for the current year, if any, and the unvested portion of the grant for the subsequent year following termination, shall remain outstanding and payable upon attainment of the original vest date(s), and shall be subject to performance criteria, if provided for, on Exhibit A attached hereto. All remaining unvested RSUs shall be immediately forfeited. In the event Grantee’s employment is terminated as a result of death, the number of outstanding RSUs shall be transferred to the Grantee’s surviving spouse or, if none, to his estate upon attainment of the original vest date(s), and subject to performance criteria, if provided for, on Exhibit A attached hereto.</w:t>
      </w:r>
    </w:p>
    <w:p>
      <w:pPr>
        <w:spacing w:after="0" w:line="19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Termination of Employment for Other Reasons Including Retirement</w:t>
      </w:r>
      <w:r>
        <w:rPr>
          <w:rFonts w:ascii="Arial" w:cs="Arial" w:eastAsia="Arial" w:hAnsi="Arial"/>
          <w:sz w:val="18"/>
          <w:szCs w:val="18"/>
          <w:color w:val="auto"/>
        </w:rPr>
        <w:t>. If the Grantee voluntarily terminates his or her employment including Retirement (except for Good Reason), the outstanding unvested RSUs shall immediately be forfeited as of the date of termination of employment.</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RSUs may not be sold, assigned, transferred, pledged, or otherwise encumbered prior to the date the Grantee becomes vested in the RSUs and the Shares are issued.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3" w:name="page154"/>
    <w:bookmarkEnd w:id="153"/>
    <w:p>
      <w:pPr>
        <w:jc w:val="both"/>
        <w:ind w:firstLine="1297"/>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Grantee upon his separation from service if Grantee is a “key employee” of the Company (as determined by the Company in accordance with procedures established by the Company that are consistent with Section 409A) to the date which is immediately following the earlier of (i) six months after the date of Grantee’s separation from service or (ii) Grantee’s death, to the extent such delay is required under the provisions of Section 409A to avoid imposition of additional income and other taxes, provided that the Company and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192" w:lineRule="exact"/>
        <w:rPr>
          <w:sz w:val="20"/>
          <w:szCs w:val="20"/>
          <w:color w:val="auto"/>
        </w:rPr>
      </w:pPr>
    </w:p>
    <w:p>
      <w:pPr>
        <w:ind w:left="1280" w:hanging="624"/>
        <w:spacing w:after="0"/>
        <w:tabs>
          <w:tab w:leader="none" w:pos="12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Capitalization; Deferral Rights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3.1 During the period the RSUs are not vested, the Grantee shall be credited with dividend equivalents or other distributions declared on the Shares represented by the RSUs in the manner determined by the Committee. Within thirty (30) days after a Vesting Date and subject to Exhibit A, Grantee shall be paid in cash the dividend equivalents or other distributions with respect to the vested RSUs to which the dividend equivalents or other distributions relate.</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pacing w:after="0" w:line="20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3.3 The Grantee represents and warrants that he is acquiring the Shares under this Agreement for investment purposes only, and not with a view to distribution thereof. The Grantee is aware that the Shares may not be registered under the federal or any state securities laws and that in that event,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4" w:name="page155"/>
    <w:bookmarkEnd w:id="154"/>
    <w:p>
      <w:pPr>
        <w:ind w:left="1280" w:hanging="624"/>
        <w:spacing w:after="0"/>
        <w:tabs>
          <w:tab w:leader="none" w:pos="12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Employment</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w:t>
      </w:r>
    </w:p>
    <w:p>
      <w:pPr>
        <w:spacing w:after="0" w:line="204" w:lineRule="exact"/>
        <w:rPr>
          <w:sz w:val="20"/>
          <w:szCs w:val="20"/>
          <w:color w:val="auto"/>
        </w:rPr>
      </w:pPr>
    </w:p>
    <w:p>
      <w:pPr>
        <w:ind w:left="1280" w:hanging="624"/>
        <w:spacing w:after="0"/>
        <w:tabs>
          <w:tab w:leader="none" w:pos="12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w:t>
      </w:r>
    </w:p>
    <w:p>
      <w:pPr>
        <w:spacing w:after="0" w:line="25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The Grantee shall be responsible for all federal, state, and local income taxes payable with respect to this award of RSUs and any dividends paid on such RSUs. The Company and the Grantee agree to report the value of the RSUs in a consistent manner for federal income tax purposes. The Company shall have the right to retain and withhold from any payment of Shares (but only for the minimum required withholdings)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(but only for the minimum required withholdings) (in whole or in part) a number of Shares having a market value not less than the amount of such taxes.</w:t>
      </w:r>
    </w:p>
    <w:p>
      <w:pPr>
        <w:spacing w:after="0" w:line="202" w:lineRule="exact"/>
        <w:rPr>
          <w:sz w:val="20"/>
          <w:szCs w:val="20"/>
          <w:color w:val="auto"/>
        </w:rPr>
      </w:pPr>
    </w:p>
    <w:p>
      <w:pPr>
        <w:ind w:left="1280" w:hanging="624"/>
        <w:spacing w:after="0"/>
        <w:tabs>
          <w:tab w:leader="none" w:pos="12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The Grantee Bound By The Plan</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Grantee hereby acknowledges receipt of a copy of the Plan and the prospectus for the Plan, and agrees to be bound by all the terms and provisions thereof.</w:t>
      </w:r>
    </w:p>
    <w:p>
      <w:pPr>
        <w:spacing w:after="0" w:line="193" w:lineRule="exact"/>
        <w:rPr>
          <w:sz w:val="20"/>
          <w:szCs w:val="20"/>
          <w:color w:val="auto"/>
        </w:rPr>
      </w:pPr>
    </w:p>
    <w:p>
      <w:pPr>
        <w:ind w:left="1280" w:hanging="624"/>
        <w:spacing w:after="0"/>
        <w:tabs>
          <w:tab w:leader="none" w:pos="12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Agreement; Severability</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may be modified, amended, suspended, or terminated, and any terms or conditions may be waived, but only by a written instrument executed by the parties hereto.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210" w:lineRule="exact"/>
        <w:rPr>
          <w:sz w:val="20"/>
          <w:szCs w:val="20"/>
          <w:color w:val="auto"/>
        </w:rPr>
      </w:pPr>
    </w:p>
    <w:p>
      <w:pPr>
        <w:ind w:left="1280" w:hanging="624"/>
        <w:spacing w:after="0"/>
        <w:tabs>
          <w:tab w:leader="none" w:pos="12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and Rescission of Award; Return of Shares</w:t>
      </w:r>
    </w:p>
    <w:p>
      <w:pPr>
        <w:spacing w:after="0" w:line="25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8.1 If, during his employment with the Company or at any time during the one (1) year period after the Date of Termination, the Grantee violates the restrictive covenants set forth in Section 8.2 below, then the Committee shall, notwithstanding any other provision in this Agreement to the contrary, (i) cancel the outstanding RSUs that are not yet vested or with respect to which Shares have not yet been issued to the Grantee, and (ii) require the Grantee to return to the Company any Shares issued to the Grantee pursuant to vesting of the RSUs (or to pay to the Company the then current value of such Shares) that occurred (or will occur) during the period six (6) months prior to and one (1) year after the Date of 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5" w:name="page156"/>
    <w:bookmarkEnd w:id="155"/>
    <w:p>
      <w:pPr>
        <w:ind w:left="1300"/>
        <w:spacing w:after="0"/>
        <w:tabs>
          <w:tab w:leader="none" w:pos="20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Grantee will not directly or indirectly, individually, or on behalf of any Person other than the Company or a Subsidiary:</w:t>
      </w:r>
    </w:p>
    <w:p>
      <w:pPr>
        <w:spacing w:after="0" w:line="252" w:lineRule="exact"/>
        <w:rPr>
          <w:sz w:val="20"/>
          <w:szCs w:val="20"/>
          <w:color w:val="auto"/>
        </w:rPr>
      </w:pPr>
    </w:p>
    <w:p>
      <w:pPr>
        <w:ind w:left="2780" w:hanging="827"/>
        <w:spacing w:after="0"/>
        <w:tabs>
          <w:tab w:leader="none" w:pos="27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solicit any Customers for the purpose of providing services identical to or reasonably substitutable for the Company’s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Business;</w:t>
      </w:r>
    </w:p>
    <w:p>
      <w:pPr>
        <w:spacing w:after="0" w:line="200" w:lineRule="exact"/>
        <w:rPr>
          <w:sz w:val="20"/>
          <w:szCs w:val="20"/>
          <w:color w:val="auto"/>
        </w:rPr>
      </w:pPr>
    </w:p>
    <w:p>
      <w:pPr>
        <w:spacing w:after="0" w:line="281" w:lineRule="exact"/>
        <w:rPr>
          <w:sz w:val="20"/>
          <w:szCs w:val="20"/>
          <w:color w:val="auto"/>
        </w:rPr>
      </w:pPr>
    </w:p>
    <w:p>
      <w:pPr>
        <w:ind w:left="660" w:firstLine="1293"/>
        <w:spacing w:after="0" w:line="308" w:lineRule="auto"/>
        <w:tabs>
          <w:tab w:leader="none" w:pos="286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73" w:lineRule="exact"/>
        <w:rPr>
          <w:rFonts w:ascii="Arial" w:cs="Arial" w:eastAsia="Arial" w:hAnsi="Arial"/>
          <w:sz w:val="17"/>
          <w:szCs w:val="17"/>
          <w:color w:val="auto"/>
        </w:rPr>
      </w:pPr>
    </w:p>
    <w:p>
      <w:pPr>
        <w:ind w:left="2720" w:hanging="767"/>
        <w:spacing w:after="0"/>
        <w:tabs>
          <w:tab w:leader="none" w:pos="27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engage in any Restricted Activities within the Territory or from a business location servicing any part of the Territory;</w:t>
      </w:r>
    </w:p>
    <w:p>
      <w:pPr>
        <w:spacing w:after="0" w:line="275" w:lineRule="exact"/>
        <w:rPr>
          <w:rFonts w:ascii="Arial" w:cs="Arial" w:eastAsia="Arial" w:hAnsi="Arial"/>
          <w:sz w:val="16"/>
          <w:szCs w:val="16"/>
          <w:color w:val="auto"/>
        </w:rPr>
      </w:pPr>
    </w:p>
    <w:p>
      <w:pPr>
        <w:ind w:left="2700" w:hanging="747"/>
        <w:spacing w:after="0"/>
        <w:tabs>
          <w:tab w:leader="none" w:pos="27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left="660" w:firstLine="1293"/>
        <w:spacing w:after="0" w:line="264" w:lineRule="auto"/>
        <w:tabs>
          <w:tab w:leader="none" w:pos="27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any term of this Section 8 shall be held to be illegal or invalid by a court of competent jurisdiction, the remaining terms shall remain in full force and effect. If any court of competent jurisdiction shall determine that the restrictions set forth in any provision of this Section 8 or the application thereof are unenforceable in whole or in part because of the time, geographic area or scope of such restriction or provision, the parties hereto agree that such court in making such determination shall have the power to modify the time, geographic area or scope of such restriction or provision to the extent necessary to make it enforceable, and that the restriction or provision in its modified form shall be valid and enforceable to the full extent permitted by law.</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Grantee further agrees that he or she will not, except as necessary to carry out his duties as an employee of the Company, disclose or use Confidential Information. The Grantee further agrees that, upon termination or expiration of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21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For purposes of this Section 8, the following terms shall have the meanings specified below:</w:t>
      </w:r>
    </w:p>
    <w:p>
      <w:pPr>
        <w:spacing w:after="0" w:line="252" w:lineRule="exact"/>
        <w:rPr>
          <w:sz w:val="20"/>
          <w:szCs w:val="20"/>
          <w:color w:val="auto"/>
        </w:rPr>
      </w:pPr>
    </w:p>
    <w:p>
      <w:pPr>
        <w:ind w:left="660" w:firstLine="1293"/>
        <w:spacing w:after="0" w:line="277" w:lineRule="auto"/>
        <w:tabs>
          <w:tab w:leader="none" w:pos="274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6" w:name="page157"/>
    <w:bookmarkEnd w:id="156"/>
    <w:p>
      <w:pPr>
        <w:jc w:val="both"/>
        <w:ind w:left="660" w:firstLine="1293"/>
        <w:spacing w:after="0" w:line="290" w:lineRule="auto"/>
        <w:tabs>
          <w:tab w:leader="none" w:pos="278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information, without regard to form, relating to the Company’s or any Subsidiary’s customers, 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193" w:lineRule="exact"/>
        <w:rPr>
          <w:rFonts w:ascii="Arial" w:cs="Arial" w:eastAsia="Arial" w:hAnsi="Arial"/>
          <w:sz w:val="16"/>
          <w:szCs w:val="16"/>
          <w:color w:val="auto"/>
        </w:rPr>
      </w:pPr>
    </w:p>
    <w:p>
      <w:pPr>
        <w:ind w:left="2820" w:hanging="867"/>
        <w:spacing w:after="0"/>
        <w:tabs>
          <w:tab w:leader="none" w:pos="28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Customers</w:t>
      </w:r>
      <w:r>
        <w:rPr>
          <w:rFonts w:ascii="Arial" w:cs="Arial" w:eastAsia="Arial" w:hAnsi="Arial"/>
          <w:sz w:val="16"/>
          <w:szCs w:val="16"/>
          <w:color w:val="auto"/>
        </w:rPr>
        <w:t>” means all Persons that (1) the Grantee serviced or solicited on behalf of the Company or any Subsidiary,</w:t>
      </w:r>
    </w:p>
    <w:p>
      <w:pPr>
        <w:spacing w:after="0" w:line="46" w:lineRule="exact"/>
        <w:rPr>
          <w:rFonts w:ascii="Arial" w:cs="Arial" w:eastAsia="Arial" w:hAnsi="Arial"/>
          <w:sz w:val="16"/>
          <w:szCs w:val="16"/>
          <w:color w:val="auto"/>
        </w:rPr>
      </w:pPr>
    </w:p>
    <w:p>
      <w:pPr>
        <w:ind w:left="660" w:right="20" w:hanging="4"/>
        <w:spacing w:after="0" w:line="323" w:lineRule="auto"/>
        <w:tabs>
          <w:tab w:leader="none" w:pos="9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whose dealings with the Company or any Subsidiary were coordinated or supervised, in whole or in part, by the Grantee, or (3) about whom the Grantee obtained Confidential Information, in each case during the term of this Agreement or while otherwise employed by the Company.</w:t>
      </w:r>
    </w:p>
    <w:p>
      <w:pPr>
        <w:spacing w:after="0" w:line="165" w:lineRule="exact"/>
        <w:rPr>
          <w:rFonts w:ascii="Arial" w:cs="Arial" w:eastAsia="Arial" w:hAnsi="Arial"/>
          <w:sz w:val="16"/>
          <w:szCs w:val="16"/>
          <w:color w:val="auto"/>
        </w:rPr>
      </w:pPr>
    </w:p>
    <w:p>
      <w:pPr>
        <w:ind w:left="2760" w:hanging="807"/>
        <w:spacing w:after="0"/>
        <w:tabs>
          <w:tab w:leader="none" w:pos="27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Date of Termination</w:t>
      </w:r>
      <w:r>
        <w:rPr>
          <w:rFonts w:ascii="Arial" w:cs="Arial" w:eastAsia="Arial" w:hAnsi="Arial"/>
          <w:sz w:val="16"/>
          <w:szCs w:val="16"/>
          <w:color w:val="auto"/>
        </w:rPr>
        <w:t>” means the date upon which the Grantee’s employment with the Company ceases for any reason.</w:t>
      </w:r>
    </w:p>
    <w:p>
      <w:pPr>
        <w:spacing w:after="0" w:line="275" w:lineRule="exact"/>
        <w:rPr>
          <w:rFonts w:ascii="Arial" w:cs="Arial" w:eastAsia="Arial" w:hAnsi="Arial"/>
          <w:sz w:val="16"/>
          <w:szCs w:val="16"/>
          <w:color w:val="auto"/>
        </w:rPr>
      </w:pPr>
    </w:p>
    <w:p>
      <w:pPr>
        <w:ind w:left="660" w:firstLine="1293"/>
        <w:spacing w:after="0" w:line="277" w:lineRule="auto"/>
        <w:tabs>
          <w:tab w:leader="none" w:pos="284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bank, partnership, joint venture, association, joint-stock company, trust, unincorporated organization or other entity.</w:t>
      </w:r>
    </w:p>
    <w:p>
      <w:pPr>
        <w:spacing w:after="0" w:line="197" w:lineRule="exact"/>
        <w:rPr>
          <w:sz w:val="20"/>
          <w:szCs w:val="20"/>
          <w:color w:val="auto"/>
        </w:rPr>
      </w:pPr>
    </w:p>
    <w:p>
      <w:pPr>
        <w:ind w:firstLine="8"/>
        <w:spacing w:after="0" w:line="277" w:lineRule="auto"/>
        <w:tabs>
          <w:tab w:leader="none" w:pos="8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93" w:lineRule="exact"/>
        <w:rPr>
          <w:rFonts w:ascii="Arial" w:cs="Arial" w:eastAsia="Arial" w:hAnsi="Arial"/>
          <w:sz w:val="18"/>
          <w:szCs w:val="18"/>
          <w:color w:val="auto"/>
        </w:rPr>
      </w:pPr>
    </w:p>
    <w:p>
      <w:pPr>
        <w:ind w:left="1340" w:hanging="684"/>
        <w:spacing w:after="0"/>
        <w:tabs>
          <w:tab w:leader="none" w:pos="134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state of Georgia without giving effect to the conflicts of laws principles thereof.</w:t>
      </w:r>
    </w:p>
    <w:p>
      <w:pPr>
        <w:spacing w:after="0" w:line="193" w:lineRule="exact"/>
        <w:rPr>
          <w:sz w:val="20"/>
          <w:szCs w:val="20"/>
          <w:color w:val="auto"/>
        </w:rPr>
      </w:pPr>
    </w:p>
    <w:p>
      <w:pPr>
        <w:ind w:left="1380" w:hanging="724"/>
        <w:spacing w:after="0"/>
        <w:tabs>
          <w:tab w:leader="none" w:pos="13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in Interest</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210" w:lineRule="exact"/>
        <w:rPr>
          <w:sz w:val="20"/>
          <w:szCs w:val="20"/>
          <w:color w:val="auto"/>
        </w:rPr>
      </w:pPr>
    </w:p>
    <w:p>
      <w:pPr>
        <w:ind w:left="1360" w:hanging="704"/>
        <w:spacing w:after="0"/>
        <w:tabs>
          <w:tab w:leader="none" w:pos="13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57" w:name="page158"/>
    <w:bookmarkEnd w:id="157"/>
    <w:p>
      <w:pPr>
        <w:ind w:left="1380" w:hanging="724"/>
        <w:spacing w:after="0"/>
        <w:tabs>
          <w:tab w:leader="none" w:pos="13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Disputes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12.1 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12.2 To the extent permitted by applicable law, any dispute, disagreement or claim which may arise under, or as a result of, or in any way relate to, the 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12.3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PAGE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6350</wp:posOffset>
            </wp:positionV>
            <wp:extent cx="28384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14605</wp:posOffset>
            </wp:positionV>
            <wp:extent cx="28384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the Grantee hereby accepts the RSU grant subject to all its terms and provisions and agrees to be bound by the terms and provisions of this Agreement, including Exhibit A and Section 8,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183"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GRANTEE</w:t>
      </w:r>
    </w:p>
    <w:p>
      <w:pPr>
        <w:spacing w:after="0" w:line="22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6350</wp:posOffset>
            </wp:positionV>
            <wp:extent cx="28384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160" w:type="dxa"/>
            <w:vAlign w:val="bottom"/>
          </w:tcPr>
          <w:p>
            <w:pPr>
              <w:ind w:left="1160"/>
              <w:spacing w:after="0"/>
              <w:rPr>
                <w:sz w:val="20"/>
                <w:szCs w:val="20"/>
                <w:color w:val="auto"/>
              </w:rPr>
            </w:pPr>
            <w:r>
              <w:rPr>
                <w:rFonts w:ascii="Arial" w:cs="Arial" w:eastAsia="Arial" w:hAnsi="Arial"/>
                <w:sz w:val="18"/>
                <w:szCs w:val="18"/>
                <w:b w:val="1"/>
                <w:bCs w:val="1"/>
                <w:color w:val="auto"/>
              </w:rPr>
              <w:t>EXHIBIT 21</w:t>
            </w:r>
          </w:p>
        </w:tc>
      </w:tr>
      <w:tr>
        <w:trPr>
          <w:trHeight w:val="459"/>
        </w:trPr>
        <w:tc>
          <w:tcPr>
            <w:tcW w:w="9260" w:type="dxa"/>
            <w:vAlign w:val="bottom"/>
            <w:gridSpan w:val="2"/>
          </w:tcPr>
          <w:p>
            <w:pPr>
              <w:spacing w:after="0"/>
              <w:rPr>
                <w:sz w:val="20"/>
                <w:szCs w:val="20"/>
                <w:color w:val="auto"/>
              </w:rPr>
            </w:pPr>
            <w:r>
              <w:rPr>
                <w:rFonts w:ascii="Arial" w:cs="Arial" w:eastAsia="Arial" w:hAnsi="Arial"/>
                <w:sz w:val="18"/>
                <w:szCs w:val="18"/>
                <w:color w:val="auto"/>
              </w:rPr>
              <w:t>Subsidiaries of United Community Banks, Inc.</w:t>
            </w:r>
          </w:p>
        </w:tc>
        <w:tc>
          <w:tcPr>
            <w:tcW w:w="2160" w:type="dxa"/>
            <w:vAlign w:val="bottom"/>
          </w:tcPr>
          <w:p>
            <w:pPr>
              <w:spacing w:after="0"/>
              <w:rPr>
                <w:sz w:val="24"/>
                <w:szCs w:val="24"/>
                <w:color w:val="auto"/>
              </w:rPr>
            </w:pPr>
          </w:p>
        </w:tc>
      </w:tr>
      <w:tr>
        <w:trPr>
          <w:trHeight w:val="466"/>
        </w:trPr>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Subsidiary</w:t>
            </w:r>
          </w:p>
        </w:tc>
        <w:tc>
          <w:tcPr>
            <w:tcW w:w="840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State of Organization</w:t>
            </w: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United Community Bank</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United Community Insurance Services,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Union Holdings,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432"/>
        </w:trPr>
        <w:tc>
          <w:tcPr>
            <w:tcW w:w="9260" w:type="dxa"/>
            <w:vAlign w:val="bottom"/>
            <w:gridSpan w:val="2"/>
          </w:tcPr>
          <w:p>
            <w:pPr>
              <w:ind w:left="340"/>
              <w:spacing w:after="0"/>
              <w:rPr>
                <w:sz w:val="20"/>
                <w:szCs w:val="20"/>
                <w:color w:val="auto"/>
              </w:rPr>
            </w:pPr>
            <w:r>
              <w:rPr>
                <w:rFonts w:ascii="Arial" w:cs="Arial" w:eastAsia="Arial" w:hAnsi="Arial"/>
                <w:sz w:val="18"/>
                <w:szCs w:val="18"/>
                <w:color w:val="auto"/>
              </w:rPr>
              <w:t>Union Investments,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United Community Mortgage Services,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United Community Development Corporation</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UCB North Georgia Properties,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59"/>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UCB Metro Properties,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UCB Coastal Properties,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UCB Tennessee Properties,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UCB North Carolina Properties,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North Carolina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UCB South Carolina Properties,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South Carolina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UCB Real Estate Investments,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UCB Metro Real Estate Investments,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UCBI Georgia Credits LLC</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United Community Payment Systems, LLC (50% owned by United Community Bank)</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United Community Capital Trust</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United Community Capital Trust II</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United Community Statutory Trust I</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Connecticut</w:t>
            </w: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United Community Statutory Trust II</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United Community Statutory Trust III</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Southern Bancorp Capital Trust I</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United Community Risk Management Services, Inc.</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675"/>
        </w:trPr>
        <w:tc>
          <w:tcPr>
            <w:tcW w:w="860" w:type="dxa"/>
            <w:vAlign w:val="bottom"/>
            <w:tcBorders>
              <w:bottom w:val="single" w:sz="8" w:color="DCDCDC"/>
            </w:tcBorders>
          </w:tcPr>
          <w:p>
            <w:pPr>
              <w:spacing w:after="0"/>
              <w:rPr>
                <w:sz w:val="24"/>
                <w:szCs w:val="24"/>
                <w:color w:val="auto"/>
              </w:rPr>
            </w:pPr>
          </w:p>
        </w:tc>
        <w:tc>
          <w:tcPr>
            <w:tcW w:w="8400" w:type="dxa"/>
            <w:vAlign w:val="bottom"/>
            <w:tcBorders>
              <w:bottom w:val="single" w:sz="8" w:color="DCDCDC"/>
            </w:tcBorders>
          </w:tcPr>
          <w:p>
            <w:pPr>
              <w:spacing w:after="0"/>
              <w:rPr>
                <w:sz w:val="24"/>
                <w:szCs w:val="24"/>
                <w:color w:val="auto"/>
              </w:rPr>
            </w:pPr>
          </w:p>
        </w:tc>
        <w:tc>
          <w:tcPr>
            <w:tcW w:w="2160" w:type="dxa"/>
            <w:vAlign w:val="bottom"/>
            <w:tcBorders>
              <w:bottom w:val="single" w:sz="8" w:color="DCDCDC"/>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36195"/>
                    </a:xfrm>
                    <a:prstGeom prst="rect">
                      <a:avLst/>
                    </a:prstGeom>
                    <a:noFill/>
                  </pic:spPr>
                </pic:pic>
              </a:graphicData>
            </a:graphic>
          </wp:anchor>
        </w:drawing>
      </w:r>
    </w:p>
    <w:bookmarkStart w:id="160" w:name="page161"/>
    <w:bookmarkEnd w:id="16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36195"/>
                    </a:xfrm>
                    <a:prstGeom prst="rect">
                      <a:avLst/>
                    </a:prstGeom>
                    <a:noFill/>
                  </pic:spPr>
                </pic:pic>
              </a:graphicData>
            </a:graphic>
          </wp:anchor>
        </w:drawing>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hereby consent to the incorporation by reference in the Registration Statements on Form S-3 (Nos. 333-159958, 333-175226, 333-174420, 333-180752, 333-185733, and 333-197026) and S-8 (Nos. 33-80885, 333-70471, 333-86876, 333-99849, 333-120623, 333-125017, 333-130489, 333-145027, 333-145029, 333-146820, 333-159989, 333-167185, 333-167186, 333-167187, 333-181675, 333-183767, 333-183768, and 333-183769) of United Community Banks, Inc. of our report dated February 27, 2015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35150" cy="4032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3515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36195"/>
                    </a:xfrm>
                    <a:prstGeom prst="rect">
                      <a:avLst/>
                    </a:prstGeom>
                    <a:noFill/>
                  </pic:spPr>
                </pic:pic>
              </a:graphicData>
            </a:graphic>
          </wp:anchor>
        </w:drawing>
        <w:t>EXHIBIT 23.2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issued our report dated March 1, 2013, relating to our audits of the consolidated financial statements and internal control over financial reporting, included in the Annual Report on Form 10-K of United Community Banks, Inc. for the year ended December 31, 2012. We hereby consent to the incorporation by reference of said report in the Registration Statements of United Community Banks, Inc. on Form S-8 (File No. 33-80885, effective December 27, 1995; File No. 333-70471, effective January 12, 1999; File No. 333-86876, effective April 24, 2002; File No. 333-99849, effective September 19, 2002; File No. 333-120623, effective November 19, 2004; File No. 333-125017, effective May 17, 2005; File No. 333-130489, effective December 20, 2005; File No. 333-145027, effective August 1, 2007; File No. 333-145029, effective August 1, 2007; File No. 333-146820, effective October 19, 2007; File No. 333-159989, effective June 15, 2009; File No. 333-167185, effective May 28, 2010; File No. 333-167186, effective May 28, 2010; File No. 333-167187, effective May 28, 2010; File No. 333-181675, effective May 24, 2012; File no. 333-183767, effective September 7, 2012; File No. 333-183768, effective September 7, 2012; and File No. 333-183769, effective September 7, 2012) and Registration Statements of United Community Banks, Inc. on Form S-3 (File No. 333-159958, effective March 22, 2012; File No. 333-175226, effective March 28, 2012; File No. 333-174420, effective March 28, 2012; File No. 333-180752, effective April 25, 2012; File No. 333-185733, effective January 30, 2013; and File No. 333-197026, effective June 25, 2014).</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Porter Keadle Moore,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36195"/>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52" w:lineRule="exact"/>
        <w:rPr>
          <w:sz w:val="20"/>
          <w:szCs w:val="20"/>
          <w:color w:val="auto"/>
        </w:rPr>
      </w:pPr>
    </w:p>
    <w:p>
      <w:pPr>
        <w:ind w:left="240" w:hanging="232"/>
        <w:spacing w:after="0"/>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36195"/>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52" w:lineRule="exact"/>
        <w:rPr>
          <w:sz w:val="20"/>
          <w:szCs w:val="20"/>
          <w:color w:val="auto"/>
        </w:rPr>
      </w:pPr>
    </w:p>
    <w:p>
      <w:pPr>
        <w:ind w:left="240" w:hanging="232"/>
        <w:spacing w:after="0"/>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6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36195"/>
                    </a:xfrm>
                    <a:prstGeom prst="rect">
                      <a:avLst/>
                    </a:prstGeom>
                    <a:noFill/>
                  </pic:spPr>
                </pic:pic>
              </a:graphicData>
            </a:graphic>
          </wp:anchor>
        </w:drawing>
        <w:t>EXHIBIT 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2014 filed with the Securities and Exchange Commission on the date hereof (the “Report”), I, Jimmy C. Tallent, Chairman and Chief Executive Officer of United, and I, Rex S. Schuette, Executive Vice President and Chief Financial Officer of United, certify, pursuant to 18 U.S.C. Section 1350, as adopted pursuant to Section 906 of the Sarbanes-Oxley Act of 2002, that:</w:t>
      </w:r>
    </w:p>
    <w:p>
      <w:pPr>
        <w:spacing w:after="0" w:line="214" w:lineRule="exact"/>
        <w:rPr>
          <w:sz w:val="20"/>
          <w:szCs w:val="20"/>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3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 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1)"/>
      <w:numFmt w:val="decimal"/>
      <w:start w:val="4"/>
    </w:lvl>
  </w:abstractNum>
  <w:abstractNum w:abstractNumId="4">
    <w:nsid w:val="661E3F1E"/>
    <w:multiLevelType w:val="hybridMultilevel"/>
    <w:lvl w:ilvl="0">
      <w:lvlJc w:val="left"/>
      <w:lvlText w:val="(%1)"/>
      <w:numFmt w:val="lowerLetter"/>
      <w:start w:val="1"/>
    </w:lvl>
  </w:abstractNum>
  <w:abstractNum w:abstractNumId="5">
    <w:nsid w:val="5DC79EA8"/>
    <w:multiLevelType w:val="hybridMultilevel"/>
    <w:lvl w:ilvl="0">
      <w:lvlJc w:val="left"/>
      <w:lvlText w:val="(%1)"/>
      <w:numFmt w:val="lowerLetter"/>
      <w:start w:val="2"/>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1)"/>
      <w:numFmt w:val="decimal"/>
      <w:start w:val="1"/>
    </w:lvl>
  </w:abstractNum>
  <w:abstractNum w:abstractNumId="14">
    <w:nsid w:val="8F2B15E"/>
    <w:multiLevelType w:val="hybridMultilevel"/>
    <w:lvl w:ilvl="0">
      <w:lvlJc w:val="left"/>
      <w:lvlText w:val="(%1)"/>
      <w:numFmt w:val="decimal"/>
      <w:start w:val="1"/>
    </w:lvl>
  </w:abstractNum>
  <w:abstractNum w:abstractNumId="15">
    <w:nsid w:val="1A32234B"/>
    <w:multiLevelType w:val="hybridMultilevel"/>
    <w:lvl w:ilvl="0">
      <w:lvlJc w:val="left"/>
      <w:lvlText w:val="(%1)"/>
      <w:numFmt w:val="decimal"/>
      <w:start w:val="3"/>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1)"/>
      <w:numFmt w:val="decimal"/>
      <w:start w:val="1"/>
    </w:lvl>
  </w:abstractNum>
  <w:abstractNum w:abstractNumId="18">
    <w:nsid w:val="4962813B"/>
    <w:multiLevelType w:val="hybridMultilevel"/>
    <w:lvl w:ilvl="0">
      <w:lvlJc w:val="left"/>
      <w:lvlText w:val="(%1)"/>
      <w:numFmt w:val="decimal"/>
      <w:start w:val="4"/>
    </w:lvl>
  </w:abstractNum>
  <w:abstractNum w:abstractNumId="19">
    <w:nsid w:val="60B6DF70"/>
    <w:multiLevelType w:val="hybridMultilevel"/>
    <w:lvl w:ilvl="0">
      <w:lvlJc w:val="left"/>
      <w:lvlText w:val="(%1)"/>
      <w:numFmt w:val="decimal"/>
      <w:start w:val="1"/>
    </w:lvl>
  </w:abstractNum>
  <w:abstractNum w:abstractNumId="20">
    <w:nsid w:val="6A5EE64"/>
    <w:multiLevelType w:val="hybridMultilevel"/>
    <w:lvl w:ilvl="0">
      <w:lvlJc w:val="left"/>
      <w:lvlText w:val="(%1)"/>
      <w:numFmt w:val="decimal"/>
      <w:start w:val="1"/>
    </w:lvl>
  </w:abstractNum>
  <w:abstractNum w:abstractNumId="21">
    <w:nsid w:val="14330624"/>
    <w:multiLevelType w:val="hybridMultilevel"/>
    <w:lvl w:ilvl="0">
      <w:lvlJc w:val="left"/>
      <w:lvlText w:val="(%1)"/>
      <w:numFmt w:val="decimal"/>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1)"/>
      <w:numFmt w:val="decimal"/>
      <w:start w:val="1"/>
    </w:lvl>
  </w:abstractNum>
  <w:abstractNum w:abstractNumId="24">
    <w:nsid w:val="71EA1109"/>
    <w:multiLevelType w:val="hybridMultilevel"/>
    <w:lvl w:ilvl="0">
      <w:lvlJc w:val="left"/>
      <w:lvlText w:val="(%1)"/>
      <w:numFmt w:val="decimal"/>
      <w:start w:val="1"/>
    </w:lvl>
  </w:abstractNum>
  <w:abstractNum w:abstractNumId="25">
    <w:nsid w:val="100F59DC"/>
    <w:multiLevelType w:val="hybridMultilevel"/>
    <w:lvl w:ilvl="0">
      <w:lvlJc w:val="left"/>
      <w:lvlText w:val="(%1)"/>
      <w:numFmt w:val="decimal"/>
      <w:start w:val="1"/>
    </w:lvl>
  </w:abstractNum>
  <w:abstractNum w:abstractNumId="26">
    <w:nsid w:val="7FB7E0AA"/>
    <w:multiLevelType w:val="hybridMultilevel"/>
    <w:lvl w:ilvl="0">
      <w:lvlJc w:val="left"/>
      <w:lvlText w:val="(%1)"/>
      <w:numFmt w:val="decimal"/>
      <w:start w:val="2"/>
    </w:lvl>
  </w:abstractNum>
  <w:abstractNum w:abstractNumId="27">
    <w:nsid w:val="6EB5BD4"/>
    <w:multiLevelType w:val="hybridMultilevel"/>
    <w:lvl w:ilvl="0">
      <w:lvlJc w:val="left"/>
      <w:lvlText w:val="(%1)"/>
      <w:numFmt w:val="decimal"/>
      <w:start w:val="3"/>
    </w:lvl>
  </w:abstractNum>
  <w:abstractNum w:abstractNumId="28">
    <w:nsid w:val="6F6DD9AC"/>
    <w:multiLevelType w:val="hybridMultilevel"/>
    <w:lvl w:ilvl="0">
      <w:lvlJc w:val="left"/>
      <w:lvlText w:val="(%1)"/>
      <w:numFmt w:val="decimal"/>
      <w:start w:val="1"/>
    </w:lvl>
  </w:abstractNum>
  <w:abstractNum w:abstractNumId="29">
    <w:nsid w:val="94211F2"/>
    <w:multiLevelType w:val="hybridMultilevel"/>
    <w:lvl w:ilvl="0">
      <w:lvlJc w:val="left"/>
      <w:lvlText w:val="(%1)"/>
      <w:numFmt w:val="decimal"/>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1)"/>
      <w:numFmt w:val="decimal"/>
      <w:start w:val="8"/>
    </w:lvl>
  </w:abstractNum>
  <w:abstractNum w:abstractNumId="33">
    <w:nsid w:val="1716703B"/>
    <w:multiLevelType w:val="hybridMultilevel"/>
    <w:lvl w:ilvl="0">
      <w:lvlJc w:val="left"/>
      <w:lvlText w:val="(%1)"/>
      <w:numFmt w:val="decimal"/>
      <w:start w:val="9"/>
    </w:lvl>
  </w:abstractNum>
  <w:abstractNum w:abstractNumId="34">
    <w:nsid w:val="14E17E33"/>
    <w:multiLevelType w:val="hybridMultilevel"/>
    <w:lvl w:ilvl="0">
      <w:lvlJc w:val="left"/>
      <w:lvlText w:val="(%1)"/>
      <w:numFmt w:val="decimal"/>
      <w:start w:val="10"/>
    </w:lvl>
  </w:abstractNum>
  <w:abstractNum w:abstractNumId="35">
    <w:nsid w:val="3222E7CD"/>
    <w:multiLevelType w:val="hybridMultilevel"/>
    <w:lvl w:ilvl="0">
      <w:lvlJc w:val="left"/>
      <w:lvlText w:val="(%1)"/>
      <w:numFmt w:val="decimal"/>
      <w:start w:val="11"/>
    </w:lvl>
  </w:abstractNum>
  <w:abstractNum w:abstractNumId="36">
    <w:nsid w:val="74DE0EE3"/>
    <w:multiLevelType w:val="hybridMultilevel"/>
    <w:lvl w:ilvl="0">
      <w:lvlJc w:val="left"/>
      <w:lvlText w:val="(%1)"/>
      <w:numFmt w:val="decimal"/>
      <w:start w:val="12"/>
    </w:lvl>
  </w:abstractNum>
  <w:abstractNum w:abstractNumId="37">
    <w:nsid w:val="68EBC550"/>
    <w:multiLevelType w:val="hybridMultilevel"/>
    <w:lvl w:ilvl="0">
      <w:lvlJc w:val="left"/>
      <w:lvlText w:val="(%1)"/>
      <w:numFmt w:val="decimal"/>
      <w:start w:val="13"/>
    </w:lvl>
  </w:abstractNum>
  <w:abstractNum w:abstractNumId="38">
    <w:nsid w:val="2DF6D648"/>
    <w:multiLevelType w:val="hybridMultilevel"/>
    <w:lvl w:ilvl="0">
      <w:lvlJc w:val="left"/>
      <w:lvlText w:val="(%1)"/>
      <w:numFmt w:val="decimal"/>
      <w:start w:val="14"/>
    </w:lvl>
  </w:abstractNum>
  <w:abstractNum w:abstractNumId="39">
    <w:nsid w:val="46B7D447"/>
    <w:multiLevelType w:val="hybridMultilevel"/>
    <w:lvl w:ilvl="0">
      <w:lvlJc w:val="left"/>
      <w:lvlText w:val="(%1)"/>
      <w:numFmt w:val="decimal"/>
      <w:start w:val="15"/>
    </w:lvl>
  </w:abstractNum>
  <w:abstractNum w:abstractNumId="40">
    <w:nsid w:val="4A2AC315"/>
    <w:multiLevelType w:val="hybridMultilevel"/>
    <w:lvl w:ilvl="0">
      <w:lvlJc w:val="left"/>
      <w:lvlText w:val="(%1)"/>
      <w:numFmt w:val="decimal"/>
      <w:start w:val="15"/>
    </w:lvl>
  </w:abstractNum>
  <w:abstractNum w:abstractNumId="41">
    <w:nsid w:val="39EE015C"/>
    <w:multiLevelType w:val="hybridMultilevel"/>
    <w:lvl w:ilvl="0">
      <w:lvlJc w:val="left"/>
      <w:lvlText w:val="(%1)"/>
      <w:numFmt w:val="decimal"/>
      <w:start w:val="16"/>
    </w:lvl>
  </w:abstractNum>
  <w:abstractNum w:abstractNumId="42">
    <w:nsid w:val="57FC4FBB"/>
    <w:multiLevelType w:val="hybridMultilevel"/>
    <w:lvl w:ilvl="0">
      <w:lvlJc w:val="left"/>
      <w:lvlText w:val="(%1)"/>
      <w:numFmt w:val="decimal"/>
      <w:start w:val="16"/>
    </w:lvl>
  </w:abstractNum>
  <w:abstractNum w:abstractNumId="43">
    <w:nsid w:val="CC1016F"/>
    <w:multiLevelType w:val="hybridMultilevel"/>
    <w:lvl w:ilvl="0">
      <w:lvlJc w:val="left"/>
      <w:lvlText w:val="(%1)"/>
      <w:numFmt w:val="decimal"/>
      <w:start w:val="16"/>
    </w:lvl>
  </w:abstractNum>
  <w:abstractNum w:abstractNumId="44">
    <w:nsid w:val="43F18422"/>
    <w:multiLevelType w:val="hybridMultilevel"/>
    <w:lvl w:ilvl="0">
      <w:lvlJc w:val="left"/>
      <w:lvlText w:val="(%1)"/>
      <w:numFmt w:val="decimal"/>
      <w:start w:val="16"/>
    </w:lvl>
  </w:abstractNum>
  <w:abstractNum w:abstractNumId="45">
    <w:nsid w:val="60EF0119"/>
    <w:multiLevelType w:val="hybridMultilevel"/>
    <w:lvl w:ilvl="0">
      <w:lvlJc w:val="left"/>
      <w:lvlText w:val="(%1)"/>
      <w:numFmt w:val="decimal"/>
      <w:start w:val="17"/>
    </w:lvl>
  </w:abstractNum>
  <w:abstractNum w:abstractNumId="46">
    <w:nsid w:val="26F324BA"/>
    <w:multiLevelType w:val="hybridMultilevel"/>
    <w:lvl w:ilvl="0">
      <w:lvlJc w:val="left"/>
      <w:lvlText w:val="(%1)"/>
      <w:numFmt w:val="decimal"/>
      <w:start w:val="17"/>
    </w:lvl>
  </w:abstractNum>
  <w:abstractNum w:abstractNumId="47">
    <w:nsid w:val="7F01579B"/>
    <w:multiLevelType w:val="hybridMultilevel"/>
    <w:lvl w:ilvl="0">
      <w:lvlJc w:val="left"/>
      <w:lvlText w:val="(%1)"/>
      <w:numFmt w:val="decimal"/>
      <w:start w:val="18"/>
    </w:lvl>
  </w:abstractNum>
  <w:abstractNum w:abstractNumId="48">
    <w:nsid w:val="49DA307D"/>
    <w:multiLevelType w:val="hybridMultilevel"/>
    <w:lvl w:ilvl="0">
      <w:lvlJc w:val="left"/>
      <w:lvlText w:val="(%1)"/>
      <w:numFmt w:val="decimal"/>
      <w:start w:val="18"/>
    </w:lvl>
  </w:abstractNum>
  <w:abstractNum w:abstractNumId="49">
    <w:nsid w:val="7055A5F5"/>
    <w:multiLevelType w:val="hybridMultilevel"/>
    <w:lvl w:ilvl="0">
      <w:lvlJc w:val="left"/>
      <w:lvlText w:val="(%1)"/>
      <w:numFmt w:val="decimal"/>
      <w:start w:val="18"/>
    </w:lvl>
  </w:abstractNum>
  <w:abstractNum w:abstractNumId="50">
    <w:nsid w:val="5FB8370B"/>
    <w:multiLevelType w:val="hybridMultilevel"/>
    <w:lvl w:ilvl="0">
      <w:lvlJc w:val="left"/>
      <w:lvlText w:val="(%1)"/>
      <w:numFmt w:val="decimal"/>
      <w:start w:val="18"/>
    </w:lvl>
  </w:abstractNum>
  <w:abstractNum w:abstractNumId="51">
    <w:nsid w:val="50801EE1"/>
    <w:multiLevelType w:val="hybridMultilevel"/>
    <w:lvl w:ilvl="0">
      <w:lvlJc w:val="left"/>
      <w:lvlText w:val="(%1)"/>
      <w:numFmt w:val="decimal"/>
      <w:start w:val="19"/>
    </w:lvl>
  </w:abstractNum>
  <w:abstractNum w:abstractNumId="52">
    <w:nsid w:val="488AC1A"/>
    <w:multiLevelType w:val="hybridMultilevel"/>
    <w:lvl w:ilvl="0">
      <w:lvlJc w:val="left"/>
      <w:lvlText w:val="(%1)"/>
      <w:numFmt w:val="decimal"/>
      <w:start w:val="19"/>
    </w:lvl>
  </w:abstractNum>
  <w:abstractNum w:abstractNumId="53">
    <w:nsid w:val="5FB8011C"/>
    <w:multiLevelType w:val="hybridMultilevel"/>
    <w:lvl w:ilvl="0">
      <w:lvlJc w:val="left"/>
      <w:lvlText w:val="(%1)"/>
      <w:numFmt w:val="decimal"/>
      <w:start w:val="21"/>
    </w:lvl>
  </w:abstractNum>
  <w:abstractNum w:abstractNumId="54">
    <w:nsid w:val="6AA78F7F"/>
    <w:multiLevelType w:val="hybridMultilevel"/>
    <w:lvl w:ilvl="0">
      <w:lvlJc w:val="left"/>
      <w:lvlText w:val="(%1)"/>
      <w:numFmt w:val="decimal"/>
      <w:start w:val="22"/>
    </w:lvl>
  </w:abstractNum>
  <w:abstractNum w:abstractNumId="55">
    <w:nsid w:val="7672BD23"/>
    <w:multiLevelType w:val="hybridMultilevel"/>
    <w:lvl w:ilvl="0">
      <w:lvlJc w:val="left"/>
      <w:lvlText w:val="(%1)"/>
      <w:numFmt w:val="decimal"/>
      <w:start w:val="22"/>
    </w:lvl>
  </w:abstractNum>
  <w:abstractNum w:abstractNumId="56">
    <w:nsid w:val="6FC75AF8"/>
    <w:multiLevelType w:val="hybridMultilevel"/>
    <w:lvl w:ilvl="0">
      <w:lvlJc w:val="left"/>
      <w:lvlText w:val="(%1)"/>
      <w:numFmt w:val="decimal"/>
      <w:start w:val="23"/>
    </w:lvl>
  </w:abstractNum>
  <w:abstractNum w:abstractNumId="57">
    <w:nsid w:val="6A5F7029"/>
    <w:multiLevelType w:val="hybridMultilevel"/>
    <w:lvl w:ilvl="0">
      <w:lvlJc w:val="left"/>
      <w:lvlText w:val="(%1)"/>
      <w:numFmt w:val="decimal"/>
      <w:start w:val="23"/>
    </w:lvl>
  </w:abstractNum>
  <w:abstractNum w:abstractNumId="58">
    <w:nsid w:val="7D5E18F8"/>
    <w:multiLevelType w:val="hybridMultilevel"/>
    <w:lvl w:ilvl="0">
      <w:lvlJc w:val="left"/>
      <w:lvlText w:val="(%1)"/>
      <w:numFmt w:val="decimal"/>
      <w:start w:val="23"/>
    </w:lvl>
  </w:abstractNum>
  <w:abstractNum w:abstractNumId="59">
    <w:nsid w:val="5F3534A4"/>
    <w:multiLevelType w:val="hybridMultilevel"/>
    <w:lvl w:ilvl="0">
      <w:lvlJc w:val="left"/>
      <w:lvlText w:val="(%1)"/>
      <w:numFmt w:val="decimal"/>
      <w:start w:val="23"/>
    </w:lvl>
  </w:abstractNum>
  <w:abstractNum w:abstractNumId="60">
    <w:nsid w:val="73A1821B"/>
    <w:multiLevelType w:val="hybridMultilevel"/>
    <w:lvl w:ilvl="0">
      <w:lvlJc w:val="left"/>
      <w:lvlText w:val="(%1)"/>
      <w:numFmt w:val="decimal"/>
      <w:start w:val="23"/>
    </w:lvl>
  </w:abstractNum>
  <w:abstractNum w:abstractNumId="61">
    <w:nsid w:val="7DE67713"/>
    <w:multiLevelType w:val="hybridMultilevel"/>
    <w:lvl w:ilvl="0">
      <w:lvlJc w:val="left"/>
      <w:lvlText w:val="(%1)"/>
      <w:numFmt w:val="decimal"/>
      <w:start w:val="24"/>
    </w:lvl>
  </w:abstractNum>
  <w:abstractNum w:abstractNumId="62">
    <w:nsid w:val="555C55B5"/>
    <w:multiLevelType w:val="hybridMultilevel"/>
    <w:lvl w:ilvl="0">
      <w:lvlJc w:val="left"/>
      <w:lvlText w:val="(%1)"/>
      <w:numFmt w:val="decimal"/>
      <w:start w:val="25"/>
    </w:lvl>
  </w:abstractNum>
  <w:abstractNum w:abstractNumId="63">
    <w:nsid w:val="3FA62ACA"/>
    <w:multiLevelType w:val="hybridMultilevel"/>
    <w:lvl w:ilvl="0">
      <w:lvlJc w:val="left"/>
      <w:lvlText w:val="(%1)"/>
      <w:numFmt w:val="decimal"/>
      <w:start w:val="25"/>
    </w:lvl>
  </w:abstractNum>
  <w:abstractNum w:abstractNumId="64">
    <w:nsid w:val="14FCE74E"/>
    <w:multiLevelType w:val="hybridMultilevel"/>
    <w:lvl w:ilvl="0">
      <w:lvlJc w:val="left"/>
      <w:lvlText w:val="%1."/>
      <w:numFmt w:val="decimal"/>
      <w:start w:val="2"/>
    </w:lvl>
  </w:abstractNum>
  <w:abstractNum w:abstractNumId="65">
    <w:nsid w:val="6A3DD3E8"/>
    <w:multiLevelType w:val="hybridMultilevel"/>
    <w:lvl w:ilvl="0">
      <w:lvlJc w:val="left"/>
      <w:lvlText w:val="%1"/>
      <w:numFmt w:val="decimal"/>
      <w:start w:val="14"/>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1"/>
      <w:numFmt w:val="decimal"/>
      <w:start w:val="32"/>
    </w:lvl>
  </w:abstractNum>
  <w:abstractNum w:abstractNumId="69">
    <w:nsid w:val="1FBFE8E0"/>
    <w:multiLevelType w:val="hybridMultilevel"/>
    <w:lvl w:ilvl="0">
      <w:lvlJc w:val="left"/>
      <w:lvlText w:val="%1."/>
      <w:numFmt w:val="decimal"/>
      <w:start w:val="1"/>
    </w:lvl>
  </w:abstractNum>
  <w:abstractNum w:abstractNumId="70">
    <w:nsid w:val="5092CA79"/>
    <w:multiLevelType w:val="hybridMultilevel"/>
    <w:lvl w:ilvl="0">
      <w:lvlJc w:val="left"/>
      <w:lvlText w:val="%1."/>
      <w:numFmt w:val="decimal"/>
      <w:start w:val="2"/>
    </w:lvl>
  </w:abstractNum>
  <w:abstractNum w:abstractNumId="71">
    <w:nsid w:val="1D545C4D"/>
    <w:multiLevelType w:val="hybridMultilevel"/>
    <w:lvl w:ilvl="0">
      <w:lvlJc w:val="left"/>
      <w:lvlText w:val="%1."/>
      <w:numFmt w:val="decimal"/>
      <w:start w:val="3"/>
    </w:lvl>
  </w:abstractNum>
  <w:abstractNum w:abstractNumId="72">
    <w:nsid w:val="59ADEA3D"/>
    <w:multiLevelType w:val="hybridMultilevel"/>
    <w:lvl w:ilvl="0">
      <w:lvlJc w:val="left"/>
      <w:lvlText w:val="%1."/>
      <w:numFmt w:val="decimal"/>
      <w:start w:val="4"/>
    </w:lvl>
  </w:abstractNum>
  <w:abstractNum w:abstractNumId="73">
    <w:nsid w:val="288F1A34"/>
    <w:multiLevelType w:val="hybridMultilevel"/>
    <w:lvl w:ilvl="0">
      <w:lvlJc w:val="left"/>
      <w:lvlText w:val="(%1)"/>
      <w:numFmt w:val="lowerRoman"/>
      <w:start w:val="3"/>
    </w:lvl>
  </w:abstractNum>
  <w:abstractNum w:abstractNumId="74">
    <w:nsid w:val="2A155DBC"/>
    <w:multiLevelType w:val="hybridMultilevel"/>
    <w:lvl w:ilvl="0">
      <w:lvlJc w:val="left"/>
      <w:lvlText w:val="%1."/>
      <w:numFmt w:val="decimal"/>
      <w:start w:val="5"/>
    </w:lvl>
  </w:abstractNum>
  <w:abstractNum w:abstractNumId="75">
    <w:nsid w:val="1D9F6E5F"/>
    <w:multiLevelType w:val="hybridMultilevel"/>
    <w:lvl w:ilvl="0">
      <w:lvlJc w:val="left"/>
      <w:lvlText w:val="(%1)"/>
      <w:numFmt w:val="decimal"/>
      <w:start w:val="1"/>
    </w:lvl>
    <w:lvl w:ilvl="1">
      <w:lvlJc w:val="left"/>
      <w:lvlText w:val="(%2)"/>
      <w:numFmt w:val="lowerRoman"/>
      <w:start w:val="1"/>
    </w:lvl>
  </w:abstractNum>
  <w:abstractNum w:abstractNumId="76">
    <w:nsid w:val="97E1B4E"/>
    <w:multiLevelType w:val="hybridMultilevel"/>
    <w:lvl w:ilvl="0">
      <w:lvlJc w:val="left"/>
      <w:lvlText w:val="%1."/>
      <w:numFmt w:val="decimal"/>
      <w:start w:val="6"/>
    </w:lvl>
  </w:abstractNum>
  <w:abstractNum w:abstractNumId="77">
    <w:nsid w:val="51088277"/>
    <w:multiLevelType w:val="hybridMultilevel"/>
    <w:lvl w:ilvl="0">
      <w:lvlJc w:val="left"/>
      <w:lvlText w:val="%1."/>
      <w:numFmt w:val="decimal"/>
      <w:start w:val="7"/>
    </w:lvl>
  </w:abstractNum>
  <w:abstractNum w:abstractNumId="78">
    <w:nsid w:val="1CA0C5FA"/>
    <w:multiLevelType w:val="hybridMultilevel"/>
    <w:lvl w:ilvl="0">
      <w:lvlJc w:val="left"/>
      <w:lvlText w:val="%1."/>
      <w:numFmt w:val="decimal"/>
      <w:start w:val="8"/>
    </w:lvl>
  </w:abstractNum>
  <w:abstractNum w:abstractNumId="79">
    <w:nsid w:val="53584BCB"/>
    <w:multiLevelType w:val="hybridMultilevel"/>
    <w:lvl w:ilvl="0">
      <w:lvlJc w:val="left"/>
      <w:lvlText w:val="%1."/>
      <w:numFmt w:val="decimal"/>
      <w:start w:val="9"/>
    </w:lvl>
  </w:abstractNum>
  <w:abstractNum w:abstractNumId="80">
    <w:nsid w:val="415E286C"/>
    <w:multiLevelType w:val="hybridMultilevel"/>
    <w:lvl w:ilvl="0">
      <w:lvlJc w:val="left"/>
      <w:lvlText w:val="%1"/>
      <w:numFmt w:val="decimal"/>
      <w:start w:val="1"/>
    </w:lvl>
    <w:lvl w:ilvl="1">
      <w:lvlJc w:val="left"/>
      <w:lvlText w:val="(%2)"/>
      <w:numFmt w:val="lowerRoman"/>
      <w:start w:val="1"/>
    </w:lvl>
  </w:abstractNum>
  <w:abstractNum w:abstractNumId="81">
    <w:nsid w:val="7C58FD05"/>
    <w:multiLevelType w:val="hybridMultilevel"/>
    <w:lvl w:ilvl="0">
      <w:lvlJc w:val="left"/>
      <w:lvlText w:val="%1."/>
      <w:numFmt w:val="decimal"/>
      <w:start w:val="10"/>
    </w:lvl>
    <w:lvl w:ilvl="1">
      <w:lvlJc w:val="left"/>
      <w:lvlText w:val="%2"/>
      <w:numFmt w:val="lowerRoman"/>
      <w:start w:val="1"/>
    </w:lvl>
  </w:abstractNum>
  <w:abstractNum w:abstractNumId="82">
    <w:nsid w:val="23D86AAC"/>
    <w:multiLevelType w:val="hybridMultilevel"/>
    <w:lvl w:ilvl="0">
      <w:lvlJc w:val="left"/>
      <w:lvlText w:val="%1."/>
      <w:numFmt w:val="decimal"/>
      <w:start w:val="11"/>
    </w:lvl>
  </w:abstractNum>
  <w:abstractNum w:abstractNumId="83">
    <w:nsid w:val="45E6D486"/>
    <w:multiLevelType w:val="hybridMultilevel"/>
    <w:lvl w:ilvl="0">
      <w:lvlJc w:val="left"/>
      <w:lvlText w:val="%1."/>
      <w:numFmt w:val="decimal"/>
      <w:start w:val="12"/>
    </w:lvl>
  </w:abstractNum>
  <w:abstractNum w:abstractNumId="84">
    <w:nsid w:val="5C10FE21"/>
    <w:multiLevelType w:val="hybridMultilevel"/>
    <w:lvl w:ilvl="0">
      <w:lvlJc w:val="left"/>
      <w:lvlText w:val="%1."/>
      <w:numFmt w:val="decimal"/>
      <w:start w:val="13"/>
    </w:lvl>
  </w:abstractNum>
  <w:abstractNum w:abstractNumId="85">
    <w:nsid w:val="E7FFA2B"/>
    <w:multiLevelType w:val="hybridMultilevel"/>
    <w:lvl w:ilvl="0">
      <w:lvlJc w:val="left"/>
      <w:lvlText w:val="(%1)"/>
      <w:numFmt w:val="lowerRoman"/>
      <w:start w:val="1"/>
    </w:lvl>
  </w:abstractNum>
  <w:abstractNum w:abstractNumId="86">
    <w:nsid w:val="3C5991AA"/>
    <w:multiLevelType w:val="hybridMultilevel"/>
    <w:lvl w:ilvl="0">
      <w:lvlJc w:val="left"/>
      <w:lvlText w:val="(%1)"/>
      <w:numFmt w:val="lowerRoman"/>
      <w:start w:val="1"/>
    </w:lvl>
  </w:abstractNum>
  <w:abstractNum w:abstractNumId="87">
    <w:nsid w:val="4BD8591A"/>
    <w:multiLevelType w:val="hybridMultilevel"/>
    <w:lvl w:ilvl="0">
      <w:lvlJc w:val="left"/>
      <w:lvlText w:val="%1."/>
      <w:numFmt w:val="decimal"/>
      <w:start w:val="14"/>
    </w:lvl>
  </w:abstractNum>
  <w:abstractNum w:abstractNumId="88">
    <w:nsid w:val="78DF6A55"/>
    <w:multiLevelType w:val="hybridMultilevel"/>
    <w:lvl w:ilvl="0">
      <w:lvlJc w:val="left"/>
      <w:lvlText w:val="%1."/>
      <w:numFmt w:val="decimal"/>
      <w:start w:val="15"/>
    </w:lvl>
  </w:abstractNum>
  <w:abstractNum w:abstractNumId="89">
    <w:nsid w:val="39B7AAA2"/>
    <w:multiLevelType w:val="hybridMultilevel"/>
    <w:lvl w:ilvl="0">
      <w:lvlJc w:val="left"/>
      <w:lvlText w:val="%1."/>
      <w:numFmt w:val="decimal"/>
      <w:start w:val="16"/>
    </w:lvl>
  </w:abstractNum>
  <w:abstractNum w:abstractNumId="90">
    <w:nsid w:val="2B0D8DBE"/>
    <w:multiLevelType w:val="hybridMultilevel"/>
    <w:lvl w:ilvl="0">
      <w:lvlJc w:val="left"/>
      <w:lvlText w:val="%1."/>
      <w:numFmt w:val="decimal"/>
      <w:start w:val="17"/>
    </w:lvl>
  </w:abstractNum>
  <w:abstractNum w:abstractNumId="91">
    <w:nsid w:val="6C80EC70"/>
    <w:multiLevelType w:val="hybridMultilevel"/>
    <w:lvl w:ilvl="0">
      <w:lvlJc w:val="left"/>
      <w:lvlText w:val="%1."/>
      <w:numFmt w:val="decimal"/>
      <w:start w:val="18"/>
    </w:lvl>
  </w:abstractNum>
  <w:abstractNum w:abstractNumId="92">
    <w:nsid w:val="379E21B5"/>
    <w:multiLevelType w:val="hybridMultilevel"/>
    <w:lvl w:ilvl="0">
      <w:lvlJc w:val="left"/>
      <w:lvlText w:val="%1."/>
      <w:numFmt w:val="decimal"/>
      <w:start w:val="19"/>
    </w:lvl>
  </w:abstractNum>
  <w:abstractNum w:abstractNumId="93">
    <w:nsid w:val="69E373"/>
    <w:multiLevelType w:val="hybridMultilevel"/>
    <w:lvl w:ilvl="0">
      <w:lvlJc w:val="left"/>
      <w:lvlText w:val="%1."/>
      <w:numFmt w:val="decimal"/>
      <w:start w:val="20"/>
    </w:lvl>
  </w:abstractNum>
  <w:abstractNum w:abstractNumId="94">
    <w:nsid w:val="2C27173B"/>
    <w:multiLevelType w:val="hybridMultilevel"/>
    <w:lvl w:ilvl="0">
      <w:lvlJc w:val="left"/>
      <w:lvlText w:val="%1."/>
      <w:numFmt w:val="decimal"/>
      <w:start w:val="1"/>
    </w:lvl>
  </w:abstractNum>
  <w:abstractNum w:abstractNumId="95">
    <w:nsid w:val="4C9B0904"/>
    <w:multiLevelType w:val="hybridMultilevel"/>
    <w:lvl w:ilvl="0">
      <w:lvlJc w:val="left"/>
      <w:lvlText w:val="%1."/>
      <w:numFmt w:val="decimal"/>
      <w:start w:val="2"/>
    </w:lvl>
  </w:abstractNum>
  <w:abstractNum w:abstractNumId="96">
    <w:nsid w:val="6AA7B75C"/>
    <w:multiLevelType w:val="hybridMultilevel"/>
    <w:lvl w:ilvl="0">
      <w:lvlJc w:val="left"/>
      <w:lvlText w:val="%1."/>
      <w:numFmt w:val="decimal"/>
      <w:start w:val="3"/>
    </w:lvl>
  </w:abstractNum>
  <w:abstractNum w:abstractNumId="97">
    <w:nsid w:val="1DF029D3"/>
    <w:multiLevelType w:val="hybridMultilevel"/>
    <w:lvl w:ilvl="0">
      <w:lvlJc w:val="left"/>
      <w:lvlText w:val="%1."/>
      <w:numFmt w:val="decimal"/>
      <w:start w:val="4"/>
    </w:lvl>
  </w:abstractNum>
  <w:abstractNum w:abstractNumId="98">
    <w:nsid w:val="5675FF36"/>
    <w:multiLevelType w:val="hybridMultilevel"/>
    <w:lvl w:ilvl="0">
      <w:lvlJc w:val="left"/>
      <w:lvlText w:val="(%1)"/>
      <w:numFmt w:val="lowerRoman"/>
      <w:start w:val="3"/>
    </w:lvl>
  </w:abstractNum>
  <w:abstractNum w:abstractNumId="99">
    <w:nsid w:val="3DD15094"/>
    <w:multiLevelType w:val="hybridMultilevel"/>
    <w:lvl w:ilvl="0">
      <w:lvlJc w:val="left"/>
      <w:lvlText w:val="%1."/>
      <w:numFmt w:val="decimal"/>
      <w:start w:val="5"/>
    </w:lvl>
  </w:abstractNum>
  <w:abstractNum w:abstractNumId="100">
    <w:nsid w:val="3DB012B3"/>
    <w:multiLevelType w:val="hybridMultilevel"/>
    <w:lvl w:ilvl="0">
      <w:lvlJc w:val="left"/>
      <w:lvlText w:val="(%1)"/>
      <w:numFmt w:val="decimal"/>
      <w:start w:val="1"/>
    </w:lvl>
    <w:lvl w:ilvl="1">
      <w:lvlJc w:val="left"/>
      <w:lvlText w:val="(%2)"/>
      <w:numFmt w:val="lowerRoman"/>
      <w:start w:val="1"/>
    </w:lvl>
  </w:abstractNum>
  <w:abstractNum w:abstractNumId="101">
    <w:nsid w:val="2708C9AF"/>
    <w:multiLevelType w:val="hybridMultilevel"/>
    <w:lvl w:ilvl="0">
      <w:lvlJc w:val="left"/>
      <w:lvlText w:val="(%1)"/>
      <w:numFmt w:val="lowerRoman"/>
      <w:start w:val="2"/>
    </w:lvl>
  </w:abstractNum>
  <w:abstractNum w:abstractNumId="102">
    <w:nsid w:val="5B25ACE2"/>
    <w:multiLevelType w:val="hybridMultilevel"/>
    <w:lvl w:ilvl="0">
      <w:lvlJc w:val="left"/>
      <w:lvlText w:val="%1."/>
      <w:numFmt w:val="decimal"/>
      <w:start w:val="6"/>
    </w:lvl>
  </w:abstractNum>
  <w:abstractNum w:abstractNumId="103">
    <w:nsid w:val="175DFCF0"/>
    <w:multiLevelType w:val="hybridMultilevel"/>
    <w:lvl w:ilvl="0">
      <w:lvlJc w:val="left"/>
      <w:lvlText w:val="%1."/>
      <w:numFmt w:val="decimal"/>
      <w:start w:val="7"/>
    </w:lvl>
  </w:abstractNum>
  <w:abstractNum w:abstractNumId="104">
    <w:nsid w:val="4F97E3E4"/>
    <w:multiLevelType w:val="hybridMultilevel"/>
    <w:lvl w:ilvl="0">
      <w:lvlJc w:val="left"/>
      <w:lvlText w:val="%1."/>
      <w:numFmt w:val="decimal"/>
      <w:start w:val="8"/>
    </w:lvl>
  </w:abstractNum>
  <w:abstractNum w:abstractNumId="105">
    <w:nsid w:val="53B0A9E"/>
    <w:multiLevelType w:val="hybridMultilevel"/>
    <w:lvl w:ilvl="0">
      <w:lvlJc w:val="left"/>
      <w:lvlText w:val="%1."/>
      <w:numFmt w:val="decimal"/>
      <w:start w:val="9"/>
    </w:lvl>
  </w:abstractNum>
  <w:abstractNum w:abstractNumId="106">
    <w:nsid w:val="34FD6B4F"/>
    <w:multiLevelType w:val="hybridMultilevel"/>
    <w:lvl w:ilvl="0">
      <w:lvlJc w:val="left"/>
      <w:lvlText w:val="%1"/>
      <w:numFmt w:val="decimal"/>
      <w:start w:val="1"/>
    </w:lvl>
    <w:lvl w:ilvl="1">
      <w:lvlJc w:val="left"/>
      <w:lvlText w:val="(%2)"/>
      <w:numFmt w:val="lowerRoman"/>
      <w:start w:val="1"/>
    </w:lvl>
  </w:abstractNum>
  <w:abstractNum w:abstractNumId="107">
    <w:nsid w:val="5915FF32"/>
    <w:multiLevelType w:val="hybridMultilevel"/>
    <w:lvl w:ilvl="0">
      <w:lvlJc w:val="left"/>
      <w:lvlText w:val="%1."/>
      <w:numFmt w:val="decimal"/>
      <w:start w:val="10"/>
    </w:lvl>
    <w:lvl w:ilvl="1">
      <w:lvlJc w:val="left"/>
      <w:lvlText w:val="%2"/>
      <w:numFmt w:val="lowerRoman"/>
      <w:start w:val="1"/>
    </w:lvl>
  </w:abstractNum>
  <w:abstractNum w:abstractNumId="108">
    <w:nsid w:val="56438D15"/>
    <w:multiLevelType w:val="hybridMultilevel"/>
    <w:lvl w:ilvl="0">
      <w:lvlJc w:val="left"/>
      <w:lvlText w:val="%1."/>
      <w:numFmt w:val="decimal"/>
      <w:start w:val="11"/>
    </w:lvl>
  </w:abstractNum>
  <w:abstractNum w:abstractNumId="109">
    <w:nsid w:val="519E3149"/>
    <w:multiLevelType w:val="hybridMultilevel"/>
    <w:lvl w:ilvl="0">
      <w:lvlJc w:val="left"/>
      <w:lvlText w:val="%1."/>
      <w:numFmt w:val="decimal"/>
      <w:start w:val="12"/>
    </w:lvl>
  </w:abstractNum>
  <w:abstractNum w:abstractNumId="110">
    <w:nsid w:val="2C6E4AFD"/>
    <w:multiLevelType w:val="hybridMultilevel"/>
    <w:lvl w:ilvl="0">
      <w:lvlJc w:val="left"/>
      <w:lvlText w:val="%1."/>
      <w:numFmt w:val="decimal"/>
      <w:start w:val="13"/>
    </w:lvl>
  </w:abstractNum>
  <w:abstractNum w:abstractNumId="111">
    <w:nsid w:val="17A1B582"/>
    <w:multiLevelType w:val="hybridMultilevel"/>
    <w:lvl w:ilvl="0">
      <w:lvlJc w:val="left"/>
      <w:lvlText w:val="(%1)"/>
      <w:numFmt w:val="lowerRoman"/>
      <w:start w:val="1"/>
    </w:lvl>
  </w:abstractNum>
  <w:abstractNum w:abstractNumId="112">
    <w:nsid w:val="4DF72E4E"/>
    <w:multiLevelType w:val="hybridMultilevel"/>
    <w:lvl w:ilvl="0">
      <w:lvlJc w:val="left"/>
      <w:lvlText w:val="(%1)"/>
      <w:numFmt w:val="lowerRoman"/>
      <w:start w:val="1"/>
    </w:lvl>
  </w:abstractNum>
  <w:abstractNum w:abstractNumId="113">
    <w:nsid w:val="5046B5A9"/>
    <w:multiLevelType w:val="hybridMultilevel"/>
    <w:lvl w:ilvl="0">
      <w:lvlJc w:val="left"/>
      <w:lvlText w:val="%1."/>
      <w:numFmt w:val="decimal"/>
      <w:start w:val="14"/>
    </w:lvl>
  </w:abstractNum>
  <w:abstractNum w:abstractNumId="114">
    <w:nsid w:val="5D888A08"/>
    <w:multiLevelType w:val="hybridMultilevel"/>
    <w:lvl w:ilvl="0">
      <w:lvlJc w:val="left"/>
      <w:lvlText w:val="%1."/>
      <w:numFmt w:val="decimal"/>
      <w:start w:val="15"/>
    </w:lvl>
  </w:abstractNum>
  <w:abstractNum w:abstractNumId="115">
    <w:nsid w:val="2A082C70"/>
    <w:multiLevelType w:val="hybridMultilevel"/>
    <w:lvl w:ilvl="0">
      <w:lvlJc w:val="left"/>
      <w:lvlText w:val="%1."/>
      <w:numFmt w:val="decimal"/>
      <w:start w:val="16"/>
    </w:lvl>
  </w:abstractNum>
  <w:abstractNum w:abstractNumId="116">
    <w:nsid w:val="5EC6AFD4"/>
    <w:multiLevelType w:val="hybridMultilevel"/>
    <w:lvl w:ilvl="0">
      <w:lvlJc w:val="left"/>
      <w:lvlText w:val="%1."/>
      <w:numFmt w:val="decimal"/>
      <w:start w:val="17"/>
    </w:lvl>
  </w:abstractNum>
  <w:abstractNum w:abstractNumId="117">
    <w:nsid w:val="19E21BB2"/>
    <w:multiLevelType w:val="hybridMultilevel"/>
    <w:lvl w:ilvl="0">
      <w:lvlJc w:val="left"/>
      <w:lvlText w:val="%1."/>
      <w:numFmt w:val="decimal"/>
      <w:start w:val="19"/>
    </w:lvl>
  </w:abstractNum>
  <w:abstractNum w:abstractNumId="118">
    <w:nsid w:val="75E0858A"/>
    <w:multiLevelType w:val="hybridMultilevel"/>
    <w:lvl w:ilvl="0">
      <w:lvlJc w:val="left"/>
      <w:lvlText w:val="%1."/>
      <w:numFmt w:val="decimal"/>
      <w:start w:val="20"/>
    </w:lvl>
  </w:abstractNum>
  <w:abstractNum w:abstractNumId="119">
    <w:nsid w:val="57A61A29"/>
    <w:multiLevelType w:val="hybridMultilevel"/>
    <w:lvl w:ilvl="0">
      <w:lvlJc w:val="left"/>
      <w:lvlText w:val="%1."/>
      <w:numFmt w:val="decimal"/>
      <w:start w:val="1"/>
    </w:lvl>
  </w:abstractNum>
  <w:abstractNum w:abstractNumId="120">
    <w:nsid w:val="5399C654"/>
    <w:multiLevelType w:val="hybridMultilevel"/>
    <w:lvl w:ilvl="0">
      <w:lvlJc w:val="left"/>
      <w:lvlText w:val="%1."/>
      <w:numFmt w:val="decimal"/>
      <w:start w:val="2"/>
    </w:lvl>
  </w:abstractNum>
  <w:abstractNum w:abstractNumId="121">
    <w:nsid w:val="20EE1348"/>
    <w:multiLevelType w:val="hybridMultilevel"/>
    <w:lvl w:ilvl="0">
      <w:lvlJc w:val="left"/>
      <w:lvlText w:val="%1"/>
      <w:numFmt w:val="lowerRoman"/>
      <w:start w:val="1"/>
    </w:lvl>
    <w:lvl w:ilvl="1">
      <w:lvlJc w:val="left"/>
      <w:lvlText w:val="(%2)"/>
      <w:numFmt w:val="decimal"/>
      <w:start w:val="1"/>
    </w:lvl>
  </w:abstractNum>
  <w:abstractNum w:abstractNumId="122">
    <w:nsid w:val="4427069A"/>
    <w:multiLevelType w:val="hybridMultilevel"/>
    <w:lvl w:ilvl="0">
      <w:lvlJc w:val="left"/>
      <w:lvlText w:val="(%1)"/>
      <w:numFmt w:val="lowerRoman"/>
      <w:start w:val="1"/>
    </w:lvl>
    <w:lvl w:ilvl="1">
      <w:lvlJc w:val="left"/>
      <w:lvlText w:val="%2"/>
      <w:numFmt w:val="decimal"/>
      <w:start w:val="1"/>
    </w:lvl>
  </w:abstractNum>
  <w:abstractNum w:abstractNumId="123">
    <w:nsid w:val="B37E80A"/>
    <w:multiLevelType w:val="hybridMultilevel"/>
    <w:lvl w:ilvl="0">
      <w:lvlJc w:val="left"/>
      <w:lvlText w:val="(%1)"/>
      <w:numFmt w:val="lowerRoman"/>
      <w:start w:val="2"/>
    </w:lvl>
  </w:abstractNum>
  <w:abstractNum w:abstractNumId="124">
    <w:nsid w:val="2157F6BC"/>
    <w:multiLevelType w:val="hybridMultilevel"/>
    <w:lvl w:ilvl="0">
      <w:lvlJc w:val="left"/>
      <w:lvlText w:val="%1."/>
      <w:numFmt w:val="decimal"/>
      <w:start w:val="3"/>
    </w:lvl>
  </w:abstractNum>
  <w:abstractNum w:abstractNumId="125">
    <w:nsid w:val="704E1DD5"/>
    <w:multiLevelType w:val="hybridMultilevel"/>
    <w:lvl w:ilvl="0">
      <w:lvlJc w:val="left"/>
      <w:lvlText w:val="%1."/>
      <w:numFmt w:val="decimal"/>
      <w:start w:val="4"/>
    </w:lvl>
  </w:abstractNum>
  <w:abstractNum w:abstractNumId="126">
    <w:nsid w:val="57D2F10E"/>
    <w:multiLevelType w:val="hybridMultilevel"/>
    <w:lvl w:ilvl="0">
      <w:lvlJc w:val="left"/>
      <w:lvlText w:val="%1."/>
      <w:numFmt w:val="decimal"/>
      <w:start w:val="5"/>
    </w:lvl>
  </w:abstractNum>
  <w:abstractNum w:abstractNumId="127">
    <w:nsid w:val="BFFAE18"/>
    <w:multiLevelType w:val="hybridMultilevel"/>
    <w:lvl w:ilvl="0">
      <w:lvlJc w:val="left"/>
      <w:lvlText w:val="%1."/>
      <w:numFmt w:val="decimal"/>
      <w:start w:val="6"/>
    </w:lvl>
  </w:abstractNum>
  <w:abstractNum w:abstractNumId="128">
    <w:nsid w:val="E3E47A8"/>
    <w:multiLevelType w:val="hybridMultilevel"/>
    <w:lvl w:ilvl="0">
      <w:lvlJc w:val="left"/>
      <w:lvlText w:val="%1."/>
      <w:numFmt w:val="decimal"/>
      <w:start w:val="7"/>
    </w:lvl>
  </w:abstractNum>
  <w:abstractNum w:abstractNumId="129">
    <w:nsid w:val="2E48F044"/>
    <w:multiLevelType w:val="hybridMultilevel"/>
    <w:lvl w:ilvl="0">
      <w:lvlJc w:val="left"/>
      <w:lvlText w:val="%1."/>
      <w:numFmt w:val="decimal"/>
      <w:start w:val="8"/>
    </w:lvl>
  </w:abstractNum>
  <w:abstractNum w:abstractNumId="130">
    <w:nsid w:val="49D0FEAC"/>
    <w:multiLevelType w:val="hybridMultilevel"/>
    <w:lvl w:ilvl="0">
      <w:lvlJc w:val="left"/>
      <w:lvlText w:val="(%1)"/>
      <w:numFmt w:val="lowerRoman"/>
      <w:start w:val="1"/>
    </w:lvl>
  </w:abstractNum>
  <w:abstractNum w:abstractNumId="131">
    <w:nsid w:val="4BEE5A5B"/>
    <w:multiLevelType w:val="hybridMultilevel"/>
    <w:lvl w:ilvl="0">
      <w:lvlJc w:val="left"/>
      <w:lvlText w:val="(%1)"/>
      <w:numFmt w:val="lowerRoman"/>
      <w:start w:val="2"/>
    </w:lvl>
  </w:abstractNum>
  <w:abstractNum w:abstractNumId="132">
    <w:nsid w:val="5551B9F3"/>
    <w:multiLevelType w:val="hybridMultilevel"/>
    <w:lvl w:ilvl="0">
      <w:lvlJc w:val="left"/>
      <w:lvlText w:val="(%1)"/>
      <w:numFmt w:val="lowerRoman"/>
      <w:start w:val="1"/>
    </w:lvl>
  </w:abstractNum>
  <w:abstractNum w:abstractNumId="133">
    <w:nsid w:val="24F6AB8E"/>
    <w:multiLevelType w:val="hybridMultilevel"/>
    <w:lvl w:ilvl="0">
      <w:lvlJc w:val="left"/>
      <w:lvlText w:val="%1"/>
      <w:numFmt w:val="decimal"/>
      <w:start w:val="1"/>
    </w:lvl>
    <w:lvl w:ilvl="1">
      <w:lvlJc w:val="left"/>
      <w:lvlText w:val="(%2)"/>
      <w:numFmt w:val="lowerRoman"/>
      <w:start w:val="2"/>
    </w:lvl>
  </w:abstractNum>
  <w:abstractNum w:abstractNumId="134">
    <w:nsid w:val="634C574C"/>
    <w:multiLevelType w:val="hybridMultilevel"/>
    <w:lvl w:ilvl="0">
      <w:lvlJc w:val="left"/>
      <w:lvlText w:val="(%1)"/>
      <w:numFmt w:val="decimal"/>
      <w:start w:val="2"/>
    </w:lvl>
    <w:lvl w:ilvl="1">
      <w:lvlJc w:val="left"/>
      <w:lvlText w:val="(%2)"/>
      <w:numFmt w:val="lowerRoman"/>
      <w:start w:val="4"/>
    </w:lvl>
  </w:abstractNum>
  <w:abstractNum w:abstractNumId="135">
    <w:nsid w:val="24E99DD7"/>
    <w:multiLevelType w:val="hybridMultilevel"/>
    <w:lvl w:ilvl="0">
      <w:lvlJc w:val="left"/>
      <w:lvlText w:val="(%1)"/>
      <w:numFmt w:val="lowerRoman"/>
      <w:start w:val="6"/>
    </w:lvl>
    <w:lvl w:ilvl="1">
      <w:lvlJc w:val="left"/>
      <w:lvlText w:val="%2."/>
      <w:numFmt w:val="decimal"/>
      <w:start w:val="9"/>
    </w:lvl>
  </w:abstractNum>
  <w:abstractNum w:abstractNumId="136">
    <w:nsid w:val="2A31B62D"/>
    <w:multiLevelType w:val="hybridMultilevel"/>
    <w:lvl w:ilvl="0">
      <w:lvlJc w:val="left"/>
      <w:lvlText w:val="%1."/>
      <w:numFmt w:val="decimal"/>
      <w:start w:val="10"/>
    </w:lvl>
  </w:abstractNum>
  <w:abstractNum w:abstractNumId="137">
    <w:nsid w:val="1849C29B"/>
    <w:multiLevelType w:val="hybridMultilevel"/>
    <w:lvl w:ilvl="0">
      <w:lvlJc w:val="left"/>
      <w:lvlText w:val="%1."/>
      <w:numFmt w:val="decimal"/>
      <w:start w:val="11"/>
    </w:lvl>
  </w:abstractNum>
  <w:abstractNum w:abstractNumId="138">
    <w:nsid w:val="7DFF9D09"/>
    <w:multiLevelType w:val="hybridMultilevel"/>
    <w:lvl w:ilvl="0">
      <w:lvlJc w:val="left"/>
      <w:lvlText w:val="%1."/>
      <w:numFmt w:val="decimal"/>
      <w:start w:val="12"/>
    </w:lvl>
  </w:abstractNum>
  <w:abstractNum w:abstractNumId="139">
    <w:nsid w:val="754342"/>
    <w:multiLevelType w:val="hybridMultilevel"/>
    <w:lvl w:ilvl="0">
      <w:lvlJc w:val="left"/>
      <w:lvlText w:val="%1."/>
      <w:numFmt w:val="decimal"/>
      <w:start w:val="1"/>
    </w:lvl>
    <w:lvl w:ilvl="1">
      <w:lvlJc w:val="left"/>
      <w:lvlText w:val="%2)"/>
      <w:numFmt w:val="lowerLetter"/>
      <w:start w:val="1"/>
    </w:lvl>
  </w:abstractNum>
  <w:abstractNum w:abstractNumId="140">
    <w:nsid w:val="69E7F3E5"/>
    <w:multiLevelType w:val="hybridMultilevel"/>
    <w:lvl w:ilvl="0">
      <w:lvlJc w:val="left"/>
      <w:lvlText w:val="%1."/>
      <w:numFmt w:val="decimal"/>
      <w:start w:val="1"/>
    </w:lvl>
    <w:lvl w:ilvl="1">
      <w:lvlJc w:val="left"/>
      <w:lvlText w:val="%2)"/>
      <w:numFmt w:val="lowerLetter"/>
      <w:start w:val="1"/>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2019-12-29T18:50:56Z</dcterms:created>
  <dcterms:modified xsi:type="dcterms:W3CDTF">2019-12-29T18:50:56Z</dcterms:modified>
</cp:coreProperties>
</file>