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340" w:hanging="325"/>
        <w:spacing w:after="0"/>
        <w:tabs>
          <w:tab w:leader="none" w:pos="3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7" w:lineRule="exact"/>
        <w:rPr>
          <w:rFonts w:ascii="Arial" w:cs="Arial" w:eastAsia="Arial" w:hAnsi="Arial"/>
          <w:sz w:val="18"/>
          <w:szCs w:val="18"/>
          <w:b w:val="1"/>
          <w:bCs w:val="1"/>
          <w:color w:val="auto"/>
        </w:rPr>
      </w:pPr>
    </w:p>
    <w:p>
      <w:pPr>
        <w:ind w:left="37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360" w:hanging="386"/>
        <w:spacing w:after="0"/>
        <w:tabs>
          <w:tab w:leader="none" w:pos="33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37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20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1094105</wp:posOffset>
            </wp:positionH>
            <wp:positionV relativeFrom="paragraph">
              <wp:posOffset>27305</wp:posOffset>
            </wp:positionV>
            <wp:extent cx="5068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6400" w:type="dxa"/>
            <w:vAlign w:val="bottom"/>
            <w:gridSpan w:val="6"/>
          </w:tcPr>
          <w:p>
            <w:pPr>
              <w:jc w:val="center"/>
              <w:ind w:left="3550"/>
              <w:spacing w:after="0"/>
              <w:rPr>
                <w:sz w:val="20"/>
                <w:szCs w:val="20"/>
                <w:color w:val="auto"/>
              </w:rPr>
            </w:pPr>
            <w:r>
              <w:rPr>
                <w:rFonts w:ascii="Arial" w:cs="Arial" w:eastAsia="Arial" w:hAnsi="Arial"/>
                <w:sz w:val="18"/>
                <w:szCs w:val="18"/>
                <w:b w:val="1"/>
                <w:bCs w:val="1"/>
                <w:color w:val="auto"/>
                <w:w w:val="91"/>
              </w:rPr>
              <w:t>58-1807304</w:t>
            </w:r>
          </w:p>
        </w:tc>
      </w:tr>
      <w:tr>
        <w:trPr>
          <w:trHeight w:val="228"/>
        </w:trPr>
        <w:tc>
          <w:tcPr>
            <w:tcW w:w="2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of Incorporation)</w:t>
            </w: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7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96"/>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1"/>
              </w:rPr>
              <w:t>125 Highway 515 East</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4"/>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6400" w:type="dxa"/>
            <w:vAlign w:val="bottom"/>
            <w:gridSpan w:val="6"/>
          </w:tcPr>
          <w:p>
            <w:pPr>
              <w:jc w:val="center"/>
              <w:ind w:left="3570"/>
              <w:spacing w:after="0"/>
              <w:rPr>
                <w:sz w:val="20"/>
                <w:szCs w:val="20"/>
                <w:color w:val="auto"/>
              </w:rPr>
            </w:pPr>
            <w:r>
              <w:rPr>
                <w:rFonts w:ascii="Arial" w:cs="Arial" w:eastAsia="Arial" w:hAnsi="Arial"/>
                <w:sz w:val="18"/>
                <w:szCs w:val="18"/>
                <w:b w:val="1"/>
                <w:bCs w:val="1"/>
                <w:color w:val="auto"/>
                <w:w w:val="91"/>
              </w:rPr>
              <w:t>30512</w:t>
            </w:r>
          </w:p>
        </w:tc>
      </w:tr>
      <w:tr>
        <w:trPr>
          <w:trHeight w:val="191"/>
        </w:trPr>
        <w:tc>
          <w:tcPr>
            <w:tcW w:w="2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Address of Principal</w:t>
            </w:r>
          </w:p>
        </w:tc>
        <w:tc>
          <w:tcPr>
            <w:tcW w:w="20" w:type="dxa"/>
            <w:vAlign w:val="bottom"/>
            <w:tcBorders>
              <w:top w:val="single" w:sz="8" w:color="auto"/>
            </w:tcBorders>
          </w:tcPr>
          <w:p>
            <w:pPr>
              <w:spacing w:after="0"/>
              <w:rPr>
                <w:sz w:val="16"/>
                <w:szCs w:val="16"/>
                <w:color w:val="auto"/>
              </w:rPr>
            </w:pPr>
          </w:p>
        </w:tc>
        <w:tc>
          <w:tcPr>
            <w:tcW w:w="1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(Zip Code)</w:t>
            </w:r>
          </w:p>
        </w:tc>
      </w:tr>
      <w:tr>
        <w:trPr>
          <w:trHeight w:val="234"/>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Offices</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392"/>
        </w:trPr>
        <w:tc>
          <w:tcPr>
            <w:tcW w:w="2720" w:type="dxa"/>
            <w:vAlign w:val="bottom"/>
          </w:tcPr>
          <w:p>
            <w:pPr>
              <w:spacing w:after="0"/>
              <w:rPr>
                <w:sz w:val="24"/>
                <w:szCs w:val="24"/>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b w:val="1"/>
                <w:bCs w:val="1"/>
                <w:color w:val="auto"/>
              </w:rPr>
              <w:t>(706) 781-2265</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0"/>
        </w:trPr>
        <w:tc>
          <w:tcPr>
            <w:tcW w:w="2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0" w:type="dxa"/>
            <w:vAlign w:val="bottom"/>
            <w:gridSpan w:val="3"/>
          </w:tcPr>
          <w:p>
            <w:pPr>
              <w:spacing w:after="0" w:line="20" w:lineRule="exact"/>
              <w:rPr>
                <w:sz w:val="1"/>
                <w:szCs w:val="1"/>
                <w:color w:val="auto"/>
              </w:rPr>
            </w:pPr>
          </w:p>
        </w:tc>
      </w:tr>
      <w:tr>
        <w:trPr>
          <w:trHeight w:val="237"/>
        </w:trPr>
        <w:tc>
          <w:tcPr>
            <w:tcW w:w="2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80" w:type="dxa"/>
            <w:vAlign w:val="bottom"/>
            <w:gridSpan w:val="5"/>
          </w:tcPr>
          <w:p>
            <w:pPr>
              <w:jc w:val="center"/>
              <w:ind w:right="267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198"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4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783" w:right="239" w:bottom="1440" w:gutter="0" w:footer="0" w:header="0"/>
        </w:sectPr>
      </w:pPr>
    </w:p>
    <w:p>
      <w:pPr>
        <w:spacing w:after="0" w:line="364"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9220" w:space="720"/>
            <w:col w:w="1480"/>
          </w:cols>
          <w:pgMar w:left="240" w:top="783"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Non-accelerated filer </w:t>
      </w: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200" w:lineRule="exact"/>
        <w:rPr>
          <w:sz w:val="24"/>
          <w:szCs w:val="24"/>
          <w:color w:val="auto"/>
        </w:rPr>
      </w:pPr>
    </w:p>
    <w:p>
      <w:pPr>
        <w:sectPr>
          <w:pgSz w:w="11900" w:h="16838" w:orient="portrait"/>
          <w:cols w:equalWidth="0" w:num="2">
            <w:col w:w="8380" w:space="720"/>
            <w:col w:w="2320"/>
          </w:cols>
          <w:pgMar w:left="240" w:top="783" w:right="239" w:bottom="1440" w:gutter="0" w:footer="0" w:header="0"/>
          <w:type w:val="continuous"/>
        </w:sectPr>
      </w:pPr>
    </w:p>
    <w:p>
      <w:pPr>
        <w:spacing w:after="0" w:line="48"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783" w:right="239" w:bottom="1440" w:gutter="0" w:footer="0" w:header="0"/>
          <w:type w:val="continuous"/>
        </w:sectPr>
      </w:pPr>
    </w:p>
    <w:p>
      <w:pPr>
        <w:spacing w:after="0" w:line="277" w:lineRule="exact"/>
        <w:rPr>
          <w:sz w:val="24"/>
          <w:szCs w:val="24"/>
          <w:color w:val="auto"/>
        </w:rPr>
      </w:pPr>
    </w:p>
    <w:p>
      <w:pPr>
        <w:spacing w:after="0" w:line="235" w:lineRule="exact"/>
        <w:rPr>
          <w:sz w:val="20"/>
          <w:szCs w:val="20"/>
          <w:color w:val="auto"/>
        </w:rPr>
      </w:pPr>
      <w:r>
        <w:rPr>
          <w:rFonts w:ascii="Arial" w:cs="Arial" w:eastAsia="Arial" w:hAnsi="Arial"/>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197"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highlight w:val="black"/>
        </w:rPr>
        <w:t>☐</w:t>
      </w:r>
      <w:r>
        <w:rPr>
          <w:rFonts w:ascii="Arial" w:cs="Arial" w:eastAsia="Arial" w:hAnsi="Arial"/>
          <w:sz w:val="18"/>
          <w:szCs w:val="18"/>
          <w:b w:val="1"/>
          <w:bCs w:val="1"/>
          <w:color w:val="auto"/>
        </w:rPr>
        <w:t xml:space="preserve"> NO </w:t>
      </w:r>
      <w:r>
        <w:rPr>
          <w:rFonts w:ascii="MS PGothic" w:cs="MS PGothic" w:eastAsia="MS PGothic" w:hAnsi="MS PGothic"/>
          <w:sz w:val="18"/>
          <w:szCs w:val="18"/>
          <w:color w:val="auto"/>
          <w:highlight w:val="black"/>
        </w:rPr>
        <w: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$1 per share 73,405,731 shares outstanding as of October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Item 1.</w:t>
            </w:r>
          </w:p>
        </w:tc>
        <w:tc>
          <w:tcPr>
            <w:tcW w:w="9160" w:type="dxa"/>
            <w:vAlign w:val="bottom"/>
            <w:gridSpan w:val="14"/>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1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Consolidated Statement of Income (unaudited) for the Three and Nine Months Ended September 30, 2017</w:t>
              </w:r>
            </w:hyperlink>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40" w:type="dxa"/>
            <w:vAlign w:val="bottom"/>
            <w:gridSpan w:val="13"/>
            <w:shd w:val="clear" w:color="auto" w:fill="CCEEFF"/>
          </w:tcPr>
          <w:p>
            <w:pPr>
              <w:spacing w:after="0" w:line="196"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and 2016</w:t>
              </w:r>
            </w:hyperlink>
          </w:p>
        </w:tc>
        <w:tc>
          <w:tcPr>
            <w:tcW w:w="180" w:type="dxa"/>
            <w:vAlign w:val="bottom"/>
            <w:gridSpan w:val="2"/>
            <w:shd w:val="clear" w:color="auto" w:fill="CCEEFF"/>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Consolidated Statement of Comprehensive Income (unaudited) for the Three and Nine Months Ended</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7680" w:type="dxa"/>
            <w:vAlign w:val="bottom"/>
            <w:tcBorders>
              <w:top w:val="single" w:sz="8" w:color="0000EE"/>
            </w:tcBorders>
            <w:gridSpan w:val="10"/>
            <w:shd w:val="clear" w:color="auto" w:fill="CCEEFF"/>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September 30, 2017 and 2016</w:t>
              </w:r>
            </w:hyperlink>
          </w:p>
        </w:tc>
        <w:tc>
          <w:tcPr>
            <w:tcW w:w="136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Consolidated Balance Sheet (unaudited) at September 30, 2017 and December 31, 2016</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Consolidated Statement of Changes in Shareholders’ Equity (unaudited) for the Nine Months Ended</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7580" w:type="dxa"/>
            <w:vAlign w:val="bottom"/>
            <w:tcBorders>
              <w:top w:val="single" w:sz="8" w:color="0000EE"/>
            </w:tcBorders>
            <w:gridSpan w:val="9"/>
            <w:shd w:val="clear" w:color="auto" w:fill="CCEEFF"/>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September 30, 2017 and 2016</w:t>
              </w:r>
            </w:hyperlink>
          </w:p>
        </w:tc>
        <w:tc>
          <w:tcPr>
            <w:tcW w:w="1460" w:type="dxa"/>
            <w:vAlign w:val="bottom"/>
            <w:tcBorders>
              <w:top w:val="single" w:sz="8" w:color="CCEEFF"/>
            </w:tcBorders>
            <w:gridSpan w:val="4"/>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Statement of Cash Flows (unaudited) for the Nine Months Ended September 30, 2017 and</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0000EE"/>
            </w:tcBorders>
            <w:gridSpan w:val="3"/>
            <w:shd w:val="clear" w:color="auto" w:fill="CCEEFF"/>
          </w:tcPr>
          <w:p>
            <w:pPr>
              <w:ind w:left="120"/>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2016</w:t>
              </w:r>
            </w:hyperlink>
          </w:p>
        </w:tc>
        <w:tc>
          <w:tcPr>
            <w:tcW w:w="112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980" w:type="dxa"/>
            <w:vAlign w:val="bottom"/>
            <w:tcBorders>
              <w:top w:val="single" w:sz="8" w:color="0000EE"/>
            </w:tcBorders>
            <w:shd w:val="clear" w:color="auto" w:fill="CCEEFF"/>
          </w:tcPr>
          <w:p>
            <w:pPr>
              <w:spacing w:after="0"/>
              <w:rPr>
                <w:sz w:val="18"/>
                <w:szCs w:val="18"/>
                <w:color w:val="auto"/>
              </w:rPr>
            </w:pPr>
          </w:p>
        </w:tc>
        <w:tc>
          <w:tcPr>
            <w:tcW w:w="1360" w:type="dxa"/>
            <w:vAlign w:val="bottom"/>
            <w:tcBorders>
              <w:top w:val="single" w:sz="8" w:color="0000EE"/>
            </w:tcBorders>
            <w:shd w:val="clear" w:color="auto" w:fill="CCEEFF"/>
          </w:tcPr>
          <w:p>
            <w:pPr>
              <w:spacing w:after="0"/>
              <w:rPr>
                <w:sz w:val="18"/>
                <w:szCs w:val="18"/>
                <w:color w:val="auto"/>
              </w:rPr>
            </w:pPr>
          </w:p>
        </w:tc>
        <w:tc>
          <w:tcPr>
            <w:tcW w:w="194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8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Notes to Consolidated Financial Statements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2.</w:t>
              </w:r>
            </w:hyperlink>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Management’s Discussion and Analysis of Financial Condition and Results of Operations.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3.</w:t>
              </w:r>
            </w:hyperlink>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60" w:type="dxa"/>
            <w:vAlign w:val="bottom"/>
            <w:shd w:val="clear" w:color="auto" w:fill="CCEEFF"/>
          </w:tcPr>
          <w:p>
            <w:pPr>
              <w:spacing w:after="0"/>
              <w:rPr>
                <w:sz w:val="15"/>
                <w:szCs w:val="15"/>
                <w:color w:val="auto"/>
              </w:rPr>
            </w:pPr>
          </w:p>
        </w:tc>
        <w:tc>
          <w:tcPr>
            <w:tcW w:w="920" w:type="dxa"/>
            <w:vAlign w:val="bottom"/>
            <w:gridSpan w:val="3"/>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Item 4.</w:t>
              </w:r>
            </w:hyperlink>
          </w:p>
        </w:tc>
        <w:tc>
          <w:tcPr>
            <w:tcW w:w="9160" w:type="dxa"/>
            <w:vAlign w:val="bottom"/>
            <w:gridSpan w:val="14"/>
            <w:shd w:val="clear" w:color="auto" w:fill="CCEEFF"/>
          </w:tcPr>
          <w:p>
            <w:pPr>
              <w:spacing w:after="0" w:line="17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Controls and Procedures.</w:t>
              </w:r>
            </w:hyperlink>
          </w:p>
        </w:tc>
        <w:tc>
          <w:tcPr>
            <w:tcW w:w="180" w:type="dxa"/>
            <w:vAlign w:val="bottom"/>
            <w:gridSpan w:val="2"/>
            <w:shd w:val="clear" w:color="auto" w:fill="CCEEFF"/>
          </w:tcPr>
          <w:p>
            <w:pPr>
              <w:jc w:val="right"/>
              <w:spacing w:after="0" w:line="176" w:lineRule="exact"/>
              <w:rPr>
                <w:rFonts w:ascii="Arial" w:cs="Arial" w:eastAsia="Arial" w:hAnsi="Arial"/>
                <w:sz w:val="18"/>
                <w:szCs w:val="18"/>
                <w:color w:val="0000EE"/>
                <w:w w:val="79"/>
              </w:rPr>
            </w:pPr>
            <w:hyperlink w:anchor="page66">
              <w:r>
                <w:rPr>
                  <w:rFonts w:ascii="Arial" w:cs="Arial" w:eastAsia="Arial" w:hAnsi="Arial"/>
                  <w:sz w:val="18"/>
                  <w:szCs w:val="18"/>
                  <w:color w:val="0000EE"/>
                  <w:w w:val="79"/>
                </w:rPr>
                <w:t>63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PART II - Other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1.</w:t>
              </w:r>
            </w:hyperlink>
          </w:p>
        </w:tc>
        <w:tc>
          <w:tcPr>
            <w:tcW w:w="380" w:type="dxa"/>
            <w:vAlign w:val="bottom"/>
            <w:gridSpan w:val="2"/>
            <w:shd w:val="clear" w:color="auto" w:fill="CCEEFF"/>
          </w:tcPr>
          <w:p>
            <w:pPr>
              <w:spacing w:after="0"/>
              <w:rPr>
                <w:sz w:val="18"/>
                <w:szCs w:val="18"/>
                <w:color w:val="auto"/>
              </w:rPr>
            </w:pPr>
          </w:p>
        </w:tc>
        <w:tc>
          <w:tcPr>
            <w:tcW w:w="9160" w:type="dxa"/>
            <w:vAlign w:val="bottom"/>
            <w:gridSpan w:val="8"/>
            <w:shd w:val="clear" w:color="auto" w:fill="CCEEFF"/>
          </w:tcPr>
          <w:p>
            <w:pPr>
              <w:spacing w:after="0"/>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Legal Proceedings.</w:t>
              </w:r>
            </w:hyperlink>
          </w:p>
        </w:tc>
        <w:tc>
          <w:tcPr>
            <w:tcW w:w="180" w:type="dxa"/>
            <w:vAlign w:val="bottom"/>
            <w:shd w:val="clear" w:color="auto" w:fill="CCEEFF"/>
          </w:tcPr>
          <w:p>
            <w:pPr>
              <w:jc w:val="right"/>
              <w:spacing w:after="0"/>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tcPr>
          <w:p>
            <w:pPr>
              <w:spacing w:after="0"/>
              <w:rPr>
                <w:sz w:val="15"/>
                <w:szCs w:val="15"/>
                <w:color w:val="auto"/>
              </w:rPr>
            </w:pPr>
          </w:p>
        </w:tc>
        <w:tc>
          <w:tcPr>
            <w:tcW w:w="920" w:type="dxa"/>
            <w:vAlign w:val="bottom"/>
            <w:gridSpan w:val="3"/>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1A.</w:t>
              </w:r>
            </w:hyperlink>
          </w:p>
        </w:tc>
        <w:tc>
          <w:tcPr>
            <w:tcW w:w="9160" w:type="dxa"/>
            <w:vAlign w:val="bottom"/>
            <w:gridSpan w:val="8"/>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Risk Factors.</w:t>
              </w:r>
            </w:hyperlink>
          </w:p>
        </w:tc>
        <w:tc>
          <w:tcPr>
            <w:tcW w:w="180" w:type="dxa"/>
            <w:vAlign w:val="bottom"/>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176" w:lineRule="exact"/>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2.</w:t>
              </w:r>
            </w:hyperlink>
          </w:p>
        </w:tc>
        <w:tc>
          <w:tcPr>
            <w:tcW w:w="380" w:type="dxa"/>
            <w:vAlign w:val="bottom"/>
            <w:gridSpan w:val="2"/>
            <w:shd w:val="clear" w:color="auto" w:fill="CCEEFF"/>
          </w:tcPr>
          <w:p>
            <w:pPr>
              <w:spacing w:after="0"/>
              <w:rPr>
                <w:sz w:val="17"/>
                <w:szCs w:val="17"/>
                <w:color w:val="auto"/>
              </w:rPr>
            </w:pPr>
          </w:p>
        </w:tc>
        <w:tc>
          <w:tcPr>
            <w:tcW w:w="916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Unregistered Sales of Equity Securities and Use of Proceeds.</w:t>
              </w:r>
            </w:hyperlink>
          </w:p>
        </w:tc>
        <w:tc>
          <w:tcPr>
            <w:tcW w:w="180" w:type="dxa"/>
            <w:vAlign w:val="bottom"/>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Borders>
              <w:top w:val="single" w:sz="8" w:color="CCEEFF"/>
            </w:tcBorders>
          </w:tcPr>
          <w:p>
            <w:pPr>
              <w:spacing w:after="0"/>
              <w:rPr>
                <w:sz w:val="15"/>
                <w:szCs w:val="15"/>
                <w:color w:val="auto"/>
              </w:rPr>
            </w:pPr>
          </w:p>
        </w:tc>
        <w:tc>
          <w:tcPr>
            <w:tcW w:w="540" w:type="dxa"/>
            <w:vAlign w:val="bottom"/>
            <w:tcBorders>
              <w:top w:val="single" w:sz="8" w:color="0000EE"/>
            </w:tcBorders>
          </w:tcPr>
          <w:p>
            <w:pPr>
              <w:spacing w:after="0" w:line="176" w:lineRule="exact"/>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3.</w:t>
              </w:r>
            </w:hyperlink>
          </w:p>
        </w:tc>
        <w:tc>
          <w:tcPr>
            <w:tcW w:w="380" w:type="dxa"/>
            <w:vAlign w:val="bottom"/>
            <w:tcBorders>
              <w:top w:val="single" w:sz="8" w:color="CCEEFF"/>
            </w:tcBorders>
            <w:gridSpan w:val="2"/>
          </w:tcPr>
          <w:p>
            <w:pPr>
              <w:spacing w:after="0"/>
              <w:rPr>
                <w:sz w:val="15"/>
                <w:szCs w:val="15"/>
                <w:color w:val="auto"/>
              </w:rPr>
            </w:pPr>
          </w:p>
        </w:tc>
        <w:tc>
          <w:tcPr>
            <w:tcW w:w="4600" w:type="dxa"/>
            <w:vAlign w:val="bottom"/>
            <w:tcBorders>
              <w:top w:val="single" w:sz="8" w:color="0000EE"/>
            </w:tcBorders>
            <w:gridSpan w:val="7"/>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Defaults Upon Senior Securities.</w:t>
              </w:r>
            </w:hyperlink>
          </w:p>
        </w:tc>
        <w:tc>
          <w:tcPr>
            <w:tcW w:w="45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4.</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188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b w:val="1"/>
                <w:bCs w:val="1"/>
                <w:color w:val="0000EE"/>
                <w:w w:val="87"/>
              </w:rPr>
            </w:pPr>
            <w:hyperlink w:anchor="page67">
              <w:r>
                <w:rPr>
                  <w:rFonts w:ascii="Arial" w:cs="Arial" w:eastAsia="Arial" w:hAnsi="Arial"/>
                  <w:sz w:val="18"/>
                  <w:szCs w:val="18"/>
                  <w:b w:val="1"/>
                  <w:bCs w:val="1"/>
                  <w:color w:val="0000EE"/>
                  <w:w w:val="87"/>
                </w:rPr>
                <w:t>Mine Safety Disclosures.</w:t>
              </w:r>
            </w:hyperlink>
          </w:p>
        </w:tc>
        <w:tc>
          <w:tcPr>
            <w:tcW w:w="7280" w:type="dxa"/>
            <w:vAlign w:val="bottom"/>
            <w:tcBorders>
              <w:bottom w:val="single" w:sz="8" w:color="CCEEFF"/>
            </w:tcBorders>
            <w:gridSpan w:val="3"/>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60" w:type="dxa"/>
            <w:vAlign w:val="bottom"/>
          </w:tcPr>
          <w:p>
            <w:pPr>
              <w:spacing w:after="0"/>
              <w:rPr>
                <w:sz w:val="15"/>
                <w:szCs w:val="15"/>
                <w:color w:val="auto"/>
              </w:rPr>
            </w:pPr>
          </w:p>
        </w:tc>
        <w:tc>
          <w:tcPr>
            <w:tcW w:w="920" w:type="dxa"/>
            <w:vAlign w:val="bottom"/>
            <w:gridSpan w:val="3"/>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5.</w:t>
              </w:r>
            </w:hyperlink>
          </w:p>
        </w:tc>
        <w:tc>
          <w:tcPr>
            <w:tcW w:w="9160" w:type="dxa"/>
            <w:vAlign w:val="bottom"/>
            <w:gridSpan w:val="8"/>
          </w:tcPr>
          <w:p>
            <w:pPr>
              <w:spacing w:after="0" w:line="17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Other Information.</w:t>
              </w:r>
            </w:hyperlink>
          </w:p>
        </w:tc>
        <w:tc>
          <w:tcPr>
            <w:tcW w:w="180" w:type="dxa"/>
            <w:vAlign w:val="bottom"/>
          </w:tcPr>
          <w:p>
            <w:pPr>
              <w:jc w:val="right"/>
              <w:spacing w:after="0" w:line="17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91"/>
              </w:rPr>
            </w:pPr>
            <w:hyperlink w:anchor="page68">
              <w:r>
                <w:rPr>
                  <w:rFonts w:ascii="Arial" w:cs="Arial" w:eastAsia="Arial" w:hAnsi="Arial"/>
                  <w:sz w:val="18"/>
                  <w:szCs w:val="18"/>
                  <w:b w:val="1"/>
                  <w:bCs w:val="1"/>
                  <w:color w:val="0000EE"/>
                  <w:w w:val="91"/>
                </w:rPr>
                <w:t>Item 6.</w:t>
              </w:r>
            </w:hyperlink>
          </w:p>
        </w:tc>
        <w:tc>
          <w:tcPr>
            <w:tcW w:w="38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0000EE"/>
            </w:tcBorders>
            <w:shd w:val="clear" w:color="auto" w:fill="CCEEFF"/>
          </w:tcPr>
          <w:p>
            <w:pPr>
              <w:spacing w:after="0" w:line="176" w:lineRule="exact"/>
              <w:rPr>
                <w:rFonts w:ascii="Arial" w:cs="Arial" w:eastAsia="Arial" w:hAnsi="Arial"/>
                <w:sz w:val="18"/>
                <w:szCs w:val="18"/>
                <w:b w:val="1"/>
                <w:bCs w:val="1"/>
                <w:color w:val="0000EE"/>
                <w:w w:val="87"/>
              </w:rPr>
            </w:pPr>
            <w:hyperlink w:anchor="page68">
              <w:r>
                <w:rPr>
                  <w:rFonts w:ascii="Arial" w:cs="Arial" w:eastAsia="Arial" w:hAnsi="Arial"/>
                  <w:sz w:val="18"/>
                  <w:szCs w:val="18"/>
                  <w:b w:val="1"/>
                  <w:bCs w:val="1"/>
                  <w:color w:val="0000EE"/>
                  <w:w w:val="87"/>
                </w:rPr>
                <w:t>Exhibits.</w:t>
              </w:r>
            </w:hyperlink>
          </w:p>
        </w:tc>
        <w:tc>
          <w:tcPr>
            <w:tcW w:w="8480" w:type="dxa"/>
            <w:vAlign w:val="bottom"/>
            <w:tcBorders>
              <w:bottom w:val="single" w:sz="8" w:color="CCEEFF"/>
            </w:tcBorders>
            <w:gridSpan w:val="7"/>
            <w:shd w:val="clear" w:color="auto" w:fill="CCEEFF"/>
          </w:tcPr>
          <w:p>
            <w:pPr>
              <w:spacing w:after="0"/>
              <w:rPr>
                <w:sz w:val="17"/>
                <w:szCs w:val="17"/>
                <w:color w:val="auto"/>
              </w:rPr>
            </w:pPr>
          </w:p>
        </w:tc>
        <w:tc>
          <w:tcPr>
            <w:tcW w:w="180" w:type="dxa"/>
            <w:vAlign w:val="bottom"/>
            <w:tcBorders>
              <w:bottom w:val="single" w:sz="8" w:color="0000EE"/>
            </w:tcBorders>
            <w:shd w:val="clear" w:color="auto" w:fill="CCEEFF"/>
          </w:tcPr>
          <w:p>
            <w:pPr>
              <w:jc w:val="right"/>
              <w:spacing w:after="0" w:line="17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7"/>
          </w:tcPr>
          <w:p>
            <w:pPr>
              <w:ind w:left="3600"/>
              <w:spacing w:after="0"/>
              <w:rPr>
                <w:sz w:val="20"/>
                <w:szCs w:val="20"/>
                <w:color w:val="auto"/>
              </w:rPr>
            </w:pPr>
            <w:r>
              <w:rPr>
                <w:rFonts w:ascii="Arial" w:cs="Arial" w:eastAsia="Arial" w:hAnsi="Arial"/>
                <w:sz w:val="18"/>
                <w:szCs w:val="18"/>
                <w:color w:val="auto"/>
              </w:rPr>
              <w:t>2</w:t>
            </w:r>
          </w:p>
        </w:tc>
        <w:tc>
          <w:tcPr>
            <w:tcW w:w="4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thousands, except per share data)</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revenue: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Loans, including fees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80,264</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69,440</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227,816</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196,888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6"/>
              </w:rPr>
              <w:t>Investment securities, including tax exempt of $671, $134, $1,307, and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$449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17,875</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53,365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Deposits in banks and short-term investments</w:t>
            </w:r>
          </w:p>
        </w:tc>
        <w:tc>
          <w:tcPr>
            <w:tcW w:w="26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1,782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interest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98,839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85,439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282,963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1,347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4,938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Time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deposit interest expense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2,828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interest expense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24,486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Net interest revenue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89,775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78,989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228,859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(Release of) provision for credit losses</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Net interest revenue after provision for credit losses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79,289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255,877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229,659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Fee revenue: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Service charges and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10,819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 and other related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6,039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13,435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Brokerage fees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Gains from sales of SBA/USDA loans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Securities gains,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5,564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fee revenue</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109,348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105,650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322,209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Salaries and employee benefits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112,056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Communications and equipment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14,443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Occupancy</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Advertising and public relations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Postage, printing and supplies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Amortization of intangibles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Merger-related and other charges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6,227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6,112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19,660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17,958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Net income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15,728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15,753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44,720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79,737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73,435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income available to common shareholders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27,719</w:t>
            </w:r>
          </w:p>
        </w:tc>
        <w:tc>
          <w:tcPr>
            <w:tcW w:w="5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25,874</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79,078</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73,414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5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73,151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71,556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72,060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71,992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73,162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71,561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72,071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10"/>
          </w:tcPr>
          <w:p>
            <w:pPr>
              <w:jc w:val="center"/>
              <w:ind w:right="220"/>
              <w:spacing w:after="0"/>
              <w:rPr>
                <w:sz w:val="20"/>
                <w:szCs w:val="20"/>
                <w:color w:val="auto"/>
              </w:rPr>
            </w:pPr>
            <w:r>
              <w:rPr>
                <w:rFonts w:ascii="Arial" w:cs="Arial" w:eastAsia="Arial" w:hAnsi="Arial"/>
                <w:sz w:val="18"/>
                <w:szCs w:val="18"/>
                <w:b w:val="1"/>
                <w:bCs w:val="1"/>
                <w:color w:val="auto"/>
                <w:w w:val="90"/>
              </w:rPr>
              <w:t>Three Months Ended September 30,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0"/>
              </w:rPr>
              <w:t>Nine Months Ended September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Tax</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0"/>
              </w:rPr>
              <w:t>Tax</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Before-tax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Net of Tax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9"/>
              </w:rPr>
              <w:t>Before-tax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9"/>
              </w:rPr>
              <w:t>Net of Tax</w:t>
            </w:r>
          </w:p>
        </w:tc>
        <w:tc>
          <w:tcPr>
            <w:tcW w:w="0" w:type="dxa"/>
            <w:vAlign w:val="bottom"/>
          </w:tcPr>
          <w:p>
            <w:pPr>
              <w:spacing w:after="0"/>
              <w:rPr>
                <w:sz w:val="1"/>
                <w:szCs w:val="1"/>
                <w:color w:val="auto"/>
              </w:rPr>
            </w:pPr>
          </w:p>
        </w:tc>
      </w:tr>
      <w:tr>
        <w:trPr>
          <w:trHeight w:val="234"/>
        </w:trPr>
        <w:tc>
          <w:tcPr>
            <w:tcW w:w="394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Benefit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79"/>
              </w:rPr>
              <w:t>2017</w:t>
            </w:r>
          </w:p>
        </w:tc>
        <w:tc>
          <w:tcPr>
            <w:tcW w:w="35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43,674</w:t>
            </w: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(15,728)</w:t>
            </w:r>
          </w:p>
        </w:tc>
        <w:tc>
          <w:tcPr>
            <w:tcW w:w="2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27,946</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130,480</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(50,743)</w:t>
            </w:r>
          </w:p>
        </w:tc>
        <w:tc>
          <w:tcPr>
            <w:tcW w:w="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w w:val="96"/>
              </w:rPr>
              <w:t>Unrealized gains on available-for-sale securities: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8"/>
              </w:rPr>
              <w:t>Unrealized holding gains arising during period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3"/>
              </w:rPr>
              <w:t>Reclassification adjustment for gains included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unrealized gains</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Amortization of losses included in net income 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w w:val="96"/>
              </w:rPr>
              <w:t>available-for-sale securities transferred to held-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rPr>
              <w:t>to-maturity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Amortization of losses included in net income on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terminated derivative financial instruments that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were previously accounted for as cash flow</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hedges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Reclassification of disproportionate tax effect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rPr>
              <w:t>related to terminated cash flow hedges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3,400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Net cash flow hedge activity</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w w:val="95"/>
              </w:rPr>
              <w:t>Net actuarial loss on defined benefit pension plan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 prior service cost and actuarial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losses included in net periodic pension cost for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gridSpan w:val="2"/>
          </w:tcPr>
          <w:p>
            <w:pPr>
              <w:ind w:left="320"/>
              <w:spacing w:after="0"/>
              <w:rPr>
                <w:sz w:val="20"/>
                <w:szCs w:val="20"/>
                <w:color w:val="auto"/>
              </w:rPr>
            </w:pPr>
            <w:r>
              <w:rPr>
                <w:rFonts w:ascii="Arial" w:cs="Arial" w:eastAsia="Arial" w:hAnsi="Arial"/>
                <w:sz w:val="18"/>
                <w:szCs w:val="18"/>
                <w:color w:val="auto"/>
              </w:rPr>
              <w:t>Net defined benefit pension plan activity</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other comprehensive income</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Comprehensive income</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45,130</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(16,251</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28,879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150,405</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95,536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79"/>
              </w:rPr>
              <w:t>2016</w:t>
            </w:r>
          </w:p>
        </w:tc>
        <w:tc>
          <w:tcPr>
            <w:tcW w:w="3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25,874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118,155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(44,720)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Unrealized gains on available-for-sale securities: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w w:val="98"/>
              </w:rPr>
              <w:t>Unrealized holding gains arising during period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37,990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23,502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Reclassification adjustment for gains included in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gridSpan w:val="2"/>
          </w:tcPr>
          <w:p>
            <w:pPr>
              <w:ind w:left="320"/>
              <w:spacing w:after="0"/>
              <w:rPr>
                <w:sz w:val="20"/>
                <w:szCs w:val="20"/>
                <w:color w:val="auto"/>
              </w:rPr>
            </w:pPr>
            <w:r>
              <w:rPr>
                <w:rFonts w:ascii="Arial" w:cs="Arial" w:eastAsia="Arial" w:hAnsi="Arial"/>
                <w:sz w:val="18"/>
                <w:szCs w:val="18"/>
                <w:color w:val="auto"/>
              </w:rPr>
              <w:t>Net unrealized gains</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7"/>
              </w:rPr>
              <w:t>Amortization of losses included in net income on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available-for-sale securities transferred to held-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to-maturity</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7"/>
              </w:rPr>
              <w:t>Amortization of losses included in net income 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w w:val="97"/>
              </w:rPr>
              <w:t>terminated derivative financial instruments that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rPr>
              <w:t>were previously accounted for as cash flow</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280"/>
              <w:spacing w:after="0"/>
              <w:rPr>
                <w:sz w:val="20"/>
                <w:szCs w:val="20"/>
                <w:color w:val="auto"/>
              </w:rPr>
            </w:pPr>
            <w:r>
              <w:rPr>
                <w:rFonts w:ascii="Arial" w:cs="Arial" w:eastAsia="Arial" w:hAnsi="Arial"/>
                <w:sz w:val="18"/>
                <w:szCs w:val="18"/>
                <w:color w:val="auto"/>
              </w:rPr>
              <w:t>hedges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1,426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 prior service cost and actuarial</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7"/>
              </w:rPr>
              <w:t>losses included in net periodic pension cost for</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defined benefit pension plan</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5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income</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40,596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3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Comprehensive income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47,589</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158,751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98,545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4"/>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 except share and per share data)</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98,396</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99,489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117,859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246,845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217,348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2,540,470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2,432,438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Securities held to maturity (fair value $310,446 and $333,170)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306,741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329,843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 loans held for sale (includes $30,093 and $27,891 at fair value)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Loans, net of unearned income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7,202,937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6,920,636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Less allowance for loan losses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(58,605)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7,144,332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6,859,214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193,915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189,938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167,680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143,543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128,731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154,336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20,972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182,716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156,222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136,760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4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11,129,027</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10,708,655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Demand</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2,889,125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2,637,004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NOW</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1,967,655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1,989,763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1,934,169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1,846,440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605,230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1,363,949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1,287,142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Brokered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367,256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327,496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66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9,127,384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8,637,558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16,005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494,484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709,209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135,707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22,926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27,648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9,908,387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9,632,920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4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$1 par value; 150,000,000 shares authorized; 73,403,453 and 70,899,114 shares issued and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73,403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70,899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issuable; 588,445 and 519,874 shares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1,341,346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1,275,849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(192,128)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(251,857)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(10,684)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(26,483)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1,220,640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1,075,735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34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11,129,027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10,708,655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Preferred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Non-Voting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5"/>
              </w:rPr>
              <w:t>Common</w:t>
            </w: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02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w w:val="95"/>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79"/>
              <w:spacing w:after="0" w:line="149" w:lineRule="exact"/>
              <w:rPr>
                <w:sz w:val="20"/>
                <w:szCs w:val="20"/>
                <w:color w:val="auto"/>
              </w:rPr>
            </w:pPr>
            <w:r>
              <w:rPr>
                <w:rFonts w:ascii="Arial" w:cs="Arial" w:eastAsia="Arial" w:hAnsi="Arial"/>
                <w:sz w:val="14"/>
                <w:szCs w:val="14"/>
                <w:b w:val="1"/>
                <w:bCs w:val="1"/>
                <w:color w:val="auto"/>
                <w:w w:val="96"/>
              </w:rPr>
              <w:t>Other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Series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260" w:type="dxa"/>
            <w:vAlign w:val="bottom"/>
            <w:gridSpan w:val="4"/>
          </w:tcPr>
          <w:p>
            <w:pPr>
              <w:jc w:val="center"/>
              <w:ind w:right="79"/>
              <w:spacing w:after="0"/>
              <w:rPr>
                <w:sz w:val="20"/>
                <w:szCs w:val="20"/>
                <w:color w:val="auto"/>
              </w:rPr>
            </w:pPr>
            <w:r>
              <w:rPr>
                <w:rFonts w:ascii="Arial" w:cs="Arial" w:eastAsia="Arial" w:hAnsi="Arial"/>
                <w:sz w:val="14"/>
                <w:szCs w:val="14"/>
                <w:b w:val="1"/>
                <w:bCs w:val="1"/>
                <w:color w:val="auto"/>
                <w:w w:val="89"/>
              </w:rPr>
              <w:t>Comprehensive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900" w:type="dxa"/>
            <w:vAlign w:val="bottom"/>
            <w:gridSpan w:val="3"/>
          </w:tcPr>
          <w:p>
            <w:pPr>
              <w:spacing w:after="0"/>
              <w:rPr>
                <w:sz w:val="20"/>
                <w:szCs w:val="20"/>
                <w:color w:val="auto"/>
              </w:rPr>
            </w:pPr>
            <w:r>
              <w:rPr>
                <w:rFonts w:ascii="Arial" w:cs="Arial" w:eastAsia="Arial" w:hAnsi="Arial"/>
                <w:sz w:val="14"/>
                <w:szCs w:val="14"/>
                <w:b w:val="1"/>
                <w:bCs w:val="1"/>
                <w:i w:val="1"/>
                <w:iCs w:val="1"/>
                <w:color w:val="auto"/>
                <w:w w:val="90"/>
              </w:rPr>
              <w:t>(in thousands, except share and per share data)</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H</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6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Issuable</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Surplus</w:t>
            </w:r>
          </w:p>
        </w:tc>
        <w:tc>
          <w:tcPr>
            <w:tcW w:w="160" w:type="dxa"/>
            <w:vAlign w:val="bottom"/>
          </w:tcPr>
          <w:p>
            <w:pPr>
              <w:spacing w:after="0"/>
              <w:rPr>
                <w:sz w:val="14"/>
                <w:szCs w:val="14"/>
                <w:color w:val="auto"/>
              </w:rPr>
            </w:pPr>
          </w:p>
        </w:tc>
        <w:tc>
          <w:tcPr>
            <w:tcW w:w="86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116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0"/>
              </w:rPr>
              <w:t>Income (Loss)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2015</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9,992</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66,198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5,286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6,779</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1,286,361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(330,879)</w:t>
            </w:r>
          </w:p>
        </w:tc>
        <w:tc>
          <w:tcPr>
            <w:tcW w:w="28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(25,452)</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1,018,285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73,435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73,435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25,110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w w:val="98"/>
              </w:rPr>
              <w:t>Redemption of Series H preferred stock (9,992</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(9,992)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(9,992)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7"/>
              </w:rPr>
              <w:t>Common stock issued to dividend reinvestment</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plan and to employee benefit plans (15,844</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Conversion of non-voting common stock to</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voting (5,285,516 shares)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5,286</w:t>
            </w:r>
          </w:p>
        </w:tc>
        <w:tc>
          <w:tcPr>
            <w:tcW w:w="60" w:type="dxa"/>
            <w:vAlign w:val="bottom"/>
          </w:tcPr>
          <w:p>
            <w:pPr>
              <w:spacing w:after="0"/>
              <w:rPr>
                <w:sz w:val="14"/>
                <w:szCs w:val="1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(5,286)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Amortization of stock option and restricted stock</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awards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3,257</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3,257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Vesting of restricted stock, net of shares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surrendered to cover payroll taxes (79,430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shares issued, 94,497 shares deferred)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79</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1,384</w:t>
            </w:r>
          </w:p>
        </w:tc>
        <w:tc>
          <w:tcPr>
            <w:tcW w:w="1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(2,428)</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Purchases of common stock (764,000 shares)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(764)</w:t>
            </w: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(12,895)</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(13,659)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dividend equivalents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291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291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Shares issued from deferred compensation plan</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(45,758 shares)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(1,275)</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dividends ($.22 per share)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(15,849)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Tax on restricted stock vesting</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80" w:type="dxa"/>
            <w:vAlign w:val="bottom"/>
            <w:gridSpan w:val="2"/>
          </w:tcPr>
          <w:p>
            <w:pPr>
              <w:spacing w:after="0"/>
              <w:rPr>
                <w:sz w:val="20"/>
                <w:szCs w:val="20"/>
                <w:color w:val="auto"/>
              </w:rPr>
            </w:pPr>
            <w:r>
              <w:rPr>
                <w:rFonts w:ascii="Arial" w:cs="Arial" w:eastAsia="Arial" w:hAnsi="Arial"/>
                <w:sz w:val="14"/>
                <w:szCs w:val="14"/>
                <w:color w:val="auto"/>
              </w:rPr>
              <w:t>Series H preferred stock dividends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9"/>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September 30, 2016</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70,861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7,179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1,274,909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(273,314</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(342</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1,079,293</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December 31, 2016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70,899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7,327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1,275,849</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(251,857)</w:t>
            </w:r>
          </w:p>
        </w:tc>
        <w:tc>
          <w:tcPr>
            <w:tcW w:w="28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(26,483)</w:t>
            </w:r>
          </w:p>
        </w:tc>
        <w:tc>
          <w:tcPr>
            <w:tcW w:w="180" w:type="dxa"/>
            <w:vAlign w:val="bottom"/>
            <w:gridSpan w:val="2"/>
            <w:shd w:val="clear" w:color="auto" w:fill="CCEEFF"/>
          </w:tcPr>
          <w:p>
            <w:pPr>
              <w:jc w:val="right"/>
              <w:ind w:right="94"/>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1,075,735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79,737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79,737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15,799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15,799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w w:val="97"/>
              </w:rPr>
              <w:t>Common stock issued to dividend reinvestment</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plan and to employee benefit plans (13,107</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315</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328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Common stock issued for acquisition (2,370,331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2,370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63,430</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65,800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w w:val="96"/>
              </w:rPr>
              <w:t>Amortization of stock option and restricted stock</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awards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4,359</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4,359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Vesting of restricted stock, net of shares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surrendered to cover payroll taxes (88,622</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shares issued, 94,165 shares deferred)</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89</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(2,836)</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tcPr>
          <w:p>
            <w:pPr>
              <w:spacing w:after="0" w:line="130" w:lineRule="exact"/>
              <w:rPr>
                <w:sz w:val="20"/>
                <w:szCs w:val="20"/>
                <w:color w:val="auto"/>
              </w:rPr>
            </w:pPr>
            <w:r>
              <w:rPr>
                <w:rFonts w:ascii="Arial" w:cs="Arial" w:eastAsia="Arial" w:hAnsi="Arial"/>
                <w:sz w:val="14"/>
                <w:szCs w:val="14"/>
                <w:color w:val="auto"/>
              </w:rPr>
              <w:t>Deferred compensation plan, net, including</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tcPr>
          <w:p>
            <w:pPr>
              <w:ind w:left="120"/>
              <w:spacing w:after="0"/>
              <w:rPr>
                <w:sz w:val="20"/>
                <w:szCs w:val="20"/>
                <w:color w:val="auto"/>
              </w:rPr>
            </w:pPr>
            <w:r>
              <w:rPr>
                <w:rFonts w:ascii="Arial" w:cs="Arial" w:eastAsia="Arial" w:hAnsi="Arial"/>
                <w:sz w:val="14"/>
                <w:szCs w:val="14"/>
                <w:color w:val="auto"/>
              </w:rPr>
              <w:t>dividend equivalents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290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rPr>
              <w:t>290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Shares issued from deferred compensation plan</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(32,279 shares)</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(368)</w:t>
            </w: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229</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dividends ($.28 per share)</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(20,445)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(20,445)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Cumulative effect of change in accounting</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principle</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437</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September 30, 2017</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73,403</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8,703</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1,341,346</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(192,128</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(10,684</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1,220,640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8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79,737</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20,137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(Release of) provision for credit losses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4,359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 expense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51,806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Gains from sales of SBA/USDA loans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Net losses (gains) and write downs on sales of other real estate owned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4,106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(6,441)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147,035</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Investment securities held to maturity: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44,896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securities held to maturity</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(21,638)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securities available for sale: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Proceeds from sales of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275,769</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189,164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465,817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Purchases of securities available for sale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(709,742)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(308,800)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in loans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(57,260)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 of bank owned life insurance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2,229</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(15,167)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received from acquisitions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7,076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(249,061</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Net change in deposits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171,611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169,156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9,864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FHLB advances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3,370,000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7,080,000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FHLB advances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(3,609,000)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(7,074,000)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paid for shares withheld to cover payroll taxes upon vesting of restricted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long-term debt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Retirement of preferred stock</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Purchase of common stock</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on common stock</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Cash dividends on preferred stock</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(117,340</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29,497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217,348</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240,363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246,845</w:t>
            </w:r>
          </w:p>
        </w:tc>
        <w:tc>
          <w:tcPr>
            <w:tcW w:w="5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226,159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25,513</w:t>
            </w:r>
          </w:p>
        </w:tc>
        <w:tc>
          <w:tcPr>
            <w:tcW w:w="5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60"/>
              <w:spacing w:after="0"/>
              <w:rPr>
                <w:sz w:val="20"/>
                <w:szCs w:val="20"/>
                <w:color w:val="auto"/>
              </w:rPr>
            </w:pPr>
            <w:r>
              <w:rPr>
                <w:rFonts w:ascii="Arial" w:cs="Arial" w:eastAsia="Arial" w:hAnsi="Arial"/>
                <w:sz w:val="18"/>
                <w:szCs w:val="18"/>
                <w:color w:val="auto"/>
              </w:rPr>
              <w:t>Significant non-cash investing and financing transactions: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Unsettled securities purchases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28,436</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Unsettled government guaranteed loan sales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21,517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Transfers of loans to foreclosed properties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1,725</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2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Assets acquired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412,477</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Liabilities assumed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346,646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439,749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480"/>
              <w:spacing w:after="0"/>
              <w:rPr>
                <w:sz w:val="20"/>
                <w:szCs w:val="20"/>
                <w:color w:val="auto"/>
              </w:rPr>
            </w:pPr>
            <w:r>
              <w:rPr>
                <w:rFonts w:ascii="Arial" w:cs="Arial" w:eastAsia="Arial" w:hAnsi="Arial"/>
                <w:sz w:val="18"/>
                <w:szCs w:val="18"/>
                <w:color w:val="auto"/>
              </w:rPr>
              <w:t>Common stock issued in acquisitions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65,800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7" w:name="page8"/>
    <w:bookmarkEnd w:id="7"/>
    <w:p>
      <w:pPr>
        <w:jc w:val="center"/>
        <w:ind w:right="-20"/>
        <w:spacing w:after="0"/>
        <w:rPr>
          <w:sz w:val="20"/>
          <w:szCs w:val="20"/>
          <w:color w:val="auto"/>
        </w:rPr>
      </w:pPr>
      <w:r>
        <w:rPr>
          <w:rFonts w:ascii="Arial" w:cs="Arial" w:eastAsia="Arial" w:hAnsi="Arial"/>
          <w:sz w:val="16"/>
          <w:szCs w:val="16"/>
          <w:color w:val="auto"/>
        </w:rPr>
        <w:t>See accompanying notes to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43815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January 1, 2017, management elected to begin measuring residential mortgage servicing rights at fair value. The cumulative effect adjustment of this election to retained earnings, net of income tax effect, was $437,000.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statement. The results for interim periods are not necessarily indicative of results for the full year or any other interim periods.</w:t>
      </w:r>
    </w:p>
    <w:p>
      <w:pPr>
        <w:spacing w:after="0" w:line="181" w:lineRule="exact"/>
        <w:rPr>
          <w:sz w:val="20"/>
          <w:szCs w:val="20"/>
          <w:color w:val="auto"/>
        </w:rPr>
      </w:pPr>
    </w:p>
    <w:p>
      <w:pPr>
        <w:jc w:val="both"/>
        <w:ind w:firstLine="16"/>
        <w:spacing w:after="0" w:line="270" w:lineRule="auto"/>
        <w:rPr>
          <w:sz w:val="20"/>
          <w:szCs w:val="20"/>
          <w:color w:val="auto"/>
        </w:rPr>
      </w:pPr>
      <w:r>
        <w:rPr>
          <w:rFonts w:ascii="Arial" w:cs="Arial" w:eastAsia="Arial" w:hAnsi="Arial"/>
          <w:sz w:val="17"/>
          <w:szCs w:val="17"/>
          <w:color w:val="auto"/>
        </w:rPr>
        <w:t>Certain 2016 amounts have been reclassified to conform to the 2017 presentation. As discussed in the Form 10-K for the year ended December 31, 2016, certain loan balances previously shown as retail loans were reclassified to several commercial categories to better align the reporting with the business purpose or underlying credit risk of the loans, rather than the collateral type. The reclassifications moved residential mortgages and home equity lines from the residential mortgage and home equity lines of credit categories to the owner-occupied and income-producing commercial real estate categories. Although these loans were secured by one-to-four family residential properties, their purpose was commercial since they included residential home rental property and business purpose loans secured by the borrower’s primary residence. In addition, residential construction loans were reclassified to the commercial construction category. These reclassified loans are to builders and developers of residential properties. Reclassifying these balances better aligned the loan categories with the management of credit risk. For the three and nine months ended September 30, 2016, historic charge-offs and recoveries on these same loans have been reclassified, as well as the corresponding allowance for loan loss balances, average impaired loan balances, and new troubled debt restructurings.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Updates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This ASU provides guidance on the recognition of revenue from contracts with customers. The core principle of the guidance is that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should recognize revenue to depict the transfer of promised goods or services to customers in an amount that reflects the consideration to which the entity expects to be entitled in exchange for those goods or services. This guidance is effective for public entities for annual reporting periods beginning after December 15, 2017, including interim periods within that reporting period, and will be applied retrospectively either to each prior reporting period or with a cumulative effect recognized at the date of initial application. Because the guidance does not apply to revenue associated with financial instruments, including loans and securities, United does not expect the new revenue recognition guidance to have a material impact on the consolidated financial statements. United continues to evaluate the changes in disclosures required by the new guidance.</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This update requires a lessee to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not to recognize lease assets and lease liabilities. For public entities, this update is effective for fiscal years beginning after December 15, 2018, with modified retrospective application to prior periods presented. Upon adoption, United expects to report higher assets and liabilities as a result of including leases on the consolidated balance sheet. At December 31, 2016, future minimum lease payments amounted to $29.1 million. United does not expect the new guidance to have a material impact on the consolidated statement of income or the consolidated statement of shareholders’ equity.</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The new guidance replaces the incurred loss impairment methodology in current GAAP with an expected credit loss methodology and requires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consideration of a broader range of information to determine credit loss estimates. Financial assets measured at amortized cost will be presented at the net amount expected to be collected by using an allowance for credit losses. Purchased credit impaired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management is still in the process of determining the magnitude of the increase. Management has formed a steering committee and has begun developing a project plan to ensure it is prepared for implementation by the effective date.</w:t>
      </w:r>
    </w:p>
    <w:p>
      <w:pPr>
        <w:sectPr>
          <w:pgSz w:w="11900" w:h="16838" w:orient="portrait"/>
          <w:cols w:equalWidth="0" w:num="1">
            <w:col w:w="11420"/>
          </w:cols>
          <w:pgMar w:left="240" w:top="229" w:right="239"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Compensation – 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This ASU requires that an employer disaggregate the service cost component from the other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of net benefit cost. The amendments also provide explicit guidance on how to present the service cost component and the other components of net benefit cost and allow only the service cost component to be eligible for capitalization. For public entities, this update is effective for fiscal years beginning after December 15, 2017, with retrospective presentation of the service cost and other components and prospective application for any capitalization of service cost. The adoption of this update is not expected to have a material impact on the consolidated financial statements.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March 2017, the FASB issued ASU No. 2017-08, </w:t>
      </w:r>
      <w:r>
        <w:rPr>
          <w:rFonts w:ascii="Arial" w:cs="Arial" w:eastAsia="Arial" w:hAnsi="Arial"/>
          <w:sz w:val="17"/>
          <w:szCs w:val="17"/>
          <w:i w:val="1"/>
          <w:iCs w:val="1"/>
          <w:color w:val="auto"/>
        </w:rPr>
        <w:t>Receivables – Nonrefundable Fees and Other Costs (Subtopic 310-20): Premium Amortization on</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Purchased Callable Debt Securities</w:t>
      </w:r>
      <w:r>
        <w:rPr>
          <w:rFonts w:ascii="Arial" w:cs="Arial" w:eastAsia="Arial" w:hAnsi="Arial"/>
          <w:sz w:val="17"/>
          <w:szCs w:val="17"/>
          <w:color w:val="auto"/>
        </w:rPr>
        <w:t>. This update shortens the amortization period for certain callable debt securities held at a premium. Specifically, 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require the premium to be amortized to the earliest call date. For securities held at a discount, the discount will continue to be amortized to maturity. For public entities, this update is effective for fiscal years beginning after December 15, 2018, with modified retrospective application. The adoption of this update is not expected to have a material impact on the consolidated financial statements.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(Topic 718): Scope of Modification Accounting</w:t>
      </w:r>
      <w:r>
        <w:rPr>
          <w:rFonts w:ascii="Arial" w:cs="Arial" w:eastAsia="Arial" w:hAnsi="Arial"/>
          <w:sz w:val="18"/>
          <w:szCs w:val="18"/>
          <w:color w:val="auto"/>
        </w:rPr>
        <w:t>. This update clarifies which changes to the terms or conditions of a share-based payment award require an entity to apply modification accounting. Specifically, modification accounting should be applied unless the fair value of the modified award is the same as the original award immediately before modification, the vesting conditions of the modified award are the same as the original award immediately before modification, and the classification of the modified award as an equity instrument or a liability instrument is the same as the classification of the original award immediately before modification. For public entities, this update is effective for fiscal years beginning after December 15, 2017, with prospective application. The adoption of this update is not expected to have a material impact on the consolidated financial statements.</w:t>
      </w:r>
    </w:p>
    <w:p>
      <w:pPr>
        <w:spacing w:after="0" w:line="18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August 2017, The FASB issued ASU No.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This update expands and refines hedge accounting for both nonfinancial and financial risk components and aligns the recognition and presentation of the effects of the hedging instrument and the hedged item in the financial statements. This update also makes certain targeted improvements to simplify the application of hedge accounting guidance and ease the administrative burden of hedge documentation requirements and assessing hedge effectiveness. For public entities, this update is effective for fiscal years beginning after December 15, 2018. For cash flow and net investment hedges existing at the date of adoption, an entity should apply a cumulative-effect adjustment related to eliminating the separate measurement of ineffectiveness to accumulated other comprehensive income with a corresponding adjustment to the opening balance of retained earnings. The amended presentation and disclosure guidance is required prospectively. The adoption of this update is not expected to have a material impact on the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 – Stock Compensation (Topic 718): Improvements to 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w:t>
      </w:r>
      <w:r>
        <w:rPr>
          <w:rFonts w:ascii="Arial" w:cs="Arial" w:eastAsia="Arial" w:hAnsi="Arial"/>
          <w:sz w:val="17"/>
          <w:szCs w:val="17"/>
          <w:color w:val="auto"/>
        </w:rPr>
        <w:t>. This update simplified several aspects of the accounting for share-based payment transactions, including the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classification of awards as either equity or liabilities, and classification on the statement of cash flows. United adopted this standard effective January 1, 2017, with no material impact on the consolidated financial statements, although management expects more volatility in the effective tax rate as excess tax benefits and deficiencies on stock compensation transactions flow through income tax expense rather than capital surplus. United prospectively adopted the amendment requiring that excess tax benefits and deficiencies be recognized as income tax expense or benefit in the income statement and as an operating activity in the statement of cash flows. In addition, United elected to account for forfeitures as they occur, rather than estimate the number of awards expected to vest. United retrospectively implemented the clarification that cash paid by an employer when directly withholding shares for tax-withholding purposes should be classified as a financing activity.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HCSB Financial Corporation</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July 31, 2017, United completed the acquisition of HCSB Financial Corporation (“HCSB”) and its wholly-owned bank subsidiary, Horry County State Bank. HCSB operated eight branches in coastal South Carolina. In connection with the acquisition, United acquired $390 million of assets and assumed $347 million of liabilities. Under the terms of the merger agreement, HCSB shareholders received .0050 shares of United common stock for each share of HCSB common stock issued and outstanding at the closing date. The fair value of consideration paid exceeded the fair value of the identifiable assets and liabilities acquired and resulted in the establishment of goodwill in the amount of $23.9 million, representing the intangible value of HCSB’s business and reputation within the market it served. None of the goodwill recognized is expected to be deductible for income tax purposes. United will amortize the related core deposit intangible of $3.48 million using the sum-of-the-years-digits method over six years, which represents the expected useful life of the asset. United will amortize the related noncompete agreements of $2.24 million using the straight line method over the terms of the agreements, which vary between one year and two years.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operating results for the period ended September 30, 2017 include the operating results of the acquired assets and assumed liabilities for the period subsequent to the acquisition date of July 31, 2017.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purchased assets and assumed liabilities were recorded at their acquisition date fair values and are summarized in the table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88"/>
              </w:rPr>
              <w:t>As Recorded by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Fair Value</w:t>
            </w:r>
          </w:p>
        </w:tc>
        <w:tc>
          <w:tcPr>
            <w:tcW w:w="6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As Recorded by</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7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HCSB</w:t>
            </w:r>
          </w:p>
        </w:tc>
        <w:tc>
          <w:tcPr>
            <w:tcW w:w="140" w:type="dxa"/>
            <w:vAlign w:val="bottom"/>
          </w:tcPr>
          <w:p>
            <w:pPr>
              <w:spacing w:after="0"/>
              <w:rPr>
                <w:sz w:val="23"/>
                <w:szCs w:val="23"/>
                <w:color w:val="auto"/>
              </w:rPr>
            </w:pPr>
          </w:p>
        </w:tc>
        <w:tc>
          <w:tcPr>
            <w:tcW w:w="1380" w:type="dxa"/>
            <w:vAlign w:val="bottom"/>
            <w:gridSpan w:val="3"/>
          </w:tcPr>
          <w:p>
            <w:pPr>
              <w:jc w:val="right"/>
              <w:ind w:right="160"/>
              <w:spacing w:after="0" w:line="269" w:lineRule="exact"/>
              <w:rPr>
                <w:sz w:val="20"/>
                <w:szCs w:val="20"/>
                <w:color w:val="auto"/>
              </w:rPr>
            </w:pPr>
            <w:r>
              <w:rPr>
                <w:rFonts w:ascii="Arial" w:cs="Arial" w:eastAsia="Arial" w:hAnsi="Arial"/>
                <w:sz w:val="18"/>
                <w:szCs w:val="18"/>
                <w:b w:val="1"/>
                <w:bCs w:val="1"/>
                <w:color w:val="auto"/>
                <w:w w:val="86"/>
              </w:rPr>
              <w:t xml:space="preserve">Adjustments </w:t>
            </w:r>
            <w:r>
              <w:rPr>
                <w:rFonts w:ascii="Arial" w:cs="Arial" w:eastAsia="Arial" w:hAnsi="Arial"/>
                <w:sz w:val="30"/>
                <w:szCs w:val="30"/>
                <w:b w:val="1"/>
                <w:bCs w:val="1"/>
                <w:color w:val="auto"/>
                <w:w w:val="86"/>
                <w:vertAlign w:val="superscript"/>
              </w:rPr>
              <w:t>(1)</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United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17,855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101,462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Loans, net</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228,483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(12,536)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215,947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Bank owned life insurance</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11,827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25,389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Intangibles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5,716</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(372)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assets acquired</w:t>
            </w:r>
          </w:p>
        </w:tc>
        <w:tc>
          <w:tcPr>
            <w:tcW w:w="13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378,106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11,633</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389,739</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Deposits</w:t>
            </w:r>
          </w:p>
        </w:tc>
        <w:tc>
          <w:tcPr>
            <w:tcW w:w="154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318,512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liabilities assumed</w:t>
            </w:r>
          </w:p>
        </w:tc>
        <w:tc>
          <w:tcPr>
            <w:tcW w:w="1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345,608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346,646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Excess of assets acquired over liabilities assumed</w:t>
            </w:r>
          </w:p>
        </w:tc>
        <w:tc>
          <w:tcPr>
            <w:tcW w:w="15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32,498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Aggregate fair value adjustments</w:t>
            </w: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10,595</w:t>
            </w: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0" w:type="dxa"/>
            <w:vAlign w:val="bottom"/>
            <w:gridSpan w:val="2"/>
            <w:vMerge w:val="continue"/>
          </w:tcPr>
          <w:p>
            <w:pPr>
              <w:spacing w:after="0"/>
              <w:rPr>
                <w:sz w:val="22"/>
                <w:szCs w:val="22"/>
                <w:color w:val="auto"/>
              </w:rPr>
            </w:pPr>
          </w:p>
        </w:tc>
        <w:tc>
          <w:tcPr>
            <w:tcW w:w="1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identifiable net assets</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Consideration transferred</w:t>
            </w: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gridSpan w:val="2"/>
            <w:vMerge w:val="continue"/>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57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Common stock issued (2,370,331 shares)</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fair value of consideration transferred</w:t>
            </w:r>
          </w:p>
        </w:tc>
        <w:tc>
          <w:tcPr>
            <w:tcW w:w="1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interest in HCSB held before the business combination</w:t>
            </w:r>
          </w:p>
        </w:tc>
        <w:tc>
          <w:tcPr>
            <w:tcW w:w="13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3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00" w:firstLine="8"/>
        <w:spacing w:after="0" w:line="227" w:lineRule="auto"/>
        <w:tabs>
          <w:tab w:leader="none" w:pos="212" w:val="left"/>
        </w:tabs>
        <w:numPr>
          <w:ilvl w:val="0"/>
          <w:numId w:val="3"/>
        </w:numPr>
        <w:rPr>
          <w:rFonts w:ascii="Arial" w:cs="Arial" w:eastAsia="Arial" w:hAnsi="Arial"/>
          <w:sz w:val="25"/>
          <w:szCs w:val="25"/>
          <w:color w:val="auto"/>
          <w:vertAlign w:val="superscript"/>
        </w:rPr>
      </w:pPr>
      <w:r>
        <w:rPr>
          <w:rFonts w:ascii="Arial" w:cs="Arial" w:eastAsia="Arial" w:hAnsi="Arial"/>
          <w:sz w:val="16"/>
          <w:szCs w:val="16"/>
          <w:color w:val="auto"/>
        </w:rPr>
        <w:t>Fair values are preliminary and are subject to refinement for a period not to exceed one year after the closing date of an acquisition as information relative to closing date fair values becomes available.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2840" w:type="dxa"/>
            <w:vAlign w:val="bottom"/>
            <w:gridSpan w:val="4"/>
          </w:tcPr>
          <w:p>
            <w:pPr>
              <w:ind w:left="1740"/>
              <w:spacing w:after="0"/>
              <w:rPr>
                <w:sz w:val="20"/>
                <w:szCs w:val="20"/>
                <w:color w:val="auto"/>
              </w:rPr>
            </w:pPr>
            <w:r>
              <w:rPr>
                <w:rFonts w:ascii="Arial" w:cs="Arial" w:eastAsia="Arial" w:hAnsi="Arial"/>
                <w:sz w:val="18"/>
                <w:szCs w:val="18"/>
                <w:b w:val="1"/>
                <w:bCs w:val="1"/>
                <w:color w:val="auto"/>
                <w:w w:val="97"/>
              </w:rPr>
              <w:t>July 31,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Accounted for pursuant to ASC 310-30:</w:t>
            </w:r>
          </w:p>
        </w:tc>
        <w:tc>
          <w:tcPr>
            <w:tcW w:w="1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Contractually required principal and interest</w:t>
            </w:r>
          </w:p>
        </w:tc>
        <w:tc>
          <w:tcPr>
            <w:tcW w:w="20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46,069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Non-accretable difference</w:t>
            </w:r>
          </w:p>
        </w:tc>
        <w:tc>
          <w:tcPr>
            <w:tcW w:w="17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Cash flows expected to be collected</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Accretable yield</w:t>
            </w:r>
          </w:p>
        </w:tc>
        <w:tc>
          <w:tcPr>
            <w:tcW w:w="17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Fair value</w:t>
            </w:r>
          </w:p>
        </w:tc>
        <w:tc>
          <w:tcPr>
            <w:tcW w:w="1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30,246</w:t>
            </w: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b w:val="1"/>
                <w:bCs w:val="1"/>
                <w:color w:val="auto"/>
              </w:rPr>
              <w:t>Excluded from ASC 310-30:</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Fair value</w:t>
            </w:r>
          </w:p>
        </w:tc>
        <w:tc>
          <w:tcPr>
            <w:tcW w:w="20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Gross contractual amounts receivable</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Estimate of contractual cash flows not expected to be collected</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Tidelands Bancshares, Inc.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 2016, United completed the acquisition of Tidelands Bancshares, Inc. (“Tidelands”) and its wholly-owned bank subsidiary Tidelands Bank. Information related to the fair value of assets and liabilities acquired from Tidelands is included in United’s Annual Report on Form 10-K for the year ended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discloses the impact of the mergers with HCSB and Tidelands since the respective acquisition dates through September 30 of the year of acquisition. The table also presents certain pro forma information as if HCSB had been acquired on January 1, 2016 and Tidelands had been acquired on January 1, 2015. These results combine the historical results of the acquired entities with United’s consolidated statement of income and, while adjustments were made for the estimated impact of certain fair value adjustments and other acquisition-related activity, they are not necessarily indicative of what would have occurred had the acquisition taken place in earlier years.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Merger-related costs from the HCSB acquisition of $1.62 million and $1.88 million, respectively, have been excluded from the three months and nine months 2017 pro forma information presented below and included in the three months and nine months 2016 pro forma information below. Merger-related costs of $2.93 million from the Tidelands acquisition have been excluded from the 2016 pro forma information presented below. The actual results and pro forma information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Arial" w:cs="Arial" w:eastAsia="Arial" w:hAnsi="Arial"/>
                <w:sz w:val="18"/>
                <w:szCs w:val="18"/>
                <w:b w:val="1"/>
                <w:bCs w:val="1"/>
                <w:color w:val="auto"/>
                <w:w w:val="93"/>
              </w:rPr>
              <w:t>Three Months Ended September 30,</w:t>
            </w:r>
          </w:p>
        </w:tc>
        <w:tc>
          <w:tcPr>
            <w:tcW w:w="120" w:type="dxa"/>
            <w:vAlign w:val="bottom"/>
          </w:tcPr>
          <w:p>
            <w:pPr>
              <w:spacing w:after="0"/>
              <w:rPr>
                <w:sz w:val="20"/>
                <w:szCs w:val="20"/>
                <w:color w:val="auto"/>
              </w:rPr>
            </w:pPr>
          </w:p>
        </w:tc>
        <w:tc>
          <w:tcPr>
            <w:tcW w:w="2800" w:type="dxa"/>
            <w:vAlign w:val="bottom"/>
            <w:gridSpan w:val="7"/>
          </w:tcPr>
          <w:p>
            <w:pPr>
              <w:spacing w:after="0"/>
              <w:rPr>
                <w:sz w:val="20"/>
                <w:szCs w:val="20"/>
                <w:color w:val="auto"/>
              </w:rPr>
            </w:pPr>
            <w:r>
              <w:rPr>
                <w:rFonts w:ascii="Arial" w:cs="Arial" w:eastAsia="Arial" w:hAnsi="Arial"/>
                <w:sz w:val="18"/>
                <w:szCs w:val="18"/>
                <w:b w:val="1"/>
                <w:bCs w:val="1"/>
                <w:color w:val="auto"/>
                <w:w w:val="93"/>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Net Income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Net Income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2017</w:t>
            </w:r>
          </w:p>
        </w:tc>
        <w:tc>
          <w:tcPr>
            <w:tcW w:w="5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w w:val="93"/>
              </w:rPr>
              <w:t>Actual HCSB results included in statement of income since acquisition date</w:t>
            </w: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2,404</w:t>
            </w:r>
          </w:p>
        </w:tc>
        <w:tc>
          <w:tcPr>
            <w:tcW w:w="26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627</w:t>
            </w:r>
          </w:p>
        </w:tc>
        <w:tc>
          <w:tcPr>
            <w:tcW w:w="300" w:type="dxa"/>
            <w:vAlign w:val="bottom"/>
            <w:tcBorders>
              <w:top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2,404</w:t>
            </w:r>
          </w:p>
        </w:tc>
        <w:tc>
          <w:tcPr>
            <w:tcW w:w="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Supplemental consolidated pro forma as if HCSB had been acquired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1, 2016</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110,910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27,590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330,851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2016</w:t>
            </w:r>
          </w:p>
        </w:tc>
        <w:tc>
          <w:tcPr>
            <w:tcW w:w="5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tcBorders>
              <w:top w:val="single" w:sz="8" w:color="CCEEFF"/>
            </w:tcBorders>
            <w:gridSpan w:val="2"/>
          </w:tcPr>
          <w:p>
            <w:pPr>
              <w:spacing w:after="0" w:line="201" w:lineRule="exact"/>
              <w:rPr>
                <w:sz w:val="20"/>
                <w:szCs w:val="20"/>
                <w:color w:val="auto"/>
              </w:rPr>
            </w:pPr>
            <w:r>
              <w:rPr>
                <w:rFonts w:ascii="Arial" w:cs="Arial" w:eastAsia="Arial" w:hAnsi="Arial"/>
                <w:sz w:val="18"/>
                <w:szCs w:val="18"/>
                <w:color w:val="auto"/>
                <w:w w:val="95"/>
              </w:rPr>
              <w:t>Actual Tidelands results included in statement of income since acquisition</w:t>
            </w:r>
          </w:p>
        </w:tc>
        <w:tc>
          <w:tcPr>
            <w:tcW w:w="24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tcPr>
          <w:p>
            <w:pPr>
              <w:ind w:left="120"/>
              <w:spacing w:after="0"/>
              <w:rPr>
                <w:sz w:val="20"/>
                <w:szCs w:val="20"/>
                <w:color w:val="auto"/>
              </w:rPr>
            </w:pPr>
            <w:r>
              <w:rPr>
                <w:rFonts w:ascii="Arial" w:cs="Arial" w:eastAsia="Arial" w:hAnsi="Arial"/>
                <w:sz w:val="18"/>
                <w:szCs w:val="18"/>
                <w:color w:val="auto"/>
              </w:rPr>
              <w:t>date</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3,988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Supplemental consolidated pro forma as if HCSB had been acquired</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January 1, 2016 and Tidelands had been acquired January 1, 2015</w:t>
            </w: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108,549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309,662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57,114</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11</w:t>
            </w: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ectPr>
          <w:pgSz w:w="11900" w:h="16838" w:orient="portrait"/>
          <w:cols w:equalWidth="0" w:num="1">
            <w:col w:w="11420"/>
          </w:cols>
          <w:pgMar w:left="240" w:top="22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26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23" w:lineRule="exact"/>
        <w:rPr>
          <w:sz w:val="20"/>
          <w:szCs w:val="20"/>
          <w:color w:val="auto"/>
        </w:rPr>
      </w:pPr>
    </w:p>
    <w:p>
      <w:pPr>
        <w:ind w:left="180" w:hanging="161"/>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8"/>
              </w:rPr>
              <w:t>Gross Amounts not Offset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1"/>
                <w:szCs w:val="21"/>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Offset on the</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2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w w:val="88"/>
              </w:rPr>
              <w:t>in the Balance Sheet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191"/>
        </w:trPr>
        <w:tc>
          <w:tcPr>
            <w:tcW w:w="20" w:type="dxa"/>
            <w:vAlign w:val="bottom"/>
          </w:tcPr>
          <w:p>
            <w:pPr>
              <w:spacing w:after="0"/>
              <w:rPr>
                <w:sz w:val="16"/>
                <w:szCs w:val="16"/>
                <w:color w:val="auto"/>
              </w:rPr>
            </w:pPr>
          </w:p>
        </w:tc>
        <w:tc>
          <w:tcPr>
            <w:tcW w:w="116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6"/>
              </w:rPr>
              <w:t>Net Asset</w:t>
            </w: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4"/>
          </w:tcPr>
          <w:p>
            <w:pPr>
              <w:spacing w:after="0" w:line="191" w:lineRule="exact"/>
              <w:rPr>
                <w:sz w:val="20"/>
                <w:szCs w:val="20"/>
                <w:color w:val="auto"/>
              </w:rPr>
            </w:pPr>
            <w:r>
              <w:rPr>
                <w:rFonts w:ascii="Arial" w:cs="Arial" w:eastAsia="Arial" w:hAnsi="Arial"/>
                <w:sz w:val="18"/>
                <w:szCs w:val="18"/>
                <w:b w:val="1"/>
                <w:bCs w:val="1"/>
                <w:color w:val="auto"/>
              </w:rPr>
              <w:t>Financial</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Collateral</w:t>
            </w: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Instruments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Received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627"/>
        </w:trPr>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20,972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16,692</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220,972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20,972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16,692</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-599440</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-179705</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680"/>
            <w:col w:w="7540"/>
          </w:cols>
          <w:pgMar w:left="240" w:top="229" w:right="239" w:bottom="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88"/>
              </w:rPr>
              <w:t>Weighted average interest rate of reverse repurchase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2"/>
              </w:rPr>
              <w:t>Gross Amounts not Offset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Amounts of</w:t>
            </w:r>
          </w:p>
        </w:tc>
        <w:tc>
          <w:tcPr>
            <w:tcW w:w="60" w:type="dxa"/>
            <w:vAlign w:val="bottom"/>
          </w:tcPr>
          <w:p>
            <w:pPr>
              <w:spacing w:after="0"/>
              <w:rPr>
                <w:sz w:val="20"/>
                <w:szCs w:val="20"/>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Offset on the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in the Balance Sheet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20" w:type="dxa"/>
            <w:vAlign w:val="bottom"/>
            <w:gridSpan w:val="3"/>
          </w:tcPr>
          <w:p>
            <w:pPr>
              <w:jc w:val="center"/>
              <w:ind w:right="180"/>
              <w:spacing w:after="0" w:line="191" w:lineRule="exact"/>
              <w:rPr>
                <w:sz w:val="20"/>
                <w:szCs w:val="20"/>
                <w:color w:val="auto"/>
              </w:rPr>
            </w:pPr>
            <w:r>
              <w:rPr>
                <w:rFonts w:ascii="Arial" w:cs="Arial" w:eastAsia="Arial" w:hAnsi="Arial"/>
                <w:sz w:val="18"/>
                <w:szCs w:val="18"/>
                <w:b w:val="1"/>
                <w:bCs w:val="1"/>
                <w:color w:val="auto"/>
                <w:w w:val="87"/>
              </w:rPr>
              <w:t>Recognized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Balance</w:t>
            </w:r>
          </w:p>
        </w:tc>
        <w:tc>
          <w:tcPr>
            <w:tcW w:w="80" w:type="dxa"/>
            <w:vAlign w:val="bottom"/>
          </w:tcPr>
          <w:p>
            <w:pPr>
              <w:spacing w:after="0"/>
              <w:rPr>
                <w:sz w:val="16"/>
                <w:szCs w:val="16"/>
                <w:color w:val="auto"/>
              </w:rPr>
            </w:pP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Net Liability</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7"/>
              </w:rPr>
              <w:t>Financial</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Liabilities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2"/>
              </w:rPr>
              <w:t>Balance</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7"/>
              </w:rPr>
              <w:t>Instruments</w:t>
            </w:r>
          </w:p>
        </w:tc>
        <w:tc>
          <w:tcPr>
            <w:tcW w:w="1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Pledged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agreements / reverse repurchase</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Derivatives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22,926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22,926</w:t>
            </w: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(2,232)</w:t>
            </w:r>
          </w:p>
        </w:tc>
        <w:tc>
          <w:tcPr>
            <w:tcW w:w="1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222,926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0" w:gutter="0" w:footer="0" w:header="0"/>
          <w:type w:val="continuous"/>
        </w:sectPr>
      </w:pPr>
    </w:p>
    <w:p>
      <w:pPr>
        <w:spacing w:after="0" w:line="2"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Weighted average interest rate of repurchase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926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23" w:lineRule="exact"/>
        <w:rPr>
          <w:sz w:val="20"/>
          <w:szCs w:val="20"/>
          <w:color w:val="auto"/>
        </w:rPr>
      </w:pPr>
    </w:p>
    <w:p>
      <w:pPr>
        <w:ind w:left="180" w:hanging="161"/>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Amounts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gridSpan w:val="8"/>
          </w:tcPr>
          <w:p>
            <w:pPr>
              <w:spacing w:after="0"/>
              <w:rPr>
                <w:sz w:val="20"/>
                <w:szCs w:val="20"/>
                <w:color w:val="auto"/>
              </w:rPr>
            </w:pPr>
            <w:r>
              <w:rPr>
                <w:rFonts w:ascii="Arial" w:cs="Arial" w:eastAsia="Arial" w:hAnsi="Arial"/>
                <w:sz w:val="18"/>
                <w:szCs w:val="18"/>
                <w:b w:val="1"/>
                <w:bCs w:val="1"/>
                <w:color w:val="auto"/>
                <w:w w:val="95"/>
              </w:rPr>
              <w:t>Gross Amounts not Offset in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Offset on the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40" w:type="dxa"/>
            <w:vAlign w:val="bottom"/>
            <w:gridSpan w:val="7"/>
          </w:tcPr>
          <w:p>
            <w:pPr>
              <w:ind w:left="560"/>
              <w:spacing w:after="0"/>
              <w:rPr>
                <w:sz w:val="20"/>
                <w:szCs w:val="20"/>
                <w:color w:val="auto"/>
              </w:rPr>
            </w:pPr>
            <w:r>
              <w:rPr>
                <w:rFonts w:ascii="Arial" w:cs="Arial" w:eastAsia="Arial" w:hAnsi="Arial"/>
                <w:sz w:val="18"/>
                <w:szCs w:val="18"/>
                <w:b w:val="1"/>
                <w:bCs w:val="1"/>
                <w:color w:val="auto"/>
              </w:rPr>
              <w:t>Balance Sheet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160" w:type="dxa"/>
            <w:vAlign w:val="bottom"/>
            <w:gridSpan w:val="3"/>
          </w:tcPr>
          <w:p>
            <w:pPr>
              <w:jc w:val="center"/>
              <w:ind w:right="160"/>
              <w:spacing w:after="0" w:line="191"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86"/>
              </w:rPr>
              <w:t>Net Asset</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jc w:val="center"/>
              <w:ind w:right="380"/>
              <w:spacing w:after="0" w:line="191" w:lineRule="exact"/>
              <w:rPr>
                <w:sz w:val="20"/>
                <w:szCs w:val="20"/>
                <w:color w:val="auto"/>
              </w:rPr>
            </w:pPr>
            <w:r>
              <w:rPr>
                <w:rFonts w:ascii="Arial" w:cs="Arial" w:eastAsia="Arial" w:hAnsi="Arial"/>
                <w:sz w:val="18"/>
                <w:szCs w:val="18"/>
                <w:b w:val="1"/>
                <w:bCs w:val="1"/>
                <w:color w:val="auto"/>
                <w:w w:val="92"/>
              </w:rPr>
              <w:t>Financial</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Collateral</w:t>
            </w: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1"/>
              </w:rPr>
              <w:t>Assets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6"/>
              </w:rPr>
              <w:t>Balance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Received</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627"/>
        </w:trPr>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16,837</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16,837</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-1851660</wp:posOffset>
            </wp:positionV>
            <wp:extent cx="72466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-599440</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-179705</wp:posOffset>
            </wp:positionV>
            <wp:extent cx="72466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680"/>
            <w:col w:w="7540"/>
          </w:cols>
          <w:pgMar w:left="240" w:top="229" w:right="239" w:bottom="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7"/>
              </w:rPr>
              <w:t>Weighted average interest rate of reverse repurchase</w:t>
            </w:r>
          </w:p>
        </w:tc>
        <w:tc>
          <w:tcPr>
            <w:tcW w:w="860" w:type="dxa"/>
            <w:vAlign w:val="bottom"/>
          </w:tcPr>
          <w:p>
            <w:pPr>
              <w:spacing w:after="0"/>
              <w:rPr>
                <w:sz w:val="18"/>
                <w:szCs w:val="18"/>
                <w:color w:val="auto"/>
              </w:rPr>
            </w:pPr>
          </w:p>
        </w:tc>
      </w:tr>
      <w:tr>
        <w:trPr>
          <w:trHeight w:val="230"/>
        </w:trPr>
        <w:tc>
          <w:tcPr>
            <w:tcW w:w="4180" w:type="dxa"/>
            <w:vAlign w:val="bottom"/>
          </w:tcPr>
          <w:p>
            <w:pPr>
              <w:ind w:left="180"/>
              <w:spacing w:after="0"/>
              <w:rPr>
                <w:sz w:val="20"/>
                <w:szCs w:val="20"/>
                <w:color w:val="auto"/>
              </w:rPr>
            </w:pPr>
            <w:r>
              <w:rPr>
                <w:rFonts w:ascii="Arial" w:cs="Arial" w:eastAsia="Arial" w:hAnsi="Arial"/>
                <w:sz w:val="18"/>
                <w:szCs w:val="18"/>
                <w:color w:val="auto"/>
              </w:rPr>
              <w:t>agreements</w:t>
            </w: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1">
            <w:col w:w="11420"/>
          </w:cols>
          <w:pgMar w:left="240" w:top="229"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80" w:hanging="161"/>
        <w:spacing w:after="0" w:line="258" w:lineRule="auto"/>
        <w:rPr>
          <w:sz w:val="20"/>
          <w:szCs w:val="20"/>
          <w:color w:val="auto"/>
        </w:rPr>
      </w:pPr>
      <w:r>
        <w:rPr>
          <w:rFonts w:ascii="Arial" w:cs="Arial" w:eastAsia="Arial" w:hAnsi="Arial"/>
          <w:sz w:val="18"/>
          <w:szCs w:val="18"/>
          <w:color w:val="auto"/>
        </w:rPr>
        <w:t>Repurchase agreements / reverse repurchase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Derivatives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w:t>
      </w:r>
    </w:p>
    <w:p>
      <w:pPr>
        <w:spacing w:after="0" w:line="292"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Weighted average interest rate of repurchase agreements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Gross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gridSpan w:val="6"/>
          </w:tcPr>
          <w:p>
            <w:pPr>
              <w:spacing w:after="0"/>
              <w:rPr>
                <w:sz w:val="20"/>
                <w:szCs w:val="20"/>
                <w:color w:val="auto"/>
              </w:rPr>
            </w:pPr>
            <w:r>
              <w:rPr>
                <w:rFonts w:ascii="Arial" w:cs="Arial" w:eastAsia="Arial" w:hAnsi="Arial"/>
                <w:sz w:val="18"/>
                <w:szCs w:val="18"/>
                <w:b w:val="1"/>
                <w:bCs w:val="1"/>
                <w:color w:val="auto"/>
                <w:w w:val="92"/>
              </w:rPr>
              <w:t>Gross Amounts not Offset in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Amounts of</w:t>
            </w:r>
          </w:p>
        </w:tc>
        <w:tc>
          <w:tcPr>
            <w:tcW w:w="60" w:type="dxa"/>
            <w:vAlign w:val="bottom"/>
          </w:tcPr>
          <w:p>
            <w:pPr>
              <w:spacing w:after="0"/>
              <w:rPr>
                <w:sz w:val="20"/>
                <w:szCs w:val="20"/>
                <w:color w:val="auto"/>
              </w:rPr>
            </w:pPr>
          </w:p>
        </w:tc>
        <w:tc>
          <w:tcPr>
            <w:tcW w:w="11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8"/>
              </w:rPr>
              <w:t>Offset on the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Balance Sheet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20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7"/>
              </w:rPr>
              <w:t>Recognized</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Balance</w:t>
            </w:r>
          </w:p>
        </w:tc>
        <w:tc>
          <w:tcPr>
            <w:tcW w:w="80" w:type="dxa"/>
            <w:vAlign w:val="bottom"/>
          </w:tcPr>
          <w:p>
            <w:pPr>
              <w:spacing w:after="0"/>
              <w:rPr>
                <w:sz w:val="16"/>
                <w:szCs w:val="16"/>
                <w:color w:val="auto"/>
              </w:rPr>
            </w:pPr>
          </w:p>
        </w:tc>
        <w:tc>
          <w:tcPr>
            <w:tcW w:w="122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Net Liability</w:t>
            </w: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7"/>
              </w:rPr>
              <w:t>Financial</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7"/>
              </w:rPr>
              <w:t>Collateral</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rPr>
              <w:t>Net</w:t>
            </w:r>
          </w:p>
        </w:tc>
      </w:tr>
      <w:tr>
        <w:trPr>
          <w:trHeight w:val="234"/>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Liabilities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Sheet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8"/>
              </w:rPr>
              <w:t>Instruments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Pledged</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r>
      <w:tr>
        <w:trPr>
          <w:trHeight w:val="627"/>
        </w:trPr>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27,648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27,648</w:t>
            </w:r>
          </w:p>
        </w:tc>
        <w:tc>
          <w:tcPr>
            <w:tcW w:w="14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(3,485)</w:t>
            </w:r>
          </w:p>
        </w:tc>
        <w:tc>
          <w:tcPr>
            <w:tcW w:w="12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(18,505)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177,648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(18,505</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5,658</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-1011555</wp:posOffset>
            </wp:positionV>
            <wp:extent cx="7246620"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-591185</wp:posOffset>
            </wp:positionV>
            <wp:extent cx="72466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-273685</wp:posOffset>
            </wp:positionV>
            <wp:extent cx="72466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3200" w:space="680"/>
            <w:col w:w="7540"/>
          </w:cols>
          <w:pgMar w:left="240" w:top="229" w:right="239" w:bottom="0" w:gutter="0" w:footer="0" w:header="0"/>
          <w:type w:val="continuous"/>
        </w:sectPr>
      </w:pPr>
    </w:p>
    <w:p>
      <w:pPr>
        <w:ind w:right="60"/>
        <w:spacing w:after="0" w:line="259" w:lineRule="auto"/>
        <w:rPr>
          <w:sz w:val="20"/>
          <w:szCs w:val="20"/>
          <w:color w:val="auto"/>
        </w:rPr>
      </w:pPr>
      <w:r>
        <w:rPr>
          <w:rFonts w:ascii="Arial" w:cs="Arial" w:eastAsia="Arial" w:hAnsi="Arial"/>
          <w:sz w:val="18"/>
          <w:szCs w:val="18"/>
          <w:color w:val="auto"/>
        </w:rPr>
        <w:t>At September 30, 2017, United recognized the right to reclaim cash collateral of $20.9 million and the obligation to return cash collateral of $2.39 million. At December 31, 2016, United recognized the right to reclaim cash collateral of $18.5 million and the obligation to return cash collateral of $3.37 million. The right to reclaim cash collateral and the obligation to return cash collateral were included in the consolidated balance sheet in other assets and other liabilities, respectively.</w:t>
      </w:r>
    </w:p>
    <w:p>
      <w:pPr>
        <w:sectPr>
          <w:pgSz w:w="11900" w:h="16838" w:orient="portrait"/>
          <w:cols w:equalWidth="0" w:num="1">
            <w:col w:w="11420"/>
          </w:cols>
          <w:pgMar w:left="240" w:top="229" w:right="239" w:bottom="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14"/>
          </w:tcPr>
          <w:p>
            <w:pPr>
              <w:jc w:val="right"/>
              <w:ind w:right="20"/>
              <w:spacing w:after="0"/>
              <w:rPr>
                <w:sz w:val="20"/>
                <w:szCs w:val="20"/>
                <w:color w:val="auto"/>
              </w:rPr>
            </w:pPr>
            <w:r>
              <w:rPr>
                <w:rFonts w:ascii="Arial" w:cs="Arial" w:eastAsia="Arial" w:hAnsi="Arial"/>
                <w:sz w:val="18"/>
                <w:szCs w:val="18"/>
                <w:b w:val="1"/>
                <w:bCs w:val="1"/>
                <w:color w:val="auto"/>
              </w:rPr>
              <w:t>Remaining Contractual Maturity of the Agreements</w:t>
            </w: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9"/>
              </w:rPr>
              <w:t>Overnight and</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As of September 30, 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Continuous</w:t>
            </w:r>
          </w:p>
        </w:tc>
        <w:tc>
          <w:tcPr>
            <w:tcW w:w="128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Up to 30 Days</w:t>
            </w: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30 to 90 Days</w:t>
            </w:r>
          </w:p>
        </w:tc>
        <w:tc>
          <w:tcPr>
            <w:tcW w:w="1340" w:type="dxa"/>
            <w:vAlign w:val="bottom"/>
            <w:gridSpan w:val="4"/>
          </w:tcPr>
          <w:p>
            <w:pPr>
              <w:ind w:left="100"/>
              <w:spacing w:after="0"/>
              <w:rPr>
                <w:sz w:val="20"/>
                <w:szCs w:val="20"/>
                <w:color w:val="auto"/>
              </w:rPr>
            </w:pPr>
            <w:r>
              <w:rPr>
                <w:rFonts w:ascii="Arial" w:cs="Arial" w:eastAsia="Arial" w:hAnsi="Arial"/>
                <w:sz w:val="18"/>
                <w:szCs w:val="18"/>
                <w:b w:val="1"/>
                <w:bCs w:val="1"/>
                <w:color w:val="auto"/>
                <w:w w:val="99"/>
              </w:rPr>
              <w:t>91 to 110 days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10"/>
        </w:trPr>
        <w:tc>
          <w:tcPr>
            <w:tcW w:w="5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201,005</w:t>
            </w:r>
          </w:p>
        </w:tc>
      </w:tr>
      <w:tr>
        <w:trPr>
          <w:trHeight w:val="210"/>
        </w:trPr>
        <w:tc>
          <w:tcPr>
            <w:tcW w:w="5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201,005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 w:lineRule="exact"/>
        <w:rPr>
          <w:sz w:val="20"/>
          <w:szCs w:val="20"/>
          <w:color w:val="auto"/>
        </w:rPr>
      </w:pPr>
    </w:p>
    <w:p>
      <w:pPr>
        <w:ind w:left="180" w:hanging="161"/>
        <w:spacing w:after="0" w:line="274" w:lineRule="auto"/>
        <w:rPr>
          <w:sz w:val="20"/>
          <w:szCs w:val="20"/>
          <w:color w:val="auto"/>
        </w:rPr>
      </w:pPr>
      <w:r>
        <w:rPr>
          <w:rFonts w:ascii="Arial" w:cs="Arial" w:eastAsia="Arial" w:hAnsi="Arial"/>
          <w:sz w:val="18"/>
          <w:szCs w:val="18"/>
          <w:color w:val="auto"/>
        </w:rPr>
        <w:t>Gross amount of recognized liabilities for repurchase agreements in offsetting disclosure</w:t>
      </w:r>
    </w:p>
    <w:p>
      <w:pPr>
        <w:spacing w:after="0"/>
        <w:rPr>
          <w:sz w:val="20"/>
          <w:szCs w:val="20"/>
          <w:color w:val="auto"/>
        </w:rPr>
      </w:pPr>
      <w:r>
        <w:rPr>
          <w:rFonts w:ascii="Arial" w:cs="Arial" w:eastAsia="Arial" w:hAnsi="Arial"/>
          <w:sz w:val="16"/>
          <w:szCs w:val="16"/>
          <w:color w:val="auto"/>
        </w:rPr>
        <w:t>Amounts related to agreements not included in offsetting disclosure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73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left="5140"/>
        <w:spacing w:after="0"/>
        <w:tabs>
          <w:tab w:leader="none" w:pos="55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-276225</wp:posOffset>
            </wp:positionV>
            <wp:extent cx="724662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30" w:lineRule="exact"/>
        <w:rPr>
          <w:sz w:val="20"/>
          <w:szCs w:val="20"/>
          <w:color w:val="auto"/>
        </w:rPr>
      </w:pPr>
    </w:p>
    <w:p>
      <w:pPr>
        <w:jc w:val="both"/>
        <w:ind w:left="5140"/>
        <w:spacing w:after="0"/>
        <w:tabs>
          <w:tab w:leader="none" w:pos="5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14605</wp:posOffset>
            </wp:positionV>
            <wp:extent cx="643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31750</wp:posOffset>
            </wp:positionV>
            <wp:extent cx="643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3263265</wp:posOffset>
            </wp:positionH>
            <wp:positionV relativeFrom="paragraph">
              <wp:posOffset>-130175</wp:posOffset>
            </wp:positionV>
            <wp:extent cx="643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55" w:lineRule="exact"/>
        <w:rPr>
          <w:sz w:val="20"/>
          <w:szCs w:val="20"/>
          <w:color w:val="auto"/>
        </w:rPr>
      </w:pPr>
    </w:p>
    <w:p>
      <w:pPr>
        <w:ind w:right="1180" w:firstLine="1077"/>
        <w:spacing w:after="0" w:line="269" w:lineRule="auto"/>
        <w:rPr>
          <w:sz w:val="20"/>
          <w:szCs w:val="20"/>
          <w:color w:val="auto"/>
        </w:rPr>
      </w:pPr>
      <w:r>
        <w:rPr>
          <w:rFonts w:ascii="Arial" w:cs="Arial" w:eastAsia="Arial" w:hAnsi="Arial"/>
          <w:sz w:val="18"/>
          <w:szCs w:val="18"/>
          <w:b w:val="1"/>
          <w:bCs w:val="1"/>
          <w:color w:val="auto"/>
        </w:rPr>
        <w:t>Remaining Contractual Maturity of the Agreements Overnight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-145415</wp:posOffset>
            </wp:positionV>
            <wp:extent cx="3902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ind w:left="120"/>
        <w:spacing w:after="0"/>
        <w:tabs>
          <w:tab w:leader="none" w:pos="1320" w:val="left"/>
          <w:tab w:leader="none" w:pos="2600" w:val="left"/>
          <w:tab w:leader="none" w:pos="3840" w:val="left"/>
          <w:tab w:leader="none" w:pos="5420" w:val="left"/>
        </w:tabs>
        <w:rPr>
          <w:sz w:val="20"/>
          <w:szCs w:val="20"/>
          <w:color w:val="auto"/>
        </w:rPr>
      </w:pPr>
      <w:r>
        <w:rPr>
          <w:rFonts w:ascii="Arial" w:cs="Arial" w:eastAsia="Arial" w:hAnsi="Arial"/>
          <w:sz w:val="18"/>
          <w:szCs w:val="18"/>
          <w:b w:val="1"/>
          <w:bCs w:val="1"/>
          <w:color w:val="auto"/>
        </w:rPr>
        <w:t>Continuous</w:t>
      </w:r>
      <w:r>
        <w:rPr>
          <w:sz w:val="20"/>
          <w:szCs w:val="20"/>
          <w:color w:val="auto"/>
        </w:rPr>
        <w:tab/>
      </w:r>
      <w:r>
        <w:rPr>
          <w:rFonts w:ascii="Arial" w:cs="Arial" w:eastAsia="Arial" w:hAnsi="Arial"/>
          <w:sz w:val="18"/>
          <w:szCs w:val="18"/>
          <w:b w:val="1"/>
          <w:bCs w:val="1"/>
          <w:u w:val="single" w:color="auto"/>
          <w:color w:val="auto"/>
        </w:rPr>
        <w:t>Up to 30 Days</w:t>
      </w:r>
      <w:r>
        <w:rPr>
          <w:sz w:val="20"/>
          <w:szCs w:val="20"/>
          <w:color w:val="auto"/>
        </w:rPr>
        <w:tab/>
      </w:r>
      <w:r>
        <w:rPr>
          <w:rFonts w:ascii="Arial" w:cs="Arial" w:eastAsia="Arial" w:hAnsi="Arial"/>
          <w:sz w:val="18"/>
          <w:szCs w:val="18"/>
          <w:b w:val="1"/>
          <w:bCs w:val="1"/>
          <w:u w:val="single" w:color="auto"/>
          <w:color w:val="auto"/>
        </w:rPr>
        <w:t>30 to 90 Days</w:t>
        <w:tab/>
        <w:t>91 to 110 days</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3263265</wp:posOffset>
            </wp:positionH>
            <wp:positionV relativeFrom="paragraph">
              <wp:posOffset>5715</wp:posOffset>
            </wp:positionV>
            <wp:extent cx="643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wp:posOffset>
            </wp:positionV>
            <wp:extent cx="711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8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80" w:space="280"/>
            <w:col w:w="6260"/>
          </w:cols>
          <w:pgMar w:left="240" w:top="229"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Gross amount of recognized liabilities for repurchase agreements in</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offsetting disclosure</w:t>
            </w:r>
          </w:p>
        </w:tc>
        <w:tc>
          <w:tcPr>
            <w:tcW w:w="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Amounts related to agreements not included in offsetting disclosure</w:t>
            </w: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ectPr>
          <w:pgSz w:w="11900" w:h="16838" w:orient="portrait"/>
          <w:cols w:equalWidth="0" w:num="1">
            <w:col w:w="11420"/>
          </w:cols>
          <w:pgMar w:left="240" w:top="2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of September 30, 2017</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State and political subdivisions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6"/>
          <w:szCs w:val="26"/>
          <w:color w:val="auto"/>
          <w:vertAlign w:val="superscript"/>
        </w:rPr>
        <w:t>(1)</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 of December 31, 2016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Gross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26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Fair</w:t>
            </w:r>
          </w:p>
        </w:tc>
      </w:tr>
      <w:tr>
        <w:trPr>
          <w:trHeight w:val="234"/>
        </w:trPr>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Value</w:t>
            </w:r>
          </w:p>
        </w:tc>
      </w:tr>
      <w:tr>
        <w:trPr>
          <w:trHeight w:val="642"/>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58,917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2,140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60,901</w:t>
            </w:r>
          </w:p>
        </w:tc>
      </w:tr>
      <w:tr>
        <w:trPr>
          <w:trHeight w:val="270"/>
        </w:trPr>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247,824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249,545</w:t>
            </w:r>
          </w:p>
        </w:tc>
      </w:tr>
      <w:tr>
        <w:trPr>
          <w:trHeight w:val="453"/>
        </w:trPr>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306,741</w:t>
            </w:r>
          </w:p>
        </w:tc>
        <w:tc>
          <w:tcPr>
            <w:tcW w:w="120" w:type="dxa"/>
            <w:vAlign w:val="bottom"/>
          </w:tcPr>
          <w:p>
            <w:pPr>
              <w:spacing w:after="0"/>
              <w:rPr>
                <w:sz w:val="24"/>
                <w:szCs w:val="24"/>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5,585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1,880</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310,446</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-916940</wp:posOffset>
            </wp:positionV>
            <wp:extent cx="72466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-633730</wp:posOffset>
            </wp:positionV>
            <wp:extent cx="72466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-325120</wp:posOffset>
            </wp:positionV>
            <wp:extent cx="72466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-16510</wp:posOffset>
            </wp:positionV>
            <wp:extent cx="724662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51" w:lineRule="exact"/>
        <w:rPr>
          <w:sz w:val="20"/>
          <w:szCs w:val="20"/>
          <w:color w:val="auto"/>
        </w:rPr>
      </w:pPr>
    </w:p>
    <w:p>
      <w:pPr>
        <w:sectPr>
          <w:pgSz w:w="11900" w:h="16838" w:orient="portrait"/>
          <w:cols w:equalWidth="0" w:num="2">
            <w:col w:w="4900" w:space="720"/>
            <w:col w:w="580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State and political subdivisions</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57,134</w:t>
            </w: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2,197</w:t>
            </w:r>
          </w:p>
        </w:tc>
        <w:tc>
          <w:tcPr>
            <w:tcW w:w="5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59,082</w:t>
            </w:r>
          </w:p>
        </w:tc>
      </w:tr>
      <w:tr>
        <w:trPr>
          <w:trHeight w:val="270"/>
        </w:trPr>
        <w:tc>
          <w:tcPr>
            <w:tcW w:w="5620" w:type="dxa"/>
            <w:vAlign w:val="bottom"/>
            <w:shd w:val="clear" w:color="auto" w:fill="CCEEFF"/>
          </w:tcPr>
          <w:p>
            <w:pPr>
              <w:ind w:left="180"/>
              <w:spacing w:after="0" w:line="269"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30"/>
                <w:szCs w:val="30"/>
                <w:color w:val="auto"/>
                <w:vertAlign w:val="superscript"/>
              </w:rPr>
              <w:t>(1)</w:t>
            </w: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272,709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4,035</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274,088</w:t>
            </w:r>
          </w:p>
        </w:tc>
      </w:tr>
      <w:tr>
        <w:trPr>
          <w:trHeight w:val="210"/>
        </w:trPr>
        <w:tc>
          <w:tcPr>
            <w:tcW w:w="56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329,843</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6,232</w:t>
            </w:r>
          </w:p>
        </w:tc>
        <w:tc>
          <w:tcPr>
            <w:tcW w:w="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333,170</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All are residential type mortgage-backed securities or U.S. government agency commercial mortgage backed securities.</w:t>
      </w:r>
    </w:p>
    <w:p>
      <w:pPr>
        <w:sectPr>
          <w:pgSz w:w="11900" w:h="16838" w:orient="portrait"/>
          <w:cols w:equalWidth="0" w:num="1">
            <w:col w:w="11420"/>
          </w:cols>
          <w:pgMar w:left="240" w:top="229" w:right="23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cost basis, unrealized gains and losses, and fair value of securities available-for-sale as of the dates indicated are presented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Amortized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60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As of September 30, 2017</w:t>
            </w: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74,434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172,389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1,644,741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11,365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1,648,696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306,127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308,465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2,529,566</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19,183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8,279</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2,540,470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2016</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U.S. Treasuries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170,360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U.S. Government agencies</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21,053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State and political subdivisions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74,555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1,397,435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8,924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ind w:left="16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468,742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469,569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2,440,151</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20,228</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4"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All are residential type mortgage-backed securities or U.S. government agency commercial mortgage backed securities.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Securities with a carrying value of $1.35 billion and $1.45 billion were pledged to secure public deposits, derivatives and other secured borrowings at September 30, 2017 and December 31,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held-to-maturity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b w:val="1"/>
                <w:bCs w:val="1"/>
                <w:color w:val="auto"/>
              </w:rPr>
              <w:t>Total</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As of September 30, 2017</w:t>
            </w: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80,277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18,871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99,148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118,164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118,164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6"/>
          </w:tcPr>
          <w:p>
            <w:pPr>
              <w:ind w:left="30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0"/>
              </w:rPr>
              <w:t>Loss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0"/>
              </w:rPr>
              <w:t>Loss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14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color w:val="auto"/>
              </w:rPr>
              <w:t>As of September 30, 2017</w:t>
            </w:r>
          </w:p>
        </w:tc>
        <w:tc>
          <w:tcPr>
            <w:tcW w:w="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466,703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3,666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155,799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622,502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31,923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64,580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69,607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796,631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As of December 31, 2016</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145,229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145,229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U.S. Government agencies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19,685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State and political subdivisions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61,782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810,686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13,952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26,279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836,965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228,504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244,078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54,477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115,338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169,815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unrealized loss position</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1,320,363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1,477,554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2017, there were 116 available-for-sale securities and 37 held-to-maturity securities that were in an unrealized loss position. United does not intend to sell nor believes it will be required to sell securities in an unrealized loss position prior to the recovery of their amortized cost basis. Unrealized losses at September 30, 2017 were primarily attributable to changes in interest rates and spread relationships.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nine months ended September 30, 2017 or 2016.</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nine months ended September 30, 2017 and 2016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54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181,119</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100,867</w:t>
            </w: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275,769</w:t>
            </w:r>
          </w:p>
        </w:tc>
        <w:tc>
          <w:tcPr>
            <w:tcW w:w="2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189,164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Gross gains on sales</w:t>
            </w: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32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923</w:t>
            </w:r>
          </w:p>
        </w:tc>
        <w:tc>
          <w:tcPr>
            <w:tcW w:w="1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440" w:type="dxa"/>
            <w:vAlign w:val="bottom"/>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607</w:t>
            </w:r>
          </w:p>
        </w:tc>
        <w:tc>
          <w:tcPr>
            <w:tcW w:w="220" w:type="dxa"/>
            <w:vAlign w:val="bottom"/>
            <w:vMerge w:val="continue"/>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1,248</w:t>
            </w:r>
          </w:p>
        </w:tc>
        <w:tc>
          <w:tcPr>
            <w:tcW w:w="200" w:type="dxa"/>
            <w:vAlign w:val="bottom"/>
            <w:vMerge w:val="continue"/>
          </w:tcPr>
          <w:p>
            <w:pPr>
              <w:spacing w:after="0"/>
              <w:rPr>
                <w:sz w:val="17"/>
                <w:szCs w:val="17"/>
                <w:color w:val="auto"/>
              </w:rPr>
            </w:pPr>
          </w:p>
        </w:tc>
        <w:tc>
          <w:tcPr>
            <w:tcW w:w="460" w:type="dxa"/>
            <w:vAlign w:val="bottom"/>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1,565</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Gross losses on sales</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(1,058)</w:t>
            </w: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gains on sales of securities</w:t>
            </w: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20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6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Income tax expense attributable to sales</w:t>
            </w:r>
          </w:p>
        </w:tc>
        <w:tc>
          <w:tcPr>
            <w:tcW w:w="3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w:t>
            </w:r>
          </w:p>
        </w:tc>
        <w:tc>
          <w:tcPr>
            <w:tcW w:w="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w:t>
            </w: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0" w:lineRule="exact"/>
        <w:rPr>
          <w:sz w:val="20"/>
          <w:szCs w:val="20"/>
          <w:color w:val="auto"/>
        </w:rPr>
      </w:pP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September 30, 2017,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Available-for-Sale</w:t>
            </w:r>
          </w:p>
        </w:tc>
        <w:tc>
          <w:tcPr>
            <w:tcW w:w="340" w:type="dxa"/>
            <w:vAlign w:val="bottom"/>
          </w:tcPr>
          <w:p>
            <w:pPr>
              <w:spacing w:after="0"/>
              <w:rPr>
                <w:sz w:val="20"/>
                <w:szCs w:val="20"/>
                <w:color w:val="auto"/>
              </w:rPr>
            </w:pPr>
          </w:p>
        </w:tc>
        <w:tc>
          <w:tcPr>
            <w:tcW w:w="2380" w:type="dxa"/>
            <w:vAlign w:val="bottom"/>
            <w:gridSpan w:val="5"/>
          </w:tcPr>
          <w:p>
            <w:pPr>
              <w:ind w:left="30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Amortized Cost</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19"/>
                <w:szCs w:val="19"/>
                <w:color w:val="auto"/>
              </w:rPr>
            </w:pPr>
          </w:p>
        </w:tc>
        <w:tc>
          <w:tcPr>
            <w:tcW w:w="14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US Treasuries: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10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44,523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44,827</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29,937</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74,434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74,764</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US Government agencies: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to 5 years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2,117</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19,757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19,913</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5,698</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27,728</w:t>
            </w:r>
          </w:p>
        </w:tc>
        <w:tc>
          <w:tcPr>
            <w:tcW w:w="2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Within 1 year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29,696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29,617</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13,661</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44,740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16,956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More than 10 years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95,754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96,517</w:t>
            </w:r>
          </w:p>
        </w:tc>
        <w:tc>
          <w:tcPr>
            <w:tcW w:w="3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24,208</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171,372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172,389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258,158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260,793</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46,768</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More than 10 years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3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308,371</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1 to 5 years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6,951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7,121</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5 to 10 years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114,465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More than 10 years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185,295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186,879</w:t>
            </w:r>
          </w:p>
        </w:tc>
        <w:tc>
          <w:tcPr>
            <w:tcW w:w="3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308,465</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More than 10 years</w:t>
            </w: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1,515</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4,092</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 to 5 years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341,431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344,475</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13,661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40"/>
              <w:spacing w:after="0"/>
              <w:rPr>
                <w:sz w:val="20"/>
                <w:szCs w:val="20"/>
                <w:color w:val="auto"/>
              </w:rPr>
            </w:pPr>
            <w:r>
              <w:rPr>
                <w:rFonts w:ascii="Arial" w:cs="Arial" w:eastAsia="Arial" w:hAnsi="Arial"/>
                <w:sz w:val="18"/>
                <w:szCs w:val="18"/>
                <w:color w:val="auto"/>
              </w:rPr>
              <w:t>5 to 10 years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254,372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255,823</w:t>
            </w:r>
          </w:p>
        </w:tc>
        <w:tc>
          <w:tcPr>
            <w:tcW w:w="3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16,956</w:t>
            </w:r>
          </w:p>
        </w:tc>
        <w:tc>
          <w:tcPr>
            <w:tcW w:w="1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More than 10 years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289,961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24,208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1,644,741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1,648,696</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247,824</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2,529,566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2,540,470</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306,741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gridSpan w:val="2"/>
          </w:tcPr>
          <w:p>
            <w:pPr>
              <w:ind w:left="60"/>
              <w:spacing w:after="0"/>
              <w:rPr>
                <w:sz w:val="20"/>
                <w:szCs w:val="20"/>
                <w:color w:val="auto"/>
              </w:rPr>
            </w:pPr>
            <w:r>
              <w:rPr>
                <w:rFonts w:ascii="Arial" w:cs="Arial" w:eastAsia="Arial" w:hAnsi="Arial"/>
                <w:sz w:val="18"/>
                <w:szCs w:val="18"/>
                <w:b w:val="1"/>
                <w:bCs w:val="1"/>
                <w:color w:val="auto"/>
              </w:rPr>
              <w:t>Note 6 – Loans and Allowance for Credit Losses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300" w:type="dxa"/>
            <w:vAlign w:val="bottom"/>
            <w:gridSpan w:val="2"/>
          </w:tcPr>
          <w:p>
            <w:pPr>
              <w:spacing w:after="0"/>
              <w:rPr>
                <w:sz w:val="20"/>
                <w:szCs w:val="20"/>
                <w:color w:val="auto"/>
              </w:rPr>
            </w:pPr>
            <w:r>
              <w:rPr>
                <w:rFonts w:ascii="Arial" w:cs="Arial" w:eastAsia="Arial" w:hAnsi="Arial"/>
                <w:sz w:val="18"/>
                <w:szCs w:val="18"/>
                <w:color w:val="auto"/>
                <w:w w:val="94"/>
              </w:rPr>
              <w:t xml:space="preserve">Major classifications of loans are summarized as of the dates indicated as follows </w:t>
            </w:r>
            <w:r>
              <w:rPr>
                <w:rFonts w:ascii="Arial" w:cs="Arial" w:eastAsia="Arial" w:hAnsi="Arial"/>
                <w:sz w:val="18"/>
                <w:szCs w:val="18"/>
                <w:i w:val="1"/>
                <w:iCs w:val="1"/>
                <w:color w:val="auto"/>
                <w:w w:val="94"/>
              </w:rPr>
              <w:t>(in thousands)</w:t>
            </w:r>
            <w:r>
              <w:rPr>
                <w:rFonts w:ascii="Arial" w:cs="Arial" w:eastAsia="Arial" w:hAnsi="Arial"/>
                <w:sz w:val="18"/>
                <w:szCs w:val="18"/>
                <w:color w:val="auto"/>
                <w:w w:val="94"/>
              </w:rPr>
              <w:t>.</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27"/>
        </w:trPr>
        <w:tc>
          <w:tcPr>
            <w:tcW w:w="14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560" w:type="dxa"/>
            <w:vAlign w:val="bottom"/>
            <w:gridSpan w:val="4"/>
          </w:tcPr>
          <w:p>
            <w:pPr>
              <w:ind w:left="320"/>
              <w:spacing w:after="0"/>
              <w:rPr>
                <w:sz w:val="20"/>
                <w:szCs w:val="20"/>
                <w:color w:val="auto"/>
              </w:rPr>
            </w:pPr>
            <w:r>
              <w:rPr>
                <w:rFonts w:ascii="Arial" w:cs="Arial" w:eastAsia="Arial" w:hAnsi="Arial"/>
                <w:sz w:val="18"/>
                <w:szCs w:val="18"/>
                <w:b w:val="1"/>
                <w:bCs w:val="1"/>
                <w:color w:val="auto"/>
                <w:w w:val="99"/>
              </w:rPr>
              <w:t>September 30,</w:t>
            </w:r>
          </w:p>
        </w:tc>
        <w:tc>
          <w:tcPr>
            <w:tcW w:w="112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144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1,791,762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1,650,360</w:t>
            </w: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1,413,104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1,281,541</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1,083,591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1,069,715</w:t>
            </w:r>
          </w:p>
        </w:tc>
        <w:tc>
          <w:tcPr>
            <w:tcW w:w="60" w:type="dxa"/>
            <w:vAlign w:val="bottom"/>
            <w:shd w:val="clear" w:color="auto" w:fill="CCEEFF"/>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583,344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633,921</w:t>
            </w:r>
          </w:p>
        </w:tc>
        <w:tc>
          <w:tcPr>
            <w:tcW w:w="6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4,871,801</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4,635,537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Residential mortgage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933,205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856,725</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688,875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655,410</w:t>
            </w:r>
          </w:p>
        </w:tc>
        <w:tc>
          <w:tcPr>
            <w:tcW w:w="60" w:type="dxa"/>
            <w:vAlign w:val="bottom"/>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190,047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190,043</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118,742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123,567</w:t>
            </w:r>
          </w:p>
        </w:tc>
        <w:tc>
          <w:tcPr>
            <w:tcW w:w="60" w:type="dxa"/>
            <w:vAlign w:val="bottom"/>
            <w:shd w:val="clear" w:color="auto" w:fill="CCEEFF"/>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Indirect auto</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400,267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459,354</w:t>
            </w:r>
          </w:p>
        </w:tc>
        <w:tc>
          <w:tcPr>
            <w:tcW w:w="60" w:type="dxa"/>
            <w:vAlign w:val="bottom"/>
          </w:tcPr>
          <w:p>
            <w:pPr>
              <w:spacing w:after="0"/>
              <w:rPr>
                <w:sz w:val="19"/>
                <w:szCs w:val="19"/>
                <w:color w:val="auto"/>
              </w:rPr>
            </w:pPr>
          </w:p>
        </w:tc>
      </w:tr>
      <w:tr>
        <w:trPr>
          <w:trHeight w:val="210"/>
        </w:trPr>
        <w:tc>
          <w:tcPr>
            <w:tcW w:w="144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7,202,937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6,920,636</w:t>
            </w:r>
          </w:p>
        </w:tc>
        <w:tc>
          <w:tcPr>
            <w:tcW w:w="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144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(58,605)</w:t>
            </w:r>
          </w:p>
        </w:tc>
        <w:tc>
          <w:tcPr>
            <w:tcW w:w="22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(61,422)</w:t>
            </w:r>
          </w:p>
        </w:tc>
      </w:tr>
      <w:tr>
        <w:trPr>
          <w:trHeight w:val="210"/>
        </w:trPr>
        <w:tc>
          <w:tcPr>
            <w:tcW w:w="144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43"/>
        </w:trPr>
        <w:tc>
          <w:tcPr>
            <w:tcW w:w="1440" w:type="dxa"/>
            <w:vAlign w:val="bottom"/>
          </w:tcPr>
          <w:p>
            <w:pPr>
              <w:spacing w:after="0"/>
              <w:rPr>
                <w:sz w:val="21"/>
                <w:szCs w:val="21"/>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5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7,144,332</w:t>
            </w:r>
          </w:p>
        </w:tc>
        <w:tc>
          <w:tcPr>
            <w:tcW w:w="1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6,859,214</w:t>
            </w:r>
          </w:p>
        </w:tc>
        <w:tc>
          <w:tcPr>
            <w:tcW w:w="60" w:type="dxa"/>
            <w:vAlign w:val="bottom"/>
          </w:tcPr>
          <w:p>
            <w:pPr>
              <w:spacing w:after="0"/>
              <w:rPr>
                <w:sz w:val="21"/>
                <w:szCs w:val="21"/>
                <w:color w:val="auto"/>
              </w:rPr>
            </w:pPr>
          </w:p>
        </w:tc>
      </w:tr>
      <w:tr>
        <w:trPr>
          <w:trHeight w:val="20"/>
        </w:trPr>
        <w:tc>
          <w:tcPr>
            <w:tcW w:w="14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2017 and December 31, 2016, loans totaling $3.57 billion and $3.33 billion, respectively, were pledged as collateral to secure Federal Home Loan Bank advances and other contingent funding sources.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At September 30, 2017, the carrying value and outstanding balance of purchased credit impaired (“PCI”) loans accounted for under ASC 310-30 were $68.7 million and $104 million, respectively. At December 31, 2016, the carrying value and outstanding balance of PCI loans were $62.8 million and $87.9 million, respectively. The following table presents changes in the value of the accretable yield for PCI loans for the periods indicated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300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September 30,</w:t>
            </w:r>
          </w:p>
        </w:tc>
        <w:tc>
          <w:tcPr>
            <w:tcW w:w="2800" w:type="dxa"/>
            <w:vAlign w:val="bottom"/>
            <w:gridSpan w:val="8"/>
          </w:tcPr>
          <w:p>
            <w:pPr>
              <w:spacing w:after="0"/>
              <w:rPr>
                <w:sz w:val="20"/>
                <w:szCs w:val="20"/>
                <w:color w:val="auto"/>
              </w:rPr>
            </w:pPr>
            <w:r>
              <w:rPr>
                <w:rFonts w:ascii="Arial" w:cs="Arial" w:eastAsia="Arial" w:hAnsi="Arial"/>
                <w:sz w:val="18"/>
                <w:szCs w:val="18"/>
                <w:b w:val="1"/>
                <w:bCs w:val="1"/>
                <w:color w:val="auto"/>
                <w:w w:val="93"/>
              </w:rPr>
              <w:t>Nine Months Ended September 30,</w:t>
            </w: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Additions due to acquisitions</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3,410</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2,113</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3,410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2,113</w:t>
            </w:r>
          </w:p>
        </w:tc>
        <w:tc>
          <w:tcPr>
            <w:tcW w:w="80" w:type="dxa"/>
            <w:vAlign w:val="bottom"/>
          </w:tcPr>
          <w:p>
            <w:pPr>
              <w:spacing w:after="0"/>
              <w:rPr>
                <w:sz w:val="18"/>
                <w:szCs w:val="18"/>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(2,075)</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(5,177)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(3,058)</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Reclassification from nonaccretable difference</w:t>
            </w:r>
          </w:p>
        </w:tc>
        <w:tc>
          <w:tcPr>
            <w:tcW w:w="2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1,163</w:t>
            </w:r>
          </w:p>
        </w:tc>
        <w:tc>
          <w:tcPr>
            <w:tcW w:w="2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1,455</w:t>
            </w: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5,879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2,908</w:t>
            </w:r>
          </w:p>
        </w:tc>
        <w:tc>
          <w:tcPr>
            <w:tcW w:w="8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w w:val="93"/>
              </w:rPr>
              <w:t>Changes in expected cash flows that do not affect nonaccretable difference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735</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2,505</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1,909</w:t>
            </w:r>
          </w:p>
        </w:tc>
        <w:tc>
          <w:tcPr>
            <w:tcW w:w="80" w:type="dxa"/>
            <w:vAlign w:val="bottom"/>
            <w:shd w:val="clear" w:color="auto" w:fill="CCEEFF"/>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the accretable yield on PCI loans, the fair value adjustments on purchased loans outside the scope of ASC 310-30 are also accreted to interest revenue over the life of the loans. At September 30, 2017 and December 31, 2016, the remaining accretable fair value marks on loans acquired through a business combination and not accounted for under ASC 310-30 were $9.19 million and $7.14 million, respectively. In addition, indirect auto loans purchased at a premium outside of a business combination have a remaining premium of $9.19 million and $11.4 million, respectively, as of September 30, 2017 and December 31, 2016. During the three months ended September 30, 2017, United did not purchase indirect auto loans. During the nine months ended September 30, 2017, United purchased indirect auto loans of $81.7 million. During the three and nine months ended September 30, 2016, United purchased indirect auto loans of $38.8 million and $149 million, respectively.</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w w:val="89"/>
              </w:rPr>
              <w:t>2016</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Three Months Ended September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w w:val="97"/>
              </w:rPr>
              <w:t>Beginning</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3"/>
              </w:rPr>
              <w:t>Charge-Offs</w:t>
            </w:r>
          </w:p>
        </w:tc>
        <w:tc>
          <w:tcPr>
            <w:tcW w:w="8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Recoveries</w:t>
            </w:r>
          </w:p>
        </w:tc>
        <w:tc>
          <w:tcPr>
            <w:tcW w:w="120" w:type="dxa"/>
            <w:vAlign w:val="bottom"/>
          </w:tcPr>
          <w:p>
            <w:pPr>
              <w:spacing w:after="0"/>
              <w:rPr>
                <w:sz w:val="10"/>
                <w:szCs w:val="10"/>
                <w:color w:val="auto"/>
              </w:rPr>
            </w:pPr>
          </w:p>
        </w:tc>
        <w:tc>
          <w:tcPr>
            <w:tcW w:w="84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(Release)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Ending</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Beginning</w:t>
            </w:r>
          </w:p>
        </w:tc>
        <w:tc>
          <w:tcPr>
            <w:tcW w:w="120" w:type="dxa"/>
            <w:vAlign w:val="bottom"/>
          </w:tcPr>
          <w:p>
            <w:pPr>
              <w:spacing w:after="0"/>
              <w:rPr>
                <w:sz w:val="10"/>
                <w:szCs w:val="10"/>
                <w:color w:val="auto"/>
              </w:rPr>
            </w:pPr>
          </w:p>
        </w:tc>
        <w:tc>
          <w:tcPr>
            <w:tcW w:w="740" w:type="dxa"/>
            <w:vAlign w:val="bottom"/>
            <w:gridSpan w:val="2"/>
          </w:tcPr>
          <w:p>
            <w:pPr>
              <w:jc w:val="right"/>
              <w:ind w:right="159"/>
              <w:spacing w:after="0" w:line="119" w:lineRule="exact"/>
              <w:rPr>
                <w:sz w:val="20"/>
                <w:szCs w:val="20"/>
                <w:color w:val="auto"/>
              </w:rPr>
            </w:pPr>
            <w:r>
              <w:rPr>
                <w:rFonts w:ascii="Arial" w:cs="Arial" w:eastAsia="Arial" w:hAnsi="Arial"/>
                <w:sz w:val="13"/>
                <w:szCs w:val="13"/>
                <w:b w:val="1"/>
                <w:bCs w:val="1"/>
                <w:color w:val="auto"/>
              </w:rPr>
              <w:t>Charge-</w:t>
            </w:r>
          </w:p>
        </w:tc>
        <w:tc>
          <w:tcPr>
            <w:tcW w:w="100" w:type="dxa"/>
            <w:vAlign w:val="bottom"/>
          </w:tcPr>
          <w:p>
            <w:pPr>
              <w:spacing w:after="0"/>
              <w:rPr>
                <w:sz w:val="10"/>
                <w:szCs w:val="10"/>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Recoveries</w:t>
            </w:r>
          </w:p>
        </w:tc>
        <w:tc>
          <w:tcPr>
            <w:tcW w:w="720" w:type="dxa"/>
            <w:vAlign w:val="bottom"/>
            <w:gridSpan w:val="3"/>
          </w:tcPr>
          <w:p>
            <w:pPr>
              <w:jc w:val="right"/>
              <w:ind w:right="99"/>
              <w:spacing w:after="0" w:line="119" w:lineRule="exact"/>
              <w:rPr>
                <w:sz w:val="20"/>
                <w:szCs w:val="20"/>
                <w:color w:val="auto"/>
              </w:rPr>
            </w:pPr>
            <w:r>
              <w:rPr>
                <w:rFonts w:ascii="Arial" w:cs="Arial" w:eastAsia="Arial" w:hAnsi="Arial"/>
                <w:sz w:val="13"/>
                <w:szCs w:val="13"/>
                <w:b w:val="1"/>
                <w:bCs w:val="1"/>
                <w:color w:val="auto"/>
                <w:w w:val="96"/>
              </w:rPr>
              <w:t>(Release)</w:t>
            </w:r>
          </w:p>
        </w:tc>
        <w:tc>
          <w:tcPr>
            <w:tcW w:w="52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Ending</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Balance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Provision</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4"/>
                <w:szCs w:val="14"/>
                <w:color w:val="auto"/>
              </w:rPr>
            </w:pPr>
          </w:p>
        </w:tc>
        <w:tc>
          <w:tcPr>
            <w:tcW w:w="74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Offs</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Provision</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2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estate</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15,422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(624)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14,842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15,675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4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415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(353)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1"/>
              </w:rPr>
              <w:t>$ 15,276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tcPr>
          <w:p>
            <w:pPr>
              <w:spacing w:after="0" w:line="130" w:lineRule="exact"/>
              <w:rPr>
                <w:sz w:val="20"/>
                <w:szCs w:val="20"/>
                <w:color w:val="auto"/>
              </w:rPr>
            </w:pPr>
            <w:r>
              <w:rPr>
                <w:rFonts w:ascii="Arial" w:cs="Arial" w:eastAsia="Arial" w:hAnsi="Arial"/>
                <w:sz w:val="14"/>
                <w:szCs w:val="14"/>
                <w:color w:val="auto"/>
              </w:rPr>
              <w:t>Income producing commercial real</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tcPr>
          <w:p>
            <w:pPr>
              <w:ind w:left="120"/>
              <w:spacing w:after="0"/>
              <w:rPr>
                <w:sz w:val="20"/>
                <w:szCs w:val="20"/>
                <w:color w:val="auto"/>
              </w:rPr>
            </w:pPr>
            <w:r>
              <w:rPr>
                <w:rFonts w:ascii="Arial" w:cs="Arial" w:eastAsia="Arial" w:hAnsi="Arial"/>
                <w:sz w:val="14"/>
                <w:szCs w:val="14"/>
                <w:color w:val="auto"/>
              </w:rPr>
              <w:t>estate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9,354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8"/>
              <w:spacing w:after="0"/>
              <w:rPr>
                <w:sz w:val="20"/>
                <w:szCs w:val="20"/>
                <w:color w:val="auto"/>
              </w:rPr>
            </w:pPr>
            <w:r>
              <w:rPr>
                <w:rFonts w:ascii="Arial" w:cs="Arial" w:eastAsia="Arial" w:hAnsi="Arial"/>
                <w:sz w:val="14"/>
                <w:szCs w:val="14"/>
                <w:color w:val="auto"/>
              </w:rPr>
              <w:t>(1,235)</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1,138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9,333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8,683</w:t>
            </w:r>
          </w:p>
        </w:tc>
        <w:tc>
          <w:tcPr>
            <w:tcW w:w="12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4"/>
                <w:szCs w:val="14"/>
                <w:color w:val="auto"/>
              </w:rPr>
              <w:t>136</w:t>
            </w:r>
          </w:p>
        </w:tc>
        <w:tc>
          <w:tcPr>
            <w:tcW w:w="160" w:type="dxa"/>
            <w:vAlign w:val="bottom"/>
          </w:tcPr>
          <w:p>
            <w:pPr>
              <w:spacing w:after="0"/>
              <w:rPr>
                <w:sz w:val="14"/>
                <w:szCs w:val="14"/>
                <w:color w:val="auto"/>
              </w:rPr>
            </w:pPr>
          </w:p>
        </w:tc>
        <w:tc>
          <w:tcPr>
            <w:tcW w:w="560" w:type="dxa"/>
            <w:vAlign w:val="bottom"/>
            <w:gridSpan w:val="2"/>
          </w:tcPr>
          <w:p>
            <w:pPr>
              <w:jc w:val="right"/>
              <w:ind w:right="59"/>
              <w:spacing w:after="0"/>
              <w:rPr>
                <w:sz w:val="20"/>
                <w:szCs w:val="20"/>
                <w:color w:val="auto"/>
              </w:rPr>
            </w:pPr>
            <w:r>
              <w:rPr>
                <w:rFonts w:ascii="Arial" w:cs="Arial" w:eastAsia="Arial" w:hAnsi="Arial"/>
                <w:sz w:val="14"/>
                <w:szCs w:val="14"/>
                <w:color w:val="auto"/>
              </w:rPr>
              <w:t>1,477</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10,090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(329)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3,202</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398</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690</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3,440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11,038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(206)</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10,206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13,097</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w:t>
            </w:r>
          </w:p>
        </w:tc>
        <w:tc>
          <w:tcPr>
            <w:tcW w:w="160" w:type="dxa"/>
            <w:vAlign w:val="bottom"/>
          </w:tcPr>
          <w:p>
            <w:pPr>
              <w:spacing w:after="0"/>
              <w:rPr>
                <w:sz w:val="12"/>
                <w:szCs w:val="12"/>
                <w:color w:val="auto"/>
              </w:rPr>
            </w:pPr>
          </w:p>
        </w:tc>
        <w:tc>
          <w:tcPr>
            <w:tcW w:w="5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(2,367)</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(396)</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9,630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11,329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109</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4,590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(321)</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5,247</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10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3,084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4,851</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(267)</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(475)</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715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723</w:t>
            </w: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(426)</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190</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Indirect auto</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(333)</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1,692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1,446</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69</w:t>
            </w:r>
          </w:p>
        </w:tc>
        <w:tc>
          <w:tcPr>
            <w:tcW w:w="1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1,604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ind w:left="160"/>
              <w:spacing w:after="0" w:line="142" w:lineRule="exact"/>
              <w:rPr>
                <w:sz w:val="20"/>
                <w:szCs w:val="20"/>
                <w:color w:val="auto"/>
              </w:rPr>
            </w:pPr>
            <w:r>
              <w:rPr>
                <w:rFonts w:ascii="Arial" w:cs="Arial" w:eastAsia="Arial" w:hAnsi="Arial"/>
                <w:sz w:val="14"/>
                <w:szCs w:val="14"/>
                <w:color w:val="auto"/>
              </w:rPr>
              <w:t>Total allowance for loan losses</w:t>
            </w: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59,500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(3,452)</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1,817</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740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58,605</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64,253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(2,964)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1,605</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67</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62,961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w w:val="94"/>
              </w:rPr>
              <w:t>Allowance for unfunded commitments</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2,222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2,482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2,369</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(367)</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20" w:type="dxa"/>
            <w:vAlign w:val="bottom"/>
          </w:tcPr>
          <w:p>
            <w:pPr>
              <w:ind w:left="160"/>
              <w:spacing w:after="0" w:line="155" w:lineRule="exact"/>
              <w:rPr>
                <w:sz w:val="20"/>
                <w:szCs w:val="20"/>
                <w:color w:val="auto"/>
              </w:rPr>
            </w:pPr>
            <w:r>
              <w:rPr>
                <w:rFonts w:ascii="Arial" w:cs="Arial" w:eastAsia="Arial" w:hAnsi="Arial"/>
                <w:sz w:val="14"/>
                <w:szCs w:val="14"/>
                <w:color w:val="auto"/>
              </w:rPr>
              <w:t>Total allowance for credit losses</w:t>
            </w: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61,722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(3,452</w:t>
            </w:r>
          </w:p>
        </w:tc>
        <w:tc>
          <w:tcPr>
            <w:tcW w:w="160" w:type="dxa"/>
            <w:vAlign w:val="bottom"/>
          </w:tcPr>
          <w:p>
            <w:pPr>
              <w:jc w:val="right"/>
              <w:ind w:right="2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1,817</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61,087</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66,622</w:t>
            </w: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(2,964</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1,605</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$ 64,963</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Nine Months Ended September 30,</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Beginning</w:t>
            </w:r>
          </w:p>
        </w:tc>
        <w:tc>
          <w:tcPr>
            <w:tcW w:w="80" w:type="dxa"/>
            <w:vAlign w:val="bottom"/>
          </w:tcPr>
          <w:p>
            <w:pPr>
              <w:spacing w:after="0"/>
              <w:rPr>
                <w:sz w:val="14"/>
                <w:szCs w:val="14"/>
                <w:color w:val="auto"/>
              </w:rPr>
            </w:pPr>
          </w:p>
        </w:tc>
        <w:tc>
          <w:tcPr>
            <w:tcW w:w="102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w w:val="93"/>
              </w:rPr>
              <w:t>Charge-Offs</w:t>
            </w:r>
          </w:p>
        </w:tc>
        <w:tc>
          <w:tcPr>
            <w:tcW w:w="10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Recoveries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(Release)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Ending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Beginning</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Charge-</w:t>
            </w:r>
          </w:p>
        </w:tc>
        <w:tc>
          <w:tcPr>
            <w:tcW w:w="6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Recoveries</w:t>
            </w:r>
          </w:p>
        </w:tc>
        <w:tc>
          <w:tcPr>
            <w:tcW w:w="72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w w:val="89"/>
              </w:rPr>
              <w:t>(Release)</w:t>
            </w: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71"/>
        </w:trPr>
        <w:tc>
          <w:tcPr>
            <w:tcW w:w="2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Provision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Balance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Balance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Offs</w:t>
            </w:r>
          </w:p>
        </w:tc>
        <w:tc>
          <w:tcPr>
            <w:tcW w:w="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Provision</w:t>
            </w:r>
          </w:p>
        </w:tc>
        <w:tc>
          <w:tcPr>
            <w:tcW w:w="5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1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estate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16,446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(283)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(1,822)</w:t>
            </w:r>
          </w:p>
        </w:tc>
        <w:tc>
          <w:tcPr>
            <w:tcW w:w="1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14,842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18,016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(1,929)</w:t>
            </w:r>
          </w:p>
        </w:tc>
        <w:tc>
          <w:tcPr>
            <w:tcW w:w="3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605</w:t>
            </w: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(1,416)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1"/>
              </w:rPr>
              <w:t>$ 15,276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tcPr>
          <w:p>
            <w:pPr>
              <w:spacing w:after="0" w:line="130" w:lineRule="exact"/>
              <w:rPr>
                <w:sz w:val="20"/>
                <w:szCs w:val="20"/>
                <w:color w:val="auto"/>
              </w:rPr>
            </w:pPr>
            <w:r>
              <w:rPr>
                <w:rFonts w:ascii="Arial" w:cs="Arial" w:eastAsia="Arial" w:hAnsi="Arial"/>
                <w:sz w:val="14"/>
                <w:szCs w:val="14"/>
                <w:color w:val="auto"/>
              </w:rPr>
              <w:t>Income producing commercial real</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gridSpan w:val="2"/>
          </w:tcPr>
          <w:p>
            <w:pPr>
              <w:ind w:left="120"/>
              <w:spacing w:after="0"/>
              <w:rPr>
                <w:sz w:val="20"/>
                <w:szCs w:val="20"/>
                <w:color w:val="auto"/>
              </w:rPr>
            </w:pPr>
            <w:r>
              <w:rPr>
                <w:rFonts w:ascii="Arial" w:cs="Arial" w:eastAsia="Arial" w:hAnsi="Arial"/>
                <w:sz w:val="14"/>
                <w:szCs w:val="14"/>
                <w:color w:val="auto"/>
              </w:rPr>
              <w:t>estate</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8,843</w:t>
            </w:r>
          </w:p>
        </w:tc>
        <w:tc>
          <w:tcPr>
            <w:tcW w:w="80" w:type="dxa"/>
            <w:vAlign w:val="bottom"/>
          </w:tcPr>
          <w:p>
            <w:pPr>
              <w:spacing w:after="0"/>
              <w:rPr>
                <w:sz w:val="14"/>
                <w:szCs w:val="14"/>
                <w:color w:val="auto"/>
              </w:rPr>
            </w:pPr>
          </w:p>
        </w:tc>
        <w:tc>
          <w:tcPr>
            <w:tcW w:w="1020" w:type="dxa"/>
            <w:vAlign w:val="bottom"/>
            <w:gridSpan w:val="2"/>
          </w:tcPr>
          <w:p>
            <w:pPr>
              <w:jc w:val="right"/>
              <w:ind w:right="59"/>
              <w:spacing w:after="0"/>
              <w:rPr>
                <w:sz w:val="20"/>
                <w:szCs w:val="20"/>
                <w:color w:val="auto"/>
              </w:rPr>
            </w:pPr>
            <w:r>
              <w:rPr>
                <w:rFonts w:ascii="Arial" w:cs="Arial" w:eastAsia="Arial" w:hAnsi="Arial"/>
                <w:sz w:val="14"/>
                <w:szCs w:val="14"/>
                <w:color w:val="auto"/>
              </w:rPr>
              <w:t>(2,335)</w:t>
            </w:r>
          </w:p>
        </w:tc>
        <w:tc>
          <w:tcPr>
            <w:tcW w:w="100" w:type="dxa"/>
            <w:vAlign w:val="bottom"/>
          </w:tcPr>
          <w:p>
            <w:pPr>
              <w:spacing w:after="0"/>
              <w:rPr>
                <w:sz w:val="14"/>
                <w:szCs w:val="1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4"/>
                <w:szCs w:val="14"/>
                <w:color w:val="auto"/>
              </w:rPr>
              <w:t>123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2,702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9,333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11,548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(788)</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463</w:t>
            </w:r>
          </w:p>
        </w:tc>
        <w:tc>
          <w:tcPr>
            <w:tcW w:w="160" w:type="dxa"/>
            <w:vAlign w:val="bottom"/>
          </w:tcPr>
          <w:p>
            <w:pPr>
              <w:spacing w:after="0"/>
              <w:rPr>
                <w:sz w:val="14"/>
                <w:szCs w:val="14"/>
                <w:color w:val="auto"/>
              </w:rPr>
            </w:pPr>
          </w:p>
        </w:tc>
        <w:tc>
          <w:tcPr>
            <w:tcW w:w="560" w:type="dxa"/>
            <w:vAlign w:val="bottom"/>
            <w:gridSpan w:val="2"/>
          </w:tcPr>
          <w:p>
            <w:pPr>
              <w:jc w:val="right"/>
              <w:ind w:right="19"/>
              <w:spacing w:after="0"/>
              <w:rPr>
                <w:sz w:val="20"/>
                <w:szCs w:val="20"/>
                <w:color w:val="auto"/>
              </w:rPr>
            </w:pPr>
            <w:r>
              <w:rPr>
                <w:rFonts w:ascii="Arial" w:cs="Arial" w:eastAsia="Arial" w:hAnsi="Arial"/>
                <w:sz w:val="14"/>
                <w:szCs w:val="14"/>
                <w:color w:val="auto"/>
              </w:rPr>
              <w:t>(1,133)</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rPr>
              <w:t>10,090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3,810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(1,143)</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4,433</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(1,645)</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1,302</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(650)</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3,440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13,405</w:t>
            </w:r>
          </w:p>
        </w:tc>
        <w:tc>
          <w:tcPr>
            <w:tcW w:w="80" w:type="dxa"/>
            <w:vAlign w:val="bottom"/>
          </w:tcPr>
          <w:p>
            <w:pPr>
              <w:spacing w:after="0"/>
              <w:rPr>
                <w:sz w:val="12"/>
                <w:szCs w:val="12"/>
                <w:color w:val="auto"/>
              </w:rPr>
            </w:pP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(769)</w:t>
            </w:r>
          </w:p>
        </w:tc>
        <w:tc>
          <w:tcPr>
            <w:tcW w:w="1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(3,342)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9,553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617</w:t>
            </w:r>
          </w:p>
        </w:tc>
        <w:tc>
          <w:tcPr>
            <w:tcW w:w="160" w:type="dxa"/>
            <w:vAlign w:val="bottom"/>
          </w:tcPr>
          <w:p>
            <w:pPr>
              <w:spacing w:after="0"/>
              <w:rPr>
                <w:sz w:val="12"/>
                <w:szCs w:val="12"/>
                <w:color w:val="auto"/>
              </w:rPr>
            </w:pPr>
          </w:p>
        </w:tc>
        <w:tc>
          <w:tcPr>
            <w:tcW w:w="5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1,146</w:t>
            </w: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8,545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(1,069)</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12,719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(776)</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(752)</w:t>
            </w: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11,439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4,599</w:t>
            </w:r>
          </w:p>
        </w:tc>
        <w:tc>
          <w:tcPr>
            <w:tcW w:w="80" w:type="dxa"/>
            <w:vAlign w:val="bottom"/>
          </w:tcPr>
          <w:p>
            <w:pPr>
              <w:spacing w:after="0"/>
              <w:rPr>
                <w:sz w:val="12"/>
                <w:szCs w:val="12"/>
                <w:color w:val="auto"/>
              </w:rPr>
            </w:pP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(1,216)</w:t>
            </w:r>
          </w:p>
        </w:tc>
        <w:tc>
          <w:tcPr>
            <w:tcW w:w="1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5,956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(1,513)</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361</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373</w:t>
            </w:r>
          </w:p>
        </w:tc>
        <w:tc>
          <w:tcPr>
            <w:tcW w:w="10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3,264</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(334)</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4,002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(531)</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4,341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708</w:t>
            </w:r>
          </w:p>
        </w:tc>
        <w:tc>
          <w:tcPr>
            <w:tcW w:w="80" w:type="dxa"/>
            <w:vAlign w:val="bottom"/>
          </w:tcPr>
          <w:p>
            <w:pPr>
              <w:spacing w:after="0"/>
              <w:rPr>
                <w:sz w:val="12"/>
                <w:szCs w:val="12"/>
                <w:color w:val="auto"/>
              </w:rPr>
            </w:pPr>
          </w:p>
        </w:tc>
        <w:tc>
          <w:tcPr>
            <w:tcW w:w="10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(1,374)</w:t>
            </w:r>
          </w:p>
        </w:tc>
        <w:tc>
          <w:tcPr>
            <w:tcW w:w="10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(1,123)</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625</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340</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670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Indirect auto</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1,802</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(1,066)</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742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1,393</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141</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1,023</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1,604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Total allowance for loan losses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61,422</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(9,382)</w:t>
            </w: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4,445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2,120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58,605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68,448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(9,650)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4,423</w:t>
            </w: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(260)</w:t>
            </w:r>
          </w:p>
        </w:tc>
        <w:tc>
          <w:tcPr>
            <w:tcW w:w="10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62,961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Allowance for unfunded</w:t>
            </w: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1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commitments</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480</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2,482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2,542</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(540)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8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allowance for credit losses</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63,424</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(9,382</w:t>
            </w:r>
          </w:p>
        </w:tc>
        <w:tc>
          <w:tcPr>
            <w:tcW w:w="140" w:type="dxa"/>
            <w:vAlign w:val="bottom"/>
          </w:tcPr>
          <w:p>
            <w:pPr>
              <w:jc w:val="right"/>
              <w:ind w:right="59"/>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4,445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61,087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70,990</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(9,650</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4,423</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$ 64,963</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The following table represents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ind w:left="120"/>
              <w:spacing w:after="0"/>
              <w:rPr>
                <w:sz w:val="20"/>
                <w:szCs w:val="20"/>
                <w:color w:val="auto"/>
              </w:rPr>
            </w:pPr>
            <w:r>
              <w:rPr>
                <w:rFonts w:ascii="Arial" w:cs="Arial" w:eastAsia="Arial" w:hAnsi="Arial"/>
                <w:sz w:val="14"/>
                <w:szCs w:val="14"/>
                <w:b w:val="1"/>
                <w:bCs w:val="1"/>
                <w:color w:val="auto"/>
              </w:rPr>
              <w:t>Allowance for Loan Losses</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ind w:left="140"/>
              <w:spacing w:after="0" w:line="155" w:lineRule="exact"/>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ind w:left="160"/>
              <w:spacing w:after="0" w:line="155" w:lineRule="exact"/>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Individually</w:t>
            </w:r>
          </w:p>
        </w:tc>
        <w:tc>
          <w:tcPr>
            <w:tcW w:w="10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Collectively</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Individually</w:t>
            </w: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Collectively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evaluated for</w:t>
            </w:r>
          </w:p>
        </w:tc>
        <w:tc>
          <w:tcPr>
            <w:tcW w:w="18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for</w:t>
            </w:r>
          </w:p>
        </w:tc>
        <w:tc>
          <w:tcPr>
            <w:tcW w:w="10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evaluated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1,131</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13,711</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14,842</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1,746</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14,700</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16,446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869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8,439</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7,919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1,040</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3,470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3,752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3,810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10,040</w:t>
            </w: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10,206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13,218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13,405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1,111</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8,504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7,997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8,545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4,721</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4,721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4,599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2,874</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2,956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3,198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705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Indirect auto</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1,662</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1,692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ind w:left="160"/>
              <w:spacing w:after="0" w:line="142" w:lineRule="exact"/>
              <w:rPr>
                <w:sz w:val="20"/>
                <w:szCs w:val="20"/>
                <w:color w:val="auto"/>
              </w:rPr>
            </w:pPr>
            <w:r>
              <w:rPr>
                <w:rFonts w:ascii="Arial" w:cs="Arial" w:eastAsia="Arial" w:hAnsi="Arial"/>
                <w:sz w:val="14"/>
                <w:szCs w:val="14"/>
                <w:color w:val="auto"/>
              </w:rPr>
              <w:t>Total allowance for loan losses</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4,436</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54,126</w:t>
            </w: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58,605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3,452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57,879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61,422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Allowance for unfunded commitments</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2,482</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2,482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160"/>
              <w:spacing w:after="0" w:line="155" w:lineRule="exact"/>
              <w:rPr>
                <w:sz w:val="20"/>
                <w:szCs w:val="20"/>
                <w:color w:val="auto"/>
              </w:rPr>
            </w:pPr>
            <w:r>
              <w:rPr>
                <w:rFonts w:ascii="Arial" w:cs="Arial" w:eastAsia="Arial" w:hAnsi="Arial"/>
                <w:sz w:val="14"/>
                <w:szCs w:val="14"/>
                <w:color w:val="auto"/>
              </w:rPr>
              <w:t>Total allowance for credit losses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4,436</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56,608</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61,087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63,424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right"/>
              <w:ind w:right="480"/>
              <w:spacing w:after="0"/>
              <w:rPr>
                <w:sz w:val="20"/>
                <w:szCs w:val="20"/>
                <w:color w:val="auto"/>
              </w:rPr>
            </w:pPr>
            <w:r>
              <w:rPr>
                <w:rFonts w:ascii="Arial" w:cs="Arial" w:eastAsia="Arial" w:hAnsi="Arial"/>
                <w:sz w:val="14"/>
                <w:szCs w:val="14"/>
                <w:b w:val="1"/>
                <w:bCs w:val="1"/>
                <w:color w:val="auto"/>
              </w:rPr>
              <w:t>Loans Outstanding</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5"/>
          </w:tcPr>
          <w:p>
            <w:pPr>
              <w:ind w:left="140"/>
              <w:spacing w:after="0" w:line="155" w:lineRule="exact"/>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6"/>
          </w:tcPr>
          <w:p>
            <w:pPr>
              <w:ind w:left="160"/>
              <w:spacing w:after="0" w:line="155" w:lineRule="exact"/>
              <w:rPr>
                <w:sz w:val="20"/>
                <w:szCs w:val="20"/>
                <w:color w:val="auto"/>
              </w:rPr>
            </w:pPr>
            <w:r>
              <w:rPr>
                <w:rFonts w:ascii="Arial" w:cs="Arial" w:eastAsia="Arial" w:hAnsi="Arial"/>
                <w:sz w:val="14"/>
                <w:szCs w:val="14"/>
                <w:b w:val="1"/>
                <w:bCs w:val="1"/>
                <w:color w:val="auto"/>
              </w:rPr>
              <w:t>December 31, 2016</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0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Individually</w:t>
            </w:r>
          </w:p>
        </w:tc>
        <w:tc>
          <w:tcPr>
            <w:tcW w:w="108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7"/>
              </w:rPr>
              <w:t>Collectively</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Individually</w:t>
            </w:r>
          </w:p>
        </w:tc>
        <w:tc>
          <w:tcPr>
            <w:tcW w:w="100" w:type="dxa"/>
            <w:vAlign w:val="bottom"/>
          </w:tcPr>
          <w:p>
            <w:pPr>
              <w:spacing w:after="0"/>
              <w:rPr>
                <w:sz w:val="10"/>
                <w:szCs w:val="10"/>
                <w:color w:val="auto"/>
              </w:rPr>
            </w:pPr>
          </w:p>
        </w:tc>
        <w:tc>
          <w:tcPr>
            <w:tcW w:w="9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Collectively</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evaluated</w:t>
            </w:r>
          </w:p>
        </w:tc>
        <w:tc>
          <w:tcPr>
            <w:tcW w:w="10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evaluated for</w:t>
            </w:r>
          </w:p>
        </w:tc>
        <w:tc>
          <w:tcPr>
            <w:tcW w:w="18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for</w:t>
            </w:r>
          </w:p>
        </w:tc>
        <w:tc>
          <w:tcPr>
            <w:tcW w:w="1020" w:type="dxa"/>
            <w:vAlign w:val="bottom"/>
            <w:gridSpan w:val="4"/>
          </w:tcPr>
          <w:p>
            <w:pPr>
              <w:ind w:left="100"/>
              <w:spacing w:after="0" w:line="149" w:lineRule="exact"/>
              <w:rPr>
                <w:sz w:val="20"/>
                <w:szCs w:val="20"/>
                <w:color w:val="auto"/>
              </w:rPr>
            </w:pPr>
            <w:r>
              <w:rPr>
                <w:rFonts w:ascii="Arial" w:cs="Arial" w:eastAsia="Arial" w:hAnsi="Arial"/>
                <w:sz w:val="14"/>
                <w:szCs w:val="14"/>
                <w:b w:val="1"/>
                <w:bCs w:val="1"/>
                <w:color w:val="auto"/>
              </w:rPr>
              <w:t>evaluated for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PCI</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impairment</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impairment</w:t>
            </w: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29,429</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1,744,318</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18,015</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1,791,762</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31,421</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1,600,355</w:t>
            </w:r>
          </w:p>
        </w:tc>
        <w:tc>
          <w:tcPr>
            <w:tcW w:w="2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18,584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1,650,360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26,061</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1,361,914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25,129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1,413,104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30,459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1,225,763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25,319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1,281,541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5,653</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1,076,890</w:t>
            </w: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1,048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1,083,591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1,915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1,066,764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1,036</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1,069,715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Commercial construction</w:t>
            </w:r>
          </w:p>
        </w:tc>
        <w:tc>
          <w:tcPr>
            <w:tcW w:w="8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4,728</w:t>
            </w: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569,841</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8,775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583,344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620,543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8,328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633,921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14,352</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906,287</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12,566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933,205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13,706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836,624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6,395</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856,725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687,228</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1,443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688,875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653,337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655,410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1,544</w:t>
            </w:r>
          </w:p>
        </w:tc>
        <w:tc>
          <w:tcPr>
            <w:tcW w:w="1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188,054</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190,047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1,594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187,516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190,043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Consumer installment</w:t>
            </w: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117,146</w:t>
            </w:r>
          </w:p>
        </w:tc>
        <w:tc>
          <w:tcPr>
            <w:tcW w:w="1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1,303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118,742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123,118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Indirect auto</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1,312</w:t>
            </w:r>
          </w:p>
        </w:tc>
        <w:tc>
          <w:tcPr>
            <w:tcW w:w="1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398,955</w:t>
            </w:r>
          </w:p>
        </w:tc>
        <w:tc>
          <w:tcPr>
            <w:tcW w:w="1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400,267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458,189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459,354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160"/>
              <w:spacing w:after="0" w:line="155" w:lineRule="exact"/>
              <w:rPr>
                <w:sz w:val="20"/>
                <w:szCs w:val="20"/>
                <w:color w:val="auto"/>
              </w:rPr>
            </w:pPr>
            <w:r>
              <w:rPr>
                <w:rFonts w:ascii="Arial" w:cs="Arial" w:eastAsia="Arial" w:hAnsi="Arial"/>
                <w:sz w:val="14"/>
                <w:szCs w:val="14"/>
                <w:color w:val="auto"/>
              </w:rPr>
              <w:t>Total loans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83,576</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7,050,633</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68,728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7,202,937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85,663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6,772,209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62,764</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6,920,636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individually evaluates for impairment all non-PCI relationships that are on nonaccrual with a balance of $500,000 or greater, all troubled debt restructurings (“TDRs”), and all accruing substandard loans greater than $2 million.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recorded investment in the loan. For impaired loans not on nonaccrual status, interest is accrued according to the terms of the loan agreement.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of loans based on the weighted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lease vacancy rates and trends in property values and absorption rates.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ectPr>
          <w:pgSz w:w="11900" w:h="16838" w:orient="portrait"/>
          <w:cols w:equalWidth="0" w:num="1">
            <w:col w:w="11420"/>
          </w:cols>
          <w:pgMar w:left="240" w:top="229" w:right="23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a loan officer determines that a loan is uncollectible, he or she is responsible for recommending that the loan be placed on nonaccrual status, evaluating the loan for impairment, and, if necessary, fully or partially charging off the loan. Full or partial charge-offs may also be recommended by the Collections Department, the Special Assets Department, the Loss Mitigation Department and the Foreclosure/OREO Department. Nonaccrual real estate loans are generally charged down to fair value less costs to sell at the time they are placed on nonaccrual status.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Chief Credit Officer, Senior Risk Officers, Senior Credit Officers, and Regional Credit Managers.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September 30,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Unpaid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9"/>
              </w:rPr>
              <w:t>Allowance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Unpaid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w w:val="99"/>
              </w:rPr>
              <w:t>Allowance</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Recorded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for Loan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Recorded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for Loan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Balance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Investment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Allocated</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Allocated</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With no related allowance recorded:</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Owner occupied commercial real estate</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8,958</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9,171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8,477</w:t>
            </w:r>
          </w:p>
        </w:tc>
        <w:tc>
          <w:tcPr>
            <w:tcW w:w="10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Income producing commercial real estate</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14,739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14,739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16,864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16,864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2,387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Commercial construction</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981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776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10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27,065</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25,741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27,301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26,516</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2,980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2,885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Indirect auto</w:t>
            </w: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1,165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color w:val="auto"/>
              </w:rPr>
              <w:t>Total with no related allowance recorded</w:t>
            </w:r>
          </w:p>
        </w:tc>
        <w:tc>
          <w:tcPr>
            <w:tcW w:w="10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30,841</w:t>
            </w: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29,158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29,096</w:t>
            </w:r>
          </w:p>
        </w:tc>
        <w:tc>
          <w:tcPr>
            <w:tcW w:w="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28,309</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With an allowance recorded:</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Owner occupied commercial real estate</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21,645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21,303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1,131</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23,574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22,944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Income producing commercial real estate</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11,421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869</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13,681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13,595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885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3,655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1,581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ind w:left="160"/>
              <w:spacing w:after="0"/>
              <w:rPr>
                <w:sz w:val="20"/>
                <w:szCs w:val="20"/>
                <w:color w:val="auto"/>
              </w:rPr>
            </w:pPr>
            <w:r>
              <w:rPr>
                <w:rFonts w:ascii="Arial" w:cs="Arial" w:eastAsia="Arial" w:hAnsi="Arial"/>
                <w:sz w:val="14"/>
                <w:szCs w:val="14"/>
                <w:color w:val="auto"/>
              </w:rPr>
              <w:t>Commercial construction</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4,490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3,952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4,739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4,209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168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41,211</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40,130</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3,205</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43,673</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42,329</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12,009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1,111</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13,565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13,078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1,458</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ind w:left="160"/>
              <w:spacing w:after="0"/>
              <w:rPr>
                <w:sz w:val="20"/>
                <w:szCs w:val="20"/>
                <w:color w:val="auto"/>
              </w:rPr>
            </w:pPr>
            <w:r>
              <w:rPr>
                <w:rFonts w:ascii="Arial" w:cs="Arial" w:eastAsia="Arial" w:hAnsi="Arial"/>
                <w:sz w:val="14"/>
                <w:szCs w:val="14"/>
                <w:color w:val="auto"/>
              </w:rPr>
              <w:t>Indirect auto</w:t>
            </w: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1,178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1,178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with an allowance recorded</w:t>
            </w:r>
          </w:p>
        </w:tc>
        <w:tc>
          <w:tcPr>
            <w:tcW w:w="10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56,123</w:t>
            </w: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54,418</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4,436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59,541</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57,354</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3,452</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tcPr>
          <w:p>
            <w:pPr>
              <w:ind w:left="480"/>
              <w:spacing w:after="0" w:line="155" w:lineRule="exact"/>
              <w:rPr>
                <w:sz w:val="20"/>
                <w:szCs w:val="20"/>
                <w:color w:val="auto"/>
              </w:rPr>
            </w:pPr>
            <w:r>
              <w:rPr>
                <w:rFonts w:ascii="Arial" w:cs="Arial" w:eastAsia="Arial" w:hAnsi="Arial"/>
                <w:sz w:val="14"/>
                <w:szCs w:val="14"/>
                <w:color w:val="auto"/>
              </w:rPr>
              <w:t>Total</w:t>
            </w:r>
          </w:p>
        </w:tc>
        <w:tc>
          <w:tcPr>
            <w:tcW w:w="100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86,964</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83,576</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4,436</w:t>
            </w:r>
          </w:p>
        </w:tc>
        <w:tc>
          <w:tcPr>
            <w:tcW w:w="22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88,637</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85,663</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3,452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2017 and December 31, 2016, $2.98 million and $2.90 million, respectively, of specific reserves were allocated to customers whose loan terms have been modified in TDRs. United committed to lend additional amounts totaling up to $45,000 and $95,000, respectively, at September 30, 2017 and December 31, 2016 to customers with outstanding loans that are classified as TDRs.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where the A note would fall within the borrower’s ability to pay and the remainder would be included in the B note; a mandated bankruptcy restructuring; or interest-only payment terms greater than 90 days where the borrower is unable to amortize the loan. Modified PCI loans are not accounted for as TDRs because they are not separated from the pools, and as such are not classified as impaired loans.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and nine months ended September 30, 2017 and 2016 are presented in the table below. In addition, the following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New TDRs</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center"/>
              <w:ind w:left="468"/>
              <w:spacing w:after="0"/>
              <w:rPr>
                <w:sz w:val="20"/>
                <w:szCs w:val="20"/>
                <w:color w:val="auto"/>
              </w:rPr>
            </w:pPr>
            <w:r>
              <w:rPr>
                <w:rFonts w:ascii="Arial" w:cs="Arial" w:eastAsia="Arial" w:hAnsi="Arial"/>
                <w:sz w:val="14"/>
                <w:szCs w:val="14"/>
                <w:b w:val="1"/>
                <w:bCs w:val="1"/>
                <w:color w:val="auto"/>
                <w:w w:val="91"/>
              </w:rPr>
              <w:t>Post-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TDRs Modified Within the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6"/>
          </w:tcPr>
          <w:p>
            <w:pPr>
              <w:jc w:val="center"/>
              <w:ind w:right="100"/>
              <w:spacing w:after="0" w:line="145" w:lineRule="exact"/>
              <w:rPr>
                <w:sz w:val="20"/>
                <w:szCs w:val="20"/>
                <w:color w:val="auto"/>
              </w:rPr>
            </w:pPr>
            <w:r>
              <w:rPr>
                <w:rFonts w:ascii="Arial" w:cs="Arial" w:eastAsia="Arial" w:hAnsi="Arial"/>
                <w:sz w:val="14"/>
                <w:szCs w:val="14"/>
                <w:b w:val="1"/>
                <w:bCs w:val="1"/>
                <w:color w:val="auto"/>
                <w:w w:val="93"/>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Modification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0" w:type="dxa"/>
            <w:vAlign w:val="bottom"/>
            <w:gridSpan w:val="1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Modification Outstanding Recorded Investment by Type</w:t>
            </w:r>
          </w:p>
        </w:tc>
        <w:tc>
          <w:tcPr>
            <w:tcW w:w="19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That Have Subsequently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6"/>
              </w:rPr>
              <w:t>of Modification</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Defaulted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Recorded</w:t>
            </w:r>
          </w:p>
        </w:tc>
        <w:tc>
          <w:tcPr>
            <w:tcW w:w="11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Rate Reduction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Structure</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Contracts</w:t>
            </w:r>
          </w:p>
        </w:tc>
        <w:tc>
          <w:tcPr>
            <w:tcW w:w="12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16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Contracts</w:t>
            </w:r>
          </w:p>
        </w:tc>
        <w:tc>
          <w:tcPr>
            <w:tcW w:w="10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Three Months Ended September 30, 2017</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743</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301</w:t>
            </w:r>
          </w:p>
        </w:tc>
        <w:tc>
          <w:tcPr>
            <w:tcW w:w="1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construction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323</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457</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773</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773</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construction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Indirect auto</w:t>
            </w:r>
          </w:p>
        </w:tc>
        <w:tc>
          <w:tcPr>
            <w:tcW w:w="8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188</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gridSpan w:val="3"/>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1,798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1,137</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1,459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Nine Months Ended September 30, 2017</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2,603</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2,161</w:t>
            </w:r>
          </w:p>
        </w:tc>
        <w:tc>
          <w:tcPr>
            <w:tcW w:w="1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2,269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construction</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2,935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2,236</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2,596</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1,609</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1,609</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construction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71</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Indirect auto</w:t>
            </w:r>
          </w:p>
        </w:tc>
        <w:tc>
          <w:tcPr>
            <w:tcW w:w="8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521</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gridSpan w:val="3"/>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5,448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3,892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4,989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Three Months Ended September 30, 2016</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1,007</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1,007</w:t>
            </w:r>
          </w:p>
        </w:tc>
        <w:tc>
          <w:tcPr>
            <w:tcW w:w="1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1,007</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construction</w:t>
            </w: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224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1,554</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1,554</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1,554</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550</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construction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Indirect auto</w:t>
            </w: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226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gridSpan w:val="3"/>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2,447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2,166</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2,392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32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Nine Months Ended September 30, 2016</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46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2,699</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2,699</w:t>
            </w:r>
          </w:p>
        </w:tc>
        <w:tc>
          <w:tcPr>
            <w:tcW w:w="180" w:type="dxa"/>
            <w:vAlign w:val="bottom"/>
            <w:gridSpan w:val="2"/>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2,699</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1,012</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Commercial construction</w:t>
            </w:r>
          </w:p>
        </w:tc>
        <w:tc>
          <w:tcPr>
            <w:tcW w:w="8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393</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459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top w:val="single" w:sz="8" w:color="CCEEFF"/>
            </w:tcBorders>
            <w:gridSpan w:val="3"/>
            <w:shd w:val="clear" w:color="auto" w:fill="CCEEFF"/>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4,427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4,361</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4,427</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1,957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982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2,939</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tcPr>
          <w:p>
            <w:pPr>
              <w:spacing w:after="0" w:line="149" w:lineRule="exact"/>
              <w:rPr>
                <w:sz w:val="20"/>
                <w:szCs w:val="20"/>
                <w:color w:val="auto"/>
              </w:rPr>
            </w:pPr>
            <w:r>
              <w:rPr>
                <w:rFonts w:ascii="Arial" w:cs="Arial" w:eastAsia="Arial" w:hAnsi="Arial"/>
                <w:sz w:val="14"/>
                <w:szCs w:val="14"/>
                <w:color w:val="auto"/>
              </w:rPr>
              <w:t>Residential construction</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252</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gridSpan w:val="3"/>
          </w:tcPr>
          <w:p>
            <w:pPr>
              <w:spacing w:after="0"/>
              <w:rPr>
                <w:sz w:val="20"/>
                <w:szCs w:val="20"/>
                <w:color w:val="auto"/>
              </w:rPr>
            </w:pPr>
            <w:r>
              <w:rPr>
                <w:rFonts w:ascii="Arial" w:cs="Arial" w:eastAsia="Arial" w:hAnsi="Arial"/>
                <w:sz w:val="14"/>
                <w:szCs w:val="14"/>
                <w:color w:val="auto"/>
              </w:rPr>
              <w:t>Indirect auto</w:t>
            </w:r>
          </w:p>
        </w:tc>
        <w:tc>
          <w:tcPr>
            <w:tcW w:w="8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699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699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Borders>
              <w:top w:val="single" w:sz="8" w:color="CCEEFF"/>
              <w:bottom w:val="single" w:sz="8" w:color="CCEEFF"/>
            </w:tcBorders>
            <w:gridSpan w:val="3"/>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8,538</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2,040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5,502</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8,389</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371</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-5299075</wp:posOffset>
            </wp:positionV>
            <wp:extent cx="285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TDRs that subsequently default and are placed on nonaccrual are charged down to the fair value, less costs of disposal, of the collateral consistent with United’s policy for nonaccrual loans.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2"/>
              </w:rPr>
              <w:t>Interest</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Cash Basis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Revenue</w:t>
            </w:r>
          </w:p>
        </w:tc>
        <w:tc>
          <w:tcPr>
            <w:tcW w:w="14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Cash Basis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Recognized</w:t>
            </w:r>
          </w:p>
        </w:tc>
        <w:tc>
          <w:tcPr>
            <w:tcW w:w="14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During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During</w:t>
            </w:r>
          </w:p>
        </w:tc>
        <w:tc>
          <w:tcPr>
            <w:tcW w:w="140" w:type="dxa"/>
            <w:vAlign w:val="bottom"/>
          </w:tcPr>
          <w:p>
            <w:pPr>
              <w:spacing w:after="0"/>
              <w:rPr>
                <w:sz w:val="18"/>
                <w:szCs w:val="18"/>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Impairment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Received</w:t>
            </w:r>
          </w:p>
        </w:tc>
        <w:tc>
          <w:tcPr>
            <w:tcW w:w="2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Impairment</w:t>
            </w:r>
          </w:p>
        </w:tc>
        <w:tc>
          <w:tcPr>
            <w:tcW w:w="140" w:type="dxa"/>
            <w:vAlign w:val="bottom"/>
          </w:tcPr>
          <w:p>
            <w:pPr>
              <w:spacing w:after="0"/>
              <w:rPr>
                <w:sz w:val="20"/>
                <w:szCs w:val="20"/>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5"/>
              </w:rPr>
              <w:t>Received</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900" w:type="dxa"/>
            <w:vAlign w:val="bottom"/>
            <w:tcBorders>
              <w:top w:val="single" w:sz="8" w:color="CCEEFF"/>
            </w:tcBorders>
            <w:gridSpan w:val="3"/>
            <w:shd w:val="clear" w:color="auto" w:fill="CCEEFF"/>
          </w:tcPr>
          <w:p>
            <w:pPr>
              <w:ind w:left="20"/>
              <w:spacing w:after="0" w:line="170" w:lineRule="exact"/>
              <w:rPr>
                <w:sz w:val="20"/>
                <w:szCs w:val="20"/>
                <w:color w:val="auto"/>
              </w:rPr>
            </w:pPr>
            <w:r>
              <w:rPr>
                <w:rFonts w:ascii="Arial" w:cs="Arial" w:eastAsia="Arial" w:hAnsi="Arial"/>
                <w:sz w:val="18"/>
                <w:szCs w:val="18"/>
                <w:b w:val="1"/>
                <w:bCs w:val="1"/>
                <w:color w:val="auto"/>
                <w:w w:val="93"/>
              </w:rPr>
              <w:t>Three Months Ended September 30,</w:t>
            </w:r>
          </w:p>
        </w:tc>
        <w:tc>
          <w:tcPr>
            <w:tcW w:w="1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Owner occupied commercial real</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29,764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307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35,714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434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producing commercial real</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estate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3"/>
          </w:tcPr>
          <w:p>
            <w:pPr>
              <w:ind w:left="320"/>
              <w:spacing w:after="0"/>
              <w:rPr>
                <w:sz w:val="20"/>
                <w:szCs w:val="20"/>
                <w:color w:val="auto"/>
              </w:rPr>
            </w:pPr>
            <w:r>
              <w:rPr>
                <w:rFonts w:ascii="Arial" w:cs="Arial" w:eastAsia="Arial" w:hAnsi="Arial"/>
                <w:sz w:val="18"/>
                <w:szCs w:val="18"/>
                <w:color w:val="auto"/>
              </w:rPr>
              <w:t>Total commercial</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66,322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900" w:type="dxa"/>
            <w:vAlign w:val="bottom"/>
            <w:tcBorders>
              <w:bottom w:val="single" w:sz="8" w:color="CCEEFF"/>
            </w:tcBorders>
            <w:gridSpan w:val="3"/>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84,177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2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92,959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w w:val="97"/>
              </w:rPr>
              <w:t>Nine Months Ended September 30,</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6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900" w:type="dxa"/>
            <w:vAlign w:val="bottom"/>
            <w:gridSpan w:val="3"/>
          </w:tcPr>
          <w:p>
            <w:pPr>
              <w:spacing w:after="0" w:line="201" w:lineRule="exact"/>
              <w:rPr>
                <w:sz w:val="20"/>
                <w:szCs w:val="20"/>
                <w:color w:val="auto"/>
              </w:rPr>
            </w:pPr>
            <w:r>
              <w:rPr>
                <w:rFonts w:ascii="Arial" w:cs="Arial" w:eastAsia="Arial" w:hAnsi="Arial"/>
                <w:sz w:val="18"/>
                <w:szCs w:val="18"/>
                <w:color w:val="auto"/>
              </w:rPr>
              <w:t>Owner occupied commercial real</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estate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30,149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1,043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33,997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1,280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Income producing commercial real</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estate</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1,023</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gridSpan w:val="3"/>
          </w:tcPr>
          <w:p>
            <w:pPr>
              <w:ind w:left="320"/>
              <w:spacing w:after="0"/>
              <w:rPr>
                <w:sz w:val="20"/>
                <w:szCs w:val="20"/>
                <w:color w:val="auto"/>
              </w:rPr>
            </w:pPr>
            <w:r>
              <w:rPr>
                <w:rFonts w:ascii="Arial" w:cs="Arial" w:eastAsia="Arial" w:hAnsi="Arial"/>
                <w:sz w:val="18"/>
                <w:szCs w:val="18"/>
                <w:color w:val="auto"/>
              </w:rPr>
              <w:t>Total commercial</w:t>
            </w: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66,557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Home equity lines of credit</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1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gridSpan w:val="3"/>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91,959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Nonaccrual loans include both homogeneous loans that are collectively evaluated for impairment and individually evaluated impaired loans, based on the size of the loan. 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September 30, 2017 or December 31, 2016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$291,000 and $262,000 for the three months ended September 30, 2017 and 2016, respectively, and $814,000 and $686,000 for the nine months ended September 30, 2017 and 2016, respectively.</w:t>
      </w:r>
    </w:p>
    <w:p>
      <w:pPr>
        <w:sectPr>
          <w:pgSz w:w="11900" w:h="16838" w:orient="portrait"/>
          <w:cols w:equalWidth="0" w:num="1">
            <w:col w:w="11420"/>
          </w:cols>
          <w:pgMar w:left="240" w:top="229"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recorded investment in nonaccrual loans by loan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7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120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45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18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7,373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1,324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1,538</w:t>
            </w:r>
          </w:p>
        </w:tc>
      </w:tr>
      <w:tr>
        <w:trPr>
          <w:trHeight w:val="210"/>
        </w:trPr>
        <w:tc>
          <w:tcPr>
            <w:tcW w:w="45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commercial</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8,559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6,368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1,831</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776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1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Indirect auto</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1,275</w:t>
            </w:r>
          </w:p>
        </w:tc>
      </w:tr>
      <w:tr>
        <w:trPr>
          <w:trHeight w:val="223"/>
        </w:trPr>
        <w:tc>
          <w:tcPr>
            <w:tcW w:w="45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Excluding PCI loans, substantially all loans more than 90 days past due were on nonaccrual status at September 30, 2017 and December 31, 2016. The following table presents the aging of the recorded investment in past due loans by class of loans as of the dates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Loans Past Due</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Loans Not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06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w w:val="93"/>
              </w:rPr>
              <w:t>30 - 59 Days</w:t>
            </w:r>
          </w:p>
        </w:tc>
        <w:tc>
          <w:tcPr>
            <w:tcW w:w="1040" w:type="dxa"/>
            <w:vAlign w:val="bottom"/>
            <w:gridSpan w:val="3"/>
          </w:tcPr>
          <w:p>
            <w:pPr>
              <w:jc w:val="right"/>
              <w:ind w:right="280"/>
              <w:spacing w:after="0" w:line="155" w:lineRule="exact"/>
              <w:rPr>
                <w:sz w:val="20"/>
                <w:szCs w:val="20"/>
                <w:color w:val="auto"/>
              </w:rPr>
            </w:pPr>
            <w:r>
              <w:rPr>
                <w:rFonts w:ascii="Arial" w:cs="Arial" w:eastAsia="Arial" w:hAnsi="Arial"/>
                <w:sz w:val="14"/>
                <w:szCs w:val="14"/>
                <w:b w:val="1"/>
                <w:bCs w:val="1"/>
                <w:color w:val="auto"/>
                <w:w w:val="91"/>
              </w:rPr>
              <w:t>60 - 89 Days</w:t>
            </w:r>
          </w:p>
        </w:tc>
        <w:tc>
          <w:tcPr>
            <w:tcW w:w="100" w:type="dxa"/>
            <w:vAlign w:val="bottom"/>
          </w:tcPr>
          <w:p>
            <w:pPr>
              <w:spacing w:after="0"/>
              <w:rPr>
                <w:sz w:val="13"/>
                <w:szCs w:val="13"/>
                <w:color w:val="auto"/>
              </w:rPr>
            </w:pPr>
          </w:p>
        </w:tc>
        <w:tc>
          <w:tcPr>
            <w:tcW w:w="9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&gt; 90 Days</w:t>
            </w:r>
          </w:p>
        </w:tc>
        <w:tc>
          <w:tcPr>
            <w:tcW w:w="160" w:type="dxa"/>
            <w:vAlign w:val="bottom"/>
          </w:tcPr>
          <w:p>
            <w:pPr>
              <w:spacing w:after="0"/>
              <w:rPr>
                <w:sz w:val="13"/>
                <w:szCs w:val="13"/>
                <w:color w:val="auto"/>
              </w:rPr>
            </w:pPr>
          </w:p>
        </w:tc>
        <w:tc>
          <w:tcPr>
            <w:tcW w:w="64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w w:val="93"/>
              </w:rPr>
              <w:t>Past Due</w:t>
            </w:r>
          </w:p>
        </w:tc>
        <w:tc>
          <w:tcPr>
            <w:tcW w:w="100" w:type="dxa"/>
            <w:vAlign w:val="bottom"/>
          </w:tcPr>
          <w:p>
            <w:pPr>
              <w:spacing w:after="0"/>
              <w:rPr>
                <w:sz w:val="13"/>
                <w:szCs w:val="13"/>
                <w:color w:val="auto"/>
              </w:rPr>
            </w:pPr>
          </w:p>
        </w:tc>
        <w:tc>
          <w:tcPr>
            <w:tcW w:w="100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PCI Loans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4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 of September 30, 2017</w:t>
            </w: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4,017</w:t>
            </w:r>
          </w:p>
        </w:tc>
        <w:tc>
          <w:tcPr>
            <w:tcW w:w="240" w:type="dxa"/>
            <w:vAlign w:val="bottom"/>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2,176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7,429</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1,766,318</w:t>
            </w:r>
          </w:p>
        </w:tc>
        <w:tc>
          <w:tcPr>
            <w:tcW w:w="3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18,015</w:t>
            </w:r>
          </w:p>
        </w:tc>
        <w:tc>
          <w:tcPr>
            <w:tcW w:w="1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1,791,762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2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1,189</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2,247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1,385,728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25,129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1,413,104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Commercial &amp; industrial</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3,088</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1,008</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5,102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1,077,441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1,083,591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Arial" w:cs="Arial" w:eastAsia="Arial" w:hAnsi="Arial"/>
                <w:sz w:val="14"/>
                <w:szCs w:val="14"/>
                <w:color w:val="auto"/>
              </w:rPr>
              <w:t>Commercial construction</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494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219</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718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573,851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8,775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583,344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top w:val="single" w:sz="8" w:color="CCEEFF"/>
            </w:tcBorders>
            <w:gridSpan w:val="3"/>
            <w:shd w:val="clear" w:color="auto" w:fill="CCEEFF"/>
          </w:tcPr>
          <w:p>
            <w:pPr>
              <w:ind w:left="160"/>
              <w:spacing w:after="0" w:line="142" w:lineRule="exact"/>
              <w:rPr>
                <w:sz w:val="20"/>
                <w:szCs w:val="20"/>
                <w:color w:val="auto"/>
              </w:rPr>
            </w:pPr>
            <w:r>
              <w:rPr>
                <w:rFonts w:ascii="Arial" w:cs="Arial" w:eastAsia="Arial" w:hAnsi="Arial"/>
                <w:sz w:val="14"/>
                <w:szCs w:val="14"/>
                <w:color w:val="auto"/>
              </w:rPr>
              <w:t>Total commercial</w:t>
            </w: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8,788</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2,844</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3,864</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15,496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4,803,338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52,967</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4,871,801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Residential mortgage</w:t>
            </w:r>
          </w:p>
        </w:tc>
        <w:tc>
          <w:tcPr>
            <w:tcW w:w="2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6,133</w:t>
            </w: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1,883</w:t>
            </w: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3,301</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909,322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12,566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933,205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2,545</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3,819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683,613</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1,443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688,875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Residential construction</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400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110</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189,072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190,047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Consumer installment</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116,828</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118,742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3"/>
          </w:tcPr>
          <w:p>
            <w:pPr>
              <w:spacing w:after="0"/>
              <w:rPr>
                <w:sz w:val="20"/>
                <w:szCs w:val="20"/>
                <w:color w:val="auto"/>
              </w:rPr>
            </w:pPr>
            <w:r>
              <w:rPr>
                <w:rFonts w:ascii="Arial" w:cs="Arial" w:eastAsia="Arial" w:hAnsi="Arial"/>
                <w:sz w:val="14"/>
                <w:szCs w:val="14"/>
                <w:color w:val="auto"/>
              </w:rPr>
              <w:t>Indirect auto</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936</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415</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1,047</w:t>
            </w:r>
          </w:p>
        </w:tc>
        <w:tc>
          <w:tcPr>
            <w:tcW w:w="16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2,398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397,869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400,267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tcBorders>
              <w:top w:val="single" w:sz="8" w:color="CCEEFF"/>
              <w:bottom w:val="single" w:sz="8" w:color="CCEEFF"/>
            </w:tcBorders>
            <w:gridSpan w:val="3"/>
            <w:shd w:val="clear" w:color="auto" w:fill="CCEEFF"/>
          </w:tcPr>
          <w:p>
            <w:pPr>
              <w:ind w:left="160"/>
              <w:spacing w:after="0" w:line="155" w:lineRule="exact"/>
              <w:rPr>
                <w:sz w:val="20"/>
                <w:szCs w:val="20"/>
                <w:color w:val="auto"/>
              </w:rPr>
            </w:pPr>
            <w:r>
              <w:rPr>
                <w:rFonts w:ascii="Arial" w:cs="Arial" w:eastAsia="Arial" w:hAnsi="Arial"/>
                <w:sz w:val="14"/>
                <w:szCs w:val="14"/>
                <w:color w:val="auto"/>
              </w:rPr>
              <w:t>Total loans</w:t>
            </w: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19,346</w:t>
            </w:r>
          </w:p>
        </w:tc>
        <w:tc>
          <w:tcPr>
            <w:tcW w:w="26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5,957</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8,864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34,167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7,100,042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68,728</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7,202,937</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34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As of December 31, 2016</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8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Owner occupied commercial real estate</w:t>
            </w:r>
          </w:p>
        </w:tc>
        <w:tc>
          <w:tcPr>
            <w:tcW w:w="240" w:type="dxa"/>
            <w:vAlign w:val="bottom"/>
          </w:tcPr>
          <w:p>
            <w:pPr>
              <w:jc w:val="right"/>
              <w:ind w:right="124"/>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2,195</w:t>
            </w:r>
          </w:p>
        </w:tc>
        <w:tc>
          <w:tcPr>
            <w:tcW w:w="240" w:type="dxa"/>
            <w:vAlign w:val="bottom"/>
          </w:tcPr>
          <w:p>
            <w:pPr>
              <w:jc w:val="right"/>
              <w:ind w:right="124"/>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1,664</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3,386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7,245</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1,624,531</w:t>
            </w:r>
          </w:p>
        </w:tc>
        <w:tc>
          <w:tcPr>
            <w:tcW w:w="34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18,584</w:t>
            </w:r>
          </w:p>
        </w:tc>
        <w:tc>
          <w:tcPr>
            <w:tcW w:w="14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1,650,360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Income producing commercial real estate</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1,373</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2,058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1,254,164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25,319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1,281,541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Commercial &amp; industrial</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943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1,067,317</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1,036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1,069,715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construction</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624,835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8,328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633,921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gridSpan w:val="3"/>
          </w:tcPr>
          <w:p>
            <w:pPr>
              <w:ind w:left="320"/>
              <w:spacing w:after="0" w:line="142" w:lineRule="exact"/>
              <w:rPr>
                <w:sz w:val="20"/>
                <w:szCs w:val="20"/>
                <w:color w:val="auto"/>
              </w:rPr>
            </w:pPr>
            <w:r>
              <w:rPr>
                <w:rFonts w:ascii="Arial" w:cs="Arial" w:eastAsia="Arial" w:hAnsi="Arial"/>
                <w:sz w:val="14"/>
                <w:szCs w:val="14"/>
                <w:color w:val="auto"/>
              </w:rPr>
              <w:t>Total commercial</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4,963</w:t>
            </w:r>
          </w:p>
        </w:tc>
        <w:tc>
          <w:tcPr>
            <w:tcW w:w="2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2,274</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4,186</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11,423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4,570,847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53,267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4,635,537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Residential mortgage</w:t>
            </w:r>
          </w:p>
        </w:tc>
        <w:tc>
          <w:tcPr>
            <w:tcW w:w="2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7,221</w:t>
            </w:r>
          </w:p>
        </w:tc>
        <w:tc>
          <w:tcPr>
            <w:tcW w:w="2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1,799</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1,700</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10,720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839,610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6,395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856,725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Home equity lines of credit</w:t>
            </w:r>
          </w:p>
        </w:tc>
        <w:tc>
          <w:tcPr>
            <w:tcW w:w="240" w:type="dxa"/>
            <w:vAlign w:val="bottom"/>
          </w:tcPr>
          <w:p>
            <w:pPr>
              <w:spacing w:after="0"/>
              <w:rPr>
                <w:sz w:val="12"/>
                <w:szCs w:val="12"/>
                <w:color w:val="auto"/>
              </w:rPr>
            </w:pPr>
          </w:p>
        </w:tc>
        <w:tc>
          <w:tcPr>
            <w:tcW w:w="8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1,996</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957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3,054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650,346</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655,410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Residential construction</w:t>
            </w: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759</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187,350</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190,043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3"/>
          </w:tcPr>
          <w:p>
            <w:pPr>
              <w:spacing w:after="0" w:line="149" w:lineRule="exact"/>
              <w:rPr>
                <w:sz w:val="20"/>
                <w:szCs w:val="20"/>
                <w:color w:val="auto"/>
              </w:rPr>
            </w:pPr>
            <w:r>
              <w:rPr>
                <w:rFonts w:ascii="Arial" w:cs="Arial" w:eastAsia="Arial" w:hAnsi="Arial"/>
                <w:sz w:val="14"/>
                <w:szCs w:val="14"/>
                <w:color w:val="auto"/>
              </w:rPr>
              <w:t>Consumer installment</w:t>
            </w:r>
          </w:p>
        </w:tc>
        <w:tc>
          <w:tcPr>
            <w:tcW w:w="2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633</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117</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122,623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123,567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Indirect auto</w:t>
            </w: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1,109</w:t>
            </w: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2,319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457,035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459,354</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340" w:type="dxa"/>
            <w:vAlign w:val="bottom"/>
            <w:gridSpan w:val="3"/>
          </w:tcPr>
          <w:p>
            <w:pPr>
              <w:ind w:left="160"/>
              <w:spacing w:after="0" w:line="155" w:lineRule="exact"/>
              <w:rPr>
                <w:sz w:val="20"/>
                <w:szCs w:val="20"/>
                <w:color w:val="auto"/>
              </w:rPr>
            </w:pPr>
            <w:r>
              <w:rPr>
                <w:rFonts w:ascii="Arial" w:cs="Arial" w:eastAsia="Arial" w:hAnsi="Arial"/>
                <w:sz w:val="14"/>
                <w:szCs w:val="14"/>
                <w:color w:val="auto"/>
              </w:rPr>
              <w:t>Total loans</w:t>
            </w: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16,872</w:t>
            </w:r>
          </w:p>
        </w:tc>
        <w:tc>
          <w:tcPr>
            <w:tcW w:w="2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5,351</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7,838</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6,827,811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62,764</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6,920,636</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ectPr>
          <w:pgSz w:w="11900" w:h="16838" w:orient="portrait"/>
          <w:cols w:equalWidth="0" w:num="1">
            <w:col w:w="11420"/>
          </w:cols>
          <w:pgMar w:left="240" w:top="229" w:right="23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Consumer Purpose Loans. </w:t>
      </w:r>
      <w:r>
        <w:rPr>
          <w:rFonts w:ascii="Arial" w:cs="Arial" w:eastAsia="Arial" w:hAnsi="Arial"/>
          <w:sz w:val="16"/>
          <w:szCs w:val="16"/>
          <w:color w:val="auto"/>
        </w:rPr>
        <w:t>United applies a pass / fail grading system to all consumer purpose loans. Under the pass / fail grading system, consumer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loans that become past due 90 days or are in bankruptcy are classified as “fail” and all other loans are classified as “pass”. For reporting purposes, consumer purpose loans classified as “fail” are reported in the substandard column and all other consumer purpose loans are reported in the “pass” column.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Doubtful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Watch</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0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 of September 30, 2017</w:t>
            </w: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1,708,659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1,337,358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30,584</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1,387,975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1,054,999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14,645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1,082,543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563,616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574,569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4,664,632</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4,818,834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899,000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920,639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680,711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187,684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116,877</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117,439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397,203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400,267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loans, excluding PCI loans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6,946,107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82,685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7,134,209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12,459</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4,742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PCI loans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17,384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1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 of December 31, 2016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1,577,301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1,220,626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1,256,222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1,055,282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1,068,679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612,900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625,593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4,466,109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4,582,270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829,844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20,486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647,425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185,643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122,736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456,717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459,354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loans, excluding PCI loans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6,708,474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6,857,872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Owner occupied commercial real estate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13,236</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&amp; industrial</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8,328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18,708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Home equity lines of credit</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898</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installment</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Total PCI loans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9" w:right="239" w:bottom="1440" w:gutter="0" w:footer="0" w:header="0"/>
        </w:sectPr>
      </w:pP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p>
      <w:pPr>
        <w:jc w:val="center"/>
        <w:ind w:right="200"/>
        <w:spacing w:after="0"/>
        <w:rPr>
          <w:sz w:val="20"/>
          <w:szCs w:val="20"/>
          <w:color w:val="auto"/>
        </w:rPr>
      </w:pPr>
      <w:r>
        <w:rPr>
          <w:rFonts w:ascii="Arial" w:cs="Arial" w:eastAsia="Arial" w:hAnsi="Arial"/>
          <w:sz w:val="14"/>
          <w:szCs w:val="14"/>
          <w:b w:val="1"/>
          <w:bCs w:val="1"/>
          <w:color w:val="auto"/>
        </w:rPr>
        <w:t>Amounts Reclassified from Accumulated Other</w:t>
      </w:r>
    </w:p>
    <w:p>
      <w:pPr>
        <w:jc w:val="center"/>
        <w:ind w:right="200"/>
        <w:spacing w:after="0" w:line="236" w:lineRule="auto"/>
        <w:rPr>
          <w:sz w:val="20"/>
          <w:szCs w:val="20"/>
          <w:color w:val="auto"/>
        </w:rPr>
      </w:pPr>
      <w:r>
        <w:rPr>
          <w:rFonts w:ascii="Arial" w:cs="Arial" w:eastAsia="Arial" w:hAnsi="Arial"/>
          <w:sz w:val="14"/>
          <w:szCs w:val="14"/>
          <w:b w:val="1"/>
          <w:bCs w:val="1"/>
          <w:color w:val="auto"/>
        </w:rPr>
        <w:t>Comprehensive Income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Details about Accumulated Other</w:t>
            </w:r>
          </w:p>
        </w:tc>
        <w:tc>
          <w:tcPr>
            <w:tcW w:w="280" w:type="dxa"/>
            <w:vAlign w:val="bottom"/>
            <w:tcBorders>
              <w:top w:val="single" w:sz="8" w:color="auto"/>
            </w:tcBorders>
            <w:vMerge w:val="restart"/>
          </w:tcPr>
          <w:p>
            <w:pPr>
              <w:spacing w:after="0"/>
              <w:rPr>
                <w:sz w:val="10"/>
                <w:szCs w:val="10"/>
                <w:color w:val="auto"/>
              </w:rPr>
            </w:pPr>
          </w:p>
        </w:tc>
        <w:tc>
          <w:tcPr>
            <w:tcW w:w="2640" w:type="dxa"/>
            <w:vAlign w:val="bottom"/>
            <w:tcBorders>
              <w:top w:val="single" w:sz="8" w:color="auto"/>
            </w:tcBorders>
            <w:gridSpan w:val="5"/>
          </w:tcPr>
          <w:p>
            <w:pPr>
              <w:jc w:val="right"/>
              <w:ind w:right="840"/>
              <w:spacing w:after="0" w:line="119" w:lineRule="exact"/>
              <w:rPr>
                <w:sz w:val="20"/>
                <w:szCs w:val="20"/>
                <w:color w:val="auto"/>
              </w:rPr>
            </w:pPr>
            <w:r>
              <w:rPr>
                <w:rFonts w:ascii="Arial" w:cs="Arial" w:eastAsia="Arial" w:hAnsi="Arial"/>
                <w:sz w:val="13"/>
                <w:szCs w:val="13"/>
                <w:b w:val="1"/>
                <w:bCs w:val="1"/>
                <w:color w:val="auto"/>
              </w:rPr>
              <w:t>For the Three Months</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gridSpan w:val="3"/>
          </w:tcPr>
          <w:p>
            <w:pPr>
              <w:jc w:val="right"/>
              <w:ind w:right="282"/>
              <w:spacing w:after="0" w:line="119" w:lineRule="exact"/>
              <w:rPr>
                <w:sz w:val="20"/>
                <w:szCs w:val="20"/>
                <w:color w:val="auto"/>
              </w:rPr>
            </w:pPr>
            <w:r>
              <w:rPr>
                <w:rFonts w:ascii="Arial" w:cs="Arial" w:eastAsia="Arial" w:hAnsi="Arial"/>
                <w:sz w:val="13"/>
                <w:szCs w:val="13"/>
                <w:b w:val="1"/>
                <w:bCs w:val="1"/>
                <w:color w:val="auto"/>
              </w:rPr>
              <w:t>For the Nine Months</w:t>
            </w:r>
          </w:p>
        </w:tc>
        <w:tc>
          <w:tcPr>
            <w:tcW w:w="3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Affected Line Item in the Statement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Ended September 30,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gridSpan w:val="3"/>
          </w:tcPr>
          <w:p>
            <w:pPr>
              <w:jc w:val="right"/>
              <w:ind w:right="262"/>
              <w:spacing w:after="0"/>
              <w:rPr>
                <w:sz w:val="20"/>
                <w:szCs w:val="20"/>
                <w:color w:val="auto"/>
              </w:rPr>
            </w:pPr>
            <w:r>
              <w:rPr>
                <w:rFonts w:ascii="Arial" w:cs="Arial" w:eastAsia="Arial" w:hAnsi="Arial"/>
                <w:sz w:val="14"/>
                <w:szCs w:val="14"/>
                <w:b w:val="1"/>
                <w:bCs w:val="1"/>
                <w:color w:val="auto"/>
              </w:rPr>
              <w:t>Ended September 30,</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1"/>
              </w:rPr>
              <w:t>Comprehensive Income Components</w:t>
            </w: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429"/>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409"/>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42"/>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00" w:type="dxa"/>
            <w:vAlign w:val="bottom"/>
            <w:gridSpan w:val="3"/>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92"/>
              </w:rPr>
              <w:t>Realized gains on available-for-sale securities:</w:t>
            </w: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gridSpan w:val="3"/>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c>
          <w:tcPr>
            <w:tcW w:w="240" w:type="dxa"/>
            <w:vAlign w:val="bottom"/>
          </w:tcPr>
          <w:p>
            <w:pPr>
              <w:spacing w:after="0"/>
              <w:rPr>
                <w:sz w:val="12"/>
                <w:szCs w:val="12"/>
                <w:color w:val="auto"/>
              </w:rPr>
            </w:pP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c>
          <w:tcPr>
            <w:tcW w:w="140" w:type="dxa"/>
            <w:vAlign w:val="bottom"/>
          </w:tcPr>
          <w:p>
            <w:pPr>
              <w:spacing w:after="0"/>
              <w:rPr>
                <w:sz w:val="12"/>
                <w:szCs w:val="12"/>
                <w:color w:val="auto"/>
              </w:rPr>
            </w:pPr>
          </w:p>
        </w:tc>
        <w:tc>
          <w:tcPr>
            <w:tcW w:w="36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190</w:t>
            </w:r>
          </w:p>
        </w:tc>
        <w:tc>
          <w:tcPr>
            <w:tcW w:w="860" w:type="dxa"/>
            <w:vAlign w:val="bottom"/>
          </w:tcPr>
          <w:p>
            <w:pPr>
              <w:jc w:val="right"/>
              <w:ind w:right="74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922</w:t>
            </w:r>
          </w:p>
        </w:tc>
        <w:tc>
          <w:tcPr>
            <w:tcW w:w="2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Securities gains, 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(73)</w:t>
            </w:r>
          </w:p>
        </w:tc>
        <w:tc>
          <w:tcPr>
            <w:tcW w:w="2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w:t>
            </w:r>
          </w:p>
        </w:tc>
        <w:tc>
          <w:tcPr>
            <w:tcW w:w="8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(348)</w:t>
            </w: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Tax expense</w:t>
            </w:r>
          </w:p>
        </w:tc>
        <w:tc>
          <w:tcPr>
            <w:tcW w:w="0" w:type="dxa"/>
            <w:vAlign w:val="bottom"/>
          </w:tcPr>
          <w:p>
            <w:pPr>
              <w:spacing w:after="0"/>
              <w:rPr>
                <w:sz w:val="1"/>
                <w:szCs w:val="1"/>
                <w:color w:val="auto"/>
              </w:rPr>
            </w:pPr>
          </w:p>
        </w:tc>
      </w:tr>
      <w:tr>
        <w:trPr>
          <w:trHeight w:val="156"/>
        </w:trPr>
        <w:tc>
          <w:tcPr>
            <w:tcW w:w="25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w:t>
            </w:r>
          </w:p>
        </w:tc>
        <w:tc>
          <w:tcPr>
            <w:tcW w:w="22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574</w:t>
            </w:r>
          </w:p>
        </w:tc>
        <w:tc>
          <w:tcPr>
            <w:tcW w:w="220" w:type="dxa"/>
            <w:vAlign w:val="bottom"/>
          </w:tcPr>
          <w:p>
            <w:pPr>
              <w:spacing w:after="0"/>
              <w:rPr>
                <w:sz w:val="13"/>
                <w:szCs w:val="13"/>
                <w:color w:val="auto"/>
              </w:rPr>
            </w:pPr>
          </w:p>
        </w:tc>
        <w:tc>
          <w:tcPr>
            <w:tcW w:w="2840" w:type="dxa"/>
            <w:vAlign w:val="bottom"/>
          </w:tcPr>
          <w:p>
            <w:pPr>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11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1176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9"/>
          </w:tcPr>
          <w:p>
            <w:pPr>
              <w:spacing w:after="0"/>
              <w:rPr>
                <w:sz w:val="20"/>
                <w:szCs w:val="20"/>
                <w:color w:val="auto"/>
              </w:rPr>
            </w:pPr>
            <w:r>
              <w:rPr>
                <w:rFonts w:ascii="Arial" w:cs="Arial" w:eastAsia="Arial" w:hAnsi="Arial"/>
                <w:sz w:val="14"/>
                <w:szCs w:val="14"/>
                <w:color w:val="auto"/>
                <w:w w:val="96"/>
              </w:rPr>
              <w:t>Amortization of losses included in net income on available-for-sale securities transferred to held to maturity:</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540" w:type="dxa"/>
            <w:vAlign w:val="bottom"/>
          </w:tcPr>
          <w:p>
            <w:pPr>
              <w:jc w:val="right"/>
              <w:ind w:right="38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(278)</w:t>
            </w: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(663)</w:t>
            </w:r>
          </w:p>
        </w:tc>
        <w:tc>
          <w:tcPr>
            <w:tcW w:w="780" w:type="dxa"/>
            <w:vAlign w:val="bottom"/>
            <w:gridSpan w:val="2"/>
          </w:tcPr>
          <w:p>
            <w:pPr>
              <w:jc w:val="right"/>
              <w:ind w:right="694"/>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39"/>
              <w:spacing w:after="0"/>
              <w:rPr>
                <w:sz w:val="20"/>
                <w:szCs w:val="20"/>
                <w:color w:val="auto"/>
              </w:rPr>
            </w:pPr>
            <w:r>
              <w:rPr>
                <w:rFonts w:ascii="Arial" w:cs="Arial" w:eastAsia="Arial" w:hAnsi="Arial"/>
                <w:sz w:val="14"/>
                <w:szCs w:val="14"/>
                <w:color w:val="auto"/>
              </w:rPr>
              <w:t>(849)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5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240" w:type="dxa"/>
            <w:vAlign w:val="bottom"/>
            <w:vMerge w:val="restart"/>
          </w:tcPr>
          <w:p>
            <w:pPr>
              <w:jc w:val="right"/>
              <w:ind w:right="108"/>
              <w:spacing w:after="0"/>
              <w:rPr>
                <w:sz w:val="20"/>
                <w:szCs w:val="20"/>
                <w:color w:val="auto"/>
              </w:rPr>
            </w:pPr>
            <w:r>
              <w:rPr>
                <w:rFonts w:ascii="Arial" w:cs="Arial" w:eastAsia="Arial" w:hAnsi="Arial"/>
                <w:sz w:val="14"/>
                <w:szCs w:val="14"/>
                <w:color w:val="auto"/>
                <w:w w:val="84"/>
              </w:rPr>
              <w:t>)</w:t>
            </w:r>
          </w:p>
        </w:tc>
        <w:tc>
          <w:tcPr>
            <w:tcW w:w="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120" w:type="dxa"/>
            <w:vAlign w:val="bottom"/>
            <w:vMerge w:val="restart"/>
          </w:tcPr>
          <w:p>
            <w:pPr>
              <w:jc w:val="right"/>
              <w:ind w:right="39"/>
              <w:spacing w:after="0"/>
              <w:rPr>
                <w:sz w:val="20"/>
                <w:szCs w:val="20"/>
                <w:color w:val="auto"/>
              </w:rPr>
            </w:pPr>
            <w:r>
              <w:rPr>
                <w:rFonts w:ascii="Arial" w:cs="Arial" w:eastAsia="Arial" w:hAnsi="Arial"/>
                <w:sz w:val="8"/>
                <w:szCs w:val="8"/>
                <w:color w:val="auto"/>
                <w:w w:val="73"/>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5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w:t>
            </w:r>
          </w:p>
        </w:tc>
        <w:tc>
          <w:tcPr>
            <w:tcW w:w="240" w:type="dxa"/>
            <w:vAlign w:val="bottom"/>
            <w:vMerge w:val="continue"/>
          </w:tcPr>
          <w:p>
            <w:pPr>
              <w:spacing w:after="0"/>
              <w:rPr>
                <w:sz w:val="13"/>
                <w:szCs w:val="13"/>
                <w:color w:val="auto"/>
              </w:rPr>
            </w:pPr>
          </w:p>
        </w:tc>
        <w:tc>
          <w:tcPr>
            <w:tcW w:w="540" w:type="dxa"/>
            <w:vAlign w:val="bottom"/>
            <w:tcBorders>
              <w:bottom w:val="single" w:sz="8" w:color="auto"/>
            </w:tcBorders>
          </w:tcPr>
          <w:p>
            <w:pPr>
              <w:jc w:val="right"/>
              <w:ind w:right="4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(426</w:t>
            </w:r>
          </w:p>
        </w:tc>
        <w:tc>
          <w:tcPr>
            <w:tcW w:w="240" w:type="dxa"/>
            <w:vAlign w:val="bottom"/>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94"/>
              <w:spacing w:after="0"/>
              <w:rPr>
                <w:sz w:val="20"/>
                <w:szCs w:val="20"/>
                <w:color w:val="auto"/>
              </w:rPr>
            </w:pPr>
            <w:r>
              <w:rPr>
                <w:rFonts w:ascii="Arial" w:cs="Arial" w:eastAsia="Arial" w:hAnsi="Arial"/>
                <w:sz w:val="5"/>
                <w:szCs w:val="5"/>
                <w:color w:val="auto"/>
                <w:w w:val="70"/>
              </w:rPr>
              <w:t>$</w:t>
            </w:r>
          </w:p>
        </w:tc>
        <w:tc>
          <w:tcPr>
            <w:tcW w:w="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(530</w:t>
            </w:r>
          </w:p>
        </w:tc>
        <w:tc>
          <w:tcPr>
            <w:tcW w:w="1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6440" w:type="dxa"/>
            <w:vAlign w:val="bottom"/>
            <w:gridSpan w:val="9"/>
          </w:tcPr>
          <w:p>
            <w:pPr>
              <w:spacing w:after="0"/>
              <w:rPr>
                <w:sz w:val="20"/>
                <w:szCs w:val="20"/>
                <w:color w:val="auto"/>
              </w:rPr>
            </w:pPr>
            <w:r>
              <w:rPr>
                <w:rFonts w:ascii="Arial" w:cs="Arial" w:eastAsia="Arial" w:hAnsi="Arial"/>
                <w:sz w:val="14"/>
                <w:szCs w:val="14"/>
                <w:color w:val="auto"/>
              </w:rPr>
              <w:t>Gains included in net income on derivative financial instruments accounted for as cash flow hedges:</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80"/>
              <w:spacing w:after="0" w:line="149" w:lineRule="exact"/>
              <w:rPr>
                <w:sz w:val="20"/>
                <w:szCs w:val="20"/>
                <w:color w:val="auto"/>
              </w:rPr>
            </w:pPr>
            <w:r>
              <w:rPr>
                <w:rFonts w:ascii="Arial" w:cs="Arial" w:eastAsia="Arial" w:hAnsi="Arial"/>
                <w:sz w:val="14"/>
                <w:szCs w:val="14"/>
                <w:color w:val="auto"/>
                <w:w w:val="97"/>
              </w:rPr>
              <w:t>Amortization of losses on de-designated</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00"/>
              <w:spacing w:after="0" w:line="149" w:lineRule="exact"/>
              <w:rPr>
                <w:sz w:val="20"/>
                <w:szCs w:val="20"/>
                <w:color w:val="auto"/>
              </w:rPr>
            </w:pPr>
            <w:r>
              <w:rPr>
                <w:rFonts w:ascii="Arial" w:cs="Arial" w:eastAsia="Arial" w:hAnsi="Arial"/>
                <w:sz w:val="14"/>
                <w:szCs w:val="14"/>
                <w:color w:val="auto"/>
              </w:rPr>
              <w:t>positions</w:t>
            </w:r>
          </w:p>
        </w:tc>
        <w:tc>
          <w:tcPr>
            <w:tcW w:w="54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80" w:type="dxa"/>
            <w:vAlign w:val="bottom"/>
            <w:gridSpan w:val="2"/>
          </w:tcPr>
          <w:p>
            <w:pPr>
              <w:jc w:val="right"/>
              <w:ind w:right="694"/>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640" w:type="dxa"/>
            <w:vAlign w:val="bottom"/>
          </w:tcPr>
          <w:p>
            <w:pPr>
              <w:ind w:left="180"/>
              <w:spacing w:after="0" w:line="149" w:lineRule="exact"/>
              <w:rPr>
                <w:sz w:val="20"/>
                <w:szCs w:val="20"/>
                <w:color w:val="auto"/>
              </w:rPr>
            </w:pPr>
            <w:r>
              <w:rPr>
                <w:rFonts w:ascii="Arial" w:cs="Arial" w:eastAsia="Arial" w:hAnsi="Arial"/>
                <w:sz w:val="14"/>
                <w:szCs w:val="14"/>
                <w:color w:val="auto"/>
                <w:w w:val="97"/>
              </w:rPr>
              <w:t>Amortization of losses on de-designated</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300"/>
              <w:spacing w:after="0" w:line="149" w:lineRule="exact"/>
              <w:rPr>
                <w:sz w:val="20"/>
                <w:szCs w:val="20"/>
                <w:color w:val="auto"/>
              </w:rPr>
            </w:pPr>
            <w:r>
              <w:rPr>
                <w:rFonts w:ascii="Arial" w:cs="Arial" w:eastAsia="Arial" w:hAnsi="Arial"/>
                <w:sz w:val="14"/>
                <w:szCs w:val="14"/>
                <w:color w:val="auto"/>
              </w:rPr>
              <w:t>positions</w:t>
            </w:r>
          </w:p>
        </w:tc>
        <w:tc>
          <w:tcPr>
            <w:tcW w:w="540" w:type="dxa"/>
            <w:vAlign w:val="bottom"/>
          </w:tcPr>
          <w:p>
            <w:pPr>
              <w:spacing w:after="0"/>
              <w:rPr>
                <w:sz w:val="12"/>
                <w:szCs w:val="12"/>
                <w:color w:val="auto"/>
              </w:rPr>
            </w:pPr>
          </w:p>
        </w:tc>
        <w:tc>
          <w:tcPr>
            <w:tcW w:w="9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(150)</w:t>
            </w:r>
          </w:p>
        </w:tc>
        <w:tc>
          <w:tcPr>
            <w:tcW w:w="540" w:type="dxa"/>
            <w:vAlign w:val="bottom"/>
          </w:tcPr>
          <w:p>
            <w:pPr>
              <w:spacing w:after="0"/>
              <w:rPr>
                <w:sz w:val="12"/>
                <w:szCs w:val="12"/>
                <w:color w:val="auto"/>
              </w:rPr>
            </w:pPr>
          </w:p>
        </w:tc>
        <w:tc>
          <w:tcPr>
            <w:tcW w:w="9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(153)</w:t>
            </w: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(448)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ind w:left="180"/>
              <w:spacing w:after="0" w:line="149" w:lineRule="exact"/>
              <w:rPr>
                <w:sz w:val="20"/>
                <w:szCs w:val="20"/>
                <w:color w:val="auto"/>
              </w:rPr>
            </w:pPr>
            <w:r>
              <w:rPr>
                <w:rFonts w:ascii="Arial" w:cs="Arial" w:eastAsia="Arial" w:hAnsi="Arial"/>
                <w:sz w:val="14"/>
                <w:szCs w:val="14"/>
                <w:color w:val="auto"/>
                <w:w w:val="97"/>
              </w:rPr>
              <w:t>Amortization of losses on de-designated</w:t>
            </w: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640" w:type="dxa"/>
            <w:vAlign w:val="bottom"/>
          </w:tcPr>
          <w:p>
            <w:pPr>
              <w:ind w:left="300"/>
              <w:spacing w:after="0"/>
              <w:rPr>
                <w:sz w:val="20"/>
                <w:szCs w:val="20"/>
                <w:color w:val="auto"/>
              </w:rPr>
            </w:pPr>
            <w:r>
              <w:rPr>
                <w:rFonts w:ascii="Arial" w:cs="Arial" w:eastAsia="Arial" w:hAnsi="Arial"/>
                <w:sz w:val="14"/>
                <w:szCs w:val="14"/>
                <w:color w:val="auto"/>
              </w:rPr>
              <w:t>positions</w:t>
            </w:r>
          </w:p>
        </w:tc>
        <w:tc>
          <w:tcPr>
            <w:tcW w:w="5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gridSpan w:val="2"/>
          </w:tcPr>
          <w:p>
            <w:pPr>
              <w:jc w:val="right"/>
              <w:ind w:right="108"/>
              <w:spacing w:after="0"/>
              <w:rPr>
                <w:sz w:val="20"/>
                <w:szCs w:val="20"/>
                <w:color w:val="auto"/>
              </w:rPr>
            </w:pPr>
            <w:r>
              <w:rPr>
                <w:rFonts w:ascii="Arial" w:cs="Arial" w:eastAsia="Arial" w:hAnsi="Arial"/>
                <w:sz w:val="14"/>
                <w:szCs w:val="14"/>
                <w:color w:val="auto"/>
              </w:rPr>
              <w:t>(313)</w:t>
            </w: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gridSpan w:val="2"/>
          </w:tcPr>
          <w:p>
            <w:pPr>
              <w:jc w:val="right"/>
              <w:ind w:right="39"/>
              <w:spacing w:after="0"/>
              <w:rPr>
                <w:sz w:val="20"/>
                <w:szCs w:val="20"/>
                <w:color w:val="auto"/>
              </w:rPr>
            </w:pPr>
            <w:r>
              <w:rPr>
                <w:rFonts w:ascii="Arial" w:cs="Arial" w:eastAsia="Arial" w:hAnsi="Arial"/>
                <w:sz w:val="14"/>
                <w:szCs w:val="14"/>
                <w:color w:val="auto"/>
              </w:rPr>
              <w:t>(292)</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-898525</wp:posOffset>
            </wp:positionV>
            <wp:extent cx="724662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tabs>
          <w:tab w:leader="none" w:pos="580" w:val="left"/>
        </w:tabs>
        <w:rPr>
          <w:sz w:val="20"/>
          <w:szCs w:val="20"/>
          <w:color w:val="auto"/>
        </w:rPr>
      </w:pPr>
      <w:r>
        <w:rPr>
          <w:rFonts w:ascii="Arial" w:cs="Arial" w:eastAsia="Arial" w:hAnsi="Arial"/>
          <w:sz w:val="14"/>
          <w:szCs w:val="14"/>
          <w:color w:val="auto"/>
        </w:rPr>
        <w:t>(1,601)</w:t>
        <w:tab/>
        <w:t>Investment securities interest revenue</w:t>
      </w:r>
    </w:p>
    <w:p>
      <w:pPr>
        <w:ind w:left="160"/>
        <w:spacing w:after="0"/>
        <w:tabs>
          <w:tab w:leader="none" w:pos="580" w:val="left"/>
        </w:tabs>
        <w:rPr>
          <w:sz w:val="20"/>
          <w:szCs w:val="20"/>
          <w:color w:val="auto"/>
        </w:rPr>
      </w:pPr>
      <w:r>
        <w:rPr>
          <w:rFonts w:ascii="Arial" w:cs="Arial" w:eastAsia="Arial" w:hAnsi="Arial"/>
          <w:sz w:val="14"/>
          <w:szCs w:val="14"/>
          <w:color w:val="auto"/>
        </w:rPr>
        <w:t>596</w:t>
      </w:r>
      <w:r>
        <w:rPr>
          <w:sz w:val="20"/>
          <w:szCs w:val="20"/>
          <w:color w:val="auto"/>
        </w:rPr>
        <w:tab/>
      </w:r>
      <w:r>
        <w:rPr>
          <w:rFonts w:ascii="Arial" w:cs="Arial" w:eastAsia="Arial" w:hAnsi="Arial"/>
          <w:sz w:val="14"/>
          <w:szCs w:val="14"/>
          <w:color w:val="auto"/>
        </w:rPr>
        <w:t>Tax benefit</w:t>
      </w:r>
    </w:p>
    <w:p>
      <w:pPr>
        <w:spacing w:after="0"/>
        <w:tabs>
          <w:tab w:leader="none" w:pos="580" w:val="left"/>
        </w:tabs>
        <w:rPr>
          <w:sz w:val="20"/>
          <w:szCs w:val="20"/>
          <w:color w:val="auto"/>
        </w:rPr>
      </w:pPr>
      <w:r>
        <w:rPr>
          <w:rFonts w:ascii="Arial" w:cs="Arial" w:eastAsia="Arial" w:hAnsi="Arial"/>
          <w:sz w:val="22"/>
          <w:szCs w:val="22"/>
          <w:color w:val="auto"/>
          <w:vertAlign w:val="subscript"/>
        </w:rPr>
        <w:t>(1,005</w:t>
      </w:r>
      <w:r>
        <w:rPr>
          <w:rFonts w:ascii="Arial" w:cs="Arial" w:eastAsia="Arial" w:hAnsi="Arial"/>
          <w:sz w:val="12"/>
          <w:szCs w:val="12"/>
          <w:color w:val="auto"/>
        </w:rPr>
        <w:t>)</w:t>
      </w:r>
      <w:r>
        <w:rPr>
          <w:sz w:val="20"/>
          <w:szCs w:val="20"/>
          <w:color w:val="auto"/>
        </w:rPr>
        <w:tab/>
      </w:r>
      <w:r>
        <w:rPr>
          <w:rFonts w:ascii="Arial" w:cs="Arial" w:eastAsia="Arial" w:hAnsi="Arial"/>
          <w:sz w:val="13"/>
          <w:szCs w:val="13"/>
          <w:color w:val="auto"/>
        </w:rPr>
        <w:t>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7620</wp:posOffset>
            </wp:positionV>
            <wp:extent cx="7886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84" w:lineRule="exact"/>
        <w:rPr>
          <w:sz w:val="20"/>
          <w:szCs w:val="20"/>
          <w:color w:val="auto"/>
        </w:rPr>
      </w:pPr>
    </w:p>
    <w:p>
      <w:pPr>
        <w:jc w:val="right"/>
        <w:ind w:right="220"/>
        <w:spacing w:after="0"/>
        <w:rPr>
          <w:sz w:val="20"/>
          <w:szCs w:val="20"/>
          <w:color w:val="auto"/>
        </w:rPr>
      </w:pPr>
      <w:r>
        <w:rPr>
          <w:rFonts w:ascii="Arial" w:cs="Arial" w:eastAsia="Arial" w:hAnsi="Arial"/>
          <w:sz w:val="14"/>
          <w:szCs w:val="14"/>
          <w:color w:val="auto"/>
        </w:rPr>
        <w:t>Deposits in banks and short-term investments</w:t>
      </w:r>
    </w:p>
    <w:p>
      <w:pPr>
        <w:ind w:left="600" w:hanging="346"/>
        <w:spacing w:after="0"/>
        <w:tabs>
          <w:tab w:leader="none" w:pos="6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interest revenue</w:t>
      </w:r>
    </w:p>
    <w:p>
      <w:pPr>
        <w:spacing w:after="0" w:line="124" w:lineRule="exact"/>
        <w:rPr>
          <w:sz w:val="20"/>
          <w:szCs w:val="20"/>
          <w:color w:val="auto"/>
        </w:rPr>
      </w:pPr>
    </w:p>
    <w:p>
      <w:pPr>
        <w:ind w:left="600" w:right="340" w:hanging="490"/>
        <w:spacing w:after="0" w:line="268" w:lineRule="auto"/>
        <w:tabs>
          <w:tab w:leader="none" w:pos="600" w:val="left"/>
        </w:tabs>
        <w:numPr>
          <w:ilvl w:val="0"/>
          <w:numId w:val="7"/>
        </w:numPr>
        <w:rPr>
          <w:rFonts w:ascii="Arial" w:cs="Arial" w:eastAsia="Arial" w:hAnsi="Arial"/>
          <w:sz w:val="12"/>
          <w:szCs w:val="12"/>
          <w:color w:val="auto"/>
        </w:rPr>
      </w:pPr>
      <w:r>
        <w:rPr>
          <w:rFonts w:ascii="Arial" w:cs="Arial" w:eastAsia="Arial" w:hAnsi="Arial"/>
          <w:sz w:val="12"/>
          <w:szCs w:val="12"/>
          <w:color w:val="auto"/>
        </w:rPr>
        <w:t>Money market deposit interest expense Federal Home Loan Bank advances interest</w:t>
      </w:r>
    </w:p>
    <w:p>
      <w:pPr>
        <w:spacing w:after="0" w:line="1" w:lineRule="exact"/>
        <w:rPr>
          <w:sz w:val="20"/>
          <w:szCs w:val="20"/>
          <w:color w:val="auto"/>
        </w:rPr>
      </w:pPr>
    </w:p>
    <w:p>
      <w:pPr>
        <w:ind w:left="120"/>
        <w:spacing w:after="0"/>
        <w:tabs>
          <w:tab w:leader="none" w:pos="580" w:val="left"/>
        </w:tabs>
        <w:rPr>
          <w:sz w:val="20"/>
          <w:szCs w:val="20"/>
          <w:color w:val="auto"/>
        </w:rPr>
      </w:pPr>
      <w:r>
        <w:rPr>
          <w:rFonts w:ascii="Arial" w:cs="Arial" w:eastAsia="Arial" w:hAnsi="Arial"/>
          <w:sz w:val="14"/>
          <w:szCs w:val="14"/>
          <w:color w:val="auto"/>
        </w:rPr>
        <w:t>(924)</w:t>
      </w:r>
      <w:r>
        <w:rPr>
          <w:sz w:val="20"/>
          <w:szCs w:val="20"/>
          <w:color w:val="auto"/>
        </w:rPr>
        <w:tab/>
      </w:r>
      <w:r>
        <w:rPr>
          <w:rFonts w:ascii="Arial" w:cs="Arial" w:eastAsia="Arial" w:hAnsi="Arial"/>
          <w:sz w:val="12"/>
          <w:szCs w:val="12"/>
          <w:color w:val="auto"/>
        </w:rPr>
        <w:t>expense</w:t>
      </w:r>
    </w:p>
    <w:p>
      <w:pPr>
        <w:spacing w:after="0" w:line="6" w:lineRule="exact"/>
        <w:rPr>
          <w:sz w:val="20"/>
          <w:szCs w:val="20"/>
          <w:color w:val="auto"/>
        </w:rPr>
      </w:pPr>
    </w:p>
    <w:p>
      <w:pPr>
        <w:sectPr>
          <w:pgSz w:w="11900" w:h="16838" w:orient="portrait"/>
          <w:cols w:equalWidth="0" w:num="2">
            <w:col w:w="7260" w:space="720"/>
            <w:col w:w="3440"/>
          </w:cols>
          <w:pgMar w:left="240" w:top="229" w:right="2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6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(150)</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(466)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(740)</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(1,426)</w:t>
            </w:r>
          </w:p>
        </w:tc>
        <w:tc>
          <w:tcPr>
            <w:tcW w:w="1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100"/>
              <w:spacing w:after="0" w:line="144"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181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4"/>
                <w:szCs w:val="14"/>
                <w:color w:val="auto"/>
              </w:rPr>
              <w:t>288</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3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(92</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(285</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(452</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46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(871</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2940" w:type="dxa"/>
            <w:vAlign w:val="bottom"/>
            <w:tcBorders>
              <w:top w:val="single" w:sz="8" w:color="CCEEFF"/>
              <w:bottom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color w:val="auto"/>
                <w:w w:val="95"/>
              </w:rPr>
              <w:t>Reclassification of disproportionate tax effect related to terminated cash flow hedges: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769"/>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60" w:type="dxa"/>
            <w:vAlign w:val="bottom"/>
            <w:gridSpan w:val="2"/>
          </w:tcPr>
          <w:p>
            <w:pPr>
              <w:jc w:val="right"/>
              <w:ind w:right="34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(3,400)</w:t>
            </w:r>
          </w:p>
        </w:tc>
        <w:tc>
          <w:tcPr>
            <w:tcW w:w="460" w:type="dxa"/>
            <w:vAlign w:val="bottom"/>
          </w:tcPr>
          <w:p>
            <w:pPr>
              <w:jc w:val="right"/>
              <w:ind w:right="349"/>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2940" w:type="dxa"/>
            <w:vAlign w:val="bottom"/>
          </w:tcPr>
          <w:p>
            <w:pPr>
              <w:ind w:left="100"/>
              <w:spacing w:after="0" w:line="149" w:lineRule="exact"/>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900" w:type="dxa"/>
            <w:vAlign w:val="bottom"/>
            <w:gridSpan w:val="3"/>
            <w:shd w:val="clear" w:color="auto" w:fill="CCEEFF"/>
          </w:tcPr>
          <w:p>
            <w:pPr>
              <w:spacing w:after="0"/>
              <w:rPr>
                <w:sz w:val="12"/>
                <w:szCs w:val="12"/>
                <w:color w:val="auto"/>
              </w:rPr>
            </w:pPr>
          </w:p>
        </w:tc>
        <w:tc>
          <w:tcPr>
            <w:tcW w:w="1500" w:type="dxa"/>
            <w:vAlign w:val="bottom"/>
            <w:gridSpan w:val="3"/>
            <w:shd w:val="clear" w:color="auto" w:fill="CCEEFF"/>
          </w:tcPr>
          <w:p>
            <w:pPr>
              <w:spacing w:after="0"/>
              <w:rPr>
                <w:sz w:val="12"/>
                <w:szCs w:val="12"/>
                <w:color w:val="auto"/>
              </w:rPr>
            </w:pPr>
          </w:p>
        </w:tc>
        <w:tc>
          <w:tcPr>
            <w:tcW w:w="240" w:type="dxa"/>
            <w:vAlign w:val="bottom"/>
            <w:gridSpan w:val="2"/>
            <w:shd w:val="clear" w:color="auto" w:fill="CCEEFF"/>
          </w:tcPr>
          <w:p>
            <w:pPr>
              <w:spacing w:after="0"/>
              <w:rPr>
                <w:sz w:val="12"/>
                <w:szCs w:val="12"/>
                <w:color w:val="auto"/>
              </w:rPr>
            </w:pPr>
          </w:p>
        </w:tc>
        <w:tc>
          <w:tcPr>
            <w:tcW w:w="1240" w:type="dxa"/>
            <w:vAlign w:val="bottom"/>
            <w:gridSpan w:val="2"/>
            <w:shd w:val="clear" w:color="auto" w:fill="CCEEFF"/>
          </w:tcPr>
          <w:p>
            <w:pPr>
              <w:spacing w:after="0"/>
              <w:rPr>
                <w:sz w:val="12"/>
                <w:szCs w:val="12"/>
                <w:color w:val="auto"/>
              </w:rPr>
            </w:pPr>
          </w:p>
        </w:tc>
        <w:tc>
          <w:tcPr>
            <w:tcW w:w="680" w:type="dxa"/>
            <w:vAlign w:val="bottom"/>
            <w:gridSpan w:val="2"/>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560" w:type="dxa"/>
            <w:vAlign w:val="bottom"/>
            <w:gridSpan w:val="12"/>
          </w:tcPr>
          <w:p>
            <w:pPr>
              <w:jc w:val="right"/>
              <w:ind w:right="349"/>
              <w:spacing w:after="0" w:line="149" w:lineRule="exact"/>
              <w:rPr>
                <w:sz w:val="20"/>
                <w:szCs w:val="20"/>
                <w:color w:val="auto"/>
              </w:rPr>
            </w:pPr>
            <w:r>
              <w:rPr>
                <w:rFonts w:ascii="Arial" w:cs="Arial" w:eastAsia="Arial" w:hAnsi="Arial"/>
                <w:sz w:val="14"/>
                <w:szCs w:val="14"/>
                <w:color w:val="auto"/>
                <w:w w:val="93"/>
              </w:rPr>
              <w:t>Amortization of prior service cost and actuarial losses included in net periodic pension cost for defined benefit pension plan: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Prior service cost</w:t>
            </w:r>
          </w:p>
        </w:tc>
        <w:tc>
          <w:tcPr>
            <w:tcW w:w="54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(140)</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(125)</w:t>
            </w:r>
          </w:p>
        </w:tc>
        <w:tc>
          <w:tcPr>
            <w:tcW w:w="560" w:type="dxa"/>
            <w:vAlign w:val="bottom"/>
            <w:gridSpan w:val="2"/>
            <w:shd w:val="clear" w:color="auto" w:fill="CCEEFF"/>
          </w:tcPr>
          <w:p>
            <w:pPr>
              <w:jc w:val="right"/>
              <w:ind w:right="34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(420)</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(375)</w:t>
            </w:r>
          </w:p>
        </w:tc>
        <w:tc>
          <w:tcPr>
            <w:tcW w:w="29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ind w:left="160"/>
              <w:spacing w:after="0"/>
              <w:rPr>
                <w:sz w:val="20"/>
                <w:szCs w:val="20"/>
                <w:color w:val="auto"/>
              </w:rPr>
            </w:pPr>
            <w:r>
              <w:rPr>
                <w:rFonts w:ascii="Arial" w:cs="Arial" w:eastAsia="Arial" w:hAnsi="Arial"/>
                <w:sz w:val="14"/>
                <w:szCs w:val="14"/>
                <w:color w:val="auto"/>
              </w:rPr>
              <w:t>Actuarial losses</w:t>
            </w:r>
          </w:p>
        </w:tc>
        <w:tc>
          <w:tcPr>
            <w:tcW w:w="540" w:type="dxa"/>
            <w:vAlign w:val="bottom"/>
          </w:tcPr>
          <w:p>
            <w:pPr>
              <w:spacing w:after="0"/>
              <w:rPr>
                <w:sz w:val="14"/>
                <w:szCs w:val="14"/>
                <w:color w:val="auto"/>
              </w:rPr>
            </w:pPr>
          </w:p>
        </w:tc>
        <w:tc>
          <w:tcPr>
            <w:tcW w:w="980" w:type="dxa"/>
            <w:vAlign w:val="bottom"/>
            <w:gridSpan w:val="2"/>
          </w:tcPr>
          <w:p>
            <w:pPr>
              <w:jc w:val="right"/>
              <w:ind w:right="159"/>
              <w:spacing w:after="0"/>
              <w:rPr>
                <w:sz w:val="20"/>
                <w:szCs w:val="20"/>
                <w:color w:val="auto"/>
              </w:rPr>
            </w:pPr>
            <w:r>
              <w:rPr>
                <w:rFonts w:ascii="Arial" w:cs="Arial" w:eastAsia="Arial" w:hAnsi="Arial"/>
                <w:sz w:val="14"/>
                <w:szCs w:val="14"/>
                <w:color w:val="auto"/>
              </w:rPr>
              <w:t>(60)</w:t>
            </w:r>
          </w:p>
        </w:tc>
        <w:tc>
          <w:tcPr>
            <w:tcW w:w="880" w:type="dxa"/>
            <w:vAlign w:val="bottom"/>
          </w:tcPr>
          <w:p>
            <w:pPr>
              <w:spacing w:after="0"/>
              <w:rPr>
                <w:sz w:val="14"/>
                <w:szCs w:val="14"/>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4"/>
                <w:szCs w:val="14"/>
                <w:color w:val="auto"/>
              </w:rPr>
              <w:t>(180)</w:t>
            </w:r>
          </w:p>
        </w:tc>
        <w:tc>
          <w:tcPr>
            <w:tcW w:w="460" w:type="dxa"/>
            <w:vAlign w:val="bottom"/>
          </w:tcPr>
          <w:p>
            <w:pPr>
              <w:spacing w:after="0"/>
              <w:rPr>
                <w:sz w:val="14"/>
                <w:szCs w:val="14"/>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4"/>
                <w:szCs w:val="14"/>
                <w:color w:val="auto"/>
              </w:rPr>
              <w:t>(126)</w:t>
            </w:r>
          </w:p>
        </w:tc>
        <w:tc>
          <w:tcPr>
            <w:tcW w:w="2940" w:type="dxa"/>
            <w:vAlign w:val="bottom"/>
          </w:tcPr>
          <w:p>
            <w:pPr>
              <w:ind w:left="100"/>
              <w:spacing w:after="0"/>
              <w:rPr>
                <w:sz w:val="20"/>
                <w:szCs w:val="20"/>
                <w:color w:val="auto"/>
              </w:rPr>
            </w:pPr>
            <w:r>
              <w:rPr>
                <w:rFonts w:ascii="Arial" w:cs="Arial" w:eastAsia="Arial" w:hAnsi="Arial"/>
                <w:sz w:val="14"/>
                <w:szCs w:val="14"/>
                <w:color w:val="auto"/>
              </w:rPr>
              <w:t>Salaries and employee benefits expense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(200)</w:t>
            </w:r>
          </w:p>
        </w:tc>
        <w:tc>
          <w:tcPr>
            <w:tcW w:w="24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(600)</w:t>
            </w:r>
          </w:p>
        </w:tc>
        <w:tc>
          <w:tcPr>
            <w:tcW w:w="2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(501)</w:t>
            </w:r>
          </w:p>
        </w:tc>
        <w:tc>
          <w:tcPr>
            <w:tcW w:w="120" w:type="dxa"/>
            <w:vAlign w:val="bottom"/>
            <w:tcBorders>
              <w:top w:val="single" w:sz="8" w:color="CCEEFF"/>
            </w:tcBorders>
            <w:shd w:val="clear" w:color="auto" w:fill="CCEEFF"/>
          </w:tcPr>
          <w:p>
            <w:pPr>
              <w:spacing w:after="0"/>
              <w:rPr>
                <w:sz w:val="12"/>
                <w:szCs w:val="12"/>
                <w:color w:val="auto"/>
              </w:rPr>
            </w:pPr>
          </w:p>
        </w:tc>
        <w:tc>
          <w:tcPr>
            <w:tcW w:w="294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color w:val="auto"/>
              </w:rPr>
              <w:t>Total before tax</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65</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2"/>
          </w:tcPr>
          <w:p>
            <w:pPr>
              <w:jc w:val="right"/>
              <w:ind w:right="179"/>
              <w:spacing w:after="0"/>
              <w:rPr>
                <w:sz w:val="20"/>
                <w:szCs w:val="20"/>
                <w:color w:val="auto"/>
              </w:rPr>
            </w:pPr>
            <w:r>
              <w:rPr>
                <w:rFonts w:ascii="Arial" w:cs="Arial" w:eastAsia="Arial" w:hAnsi="Arial"/>
                <w:sz w:val="14"/>
                <w:szCs w:val="14"/>
                <w:color w:val="auto"/>
              </w:rPr>
              <w:t>235</w:t>
            </w:r>
          </w:p>
        </w:tc>
        <w:tc>
          <w:tcPr>
            <w:tcW w:w="4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4"/>
                <w:szCs w:val="14"/>
                <w:color w:val="auto"/>
              </w:rPr>
            </w:pPr>
          </w:p>
        </w:tc>
        <w:tc>
          <w:tcPr>
            <w:tcW w:w="2940" w:type="dxa"/>
            <w:vAlign w:val="bottom"/>
          </w:tcPr>
          <w:p>
            <w:pPr>
              <w:ind w:left="100"/>
              <w:spacing w:after="0"/>
              <w:rPr>
                <w:sz w:val="20"/>
                <w:szCs w:val="20"/>
                <w:color w:val="auto"/>
              </w:rPr>
            </w:pPr>
            <w:r>
              <w:rPr>
                <w:rFonts w:ascii="Arial" w:cs="Arial" w:eastAsia="Arial" w:hAnsi="Arial"/>
                <w:sz w:val="14"/>
                <w:szCs w:val="14"/>
                <w:color w:val="auto"/>
              </w:rPr>
              <w:t>Tax benefit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38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(102</w:t>
            </w:r>
          </w:p>
        </w:tc>
        <w:tc>
          <w:tcPr>
            <w:tcW w:w="14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84"/>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(365</w:t>
            </w:r>
          </w:p>
        </w:tc>
        <w:tc>
          <w:tcPr>
            <w:tcW w:w="220" w:type="dxa"/>
            <w:vAlign w:val="bottom"/>
            <w:tcBorders>
              <w:top w:val="single" w:sz="8" w:color="CCEEFF"/>
              <w:bottom w:val="single" w:sz="8" w:color="CCEEFF"/>
            </w:tcBorders>
            <w:shd w:val="clear" w:color="auto" w:fill="CCEEFF"/>
          </w:tcPr>
          <w:p>
            <w:pPr>
              <w:jc w:val="right"/>
              <w:ind w:right="139"/>
              <w:spacing w:after="0"/>
              <w:rPr>
                <w:sz w:val="20"/>
                <w:szCs w:val="20"/>
                <w:color w:val="auto"/>
              </w:rPr>
            </w:pPr>
            <w:r>
              <w:rPr>
                <w:rFonts w:ascii="Arial" w:cs="Arial" w:eastAsia="Arial" w:hAnsi="Arial"/>
                <w:sz w:val="8"/>
                <w:szCs w:val="8"/>
                <w:color w:val="auto"/>
                <w:w w:val="73"/>
              </w:rPr>
              <w:t>)</w:t>
            </w:r>
          </w:p>
        </w:tc>
        <w:tc>
          <w:tcPr>
            <w:tcW w:w="460" w:type="dxa"/>
            <w:vAlign w:val="bottom"/>
            <w:tcBorders>
              <w:top w:val="single" w:sz="8" w:color="auto"/>
              <w:bottom w:val="single" w:sz="8" w:color="auto"/>
            </w:tcBorders>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(306</w:t>
            </w:r>
          </w:p>
        </w:tc>
        <w:tc>
          <w:tcPr>
            <w:tcW w:w="1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color w:val="auto"/>
                <w:w w:val="73"/>
              </w:rPr>
              <w:t>)</w:t>
            </w:r>
          </w:p>
        </w:tc>
        <w:tc>
          <w:tcPr>
            <w:tcW w:w="2940" w:type="dxa"/>
            <w:vAlign w:val="bottom"/>
            <w:tcBorders>
              <w:top w:val="single" w:sz="8" w:color="CCEEFF"/>
              <w:bottom w:val="single" w:sz="8" w:color="CCEEFF"/>
            </w:tcBorders>
            <w:shd w:val="clear" w:color="auto" w:fill="CCEEFF"/>
          </w:tcPr>
          <w:p>
            <w:pPr>
              <w:ind w:left="100"/>
              <w:spacing w:after="0" w:line="155" w:lineRule="exact"/>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4"/>
                <w:szCs w:val="14"/>
                <w:color w:val="auto"/>
              </w:rPr>
              <w:t>Total reclassifications for the period</w:t>
            </w:r>
          </w:p>
        </w:tc>
        <w:tc>
          <w:tcPr>
            <w:tcW w:w="54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59"/>
              <w:spacing w:after="0" w:line="176" w:lineRule="exact"/>
              <w:rPr>
                <w:sz w:val="20"/>
                <w:szCs w:val="20"/>
                <w:color w:val="auto"/>
              </w:rPr>
            </w:pPr>
            <w:r>
              <w:rPr>
                <w:rFonts w:ascii="Arial" w:cs="Arial" w:eastAsia="Arial" w:hAnsi="Arial"/>
                <w:sz w:val="12"/>
                <w:szCs w:val="12"/>
                <w:color w:val="auto"/>
              </w:rPr>
              <w:t>(272</w:t>
            </w:r>
            <w:r>
              <w:rPr>
                <w:rFonts w:ascii="Arial" w:cs="Arial" w:eastAsia="Arial" w:hAnsi="Arial"/>
                <w:sz w:val="20"/>
                <w:szCs w:val="20"/>
                <w:color w:val="auto"/>
                <w:vertAlign w:val="superscript"/>
              </w:rPr>
              <w:t>)</w:t>
            </w:r>
          </w:p>
        </w:tc>
        <w:tc>
          <w:tcPr>
            <w:tcW w:w="880" w:type="dxa"/>
            <w:vAlign w:val="bottom"/>
            <w:shd w:val="clear" w:color="auto" w:fill="CCEEFF"/>
          </w:tcPr>
          <w:p>
            <w:pPr>
              <w:jc w:val="right"/>
              <w:ind w:right="769"/>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8"/>
              <w:spacing w:after="0" w:line="176" w:lineRule="exact"/>
              <w:rPr>
                <w:sz w:val="20"/>
                <w:szCs w:val="20"/>
                <w:color w:val="auto"/>
              </w:rPr>
            </w:pPr>
            <w:r>
              <w:rPr>
                <w:rFonts w:ascii="Arial" w:cs="Arial" w:eastAsia="Arial" w:hAnsi="Arial"/>
                <w:sz w:val="12"/>
                <w:szCs w:val="12"/>
                <w:color w:val="auto"/>
              </w:rPr>
              <w:t>(653</w:t>
            </w:r>
            <w:r>
              <w:rPr>
                <w:rFonts w:ascii="Arial" w:cs="Arial" w:eastAsia="Arial" w:hAnsi="Arial"/>
                <w:sz w:val="20"/>
                <w:szCs w:val="20"/>
                <w:color w:val="auto"/>
                <w:vertAlign w:val="superscript"/>
              </w:rPr>
              <w:t>)</w:t>
            </w:r>
          </w:p>
        </w:tc>
        <w:tc>
          <w:tcPr>
            <w:tcW w:w="560" w:type="dxa"/>
            <w:vAlign w:val="bottom"/>
            <w:gridSpan w:val="2"/>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39"/>
              <w:spacing w:after="0" w:line="176" w:lineRule="exact"/>
              <w:rPr>
                <w:sz w:val="20"/>
                <w:szCs w:val="20"/>
                <w:color w:val="auto"/>
              </w:rPr>
            </w:pPr>
            <w:r>
              <w:rPr>
                <w:rFonts w:ascii="Arial" w:cs="Arial" w:eastAsia="Arial" w:hAnsi="Arial"/>
                <w:sz w:val="12"/>
                <w:szCs w:val="12"/>
                <w:color w:val="auto"/>
              </w:rPr>
              <w:t>(4,629</w:t>
            </w:r>
            <w:r>
              <w:rPr>
                <w:rFonts w:ascii="Arial" w:cs="Arial" w:eastAsia="Arial" w:hAnsi="Arial"/>
                <w:sz w:val="20"/>
                <w:szCs w:val="20"/>
                <w:color w:val="auto"/>
                <w:vertAlign w:val="superscript"/>
              </w:rPr>
              <w:t>)</w:t>
            </w:r>
          </w:p>
        </w:tc>
        <w:tc>
          <w:tcPr>
            <w:tcW w:w="460" w:type="dxa"/>
            <w:vAlign w:val="bottom"/>
            <w:shd w:val="clear" w:color="auto" w:fill="CCEEFF"/>
          </w:tcPr>
          <w:p>
            <w:pPr>
              <w:jc w:val="right"/>
              <w:ind w:right="3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9"/>
              <w:spacing w:after="0" w:line="176" w:lineRule="exact"/>
              <w:rPr>
                <w:sz w:val="20"/>
                <w:szCs w:val="20"/>
                <w:color w:val="auto"/>
              </w:rPr>
            </w:pPr>
            <w:r>
              <w:rPr>
                <w:rFonts w:ascii="Arial" w:cs="Arial" w:eastAsia="Arial" w:hAnsi="Arial"/>
                <w:sz w:val="12"/>
                <w:szCs w:val="12"/>
                <w:color w:val="auto"/>
              </w:rPr>
              <w:t>(1,608</w:t>
            </w:r>
            <w:r>
              <w:rPr>
                <w:rFonts w:ascii="Arial" w:cs="Arial" w:eastAsia="Arial" w:hAnsi="Arial"/>
                <w:sz w:val="20"/>
                <w:szCs w:val="20"/>
                <w:color w:val="auto"/>
                <w:vertAlign w:val="superscript"/>
              </w:rPr>
              <w:t>)</w:t>
            </w:r>
          </w:p>
        </w:tc>
        <w:tc>
          <w:tcPr>
            <w:tcW w:w="29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2016, United accrued dividends of $21,000 on its Series H preferred stock. The Series H preferred stock was redeemed in the first quarter of 2016; accordingly, United did not accrue any dividends in 2017 or the third quarter of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25,874</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79,737</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w w:val="91"/>
              </w:rPr>
              <w:t>Dividends and undistributed earnings allocated to unvested shares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(659)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Preferred dividends</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available to common shareholders</w:t>
            </w:r>
          </w:p>
        </w:tc>
        <w:tc>
          <w:tcPr>
            <w:tcW w:w="1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25,874</w:t>
            </w:r>
          </w:p>
        </w:tc>
        <w:tc>
          <w:tcPr>
            <w:tcW w:w="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79,078</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73,414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71,556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72,060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71,992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Stock options</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73,162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71,561</w:t>
            </w:r>
          </w:p>
        </w:tc>
        <w:tc>
          <w:tcPr>
            <w:tcW w:w="1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80" w:type="dxa"/>
            <w:vAlign w:val="bottom"/>
            <w:tcBorders>
              <w:top w:val="single" w:sz="8" w:color="CCEEFF"/>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2017, United had the following potentially dilutive stock options and warrants outstanding: a warrant to purchase 219,909 shares of common stock at $61.40 per share; 60,489 shares of common stock issuable upon exercise of stock options granted to employees with a weighted average exercise price of $24.15; and 710,145 shares of common stock issuable upon the vesting of restricted stock unit awards.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September 30, 2016, United had the following potentially dilutive stock options and warrants outstanding: a warrant to purchase 219,909 shares of common stock at $61.40 per share; 185,688 shares of common stock issuable upon exercise of stock options granted to employees with a weighted average exercise price of $77.63; and 674,862 shares of common stock issuable upon the vesting of restricted stock unit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ectPr>
          <w:pgSz w:w="11900" w:h="16838" w:orient="portrait"/>
          <w:cols w:equalWidth="0" w:num="1">
            <w:col w:w="11420"/>
          </w:cols>
          <w:pgMar w:left="240" w:top="229" w:right="23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derivative financial instruments as of the dates indicated as well as their classification on the consolidated balance sheet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 under ASC 815</w:t>
            </w:r>
          </w:p>
        </w:tc>
        <w:tc>
          <w:tcPr>
            <w:tcW w:w="1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Fair Value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Balance Sheet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Interest Rate Products</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 of corporate bonds</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assets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60" w:type="dxa"/>
            <w:vAlign w:val="bottom"/>
            <w:gridSpan w:val="3"/>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Fair value hedge of brokered CDs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Derivative liabilities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1,816</w:t>
            </w:r>
          </w:p>
        </w:tc>
        <w:tc>
          <w:tcPr>
            <w:tcW w:w="560" w:type="dxa"/>
            <w:vAlign w:val="bottom"/>
            <w:gridSpan w:val="3"/>
          </w:tcPr>
          <w:p>
            <w:pPr>
              <w:jc w:val="right"/>
              <w:ind w:right="19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5"/>
              </w:rPr>
              <w:t>Derivatives not designated as hedging instruments under ASC 815</w:t>
            </w: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Fair Value</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vMerge w:val="continue"/>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tcBorders>
              <w:bottom w:val="single" w:sz="8" w:color="auto"/>
            </w:tcBorders>
          </w:tcPr>
          <w:p>
            <w:pPr>
              <w:ind w:left="1820"/>
              <w:spacing w:after="0"/>
              <w:rPr>
                <w:sz w:val="20"/>
                <w:szCs w:val="20"/>
                <w:color w:val="auto"/>
              </w:rPr>
            </w:pPr>
            <w:r>
              <w:rPr>
                <w:rFonts w:ascii="Arial" w:cs="Arial" w:eastAsia="Arial" w:hAnsi="Arial"/>
                <w:sz w:val="18"/>
                <w:szCs w:val="18"/>
                <w:b w:val="1"/>
                <w:bCs w:val="1"/>
                <w:color w:val="auto"/>
              </w:rPr>
              <w:t>Interest Rate Products</w:t>
            </w:r>
          </w:p>
        </w:tc>
        <w:tc>
          <w:tcPr>
            <w:tcW w:w="100" w:type="dxa"/>
            <w:vAlign w:val="bottom"/>
          </w:tcPr>
          <w:p>
            <w:pPr>
              <w:spacing w:after="0"/>
              <w:rPr>
                <w:sz w:val="20"/>
                <w:szCs w:val="2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Customer derivative positions</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assets</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560" w:type="dxa"/>
            <w:vAlign w:val="bottom"/>
            <w:gridSpan w:val="3"/>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Dealer offsets to customer derivative positions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Derivative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4,424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 loan commitment</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Mortgage banking - forward sales commitment</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Derivative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Bifurcated embedded derivatives</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Interest rate caps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Derivative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Offsetting positions for de-designated hedges</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assets</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20,905</w:t>
            </w:r>
          </w:p>
        </w:tc>
        <w:tc>
          <w:tcPr>
            <w:tcW w:w="240" w:type="dxa"/>
            <w:vAlign w:val="bottom"/>
            <w:tcBorders>
              <w:bottom w:val="single" w:sz="8" w:color="CCEEFF"/>
            </w:tcBorders>
            <w:gridSpan w:val="2"/>
          </w:tcPr>
          <w:p>
            <w:pPr>
              <w:spacing w:after="0"/>
              <w:rPr>
                <w:sz w:val="22"/>
                <w:szCs w:val="22"/>
                <w:color w:val="auto"/>
              </w:rPr>
            </w:pPr>
          </w:p>
        </w:tc>
        <w:tc>
          <w:tcPr>
            <w:tcW w:w="32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23,423</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Customer derivative positions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Derivative liabilities</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4,524</w:t>
            </w:r>
          </w:p>
        </w:tc>
        <w:tc>
          <w:tcPr>
            <w:tcW w:w="560" w:type="dxa"/>
            <w:vAlign w:val="bottom"/>
            <w:gridSpan w:val="3"/>
          </w:tcPr>
          <w:p>
            <w:pPr>
              <w:jc w:val="right"/>
              <w:ind w:right="19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Dealer offsets to customer derivative positions</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Risk participations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Mortgage banking - forward sales commitment</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Dealer offsets to bifurcated embedded derivatives</w:t>
            </w:r>
          </w:p>
        </w:tc>
        <w:tc>
          <w:tcPr>
            <w:tcW w:w="2580" w:type="dxa"/>
            <w:vAlign w:val="bottom"/>
            <w:gridSpan w:val="2"/>
          </w:tcPr>
          <w:p>
            <w:pPr>
              <w:ind w:left="10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De-designated hedges</w:t>
            </w:r>
          </w:p>
        </w:tc>
        <w:tc>
          <w:tcPr>
            <w:tcW w:w="2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Derivative liabilities</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21,110</w:t>
            </w:r>
          </w:p>
        </w:tc>
        <w:tc>
          <w:tcPr>
            <w:tcW w:w="240" w:type="dxa"/>
            <w:vAlign w:val="bottom"/>
            <w:gridSpan w:val="2"/>
          </w:tcPr>
          <w:p>
            <w:pPr>
              <w:spacing w:after="0"/>
              <w:rPr>
                <w:sz w:val="19"/>
                <w:szCs w:val="19"/>
                <w:color w:val="auto"/>
              </w:rPr>
            </w:pPr>
          </w:p>
        </w:tc>
        <w:tc>
          <w:tcPr>
            <w:tcW w:w="320" w:type="dxa"/>
            <w:vAlign w:val="bottom"/>
          </w:tcPr>
          <w:p>
            <w:pPr>
              <w:jc w:val="right"/>
              <w:ind w:right="197"/>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Customer derivative positions are between United and certain commercial loan customers with offsetting positions to dealers under a back-to-back swap/cap program. 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LIBOR and therefore provide an economic hedge.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accommodate customers, United occasionally enters into credit risk participation agreements with counterparty banks to accept a portion of the credit risk related to interest rate swaps. This allows customers to execute an interest rate swap with one bank while allowing for the distribution of the credit risk among participating members. Credit risk participation agreements arise when United contracts with other financial institutions, as a guarantor, to share credit risk associated with certain interest rate swaps. These agreements provide for reimbursement of losses resulting from a third party default on the underlying swap. These transactions are typically executed in conjunction with a participation in a loan with the same customer. Collateral used to support the credit risk for the underlying lending relationship is also available to offset the risk of the credit risk participation.</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Most of this hedging activity is executed on a matched basis, with a loan sale commitment hedging a specific loan. The commitments to originate residential mortgage loans and forward loan sales commitments are freestanding derivative instruments. Beginning late in the third quarter of 2016 for newly originated mortgage loans, United began to account for the underlying loans at fair value pursuant to the fair value option, and these loans are not reflected in the table above. Fair value adjustments on these derivative instruments are recorded within mortgage loan and other related fee income in the consolidated statement of income.</w:t>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second quarter of 2017, United purchased interest rate caps with a notional amount of $200 million to serve as an economic macro hedge of exposure to rising interest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2017 and December 31, 2016 United did not have any designated cash flow hedges. Changes in balance sheet composition and interest rate risk position made cash flow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 United expects that $545,000 will be reclassified as an increase to interest expense over the next twelve months related to these cash flow hedges.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presents the effect of cash flow hedges on the consolidated statement of income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jc w:val="center"/>
              <w:ind w:left="168"/>
              <w:spacing w:after="0"/>
              <w:rPr>
                <w:sz w:val="20"/>
                <w:szCs w:val="20"/>
                <w:color w:val="auto"/>
              </w:rPr>
            </w:pPr>
            <w:r>
              <w:rPr>
                <w:rFonts w:ascii="Arial" w:cs="Arial" w:eastAsia="Arial" w:hAnsi="Arial"/>
                <w:sz w:val="14"/>
                <w:szCs w:val="14"/>
                <w:b w:val="1"/>
                <w:bCs w:val="1"/>
                <w:color w:val="auto"/>
                <w:w w:val="92"/>
              </w:rPr>
              <w:t>Amount of Gain (Loss)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5"/>
          </w:tcPr>
          <w:p>
            <w:pPr>
              <w:jc w:val="center"/>
              <w:ind w:left="168"/>
              <w:spacing w:after="0" w:line="149" w:lineRule="exact"/>
              <w:rPr>
                <w:sz w:val="20"/>
                <w:szCs w:val="20"/>
                <w:color w:val="auto"/>
              </w:rPr>
            </w:pPr>
            <w:r>
              <w:rPr>
                <w:rFonts w:ascii="Arial" w:cs="Arial" w:eastAsia="Arial" w:hAnsi="Arial"/>
                <w:sz w:val="14"/>
                <w:szCs w:val="14"/>
                <w:b w:val="1"/>
                <w:bCs w:val="1"/>
                <w:color w:val="auto"/>
                <w:w w:val="93"/>
              </w:rPr>
              <w:t>Recognized in Other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20" w:type="dxa"/>
            <w:vAlign w:val="bottom"/>
            <w:gridSpan w:val="7"/>
            <w:vMerge w:val="restart"/>
          </w:tcPr>
          <w:p>
            <w:pPr>
              <w:jc w:val="center"/>
              <w:ind w:right="500"/>
              <w:spacing w:after="0"/>
              <w:rPr>
                <w:sz w:val="20"/>
                <w:szCs w:val="20"/>
                <w:color w:val="auto"/>
              </w:rPr>
            </w:pPr>
            <w:r>
              <w:rPr>
                <w:rFonts w:ascii="Arial" w:cs="Arial" w:eastAsia="Arial" w:hAnsi="Arial"/>
                <w:sz w:val="14"/>
                <w:szCs w:val="14"/>
                <w:b w:val="1"/>
                <w:bCs w:val="1"/>
                <w:color w:val="auto"/>
                <w:w w:val="92"/>
              </w:rPr>
              <w:t>Gain (Loss) Reclassified from</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5"/>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Comprehensive Income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520" w:type="dxa"/>
            <w:vAlign w:val="bottom"/>
            <w:gridSpan w:val="7"/>
            <w:vMerge w:val="continue"/>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80" w:type="dxa"/>
            <w:vAlign w:val="bottom"/>
            <w:gridSpan w:val="8"/>
            <w:vMerge w:val="restart"/>
          </w:tcPr>
          <w:p>
            <w:pPr>
              <w:jc w:val="center"/>
              <w:spacing w:after="0"/>
              <w:rPr>
                <w:sz w:val="20"/>
                <w:szCs w:val="20"/>
                <w:color w:val="auto"/>
              </w:rPr>
            </w:pPr>
            <w:r>
              <w:rPr>
                <w:rFonts w:ascii="Arial" w:cs="Arial" w:eastAsia="Arial" w:hAnsi="Arial"/>
                <w:sz w:val="14"/>
                <w:szCs w:val="14"/>
                <w:b w:val="1"/>
                <w:bCs w:val="1"/>
                <w:color w:val="auto"/>
                <w:w w:val="92"/>
              </w:rPr>
              <w:t>Gain (Loss) Recognized 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5"/>
          </w:tcPr>
          <w:p>
            <w:pPr>
              <w:jc w:val="center"/>
              <w:ind w:left="168"/>
              <w:spacing w:after="0" w:line="149" w:lineRule="exact"/>
              <w:rPr>
                <w:sz w:val="20"/>
                <w:szCs w:val="20"/>
                <w:color w:val="auto"/>
              </w:rPr>
            </w:pPr>
            <w:r>
              <w:rPr>
                <w:rFonts w:ascii="Arial" w:cs="Arial" w:eastAsia="Arial" w:hAnsi="Arial"/>
                <w:sz w:val="14"/>
                <w:szCs w:val="14"/>
                <w:b w:val="1"/>
                <w:bCs w:val="1"/>
                <w:color w:val="auto"/>
                <w:w w:val="92"/>
              </w:rPr>
              <w:t>on Derivative (Effective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gridSpan w:val="8"/>
          </w:tcPr>
          <w:p>
            <w:pPr>
              <w:jc w:val="center"/>
              <w:ind w:left="448"/>
              <w:spacing w:after="0" w:line="149" w:lineRule="exact"/>
              <w:rPr>
                <w:sz w:val="20"/>
                <w:szCs w:val="20"/>
                <w:color w:val="auto"/>
              </w:rPr>
            </w:pPr>
            <w:r>
              <w:rPr>
                <w:rFonts w:ascii="Arial" w:cs="Arial" w:eastAsia="Arial" w:hAnsi="Arial"/>
                <w:sz w:val="14"/>
                <w:szCs w:val="14"/>
                <w:b w:val="1"/>
                <w:bCs w:val="1"/>
                <w:color w:val="auto"/>
                <w:w w:val="93"/>
              </w:rPr>
              <w:t>Accumulated Other Comprehensive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18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right="720"/>
              <w:spacing w:after="0"/>
              <w:rPr>
                <w:sz w:val="20"/>
                <w:szCs w:val="20"/>
                <w:color w:val="auto"/>
              </w:rPr>
            </w:pPr>
            <w:r>
              <w:rPr>
                <w:rFonts w:ascii="Arial" w:cs="Arial" w:eastAsia="Arial" w:hAnsi="Arial"/>
                <w:sz w:val="14"/>
                <w:szCs w:val="14"/>
                <w:b w:val="1"/>
                <w:bCs w:val="1"/>
                <w:color w:val="auto"/>
                <w:w w:val="96"/>
              </w:rPr>
              <w:t>Portion)</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40" w:type="dxa"/>
            <w:vAlign w:val="bottom"/>
            <w:tcBorders>
              <w:bottom w:val="single" w:sz="8" w:color="auto"/>
            </w:tcBorders>
            <w:gridSpan w:val="8"/>
          </w:tcPr>
          <w:p>
            <w:pPr>
              <w:jc w:val="center"/>
              <w:ind w:left="468"/>
              <w:spacing w:after="0"/>
              <w:rPr>
                <w:sz w:val="20"/>
                <w:szCs w:val="20"/>
                <w:color w:val="auto"/>
              </w:rPr>
            </w:pPr>
            <w:r>
              <w:rPr>
                <w:rFonts w:ascii="Arial" w:cs="Arial" w:eastAsia="Arial" w:hAnsi="Arial"/>
                <w:sz w:val="14"/>
                <w:szCs w:val="14"/>
                <w:b w:val="1"/>
                <w:bCs w:val="1"/>
                <w:color w:val="auto"/>
                <w:w w:val="93"/>
              </w:rPr>
              <w:t>Income into Income (Effective Portion)</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tcBorders>
              <w:bottom w:val="single" w:sz="8" w:color="auto"/>
            </w:tcBorders>
            <w:gridSpan w:val="6"/>
          </w:tcPr>
          <w:p>
            <w:pPr>
              <w:jc w:val="center"/>
              <w:ind w:left="488"/>
              <w:spacing w:after="0"/>
              <w:rPr>
                <w:sz w:val="20"/>
                <w:szCs w:val="20"/>
                <w:color w:val="auto"/>
              </w:rPr>
            </w:pPr>
            <w:r>
              <w:rPr>
                <w:rFonts w:ascii="Arial" w:cs="Arial" w:eastAsia="Arial" w:hAnsi="Arial"/>
                <w:sz w:val="14"/>
                <w:szCs w:val="14"/>
                <w:b w:val="1"/>
                <w:bCs w:val="1"/>
                <w:color w:val="auto"/>
                <w:w w:val="94"/>
              </w:rPr>
              <w:t>Derivative (Ineffective Portion)</w:t>
            </w:r>
          </w:p>
        </w:tc>
        <w:tc>
          <w:tcPr>
            <w:tcW w:w="5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ind w:left="360"/>
              <w:spacing w:after="0" w:line="155" w:lineRule="exact"/>
              <w:rPr>
                <w:sz w:val="20"/>
                <w:szCs w:val="20"/>
                <w:color w:val="auto"/>
              </w:rPr>
            </w:pPr>
            <w:r>
              <w:rPr>
                <w:rFonts w:ascii="Arial" w:cs="Arial" w:eastAsia="Arial" w:hAnsi="Arial"/>
                <w:sz w:val="14"/>
                <w:szCs w:val="14"/>
                <w:b w:val="1"/>
                <w:bCs w:val="1"/>
                <w:color w:val="auto"/>
              </w:rPr>
              <w:t>Location</w:t>
            </w:r>
          </w:p>
        </w:tc>
        <w:tc>
          <w:tcPr>
            <w:tcW w:w="1200" w:type="dxa"/>
            <w:vAlign w:val="bottom"/>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3"/>
                <w:szCs w:val="13"/>
                <w:color w:val="auto"/>
              </w:rPr>
            </w:pPr>
          </w:p>
        </w:tc>
        <w:tc>
          <w:tcPr>
            <w:tcW w:w="760" w:type="dxa"/>
            <w:vAlign w:val="bottom"/>
          </w:tcPr>
          <w:p>
            <w:pPr>
              <w:jc w:val="right"/>
              <w:ind w:right="2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108"/>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4"/>
              </w:rPr>
              <w:t>Three Months Ended September 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w w:val="98"/>
              </w:rPr>
              <w:t>Interest rate swaps</w:t>
            </w:r>
          </w:p>
        </w:tc>
        <w:tc>
          <w:tcPr>
            <w:tcW w:w="108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96"/>
              </w:rPr>
              <w:t>Interest expense</w:t>
            </w:r>
          </w:p>
        </w:tc>
        <w:tc>
          <w:tcPr>
            <w:tcW w:w="1200" w:type="dxa"/>
            <w:vAlign w:val="bottom"/>
            <w:gridSpan w:val="3"/>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2"/>
                <w:szCs w:val="12"/>
                <w:color w:val="auto"/>
              </w:rPr>
              <w:t>(150</w:t>
            </w:r>
            <w:r>
              <w:rPr>
                <w:rFonts w:ascii="Arial" w:cs="Arial" w:eastAsia="Arial" w:hAnsi="Arial"/>
                <w:sz w:val="20"/>
                <w:szCs w:val="20"/>
                <w:color w:val="auto"/>
                <w:vertAlign w:val="superscript"/>
              </w:rPr>
              <w:t>)</w:t>
            </w:r>
          </w:p>
        </w:tc>
        <w:tc>
          <w:tcPr>
            <w:tcW w:w="840" w:type="dxa"/>
            <w:vAlign w:val="bottom"/>
            <w:gridSpan w:val="2"/>
            <w:shd w:val="clear" w:color="auto" w:fill="CCEEFF"/>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(466</w:t>
            </w:r>
            <w:r>
              <w:rPr>
                <w:rFonts w:ascii="Arial" w:cs="Arial" w:eastAsia="Arial" w:hAnsi="Arial"/>
                <w:sz w:val="20"/>
                <w:szCs w:val="20"/>
                <w:color w:val="auto"/>
                <w:vertAlign w:val="superscript"/>
              </w:rPr>
              <w:t>)</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7"/>
              </w:rPr>
              <w:t>Nine Months Ended September 30,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4"/>
                <w:szCs w:val="14"/>
                <w:color w:val="auto"/>
                <w:w w:val="98"/>
              </w:rPr>
              <w:t>Interest rate swaps</w:t>
            </w:r>
          </w:p>
        </w:tc>
        <w:tc>
          <w:tcPr>
            <w:tcW w:w="108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4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w w:val="96"/>
              </w:rPr>
              <w:t>Interest expense</w:t>
            </w:r>
          </w:p>
        </w:tc>
        <w:tc>
          <w:tcPr>
            <w:tcW w:w="1200" w:type="dxa"/>
            <w:vAlign w:val="bottom"/>
            <w:gridSpan w:val="3"/>
          </w:tcPr>
          <w:p>
            <w:pPr>
              <w:jc w:val="right"/>
              <w:ind w:right="76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line="176" w:lineRule="exact"/>
              <w:rPr>
                <w:sz w:val="20"/>
                <w:szCs w:val="20"/>
                <w:color w:val="auto"/>
              </w:rPr>
            </w:pPr>
            <w:r>
              <w:rPr>
                <w:rFonts w:ascii="Arial" w:cs="Arial" w:eastAsia="Arial" w:hAnsi="Arial"/>
                <w:sz w:val="12"/>
                <w:szCs w:val="12"/>
                <w:color w:val="auto"/>
              </w:rPr>
              <w:t>(740</w:t>
            </w:r>
            <w:r>
              <w:rPr>
                <w:rFonts w:ascii="Arial" w:cs="Arial" w:eastAsia="Arial" w:hAnsi="Arial"/>
                <w:sz w:val="20"/>
                <w:szCs w:val="20"/>
                <w:color w:val="auto"/>
                <w:vertAlign w:val="superscript"/>
              </w:rPr>
              <w:t>)</w:t>
            </w:r>
          </w:p>
        </w:tc>
        <w:tc>
          <w:tcPr>
            <w:tcW w:w="84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0"/>
              <w:spacing w:after="0" w:line="176" w:lineRule="exact"/>
              <w:rPr>
                <w:sz w:val="20"/>
                <w:szCs w:val="20"/>
                <w:color w:val="auto"/>
              </w:rPr>
            </w:pPr>
            <w:r>
              <w:rPr>
                <w:rFonts w:ascii="Arial" w:cs="Arial" w:eastAsia="Arial" w:hAnsi="Arial"/>
                <w:sz w:val="12"/>
                <w:szCs w:val="12"/>
                <w:color w:val="auto"/>
              </w:rPr>
              <w:t>(1,426</w:t>
            </w:r>
            <w:r>
              <w:rPr>
                <w:rFonts w:ascii="Arial" w:cs="Arial" w:eastAsia="Arial" w:hAnsi="Arial"/>
                <w:sz w:val="20"/>
                <w:szCs w:val="20"/>
                <w:color w:val="auto"/>
                <w:vertAlign w:val="superscript"/>
              </w:rPr>
              <w:t>)</w:t>
            </w:r>
          </w:p>
        </w:tc>
        <w:tc>
          <w:tcPr>
            <w:tcW w:w="1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fixed-rate investments involve the receipt of variable-rate payments from a counterparty in exchange for United making fixed-rate payments over the life of the instrument without the exchange of the underlying notional amount. At September 30, 2017, United had four interest rate swaps with a notional amount of $40.7 million that were designated as fair value hedges of interest rate risk and were pay-variable / receive-fixed swaps hedging the changes in the fair value of fixed-rate brokered time deposits resulting from changes in interest rates. Also at September 30, 2017, United had one interest rate swap with a notional value of $30.0 million that was designated as a pay-fixed / receive-variable fair value hedge of changes in the fair value of a fixed-rate corporate bond. At December 31, 2016, United had one interest rate swap with an aggregate notional amount of $12.8 million that was designated as a fair value hedge of interest rate risk and was pay-variable / receive-fixed, hedging the changes in the fair value of fixed-rate brokered time deposits resulting from changes in interest rates. Also at December 31, 2016, United had one interest rate swap with a notional value of $30 million that was designated as a pay-fixed / receive-variable fair value hedge of changes in the fair value of a fixed-rate corporate bond.</w:t>
      </w:r>
    </w:p>
    <w:p>
      <w:pPr>
        <w:spacing w:after="0" w:line="1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nine months ended September 30, 2017, United recognized net losses of $160,000 and $612,000, respectively, related to ineffectiveness in the fair value hedging relationships. During the three and nine months ended September 30, 2016, United recognized net gains of $1.51 million and $2.37 million, respectively, related to ineffectiveness in the fair value hedging relationships. United also recognized net reductions of interest expense of $40,000 and $137,000, respectively, for the three and nine months ended September 30, 2017 and net reductions of interest expense of $388,000 and $1.63 million, respectively, for the three and nine months ended September 30, 2016 related to fair value hedges of brokered time deposits, which includes net settlements on the derivatives. United recognized reductions of interest revenue on securities during the three and nine months ended September 30, 2017 of $71,000 and $244,000, respectively, and reductions of interest revenue on securities during the three and nine months ended September 30, 2016 of $262,000 and $508,000, respectively, related to fair value hedges of corporate bonds.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Location of Gain</w:t>
            </w:r>
          </w:p>
        </w:tc>
        <w:tc>
          <w:tcPr>
            <w:tcW w:w="280" w:type="dxa"/>
            <w:vAlign w:val="bottom"/>
          </w:tcPr>
          <w:p>
            <w:pPr>
              <w:spacing w:after="0"/>
              <w:rPr>
                <w:sz w:val="18"/>
                <w:szCs w:val="18"/>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Amount of Gain (Loss)</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w w:val="93"/>
              </w:rPr>
              <w:t>(Loss) Recognized</w:t>
            </w:r>
          </w:p>
        </w:tc>
        <w:tc>
          <w:tcPr>
            <w:tcW w:w="280" w:type="dxa"/>
            <w:vAlign w:val="bottom"/>
          </w:tcPr>
          <w:p>
            <w:pPr>
              <w:spacing w:after="0"/>
              <w:rPr>
                <w:sz w:val="18"/>
                <w:szCs w:val="18"/>
                <w:color w:val="auto"/>
              </w:rPr>
            </w:pPr>
          </w:p>
        </w:tc>
        <w:tc>
          <w:tcPr>
            <w:tcW w:w="26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Recognized in Income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Recognized in Income</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in Income on</w:t>
            </w:r>
          </w:p>
        </w:tc>
        <w:tc>
          <w:tcPr>
            <w:tcW w:w="280" w:type="dxa"/>
            <w:vAlign w:val="bottom"/>
          </w:tcPr>
          <w:p>
            <w:pPr>
              <w:spacing w:after="0"/>
              <w:rPr>
                <w:sz w:val="21"/>
                <w:szCs w:val="21"/>
                <w:color w:val="auto"/>
              </w:rPr>
            </w:pPr>
          </w:p>
        </w:tc>
        <w:tc>
          <w:tcPr>
            <w:tcW w:w="164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0"/>
              </w:rPr>
              <w:t>on Derivative</w:t>
            </w: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1"/>
              </w:rPr>
              <w:t>on Hedged Item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Derivative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hedges of brokered CDs</w:t>
            </w:r>
          </w:p>
        </w:tc>
        <w:tc>
          <w:tcPr>
            <w:tcW w:w="154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 of corporate bonds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0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b w:val="1"/>
                <w:bCs w:val="1"/>
                <w:color w:val="auto"/>
              </w:rPr>
              <w:t>Nine Months Ended September 30,</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 of brokered CDs</w:t>
            </w:r>
          </w:p>
        </w:tc>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2,882</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Fair value hedges of corporate bonds</w:t>
            </w:r>
          </w:p>
        </w:tc>
        <w:tc>
          <w:tcPr>
            <w:tcW w:w="1540" w:type="dxa"/>
            <w:vAlign w:val="bottom"/>
            <w:gridSpan w:val="2"/>
          </w:tcPr>
          <w:p>
            <w:pPr>
              <w:spacing w:after="0"/>
              <w:rPr>
                <w:sz w:val="20"/>
                <w:szCs w:val="20"/>
                <w:color w:val="auto"/>
              </w:rPr>
            </w:pPr>
            <w:r>
              <w:rPr>
                <w:rFonts w:ascii="Arial" w:cs="Arial" w:eastAsia="Arial" w:hAnsi="Arial"/>
                <w:sz w:val="18"/>
                <w:szCs w:val="18"/>
                <w:color w:val="auto"/>
              </w:rPr>
              <w:t>Interest revenue</w:t>
            </w:r>
          </w:p>
        </w:tc>
        <w:tc>
          <w:tcPr>
            <w:tcW w:w="28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4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(2,145)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 under ASC 815</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under ASC 815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0" w:type="dxa"/>
            <w:vAlign w:val="bottom"/>
            <w:gridSpan w:val="8"/>
          </w:tcPr>
          <w:p>
            <w:pPr>
              <w:jc w:val="right"/>
              <w:spacing w:after="0"/>
              <w:rPr>
                <w:sz w:val="20"/>
                <w:szCs w:val="20"/>
                <w:color w:val="auto"/>
              </w:rPr>
            </w:pPr>
            <w:r>
              <w:rPr>
                <w:rFonts w:ascii="Arial" w:cs="Arial" w:eastAsia="Arial" w:hAnsi="Arial"/>
                <w:sz w:val="14"/>
                <w:szCs w:val="14"/>
                <w:b w:val="1"/>
                <w:bCs w:val="1"/>
                <w:color w:val="auto"/>
                <w:w w:val="92"/>
              </w:rPr>
              <w:t>Amount of Gain (Loss) Recognized in Income on</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40" w:type="dxa"/>
            <w:vAlign w:val="bottom"/>
            <w:gridSpan w:val="3"/>
          </w:tcPr>
          <w:p>
            <w:pPr>
              <w:jc w:val="right"/>
              <w:ind w:right="69"/>
              <w:spacing w:after="0" w:line="149" w:lineRule="exact"/>
              <w:rPr>
                <w:sz w:val="20"/>
                <w:szCs w:val="20"/>
                <w:color w:val="auto"/>
              </w:rPr>
            </w:pPr>
            <w:r>
              <w:rPr>
                <w:rFonts w:ascii="Arial" w:cs="Arial" w:eastAsia="Arial" w:hAnsi="Arial"/>
                <w:sz w:val="14"/>
                <w:szCs w:val="14"/>
                <w:b w:val="1"/>
                <w:bCs w:val="1"/>
                <w:color w:val="auto"/>
              </w:rPr>
              <w:t>Derivative</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9"/>
              </w:rPr>
              <w:t>(Loss) Recognized</w:t>
            </w: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gridSpan w:val="5"/>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40" w:type="dxa"/>
            <w:vAlign w:val="bottom"/>
            <w:gridSpan w:val="5"/>
          </w:tcPr>
          <w:p>
            <w:pPr>
              <w:jc w:val="right"/>
              <w:ind w:right="588"/>
              <w:spacing w:after="0" w:line="115" w:lineRule="exact"/>
              <w:rPr>
                <w:sz w:val="20"/>
                <w:szCs w:val="20"/>
                <w:color w:val="auto"/>
              </w:rPr>
            </w:pPr>
            <w:r>
              <w:rPr>
                <w:rFonts w:ascii="Arial" w:cs="Arial" w:eastAsia="Arial" w:hAnsi="Arial"/>
                <w:sz w:val="13"/>
                <w:szCs w:val="13"/>
                <w:b w:val="1"/>
                <w:bCs w:val="1"/>
                <w:color w:val="auto"/>
              </w:rPr>
              <w:t>Three Months Ended</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60" w:type="dxa"/>
            <w:vAlign w:val="bottom"/>
            <w:gridSpan w:val="5"/>
          </w:tcPr>
          <w:p>
            <w:pPr>
              <w:jc w:val="right"/>
              <w:ind w:right="628"/>
              <w:spacing w:after="0" w:line="115" w:lineRule="exact"/>
              <w:rPr>
                <w:sz w:val="20"/>
                <w:szCs w:val="20"/>
                <w:color w:val="auto"/>
              </w:rPr>
            </w:pPr>
            <w:r>
              <w:rPr>
                <w:rFonts w:ascii="Arial" w:cs="Arial" w:eastAsia="Arial" w:hAnsi="Arial"/>
                <w:sz w:val="13"/>
                <w:szCs w:val="13"/>
                <w:b w:val="1"/>
                <w:bCs w:val="1"/>
                <w:color w:val="auto"/>
              </w:rPr>
              <w:t>Nine Months Ended</w:t>
            </w: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2"/>
              </w:rPr>
              <w:t>in Income on</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9"/>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89"/>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Customer derivatives and dealer offsets</w:t>
            </w:r>
          </w:p>
        </w:tc>
        <w:tc>
          <w:tcPr>
            <w:tcW w:w="2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fee revenue</w:t>
            </w:r>
          </w:p>
        </w:tc>
        <w:tc>
          <w:tcPr>
            <w:tcW w:w="3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554</w:t>
            </w:r>
          </w:p>
        </w:tc>
        <w:tc>
          <w:tcPr>
            <w:tcW w:w="1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1,115</w:t>
            </w:r>
          </w:p>
        </w:tc>
        <w:tc>
          <w:tcPr>
            <w:tcW w:w="540" w:type="dxa"/>
            <w:vAlign w:val="bottom"/>
            <w:gridSpan w:val="2"/>
            <w:shd w:val="clear" w:color="auto" w:fill="CCEEFF"/>
          </w:tcPr>
          <w:p>
            <w:pPr>
              <w:jc w:val="right"/>
              <w:ind w:right="209"/>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w:t>
            </w:r>
          </w:p>
        </w:tc>
        <w:tc>
          <w:tcPr>
            <w:tcW w:w="20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69"/>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w w:val="98"/>
              </w:rPr>
              <w:t>Bifurcated embedded derivatives and dealer offsets</w:t>
            </w:r>
          </w:p>
        </w:tc>
        <w:tc>
          <w:tcPr>
            <w:tcW w:w="2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fee revenue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291</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Interest rate caps</w:t>
            </w:r>
          </w:p>
        </w:tc>
        <w:tc>
          <w:tcPr>
            <w:tcW w:w="2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fee revenue</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De-designated hedges</w:t>
            </w:r>
          </w:p>
        </w:tc>
        <w:tc>
          <w:tcPr>
            <w:tcW w:w="2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Other fee revenue</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banking derivatives</w:t>
            </w:r>
          </w:p>
        </w:tc>
        <w:tc>
          <w:tcPr>
            <w:tcW w:w="2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Mortgage loan revenue</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(573)</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Pr>
          <w:p>
            <w:pPr>
              <w:spacing w:after="0"/>
              <w:rPr>
                <w:sz w:val="20"/>
                <w:szCs w:val="20"/>
                <w:color w:val="auto"/>
              </w:rPr>
            </w:pPr>
            <w:r>
              <w:rPr>
                <w:rFonts w:ascii="Arial" w:cs="Arial" w:eastAsia="Arial" w:hAnsi="Arial"/>
                <w:sz w:val="14"/>
                <w:szCs w:val="14"/>
                <w:color w:val="auto"/>
              </w:rPr>
              <w:t>Risk participations</w:t>
            </w:r>
          </w:p>
        </w:tc>
        <w:tc>
          <w:tcPr>
            <w:tcW w:w="2040" w:type="dxa"/>
            <w:vAlign w:val="bottom"/>
            <w:gridSpan w:val="2"/>
          </w:tcPr>
          <w:p>
            <w:pPr>
              <w:ind w:left="200"/>
              <w:spacing w:after="0"/>
              <w:rPr>
                <w:sz w:val="20"/>
                <w:szCs w:val="20"/>
                <w:color w:val="auto"/>
              </w:rPr>
            </w:pPr>
            <w:r>
              <w:rPr>
                <w:rFonts w:ascii="Arial" w:cs="Arial" w:eastAsia="Arial" w:hAnsi="Arial"/>
                <w:sz w:val="14"/>
                <w:szCs w:val="14"/>
                <w:color w:val="auto"/>
              </w:rPr>
              <w:t>Other fee revenue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8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1,044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2,621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1,723</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4,042</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September 30, 2017, collateral totaling $20.9 million was pledged toward derivatives in a liability position.</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Stock-Based Compensation</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Through September 30, 2017, incentive stock options, nonqualified stock options, restricted stock and restricted stock unit awards, base salary stock grants and performance share awards have been granted under the plan. As of September 30, 2017, 1.94 million additional shares remained available for grant under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nine months of 2017.</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Intrinisic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gridSpan w:val="2"/>
          </w:tcPr>
          <w:p>
            <w:pPr>
              <w:ind w:left="2140"/>
              <w:spacing w:after="0"/>
              <w:rPr>
                <w:sz w:val="20"/>
                <w:szCs w:val="20"/>
                <w:color w:val="auto"/>
              </w:rPr>
            </w:pPr>
            <w:r>
              <w:rPr>
                <w:rFonts w:ascii="Arial" w:cs="Arial" w:eastAsia="Arial" w:hAnsi="Arial"/>
                <w:sz w:val="18"/>
                <w:szCs w:val="18"/>
                <w:b w:val="1"/>
                <w:bCs w:val="1"/>
                <w:color w:val="auto"/>
              </w:rPr>
              <w:t>Options</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7"/>
              </w:rPr>
              <w:t>Exercise 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72,665</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147.60</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75.91</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Outstanding at September 30,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60,489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24.15</w:t>
            </w:r>
          </w:p>
        </w:tc>
        <w:tc>
          <w:tcPr>
            <w:tcW w:w="180" w:type="dxa"/>
            <w:vAlign w:val="bottom"/>
            <w:tcBorders>
              <w:bottom w:val="single" w:sz="8" w:color="CCEEFF"/>
            </w:tcBorders>
          </w:tcPr>
          <w:p>
            <w:pPr>
              <w:spacing w:after="0"/>
              <w:rPr>
                <w:sz w:val="22"/>
                <w:szCs w:val="22"/>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Exercisable at September 30, 2017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24.82</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nine months ended September 30, 2017 and 2016.</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stock option exercise patterns were significantly impacted by the past economic downturn, which rendered most of United’s outstanding options worthless to the grantee. Therefore, historical exercise patterns do not provide a reasonable basis for determining the expected life of new option grants. United therefore uses the formula provided in ASC 718-10-S99 to determine the expected life of options.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recognized $22,000 and $23,000, respectively, in compensation expense related to stock options during the nine months ended September 30, 2017 and 2016. The amount of compensation expense was determined based on the fair value of the options at the time of grant, multiplied by the number of options granted that were expected to vest, which was then amortized over the vesting period. No options were exercised during the first nine months of 2017 or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units activity for the first nine months of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Intrinisic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6"/>
              </w:rPr>
              <w:t>Average Grant-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Value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040" w:type="dxa"/>
            <w:vAlign w:val="bottom"/>
            <w:gridSpan w:val="2"/>
          </w:tcPr>
          <w:p>
            <w:pPr>
              <w:ind w:left="1340"/>
              <w:spacing w:after="0"/>
              <w:rPr>
                <w:sz w:val="20"/>
                <w:szCs w:val="20"/>
                <w:color w:val="auto"/>
              </w:rPr>
            </w:pPr>
            <w:r>
              <w:rPr>
                <w:rFonts w:ascii="Arial" w:cs="Arial" w:eastAsia="Arial" w:hAnsi="Arial"/>
                <w:sz w:val="18"/>
                <w:szCs w:val="18"/>
                <w:b w:val="1"/>
                <w:bCs w:val="1"/>
                <w:color w:val="auto"/>
              </w:rPr>
              <w:t>Restricted Stock Unit Awards</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4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6"/>
              </w:rPr>
              <w:t>Date Fair Value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($000)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690,970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259,220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26.48</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Cancelled</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(9,965)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19.99</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at September 30, 2017</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710,145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89"/>
              </w:rPr>
              <w:t>31</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Compensation expense for restricted stock units is based on the fair value of restricted stock unit awards at the time of grant, which is equal to the value of United’s common stock on the date of grant. United recognizes the impact of forfeitures as they occur. The value of restricted stock unit awards is amortized into expense over the vesting period. For the nine months ended September 30, 2017 and 2016, expense of $4.13 million and $3.16 million, respectively, was recognized related to employee restricted stock unit awards. Of the expense recognized related to restricted stock unit awards during the nine months ended September 30, 2017, $696,000 relates to the modification of existing awards resulting from an acceleration of vesting of unvested awards due to retirement which was recognized in merger-related and other charges. The remaining expense of $3.43 million was recognized in compensation expense. In addition, for the nine months ended September 30, 2017 and 2016, $212,000 and $75,000, respectively, was recognized in other operating expense for restricted stock unit awards granted to members of United’s board of directors.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2017, there was $12.4 million of unrecognized expense related to non-vested stock options and restricted stock unit awards granted under the plan. That cost is expected to be recognized over a weighted-average period of 3.14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In the nine months ended September 30, 2017 and 2016, 2,842 shares and 2,938 shares, respectively, were issued through the DRIP.</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United has an Employee Stock Purchase Program (“ESPP”) that allows eligible employees to purchase shares of common stock at a 10% discount, with no commission charges. During the first nine months of 2017 and 2016, United issued 10,265 shares and 12,906 shares, respectively, through the ESPP.</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unit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September 30, 2017 and December 31, 2016, 588,445 and 519,874 shares of common stock, respectively, were issuable under the deferred compensation plan.</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22, 2016, United announced that its Board of Directors had authorized a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During the first nine months of 2017, United did not repurchase any shares under the program. As of September 30, 2017, $36.3 million of United’s outstanding common stock may be repurchased under the program. In November of 2017, the Board of Directors extended this program through December 31, 2018.</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income tax provision for the three and nine months ended September 30, 2017 was $15.7 million and $50.7 million, respectively, which represents effective tax rates of 36.0% and 38.9%, respectively, for each period. The income tax provision for the three and nine months ended September 30, 2016 was $15.8 million and $44.7 million, respectively, which represents an effective tax rate of 37.8% for both periods.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compared to the first nine months of 2016.</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2017 and December 31, 2016, United maintained a valuation allowance on its net deferred tax asset of $4.20 million and $3.88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September 30, 2017. Based on the assessment of all the positive and negative evidence, management concluded that it is more likely than not that nearly all of its net deferred tax asset will be realized based upon future taxable income. The remaining valuation allowance of $4.20 million is related to specific state income tax credits that have short carryforward periods and are expected to expire unused.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valuation allowance could fluctuate in future periods based on the assessment of the positive and negative evidence. Management's conclusion at September 30, 2017 that it was more likely than not that the net deferred tax asset of $129 million will be realized is based upon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2014. Although it is not possible to know the ultimate outcome of future examinations, management believes that the liability recorded for uncertain tax positions is appropriate. At September 30, 2017 and December 31, 2016, unrecognized income tax benefits totaled $3.87 million and $3.89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48"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United States Department of Treasury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asset-backed securities in less liquid markets. Securities classified as Level 3 are valued based on estimates obtained from broker-dealers and are not directly 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third quarter of 2016, United elected the fair value option for newly originated mortgage loans held for sale. United elected the fair value option for its portfolio of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Those impaired loans not requiring an allowance represent loans for which the fair value of the expected repayments or collateral exceed the recorded investments in such loans. In accordance with ASC 820, </w:t>
      </w:r>
      <w:r>
        <w:rPr>
          <w:rFonts w:ascii="Arial" w:cs="Arial" w:eastAsia="Arial" w:hAnsi="Arial"/>
          <w:sz w:val="18"/>
          <w:szCs w:val="18"/>
          <w:i w:val="1"/>
          <w:iCs w:val="1"/>
          <w:color w:val="auto"/>
        </w:rPr>
        <w:t>Fair Value Measures and Disclosures</w:t>
      </w:r>
      <w:r>
        <w:rPr>
          <w:rFonts w:ascii="Arial" w:cs="Arial" w:eastAsia="Arial" w:hAnsi="Arial"/>
          <w:sz w:val="18"/>
          <w:szCs w:val="18"/>
          <w:color w:val="auto"/>
        </w:rPr>
        <w:t>,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2017,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SBA/USDA Loans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recognizes servicing rights upon the sale of Small Business Administration and United States Department of Agriculture (“SBA/USDA”) loans sold with servicing retained. Management has elected to carry this asset at fair value. Given the nature of the asset, the key valuation inputs are unobservable and management classifies this asset as Level 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Mortgage Servicing Rights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recognizes servicing rights upon the sale of residential mortgage loans sold with servicing retained. Effective January 1, 2017, management has elected to carry this asset at fair value. Given the nature of the asset, the key valuation inputs are unobservable and management classifies this asset as Level 3. The cumulative effect adjustment of this election to retained earnings, net of income tax effect, was $437,000.</w:t>
      </w:r>
    </w:p>
    <w:p>
      <w:pPr>
        <w:sectPr>
          <w:pgSz w:w="11900" w:h="16838" w:orient="portrait"/>
          <w:cols w:equalWidth="0" w:num="1">
            <w:col w:w="11420"/>
          </w:cols>
          <w:pgMar w:left="240" w:top="229" w:right="23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on the fair value of pension plan assets, see Note 18 in the Annual Report on Form 10-K for the year ended December 31,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September 30, 2017</w:t>
            </w:r>
          </w:p>
        </w:tc>
        <w:tc>
          <w:tcPr>
            <w:tcW w:w="22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Securities available for sale: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U.S. Government agencies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27,728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27,728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172,389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1,648,696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1,648,696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307,561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308,371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308,465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308,465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loans held for sale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30,093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30,093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Servicing rights for SBA/USDA loans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7,067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7,067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Residential mortgage servicing rights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20,972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2,504,843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2,610,896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Deferred compensation plan liability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5,368</w:t>
            </w:r>
          </w:p>
        </w:tc>
        <w:tc>
          <w:tcPr>
            <w:tcW w:w="12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15,345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28,294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December 31, 2016</w:t>
            </w:r>
          </w:p>
        </w:tc>
        <w:tc>
          <w:tcPr>
            <w:tcW w:w="28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Level 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Securities available for sale</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169,616</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U.S. Agencies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State and political subdivisions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Mortgage-backed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1,391,682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1,391,682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32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469,569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469,569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Mortgage loans held for sale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27,891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Servicing rights for SBA/USDA loans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0" w:type="dxa"/>
            <w:vAlign w:val="bottom"/>
            <w:tcBorders>
              <w:bottom w:val="single" w:sz="8" w:color="CCEEFF"/>
            </w:tcBorders>
            <w:gridSpan w:val="2"/>
          </w:tcPr>
          <w:p>
            <w:pPr>
              <w:ind w:left="48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173,777</w:t>
            </w:r>
          </w:p>
        </w:tc>
        <w:tc>
          <w:tcPr>
            <w:tcW w:w="2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2,301,949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2,493,930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top w:val="single" w:sz="8" w:color="CCEEFF"/>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35</w:t>
            </w: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6"/>
              </w:rPr>
              <w:t>2017</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Servicing</w:t>
            </w:r>
          </w:p>
        </w:tc>
        <w:tc>
          <w:tcPr>
            <w:tcW w:w="10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Residential</w:t>
            </w:r>
          </w:p>
        </w:tc>
        <w:tc>
          <w:tcPr>
            <w:tcW w:w="80" w:type="dxa"/>
            <w:vAlign w:val="bottom"/>
          </w:tcPr>
          <w:p>
            <w:pPr>
              <w:spacing w:after="0"/>
              <w:rPr>
                <w:sz w:val="10"/>
                <w:szCs w:val="10"/>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Servicing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2"/>
              </w:rPr>
              <w:t>Derivative</w:t>
            </w:r>
          </w:p>
        </w:tc>
        <w:tc>
          <w:tcPr>
            <w:tcW w:w="8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2"/>
              </w:rPr>
              <w:t>Derivative</w:t>
            </w:r>
          </w:p>
        </w:tc>
        <w:tc>
          <w:tcPr>
            <w:tcW w:w="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rights for</w:t>
            </w: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mortgage</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Derivative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Derivative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rights for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SBA/USDA</w:t>
            </w:r>
          </w:p>
        </w:tc>
        <w:tc>
          <w:tcPr>
            <w:tcW w:w="10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servicing</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Available-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SBA/USDA</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Available-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Asset</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rights</w:t>
            </w:r>
          </w:p>
        </w:tc>
        <w:tc>
          <w:tcPr>
            <w:tcW w:w="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for-Sale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Asset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Liability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loans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for-Sale</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2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Three Months Ended September</w:t>
            </w:r>
          </w:p>
        </w:tc>
        <w:tc>
          <w:tcPr>
            <w:tcW w:w="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30,</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color w:val="auto"/>
              </w:rPr>
              <w:t>Balance at beginning of period</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11,856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16,091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6,640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6,499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2,657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7,531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4,615</w:t>
            </w:r>
          </w:p>
        </w:tc>
        <w:tc>
          <w:tcPr>
            <w:tcW w:w="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Additions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Sales and settlements</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(658)</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(909)</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(209)</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(118)</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60"/>
              <w:spacing w:after="0" w:line="130" w:lineRule="exact"/>
              <w:rPr>
                <w:sz w:val="20"/>
                <w:szCs w:val="20"/>
                <w:color w:val="auto"/>
              </w:rPr>
            </w:pPr>
            <w:r>
              <w:rPr>
                <w:rFonts w:ascii="Arial" w:cs="Arial" w:eastAsia="Arial" w:hAnsi="Arial"/>
                <w:sz w:val="14"/>
                <w:szCs w:val="14"/>
                <w:color w:val="auto"/>
              </w:rPr>
              <w:t>Amounts included in earnings -</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auto"/>
              </w:rPr>
              <w:t>fair value adjustments</w:t>
            </w: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(80)</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(301)</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2,412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2,529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(141)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Transfers between valuation</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levels, net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Balance at end of period</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11,118</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15,345</w:t>
            </w:r>
          </w:p>
        </w:tc>
        <w:tc>
          <w:tcPr>
            <w:tcW w:w="2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7,067</w:t>
            </w:r>
          </w:p>
        </w:tc>
        <w:tc>
          <w:tcPr>
            <w:tcW w:w="2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6,926</w:t>
            </w:r>
          </w:p>
        </w:tc>
        <w:tc>
          <w:tcPr>
            <w:tcW w:w="2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810</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9,615</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5,100</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80" w:type="dxa"/>
            <w:vAlign w:val="bottom"/>
          </w:tcPr>
          <w:p>
            <w:pPr>
              <w:spacing w:after="0" w:line="149" w:lineRule="exact"/>
              <w:rPr>
                <w:sz w:val="20"/>
                <w:szCs w:val="20"/>
                <w:color w:val="auto"/>
              </w:rPr>
            </w:pPr>
            <w:r>
              <w:rPr>
                <w:rFonts w:ascii="Arial" w:cs="Arial" w:eastAsia="Arial" w:hAnsi="Arial"/>
                <w:sz w:val="14"/>
                <w:szCs w:val="14"/>
                <w:b w:val="1"/>
                <w:bCs w:val="1"/>
                <w:color w:val="auto"/>
                <w:w w:val="98"/>
              </w:rPr>
              <w:t>Nine Months Ended September 30,</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beginning of period</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11,777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16,347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5,752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9,418</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15,794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3,712</w:t>
            </w:r>
          </w:p>
        </w:tc>
        <w:tc>
          <w:tcPr>
            <w:tcW w:w="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60"/>
              <w:spacing w:after="0" w:line="130" w:lineRule="exact"/>
              <w:rPr>
                <w:sz w:val="20"/>
                <w:szCs w:val="20"/>
                <w:color w:val="auto"/>
              </w:rPr>
            </w:pPr>
            <w:r>
              <w:rPr>
                <w:rFonts w:ascii="Arial" w:cs="Arial" w:eastAsia="Arial" w:hAnsi="Arial"/>
                <w:sz w:val="14"/>
                <w:szCs w:val="14"/>
                <w:color w:val="auto"/>
              </w:rPr>
              <w:t>Transfer from amortization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auto"/>
              </w:rPr>
              <w:t>method to fair value</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5,070</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Additions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1,991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2,659</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1,852</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ind w:left="160"/>
              <w:spacing w:after="0" w:line="149" w:lineRule="exact"/>
              <w:rPr>
                <w:sz w:val="20"/>
                <w:szCs w:val="20"/>
                <w:color w:val="auto"/>
              </w:rPr>
            </w:pPr>
            <w:r>
              <w:rPr>
                <w:rFonts w:ascii="Arial" w:cs="Arial" w:eastAsia="Arial" w:hAnsi="Arial"/>
                <w:sz w:val="14"/>
                <w:szCs w:val="14"/>
                <w:color w:val="auto"/>
              </w:rPr>
              <w:t>Sales and settlements</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(1,744)</w:t>
            </w:r>
          </w:p>
        </w:tc>
        <w:tc>
          <w:tcPr>
            <w:tcW w:w="8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(2,423)</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(508)</w:t>
            </w:r>
          </w:p>
        </w:tc>
        <w:tc>
          <w:tcPr>
            <w:tcW w:w="10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(232)</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tcPr>
          <w:p>
            <w:pPr>
              <w:ind w:left="160"/>
              <w:spacing w:after="0" w:line="130" w:lineRule="exact"/>
              <w:rPr>
                <w:sz w:val="20"/>
                <w:szCs w:val="20"/>
                <w:color w:val="auto"/>
              </w:rPr>
            </w:pPr>
            <w:r>
              <w:rPr>
                <w:rFonts w:ascii="Arial" w:cs="Arial" w:eastAsia="Arial" w:hAnsi="Arial"/>
                <w:sz w:val="14"/>
                <w:szCs w:val="14"/>
                <w:color w:val="auto"/>
              </w:rPr>
              <w:t>Amounts included in earnings -</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tcPr>
          <w:p>
            <w:pPr>
              <w:ind w:left="320"/>
              <w:spacing w:after="0"/>
              <w:rPr>
                <w:sz w:val="20"/>
                <w:szCs w:val="20"/>
                <w:color w:val="auto"/>
              </w:rPr>
            </w:pPr>
            <w:r>
              <w:rPr>
                <w:rFonts w:ascii="Arial" w:cs="Arial" w:eastAsia="Arial" w:hAnsi="Arial"/>
                <w:sz w:val="14"/>
                <w:szCs w:val="14"/>
                <w:color w:val="auto"/>
              </w:rPr>
              <w:t>fair value adjustments</w:t>
            </w:r>
          </w:p>
        </w:tc>
        <w:tc>
          <w:tcPr>
            <w:tcW w:w="8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1,085</w:t>
            </w:r>
          </w:p>
        </w:tc>
        <w:tc>
          <w:tcPr>
            <w:tcW w:w="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1,421</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(571)</w:t>
            </w:r>
          </w:p>
        </w:tc>
        <w:tc>
          <w:tcPr>
            <w:tcW w:w="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(4,349)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(5,734)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(167)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8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rPr>
              <w:t>Transfers between valuation</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levels, net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80" w:type="dxa"/>
            <w:vAlign w:val="bottom"/>
          </w:tcPr>
          <w:p>
            <w:pPr>
              <w:spacing w:after="0" w:line="155" w:lineRule="exact"/>
              <w:rPr>
                <w:sz w:val="20"/>
                <w:szCs w:val="20"/>
                <w:color w:val="auto"/>
              </w:rPr>
            </w:pPr>
            <w:r>
              <w:rPr>
                <w:rFonts w:ascii="Arial" w:cs="Arial" w:eastAsia="Arial" w:hAnsi="Arial"/>
                <w:sz w:val="14"/>
                <w:szCs w:val="14"/>
                <w:color w:val="auto"/>
              </w:rPr>
              <w:t>Balance at end of period</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11,118</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15,345</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7,067</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6,926</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4,865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9,615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5,100</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500</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Valuation</w:t>
            </w: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Level 3 Assets</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306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Unobservable Inputs</w:t>
            </w:r>
          </w:p>
        </w:tc>
        <w:tc>
          <w:tcPr>
            <w:tcW w:w="124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tcBorders>
              <w:top w:val="single" w:sz="8" w:color="auto"/>
            </w:tcBorders>
          </w:tcPr>
          <w:p>
            <w:pPr>
              <w:jc w:val="right"/>
              <w:ind w:right="8"/>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8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8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Technique</w:t>
            </w:r>
          </w:p>
        </w:tc>
        <w:tc>
          <w:tcPr>
            <w:tcW w:w="3060" w:type="dxa"/>
            <w:vAlign w:val="bottom"/>
            <w:gridSpan w:val="2"/>
            <w:vMerge w:val="continue"/>
          </w:tcPr>
          <w:p>
            <w:pPr>
              <w:spacing w:after="0"/>
              <w:rPr>
                <w:sz w:val="14"/>
                <w:szCs w:val="14"/>
                <w:color w:val="auto"/>
              </w:rPr>
            </w:pP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102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Servicing rights for</w:t>
            </w:r>
          </w:p>
        </w:tc>
        <w:tc>
          <w:tcPr>
            <w:tcW w:w="20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7,067</w:t>
            </w:r>
          </w:p>
        </w:tc>
        <w:tc>
          <w:tcPr>
            <w:tcW w:w="2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5,752</w:t>
            </w:r>
          </w:p>
        </w:tc>
        <w:tc>
          <w:tcPr>
            <w:tcW w:w="15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Discounted</w:t>
            </w: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Discount rate</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12.3%</w:t>
            </w:r>
          </w:p>
        </w:tc>
        <w:tc>
          <w:tcPr>
            <w:tcW w:w="11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SBA/USDA loans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cash flow</w:t>
            </w: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Prepayment rate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6,926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Discounted</w:t>
            </w: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Discount rate</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10.0%</w:t>
            </w:r>
          </w:p>
        </w:tc>
        <w:tc>
          <w:tcPr>
            <w:tcW w:w="11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servicing rights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cash flow</w:t>
            </w: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Prepayment rate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10.8%</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810</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675</w:t>
            </w:r>
          </w:p>
        </w:tc>
        <w:tc>
          <w:tcPr>
            <w:tcW w:w="15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Indicative bid provided</w:t>
            </w: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Multiple factors, including but not limited to,</w:t>
            </w:r>
          </w:p>
        </w:tc>
        <w:tc>
          <w:tcPr>
            <w:tcW w:w="124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by a broker</w:t>
            </w: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current operations, financial condition, cash flows,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 recently executed financing transactions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related to the company</w:t>
            </w: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assets - mortgage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1,193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1,552</w:t>
            </w:r>
          </w:p>
        </w:tc>
        <w:tc>
          <w:tcPr>
            <w:tcW w:w="1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Internal model</w:t>
            </w: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Pull through rate</w:t>
            </w:r>
          </w:p>
        </w:tc>
        <w:tc>
          <w:tcPr>
            <w:tcW w:w="12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1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assets - 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9,925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10,225</w:t>
            </w:r>
          </w:p>
        </w:tc>
        <w:tc>
          <w:tcPr>
            <w:tcW w:w="1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Dealer priced</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Derivative liabilities - risk</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26</w:t>
            </w:r>
          </w:p>
        </w:tc>
        <w:tc>
          <w:tcPr>
            <w:tcW w:w="15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Internal model</w:t>
            </w:r>
          </w:p>
        </w:tc>
        <w:tc>
          <w:tcPr>
            <w:tcW w:w="3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Probable exposure rate</w:t>
            </w:r>
          </w:p>
        </w:tc>
        <w:tc>
          <w:tcPr>
            <w:tcW w:w="12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.34%</w:t>
            </w:r>
          </w:p>
        </w:tc>
        <w:tc>
          <w:tcPr>
            <w:tcW w:w="11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4"/>
                <w:szCs w:val="14"/>
                <w:color w:val="auto"/>
              </w:rPr>
              <w:t>participations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Probability of default rate</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1.80%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Derivative liabilities - other</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15,323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16,321</w:t>
            </w:r>
          </w:p>
        </w:tc>
        <w:tc>
          <w:tcPr>
            <w:tcW w:w="1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Dealer priced</w:t>
            </w:r>
          </w:p>
        </w:tc>
        <w:tc>
          <w:tcPr>
            <w:tcW w:w="3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Dealer priced</w:t>
            </w:r>
          </w:p>
        </w:tc>
        <w:tc>
          <w:tcPr>
            <w:tcW w:w="12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September 30, 2017, mortgage loans held for sale for which the fair value option was elected had an aggregate fair value and outstanding principal balance of $30.1 million and $29.1 million, respectively. At December 31, 2016, mortgage loans held for sale for which the fair value option was elected had an aggregate fair value and outstanding principal balance of $27.9 million and $27.6 million, respectively. Interest income on these loans is calculated based on the note rate of the loan and is recorded in interest revenue. During the three and nine months ended September 30, 2017, net gains resulting from changes in fair value of these loans of $264,000 and $708,000, respectively, were recorded in mortgage loan and other related fees. These changes in fair value were mostly offset by hedging activities. An immaterial portion of these amounts was attributable to changes in instrument-specific credit risk. During the three and nine months ended September 30, 2016, net gains resulting from changes in fair value of these loans of $11,000 were recorded in mortgage loan and other related fees.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September 30, 2017 and December 31, 2016,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September 30, 2017</w:t>
            </w:r>
          </w:p>
        </w:tc>
        <w:tc>
          <w:tcPr>
            <w:tcW w:w="2740" w:type="dxa"/>
            <w:vAlign w:val="bottom"/>
            <w:tcBorders>
              <w:top w:val="single" w:sz="8" w:color="CCEEFF"/>
              <w:bottom w:val="single" w:sz="8" w:color="CCEEFF"/>
            </w:tcBorders>
            <w:shd w:val="clear" w:color="auto" w:fill="CCEEFF"/>
          </w:tcPr>
          <w:p>
            <w:pPr>
              <w:spacing w:after="0"/>
              <w:rPr>
                <w:sz w:val="16"/>
                <w:szCs w:val="16"/>
                <w:color w:val="auto"/>
              </w:rPr>
            </w:pPr>
          </w:p>
        </w:tc>
        <w:tc>
          <w:tcPr>
            <w:tcW w:w="27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7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ind w:left="160"/>
              <w:spacing w:after="0"/>
              <w:rPr>
                <w:sz w:val="20"/>
                <w:szCs w:val="20"/>
                <w:color w:val="auto"/>
              </w:rPr>
            </w:pPr>
            <w:r>
              <w:rPr>
                <w:rFonts w:ascii="Arial" w:cs="Arial" w:eastAsia="Arial" w:hAnsi="Arial"/>
                <w:sz w:val="18"/>
                <w:szCs w:val="18"/>
                <w:color w:val="auto"/>
              </w:rPr>
              <w:t>Loans</w:t>
            </w:r>
          </w:p>
        </w:tc>
        <w:tc>
          <w:tcPr>
            <w:tcW w:w="35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8,843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2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December 31, 2016</w:t>
            </w:r>
          </w:p>
        </w:tc>
        <w:tc>
          <w:tcPr>
            <w:tcW w:w="2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5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Carrying</w:t>
            </w:r>
          </w:p>
        </w:tc>
        <w:tc>
          <w:tcPr>
            <w:tcW w:w="12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8"/>
                <w:szCs w:val="18"/>
                <w:b w:val="1"/>
                <w:bCs w:val="1"/>
                <w:color w:val="auto"/>
              </w:rPr>
              <w:t>Fair Value Level</w:t>
            </w: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500" w:type="dxa"/>
            <w:vAlign w:val="bottom"/>
            <w:tcBorders>
              <w:top w:val="single" w:sz="8" w:color="CCEEFF"/>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8"/>
              </w:rPr>
              <w:t>September 30, 2017</w:t>
            </w:r>
          </w:p>
        </w:tc>
        <w:tc>
          <w:tcPr>
            <w:tcW w:w="25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spacing w:after="0"/>
              <w:rPr>
                <w:sz w:val="16"/>
                <w:szCs w:val="16"/>
                <w:color w:val="auto"/>
              </w:rPr>
            </w:pPr>
          </w:p>
        </w:tc>
        <w:tc>
          <w:tcPr>
            <w:tcW w:w="8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Assets: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Securities held to maturity</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306,741</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Loans,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7,144,332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7,051,886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7,051,886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Mortgage loans held for sale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Deposits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9,127,384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9,128,990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9,128,990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494,484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Long-term debt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135,707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136,824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4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December 31, 2016</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Securities held to maturity</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329,843</w:t>
            </w:r>
          </w:p>
        </w:tc>
        <w:tc>
          <w:tcPr>
            <w:tcW w:w="100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333,170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Loans,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6,859,214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6,824,229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6,824,229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Mortgage loans held for sale</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Residential mortgage servicing rights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Deposits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8,637,558</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8,635,811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8,635,811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Federal Home Loan Bank advances</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709,209</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709,174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40" w:type="dxa"/>
            <w:vAlign w:val="bottom"/>
            <w:gridSpan w:val="3"/>
          </w:tcPr>
          <w:p>
            <w:pPr>
              <w:ind w:left="160"/>
              <w:spacing w:after="0"/>
              <w:rPr>
                <w:sz w:val="20"/>
                <w:szCs w:val="20"/>
                <w:color w:val="auto"/>
              </w:rPr>
            </w:pPr>
            <w:r>
              <w:rPr>
                <w:rFonts w:ascii="Arial" w:cs="Arial" w:eastAsia="Arial" w:hAnsi="Arial"/>
                <w:sz w:val="18"/>
                <w:szCs w:val="18"/>
                <w:color w:val="auto"/>
              </w:rPr>
              <w:t>Long-term debt</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175,078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175,750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175,750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many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2300" w:type="dxa"/>
            <w:vAlign w:val="bottom"/>
            <w:gridSpan w:val="3"/>
          </w:tcPr>
          <w:p>
            <w:pPr>
              <w:ind w:left="1200"/>
              <w:spacing w:after="0"/>
              <w:rPr>
                <w:sz w:val="20"/>
                <w:szCs w:val="20"/>
                <w:color w:val="auto"/>
              </w:rPr>
            </w:pPr>
            <w:r>
              <w:rPr>
                <w:rFonts w:ascii="Arial" w:cs="Arial" w:eastAsia="Arial" w:hAnsi="Arial"/>
                <w:sz w:val="18"/>
                <w:szCs w:val="18"/>
                <w:b w:val="1"/>
                <w:bCs w:val="1"/>
                <w:color w:val="auto"/>
                <w:w w:val="87"/>
              </w:rPr>
              <w:t>September 30,</w:t>
            </w:r>
          </w:p>
        </w:tc>
        <w:tc>
          <w:tcPr>
            <w:tcW w:w="1320" w:type="dxa"/>
            <w:vAlign w:val="bottom"/>
            <w:gridSpan w:val="3"/>
          </w:tcPr>
          <w:p>
            <w:pPr>
              <w:ind w:left="18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40"/>
              <w:spacing w:after="0"/>
              <w:rPr>
                <w:sz w:val="20"/>
                <w:szCs w:val="20"/>
                <w:color w:val="auto"/>
              </w:rPr>
            </w:pPr>
            <w:r>
              <w:rPr>
                <w:rFonts w:ascii="Arial" w:cs="Arial" w:eastAsia="Arial" w:hAnsi="Arial"/>
                <w:sz w:val="18"/>
                <w:szCs w:val="18"/>
                <w:color w:val="auto"/>
              </w:rPr>
              <w:t>Commitments to extend credit</w:t>
            </w:r>
          </w:p>
        </w:tc>
        <w:tc>
          <w:tcPr>
            <w:tcW w:w="14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1,793,538</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   1,542,186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Letters of credit</w:t>
            </w: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26,862</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September 30, 2017, the Bank had invested $4.13 million in these limited partnerships and had committed to fund an additional $5.37 million related to future capital calls.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4"/>
          </w:tcPr>
          <w:p>
            <w:pPr>
              <w:spacing w:after="0"/>
              <w:rPr>
                <w:sz w:val="20"/>
                <w:szCs w:val="20"/>
                <w:color w:val="auto"/>
              </w:rPr>
            </w:pPr>
            <w:r>
              <w:rPr>
                <w:rFonts w:ascii="Arial" w:cs="Arial" w:eastAsia="Arial" w:hAnsi="Arial"/>
                <w:sz w:val="18"/>
                <w:szCs w:val="18"/>
                <w:b w:val="1"/>
                <w:bCs w:val="1"/>
                <w:color w:val="auto"/>
                <w:w w:val="95"/>
              </w:rPr>
              <w:t>September 30,</w:t>
            </w:r>
          </w:p>
        </w:tc>
        <w:tc>
          <w:tcPr>
            <w:tcW w:w="118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2016</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Core deposit intangible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51,342</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(39,986)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(37,145)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core deposit intangible</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14,197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Noncompete agreement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noncompete agreement</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intangibles subject to amortization,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14,197</w:t>
            </w:r>
          </w:p>
        </w:tc>
        <w:tc>
          <w:tcPr>
            <w:tcW w:w="8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165,888</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142,025</w:t>
            </w:r>
          </w:p>
        </w:tc>
        <w:tc>
          <w:tcPr>
            <w:tcW w:w="80" w:type="dxa"/>
            <w:vAlign w:val="bottom"/>
            <w:tcBorders>
              <w:bottom w:val="single" w:sz="8" w:color="CCEEFF"/>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Total goodwill and other intangible assets, net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182,716</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156,222</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11"/>
            <w:vMerge w:val="restart"/>
          </w:tcPr>
          <w:p>
            <w:pPr>
              <w:spacing w:after="0"/>
              <w:rPr>
                <w:sz w:val="20"/>
                <w:szCs w:val="20"/>
                <w:color w:val="auto"/>
              </w:rPr>
            </w:pPr>
            <w:r>
              <w:rPr>
                <w:rFonts w:ascii="Arial" w:cs="Arial" w:eastAsia="Arial" w:hAnsi="Arial"/>
                <w:sz w:val="18"/>
                <w:szCs w:val="18"/>
                <w:color w:val="auto"/>
                <w:w w:val="94"/>
              </w:rPr>
              <w:t xml:space="preserve">The following is a summary of changes in the carrying amounts of goodwill </w:t>
            </w:r>
            <w:r>
              <w:rPr>
                <w:rFonts w:ascii="Arial" w:cs="Arial" w:eastAsia="Arial" w:hAnsi="Arial"/>
                <w:sz w:val="18"/>
                <w:szCs w:val="18"/>
                <w:i w:val="1"/>
                <w:iCs w:val="1"/>
                <w:color w:val="auto"/>
                <w:w w:val="94"/>
              </w:rPr>
              <w:t>(in thousands)</w:t>
            </w:r>
            <w:r>
              <w:rPr>
                <w:rFonts w:ascii="Arial" w:cs="Arial" w:eastAsia="Arial" w:hAnsi="Arial"/>
                <w:sz w:val="18"/>
                <w:szCs w:val="18"/>
                <w:color w:val="auto"/>
                <w:w w:val="94"/>
              </w:rPr>
              <w:t>:</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gridSpan w:val="11"/>
            <w:vMerge w:val="continue"/>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gridSpan w:val="10"/>
          </w:tcPr>
          <w:p>
            <w:pPr>
              <w:jc w:val="right"/>
              <w:ind w:right="280"/>
              <w:spacing w:after="0"/>
              <w:rPr>
                <w:sz w:val="20"/>
                <w:szCs w:val="20"/>
                <w:color w:val="auto"/>
              </w:rPr>
            </w:pPr>
            <w:r>
              <w:rPr>
                <w:rFonts w:ascii="Arial" w:cs="Arial" w:eastAsia="Arial" w:hAnsi="Arial"/>
                <w:sz w:val="14"/>
                <w:szCs w:val="14"/>
                <w:b w:val="1"/>
                <w:bCs w:val="1"/>
                <w:color w:val="auto"/>
                <w:w w:val="97"/>
              </w:rPr>
              <w:t>For the Three Months Ended 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13"/>
          </w:tcPr>
          <w:p>
            <w:pPr>
              <w:ind w:left="180"/>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vMerge w:val="restart"/>
          </w:tcPr>
          <w:p>
            <w:pPr>
              <w:jc w:val="center"/>
              <w:ind w:right="79"/>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w w:val="98"/>
              </w:rPr>
              <w:t>Goodwill, net of</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8"/>
              </w:rPr>
              <w:t>Goodwill, net of</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rPr>
              <w:t>Impairment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Impairment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8"/>
              </w:rPr>
              <w:t>Impairment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3"/>
              </w:rPr>
              <w:t>2017</w:t>
            </w: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35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840" w:type="dxa"/>
            <w:vAlign w:val="bottom"/>
            <w:tcBorders>
              <w:top w:val="single" w:sz="8" w:color="auto"/>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820" w:type="dxa"/>
            <w:vAlign w:val="bottom"/>
            <w:tcBorders>
              <w:top w:val="single" w:sz="8" w:color="auto"/>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3"/>
          </w:tcPr>
          <w:p>
            <w:pPr>
              <w:spacing w:after="0" w:line="142" w:lineRule="exact"/>
              <w:rPr>
                <w:sz w:val="20"/>
                <w:szCs w:val="20"/>
                <w:color w:val="auto"/>
              </w:rPr>
            </w:pPr>
            <w:r>
              <w:rPr>
                <w:rFonts w:ascii="Arial" w:cs="Arial" w:eastAsia="Arial" w:hAnsi="Arial"/>
                <w:sz w:val="14"/>
                <w:szCs w:val="14"/>
                <w:color w:val="auto"/>
              </w:rPr>
              <w:t>Balance, beginning of period</w:t>
            </w: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447,615</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39"/>
              <w:spacing w:after="0" w:line="142" w:lineRule="exact"/>
              <w:rPr>
                <w:sz w:val="20"/>
                <w:szCs w:val="20"/>
                <w:color w:val="auto"/>
              </w:rPr>
            </w:pPr>
            <w:r>
              <w:rPr>
                <w:rFonts w:ascii="Arial" w:cs="Arial" w:eastAsia="Arial" w:hAnsi="Arial"/>
                <w:sz w:val="14"/>
                <w:szCs w:val="14"/>
                <w:color w:val="auto"/>
              </w:rPr>
              <w:t>(305,590)</w:t>
            </w:r>
          </w:p>
        </w:tc>
        <w:tc>
          <w:tcPr>
            <w:tcW w:w="16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142,025</w:t>
            </w:r>
          </w:p>
        </w:tc>
        <w:tc>
          <w:tcPr>
            <w:tcW w:w="320" w:type="dxa"/>
            <w:vAlign w:val="bottom"/>
            <w:gridSpan w:val="2"/>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447,615</w:t>
            </w:r>
          </w:p>
        </w:tc>
        <w:tc>
          <w:tcPr>
            <w:tcW w:w="2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(305,590)</w:t>
            </w:r>
          </w:p>
        </w:tc>
        <w:tc>
          <w:tcPr>
            <w:tcW w:w="80" w:type="dxa"/>
            <w:vAlign w:val="bottom"/>
          </w:tcPr>
          <w:p>
            <w:pPr>
              <w:spacing w:after="0"/>
              <w:rPr>
                <w:sz w:val="12"/>
                <w:szCs w:val="12"/>
                <w:color w:val="auto"/>
              </w:rPr>
            </w:pPr>
          </w:p>
        </w:tc>
        <w:tc>
          <w:tcPr>
            <w:tcW w:w="140" w:type="dxa"/>
            <w:vAlign w:val="bottom"/>
            <w:gridSpan w:val="2"/>
          </w:tcPr>
          <w:p>
            <w:pPr>
              <w:ind w:left="6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142,025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Acquisition of HCSB</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23,863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23,863</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23,863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23,863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40" w:type="dxa"/>
            <w:vAlign w:val="bottom"/>
            <w:tcBorders>
              <w:bottom w:val="single" w:sz="8" w:color="CCEEFF"/>
            </w:tcBorders>
            <w:gridSpan w:val="3"/>
          </w:tcPr>
          <w:p>
            <w:pPr>
              <w:spacing w:after="0" w:line="155" w:lineRule="exact"/>
              <w:rPr>
                <w:sz w:val="20"/>
                <w:szCs w:val="20"/>
                <w:color w:val="auto"/>
              </w:rPr>
            </w:pPr>
            <w:r>
              <w:rPr>
                <w:rFonts w:ascii="Arial" w:cs="Arial" w:eastAsia="Arial" w:hAnsi="Arial"/>
                <w:sz w:val="14"/>
                <w:szCs w:val="14"/>
                <w:color w:val="auto"/>
              </w:rPr>
              <w:t>Balance, end of period</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471,478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(305,590</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165,888</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471,478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gridSpan w:val="2"/>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(305,590</w:t>
            </w:r>
          </w:p>
        </w:tc>
        <w:tc>
          <w:tcPr>
            <w:tcW w:w="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165,888</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b w:val="1"/>
                <w:bCs w:val="1"/>
                <w:color w:val="auto"/>
                <w:w w:val="83"/>
              </w:rPr>
              <w:t>2016</w:t>
            </w:r>
          </w:p>
        </w:tc>
        <w:tc>
          <w:tcPr>
            <w:tcW w:w="86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Balance, beginning of period</w:t>
            </w: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436,902</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39"/>
              <w:spacing w:after="0" w:line="142" w:lineRule="exact"/>
              <w:rPr>
                <w:sz w:val="20"/>
                <w:szCs w:val="20"/>
                <w:color w:val="auto"/>
              </w:rPr>
            </w:pPr>
            <w:r>
              <w:rPr>
                <w:rFonts w:ascii="Arial" w:cs="Arial" w:eastAsia="Arial" w:hAnsi="Arial"/>
                <w:sz w:val="14"/>
                <w:szCs w:val="14"/>
                <w:color w:val="auto"/>
              </w:rPr>
              <w:t>(305,590)</w:t>
            </w: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131,312</w:t>
            </w:r>
          </w:p>
        </w:tc>
        <w:tc>
          <w:tcPr>
            <w:tcW w:w="320" w:type="dxa"/>
            <w:vAlign w:val="bottom"/>
            <w:gridSpan w:val="2"/>
            <w:shd w:val="clear" w:color="auto" w:fill="CCEEFF"/>
          </w:tcPr>
          <w:p>
            <w:pPr>
              <w:jc w:val="right"/>
              <w:ind w:right="9"/>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436,202</w:t>
            </w:r>
          </w:p>
        </w:tc>
        <w:tc>
          <w:tcPr>
            <w:tcW w:w="2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(305,590)</w:t>
            </w: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130,612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3"/>
          </w:tcPr>
          <w:p>
            <w:pPr>
              <w:spacing w:after="0" w:line="149" w:lineRule="exact"/>
              <w:rPr>
                <w:sz w:val="20"/>
                <w:szCs w:val="20"/>
                <w:color w:val="auto"/>
              </w:rPr>
            </w:pPr>
            <w:r>
              <w:rPr>
                <w:rFonts w:ascii="Arial" w:cs="Arial" w:eastAsia="Arial" w:hAnsi="Arial"/>
                <w:sz w:val="14"/>
                <w:szCs w:val="14"/>
                <w:color w:val="auto"/>
              </w:rPr>
              <w:t>Acquisition of Tidelands</w:t>
            </w: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10,713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10,713</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10,713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Measurement period adjustments</w:t>
            </w: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gridSpan w:val="3"/>
          </w:tcPr>
          <w:p>
            <w:pPr>
              <w:spacing w:after="0" w:line="155" w:lineRule="exact"/>
              <w:rPr>
                <w:sz w:val="20"/>
                <w:szCs w:val="20"/>
                <w:color w:val="auto"/>
              </w:rPr>
            </w:pPr>
            <w:r>
              <w:rPr>
                <w:rFonts w:ascii="Arial" w:cs="Arial" w:eastAsia="Arial" w:hAnsi="Arial"/>
                <w:sz w:val="14"/>
                <w:szCs w:val="14"/>
                <w:color w:val="auto"/>
              </w:rPr>
              <w:t>Balance, end of period</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447,615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(305,590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142,025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447,615</w:t>
            </w:r>
          </w:p>
        </w:tc>
        <w:tc>
          <w:tcPr>
            <w:tcW w:w="10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(305,590</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142,025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estimated aggregate amortization expense for future periods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80" w:type="dxa"/>
            <w:vAlign w:val="bottom"/>
            <w:gridSpan w:val="2"/>
          </w:tcPr>
          <w:p>
            <w:pPr>
              <w:ind w:left="1720"/>
              <w:spacing w:after="0"/>
              <w:rPr>
                <w:sz w:val="20"/>
                <w:szCs w:val="20"/>
                <w:color w:val="auto"/>
              </w:rPr>
            </w:pPr>
            <w:r>
              <w:rPr>
                <w:rFonts w:ascii="Arial" w:cs="Arial" w:eastAsia="Arial" w:hAnsi="Arial"/>
                <w:sz w:val="18"/>
                <w:szCs w:val="18"/>
                <w:b w:val="1"/>
                <w:bCs w:val="1"/>
                <w:color w:val="auto"/>
              </w:rPr>
              <w:t>Year</w:t>
            </w:r>
          </w:p>
        </w:tc>
        <w:tc>
          <w:tcPr>
            <w:tcW w:w="4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2017</w:t>
            </w:r>
          </w:p>
        </w:tc>
        <w:tc>
          <w:tcPr>
            <w:tcW w:w="43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2018</w:t>
            </w:r>
          </w:p>
        </w:tc>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2020</w:t>
            </w:r>
          </w:p>
        </w:tc>
        <w:tc>
          <w:tcPr>
            <w:tcW w:w="4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Thereafter</w:t>
            </w:r>
          </w:p>
        </w:tc>
        <w:tc>
          <w:tcPr>
            <w:tcW w:w="4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2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3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16,828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300" w:type="dxa"/>
            <w:vAlign w:val="bottom"/>
            <w:vMerge w:val="restart"/>
          </w:tcPr>
          <w:p>
            <w:pPr>
              <w:jc w:val="right"/>
              <w:ind w:right="2770"/>
              <w:spacing w:after="0"/>
              <w:rPr>
                <w:sz w:val="20"/>
                <w:szCs w:val="20"/>
                <w:color w:val="auto"/>
              </w:rPr>
            </w:pPr>
            <w:r>
              <w:rPr>
                <w:rFonts w:ascii="Arial" w:cs="Arial" w:eastAsia="Arial" w:hAnsi="Arial"/>
                <w:sz w:val="18"/>
                <w:szCs w:val="18"/>
                <w:color w:val="auto"/>
              </w:rPr>
              <w:t>39</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7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15, 2017, United paid off $35 million of maturing long-term debt that had an interest rate of 9%. On November 3, 2017, United's Board of Directors approved a regular quarterly cash dividend of ten cents per common share. The dividend is payable January 5, 2018, to shareholders of record on December 15,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 Oaks Fincorp,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 2017, United completed its previously announced acquisition of Four Oaks Fincorp, Inc. (“FOFN”) and its wholly-owned bank subsidiary, Four Oaks Bank &amp; Trust Company. As of June 30, 2017, FOFN had total assets of $740 million, loans of $498 million and deposits of $560 million. Four Oaks Bank &amp; Trust Company, which operated 14 banking offices in the Raleigh, North Carolina metropolitan statistical area, will operate under the Four Oaks Bank &amp; Trust Company brand until the system conversions are completed in the second quarter of 2018, at which time it will begin to operate as United Community Bank.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merger agreement, FOFN shareholders received .6178 shares of United common stock and $1.90 for each share of FOFN common stock, or an aggregate of approximately $128 million based on United’s closing price of $27.42 on October 31, 2017.</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acquisition will be accounted for as a business combination, subject to the provisions of ASC 805-10-50, </w:t>
      </w:r>
      <w:r>
        <w:rPr>
          <w:rFonts w:ascii="Arial" w:cs="Arial" w:eastAsia="Arial" w:hAnsi="Arial"/>
          <w:sz w:val="17"/>
          <w:szCs w:val="17"/>
          <w:i w:val="1"/>
          <w:iCs w:val="1"/>
          <w:color w:val="auto"/>
        </w:rPr>
        <w:t>Business Combinations</w:t>
      </w:r>
      <w:r>
        <w:rPr>
          <w:rFonts w:ascii="Arial" w:cs="Arial" w:eastAsia="Arial" w:hAnsi="Arial"/>
          <w:sz w:val="17"/>
          <w:szCs w:val="17"/>
          <w:color w:val="auto"/>
        </w:rPr>
        <w:t>. Due to the timing of the acquisition, United is currently in the process of completing the purchase accounting and has not made all of the remaining disclosures required by ASC 805-10-50, such as the fair value of assets acquired and supplemental pro forma information, which will be disclosed in subsequent filings.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2016 as well as the following factors:</w:t>
      </w:r>
    </w:p>
    <w:p>
      <w:pPr>
        <w:spacing w:after="0" w:line="18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results of our internal credit stress tests may not accurately predict the impact on our financial condition if the economy were to deteriorate;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fully realize the balance of our net deferred tax asset,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lower federal income tax rates on the carrying amount of our deferred tax asset;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net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raise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 and other interest rate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risks related to our communications and information systems, including risks with respect to cybersecurity breaches;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regulatory capital and other requirements;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w:t>
      </w: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controls over financial reporting and disclosure controls and procedures.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 The financial statements and information contained herein have not been reviewed, or confirmed for accuracy or relevance, by the Federal Deposit Insurance Corporation.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September 30, 2017, United had total consolidated assets of $11.1 billion, total loans of $7.20 billion, total deposits of $9.13 billion, and shareholders’ equity of $1.22 billion.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conducts substantially all of its operations through its wholly-owned Georgia bank subsidiary, United Community Bank (the “Bank”), which as of September 30, 2017, operated at 142 locations throughout the Atlanta-Sandy Springs-Roswell, Georgia, and Gainesville, Georgia metropolitan statistical areas, upstate and coastal South Carolina, north and coastal Georgia, western North Carolina, and east Tennessee, as well as a commercial loan office in Charlotte, North Carolina.</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1, 2016, United completed its previously announced acquisition of Tidelands Bancshares, Inc. (“Tidelands”) and its wholly-owned bank subsidiary, Tidelands Bank. Tidelands’ results are included in United’s consolidated results beginning on the acquisition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31, 2017, United completed its previously announced acquisition of HCSB Financial Corporation (“HCSB”) and its wholly-owned bank subsidiary, Horry County State Bank. HCSB’s results are included in United’s consolidated results beginning on the acquisition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reported net income of $27.9 million, or $.38 per diluted share, for the third quarter of 2017, compared to net income of $25.9 million, or $.36 per diluted share, for the third quarter of 2016. For the nine months ended September 30, 2017, United reported net income of $79.7 million, or $1.10 per diluted share, compared to $73.4 million, or $1.02 per diluted share, for the first nine months of 2016. The increase in earnings per share resulted from an increase in net interest revenue, partially offset by a decrease in fee revenue and an increase in operating expenses.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interest revenue increased to $89.8 million for the third quarter of 2017, compared to $79.0 million for the third quarter of 2016, primarily due to higher loan volume, much of which resulted from the acquisition of HCSB. Net interest margin increased to 3.54% for the three months ended September 30, 2017 from 3.34% for the same period in 2016 mostly due to the effect of rising interest rates on floating rate loans and investment securities. Growth in the loan portfolio also led to a more favorable earning asset mix. For the nine months ended September 30, 2017, net interest revenue was $258 million and the net interest margin was 3.49% compared to net interest revenue of $229 million and net interest margin of 3.36% for the same period in 2016.</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provision for credit losses was $1.00 million for the third quarter of 2017, compared to a release of provision of $300,000 for the third quarter of 2016. For the nine months ended September 30, 2017, the provision for credit losses was $2.60 million, compared to a release of provision of $800,000 for the same period in 2016. Net charge-offs for the third quarter of 2017 were $1.64 million, compared to $1.36 million for the third quarter of 2016.</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2017, the allowance for loan losses was $58.6 million, or .81% of loans, compared to $61.4 million, or .89% of loans, at December 31, 2016 reflecting continued asset quality improvement and the effect of loans acquired through a business combination which are recorded at fair value with credit losses reflected in the value rather than in the allowance for loan losses. Nonperforming assets of $25.7 million were .23% of total assets at September 30, 2017, down from .28% at December 31, 2016 primarily due to sales of foreclosed properties. During the third quarter of 2017, $7.96 million in loans were placed on nonaccrual compared with $6.68 million in the third quarter of 2016.</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Fee revenue of $20.6 million for the third quarter of 2017 was down $5.79, or 22%, from the third quarter of 2016. Service charges and fees decreased 24% compared to third quarter of 2016 due to the effect of the Durbin Amendment of the Dodd-Frank Act, which took effect for United in the third quarter of 2017 and limited the amount of interchange fees United could earn on debit card transactions. For the first nine months of 2017, fee revenue of $66.3 million decreased $2.13 million, or 3%, from the same period in 2016, primarily due to the same factors that affected the quarterly results.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third quarter and first nine months of 2017, operating expenses of $65.7 million and $192 million, respectively, were up $1.65 million and $11.8 million from the same periods of 2016, primarily due to the addition of HCSB and (for the year to date period) Tidelands operating expenses since acquisition. Salaries and benefits expense increased $1.55 million from third quarter 2016 and $8.94 million from the first nine months of 2016, also due to the addition of HCSB and Tidelands and higher incentives and commissions in connection with increased lending activities and improvement in earnings performance.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 2017, United completed its previously announced acquisition of Four Oaks Fincorp, Inc. (“FOFN”) and its wholly-owned bank subsidiary, Four Oaks Bank &amp; Trust Company. As of June 30, 2017, FOFN had total assets of $740 million, loans of $498 million and deposits of $560 million. Four Oaks Bank &amp; Trust Company, which operated 14 banking offices in the Raleigh, North Carolina metropolitan statistical area, will operate under the Four Oaks Bank &amp; Trust Company brand until the system conversions are completed in the second quarter of 2018, at which time it will begin to operate as United Community Bank.</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merger agreement, FOFN shareholders received .6178 shares of United common stock and $1.90 for each share of FOFN common stock, or an aggregate of approximately $128 million based on United’s closing price of $27.42 on October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are in accordance with accounting principles generally accepted in the United States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“average tangible equity to average assets,” “tangible equity to assets,” “average tangible common equity to average assets,” “tangible common equity to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“net income available to common shareholders – operating,” “diluted net income per common share – operating,” “return on common equity – operating,” “return on tangible common equity – operating,” “return on assets – operating,” “dividend payout ratio – operating” and “efficiency ratio – operating.” Management has developed internal processes and procedures to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the table on page 45.</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reported net income of $27.9 million for the third quarter of 2017. This compared to net income of $25.9 million for the same period in 2016. For the third quarter of 2017, diluted earnings per common share were $.38 compared to $.36 for the third quarter of 2016. For the nine months ended September 30, 2017, United reported net income of $79.7 million compared to net income of $73.4 million for the same period in 2016.</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reported operating net income of $30.2 million and $87.9 million, respectively, for the third quarter and first nine months of 2017, compared to $27.8 million and $77.8 million, respectively, for the same periods in 2016. For the third quarter of 2017, operating net income excludes merger-related charges and impairment charges on surplus bank properties, which, net of the associated income tax benefit, totaled $2.27 million. For the first nine months of 2017, operating net income excludes merger-related charges, impairment charges on surplus bank properties, executive retirement charges and the release from accumulated other comprehensive income of the disproportionate tax effect related to cash flow hedges, which, net of tax, totaled $8.12 million. For the third quarter and first nine months of 2016, operating net income excludes merger-related charges, which, net of tax, totaled $1.96 million and $4.34 million,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Third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95"/>
              </w:rPr>
              <w:t>For the Nine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Quarter</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93"/>
              </w:rPr>
              <w:t>Months Ended</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Third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Second</w:t>
            </w:r>
          </w:p>
        </w:tc>
        <w:tc>
          <w:tcPr>
            <w:tcW w:w="120" w:type="dxa"/>
            <w:vAlign w:val="bottom"/>
          </w:tcPr>
          <w:p>
            <w:pPr>
              <w:spacing w:after="0"/>
              <w:rPr>
                <w:sz w:val="12"/>
                <w:szCs w:val="12"/>
                <w:color w:val="auto"/>
              </w:rPr>
            </w:pPr>
          </w:p>
        </w:tc>
        <w:tc>
          <w:tcPr>
            <w:tcW w:w="68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First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Fourth</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2017-2016</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4"/>
          </w:tcPr>
          <w:p>
            <w:pPr>
              <w:jc w:val="center"/>
              <w:ind w:left="228"/>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2017-2016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spacing w:after="0" w:line="155" w:lineRule="exact"/>
              <w:rPr>
                <w:sz w:val="20"/>
                <w:szCs w:val="20"/>
                <w:color w:val="auto"/>
              </w:rPr>
            </w:pPr>
            <w:r>
              <w:rPr>
                <w:rFonts w:ascii="Arial" w:cs="Arial" w:eastAsia="Arial" w:hAnsi="Arial"/>
                <w:sz w:val="14"/>
                <w:szCs w:val="14"/>
                <w:b w:val="1"/>
                <w:bCs w:val="1"/>
                <w:i w:val="1"/>
                <w:iCs w:val="1"/>
                <w:color w:val="auto"/>
                <w:w w:val="91"/>
              </w:rPr>
              <w:t>(in thousands, except per share data)</w:t>
            </w:r>
          </w:p>
        </w:tc>
        <w:tc>
          <w:tcPr>
            <w:tcW w:w="100" w:type="dxa"/>
            <w:vAlign w:val="bottom"/>
          </w:tcPr>
          <w:p>
            <w:pPr>
              <w:spacing w:after="0"/>
              <w:rPr>
                <w:sz w:val="13"/>
                <w:szCs w:val="13"/>
                <w:color w:val="auto"/>
              </w:rPr>
            </w:pPr>
          </w:p>
        </w:tc>
        <w:tc>
          <w:tcPr>
            <w:tcW w:w="820" w:type="dxa"/>
            <w:vAlign w:val="bottom"/>
            <w:gridSpan w:val="2"/>
          </w:tcPr>
          <w:p>
            <w:pPr>
              <w:jc w:val="right"/>
              <w:ind w:right="280"/>
              <w:spacing w:after="0" w:line="155" w:lineRule="exact"/>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3"/>
                <w:szCs w:val="13"/>
                <w:color w:val="auto"/>
              </w:rPr>
            </w:pPr>
          </w:p>
        </w:tc>
        <w:tc>
          <w:tcPr>
            <w:tcW w:w="84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Quarter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Quarter</w:t>
            </w:r>
          </w:p>
        </w:tc>
        <w:tc>
          <w:tcPr>
            <w:tcW w:w="10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89"/>
              </w:rPr>
              <w:t>Change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188"/>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3"/>
                <w:szCs w:val="13"/>
                <w:color w:val="auto"/>
              </w:rPr>
            </w:pPr>
          </w:p>
        </w:tc>
        <w:tc>
          <w:tcPr>
            <w:tcW w:w="880" w:type="dxa"/>
            <w:vAlign w:val="bottom"/>
            <w:gridSpan w:val="3"/>
          </w:tcPr>
          <w:p>
            <w:pPr>
              <w:jc w:val="right"/>
              <w:ind w:right="208"/>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9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INCOME SUMMARY</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Interest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98,839</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93,166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90,958</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87,778</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85,439</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282,963</w:t>
            </w:r>
          </w:p>
        </w:tc>
        <w:tc>
          <w:tcPr>
            <w:tcW w:w="4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0"/>
              </w:rPr>
              <w:t>247,242</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9,064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8,018</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7,404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6,853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6,450</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24,486</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18,383</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Net interest revenue</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89,775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85,148</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83,554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80,925</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78,989</w:t>
            </w:r>
          </w:p>
        </w:tc>
        <w:tc>
          <w:tcPr>
            <w:tcW w:w="200" w:type="dxa"/>
            <w:vAlign w:val="bottom"/>
          </w:tcPr>
          <w:p>
            <w:pPr>
              <w:spacing w:after="0"/>
              <w:rPr>
                <w:sz w:val="12"/>
                <w:szCs w:val="12"/>
                <w:color w:val="auto"/>
              </w:rPr>
            </w:pPr>
          </w:p>
        </w:tc>
        <w:tc>
          <w:tcPr>
            <w:tcW w:w="1020" w:type="dxa"/>
            <w:vAlign w:val="bottom"/>
            <w:gridSpan w:val="2"/>
          </w:tcPr>
          <w:p>
            <w:pPr>
              <w:jc w:val="right"/>
              <w:ind w:right="60"/>
              <w:spacing w:after="0" w:line="142"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258,477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228,859</w:t>
            </w:r>
          </w:p>
        </w:tc>
        <w:tc>
          <w:tcPr>
            <w:tcW w:w="20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2,600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Fee revenue</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20,573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23,685</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22,074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25,233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26,361</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(22)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66,332</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68,464</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Total revenue</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109,348</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108,033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104,828</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106,158</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105,650</w:t>
            </w:r>
          </w:p>
        </w:tc>
        <w:tc>
          <w:tcPr>
            <w:tcW w:w="2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4</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322,209</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298,123</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65,674</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63,229</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62,826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61,321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64,023</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191,729</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179,968</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95"/>
              </w:rPr>
              <w:t>Income before income tax expense</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43,674</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44,804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42,002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44,837</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41,627</w:t>
            </w:r>
          </w:p>
        </w:tc>
        <w:tc>
          <w:tcPr>
            <w:tcW w:w="2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5</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130,480</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118,155</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15,728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16,537</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18,478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17,616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15,753</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50,743</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44,720</w:t>
            </w:r>
          </w:p>
        </w:tc>
        <w:tc>
          <w:tcPr>
            <w:tcW w:w="86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Net income</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27,946</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28,267</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23,524</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27,221</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25,874</w:t>
            </w:r>
          </w:p>
        </w:tc>
        <w:tc>
          <w:tcPr>
            <w:tcW w:w="2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8</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79,737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73,435</w:t>
            </w: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1,830</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2,054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1,141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3,152</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7,304</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6,981</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Income tax benefit of merger-related</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and other charges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(1,147)</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(675)</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(758)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(432)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(1,193)</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(2,580)</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(2,642)</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tcPr>
          <w:p>
            <w:pPr>
              <w:spacing w:after="0" w:line="130" w:lineRule="exact"/>
              <w:rPr>
                <w:sz w:val="20"/>
                <w:szCs w:val="20"/>
                <w:color w:val="auto"/>
              </w:rPr>
            </w:pPr>
            <w:r>
              <w:rPr>
                <w:rFonts w:ascii="Arial" w:cs="Arial" w:eastAsia="Arial" w:hAnsi="Arial"/>
                <w:sz w:val="14"/>
                <w:szCs w:val="14"/>
                <w:color w:val="auto"/>
              </w:rPr>
              <w:t>Impairment of deferred tax asset on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canceled non-qualified stock</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976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Release of disproportionate tax</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effects lodged in OCI</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3,400</w:t>
            </w: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60" w:type="dxa"/>
            <w:vAlign w:val="bottom"/>
            <w:gridSpan w:val="2"/>
            <w:vMerge w:val="restart"/>
          </w:tcPr>
          <w:p>
            <w:pPr>
              <w:ind w:left="160"/>
              <w:spacing w:after="0" w:line="216" w:lineRule="exact"/>
              <w:rPr>
                <w:sz w:val="20"/>
                <w:szCs w:val="20"/>
                <w:color w:val="auto"/>
              </w:rPr>
            </w:pPr>
            <w:r>
              <w:rPr>
                <w:rFonts w:ascii="Arial" w:cs="Arial" w:eastAsia="Arial" w:hAnsi="Arial"/>
                <w:sz w:val="14"/>
                <w:szCs w:val="14"/>
                <w:b w:val="1"/>
                <w:bCs w:val="1"/>
                <w:color w:val="auto"/>
              </w:rPr>
              <w:t xml:space="preserve">Net income - operating </w:t>
            </w:r>
            <w:r>
              <w:rPr>
                <w:rFonts w:ascii="Arial" w:cs="Arial" w:eastAsia="Arial" w:hAnsi="Arial"/>
                <w:sz w:val="23"/>
                <w:szCs w:val="23"/>
                <w:b w:val="1"/>
                <w:bCs w:val="1"/>
                <w:color w:val="auto"/>
                <w:vertAlign w:val="superscript"/>
              </w:rPr>
              <w:t>(1)</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9</w:t>
            </w: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26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30,219</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29,422</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28,220</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28,906</w:t>
            </w:r>
          </w:p>
        </w:tc>
        <w:tc>
          <w:tcPr>
            <w:tcW w:w="1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27,833</w:t>
            </w:r>
          </w:p>
        </w:tc>
        <w:tc>
          <w:tcPr>
            <w:tcW w:w="1020" w:type="dxa"/>
            <w:vAlign w:val="bottom"/>
            <w:gridSpan w:val="2"/>
            <w:vMerge w:val="continue"/>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87,861</w:t>
            </w:r>
          </w:p>
        </w:tc>
        <w:tc>
          <w:tcPr>
            <w:tcW w:w="4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77,774</w:t>
            </w: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PERFORMANCE MEASURES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Per common share:</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Diluted net income - GAAP</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w:t>
            </w:r>
          </w:p>
        </w:tc>
        <w:tc>
          <w:tcPr>
            <w:tcW w:w="4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0" w:lineRule="exact"/>
              <w:rPr>
                <w:sz w:val="20"/>
                <w:szCs w:val="20"/>
                <w:color w:val="auto"/>
              </w:rPr>
            </w:pPr>
            <w:r>
              <w:rPr>
                <w:rFonts w:ascii="Arial" w:cs="Arial" w:eastAsia="Arial" w:hAnsi="Arial"/>
                <w:sz w:val="14"/>
                <w:szCs w:val="14"/>
                <w:color w:val="auto"/>
              </w:rPr>
              <w:t>Diluted net income -</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shd w:val="clear" w:color="auto" w:fill="CCEEFF"/>
          </w:tcPr>
          <w:p>
            <w:pPr>
              <w:ind w:left="48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Cash dividends declared</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.08</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.08</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Book value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15.06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15.12</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16.50</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15.12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21"/>
                <w:szCs w:val="21"/>
                <w:color w:val="auto"/>
                <w:vertAlign w:val="superscript"/>
              </w:rPr>
              <w:t>(3)</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14.11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13.30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12.95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13.00</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14.11</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13.00</w:t>
            </w: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Key performance ratios: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0" w:lineRule="exact"/>
              <w:rPr>
                <w:sz w:val="20"/>
                <w:szCs w:val="20"/>
                <w:color w:val="auto"/>
              </w:rPr>
            </w:pPr>
            <w:r>
              <w:rPr>
                <w:rFonts w:ascii="Arial" w:cs="Arial" w:eastAsia="Arial" w:hAnsi="Arial"/>
                <w:sz w:val="14"/>
                <w:szCs w:val="14"/>
                <w:color w:val="auto"/>
              </w:rPr>
              <w:t>Return on common equity -</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shd w:val="clear" w:color="auto" w:fill="CCEEFF"/>
          </w:tcPr>
          <w:p>
            <w:pPr>
              <w:ind w:left="480"/>
              <w:spacing w:after="0" w:line="198" w:lineRule="exact"/>
              <w:rPr>
                <w:sz w:val="20"/>
                <w:szCs w:val="20"/>
                <w:color w:val="auto"/>
              </w:rPr>
            </w:pPr>
            <w:r>
              <w:rPr>
                <w:rFonts w:ascii="Arial" w:cs="Arial" w:eastAsia="Arial" w:hAnsi="Arial"/>
                <w:sz w:val="22"/>
                <w:szCs w:val="22"/>
                <w:color w:val="auto"/>
                <w:vertAlign w:val="subscript"/>
              </w:rPr>
              <w:t>GAAP</w:t>
            </w:r>
            <w:r>
              <w:rPr>
                <w:rFonts w:ascii="Arial" w:cs="Arial" w:eastAsia="Arial" w:hAnsi="Arial"/>
                <w:sz w:val="10"/>
                <w:szCs w:val="10"/>
                <w:color w:val="auto"/>
              </w:rPr>
              <w:t xml:space="preserve"> (2)(4)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9.98%</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8.54%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9.61%</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9.26%</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9.25%</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tcPr>
          <w:p>
            <w:pPr>
              <w:ind w:left="320"/>
              <w:spacing w:after="0" w:line="140" w:lineRule="exact"/>
              <w:rPr>
                <w:sz w:val="20"/>
                <w:szCs w:val="20"/>
                <w:color w:val="auto"/>
              </w:rPr>
            </w:pPr>
            <w:r>
              <w:rPr>
                <w:rFonts w:ascii="Arial" w:cs="Arial" w:eastAsia="Arial" w:hAnsi="Arial"/>
                <w:sz w:val="14"/>
                <w:szCs w:val="14"/>
                <w:color w:val="auto"/>
              </w:rPr>
              <w:t>Return on common equity -</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tcPr>
          <w:p>
            <w:pPr>
              <w:ind w:left="480"/>
              <w:spacing w:after="0" w:line="198" w:lineRule="exact"/>
              <w:rPr>
                <w:sz w:val="20"/>
                <w:szCs w:val="20"/>
                <w:color w:val="auto"/>
              </w:rPr>
            </w:pPr>
            <w:r>
              <w:rPr>
                <w:rFonts w:ascii="Arial" w:cs="Arial" w:eastAsia="Arial" w:hAnsi="Arial"/>
                <w:sz w:val="22"/>
                <w:szCs w:val="22"/>
                <w:color w:val="auto"/>
                <w:vertAlign w:val="subscript"/>
              </w:rPr>
              <w:t>operating</w:t>
            </w:r>
            <w:r>
              <w:rPr>
                <w:rFonts w:ascii="Arial" w:cs="Arial" w:eastAsia="Arial" w:hAnsi="Arial"/>
                <w:sz w:val="10"/>
                <w:szCs w:val="10"/>
                <w:color w:val="auto"/>
              </w:rPr>
              <w:t xml:space="preserve"> (1)(2)(4)</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10.39</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10.25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10.51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10.34</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10.20</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9.79</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0" w:lineRule="exact"/>
              <w:rPr>
                <w:sz w:val="20"/>
                <w:szCs w:val="20"/>
                <w:color w:val="auto"/>
              </w:rPr>
            </w:pPr>
            <w:r>
              <w:rPr>
                <w:rFonts w:ascii="Arial" w:cs="Arial" w:eastAsia="Arial" w:hAnsi="Arial"/>
                <w:sz w:val="14"/>
                <w:szCs w:val="14"/>
                <w:color w:val="auto"/>
              </w:rPr>
              <w:t>Return on tangible common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shd w:val="clear" w:color="auto" w:fill="CCEEFF"/>
          </w:tcPr>
          <w:p>
            <w:pPr>
              <w:ind w:left="480"/>
              <w:spacing w:after="0" w:line="198" w:lineRule="exact"/>
              <w:rPr>
                <w:sz w:val="20"/>
                <w:szCs w:val="20"/>
                <w:color w:val="auto"/>
              </w:rPr>
            </w:pPr>
            <w:r>
              <w:rPr>
                <w:rFonts w:ascii="Arial" w:cs="Arial" w:eastAsia="Arial" w:hAnsi="Arial"/>
                <w:sz w:val="14"/>
                <w:szCs w:val="14"/>
                <w:color w:val="auto"/>
                <w:w w:val="95"/>
              </w:rPr>
              <w:t xml:space="preserve">equity - operating </w:t>
            </w:r>
            <w:r>
              <w:rPr>
                <w:rFonts w:ascii="Arial" w:cs="Arial" w:eastAsia="Arial" w:hAnsi="Arial"/>
                <w:sz w:val="22"/>
                <w:szCs w:val="22"/>
                <w:color w:val="auto"/>
                <w:w w:val="95"/>
                <w:vertAlign w:val="superscript"/>
              </w:rPr>
              <w:t>(1)(2)(3)(4)</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12.19</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12.47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12.45</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12.07</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11.64</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Return on assets - GAAP </w:t>
            </w:r>
            <w:r>
              <w:rPr>
                <w:rFonts w:ascii="Arial" w:cs="Arial" w:eastAsia="Arial" w:hAnsi="Arial"/>
                <w:sz w:val="21"/>
                <w:szCs w:val="21"/>
                <w:color w:val="auto"/>
                <w:vertAlign w:val="superscript"/>
              </w:rPr>
              <w:t>(4)</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.89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1.03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1.00</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.99</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.99</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60" w:type="dxa"/>
            <w:vAlign w:val="bottom"/>
            <w:gridSpan w:val="2"/>
            <w:shd w:val="clear" w:color="auto" w:fill="CCEEFF"/>
          </w:tcPr>
          <w:p>
            <w:pPr>
              <w:ind w:left="320"/>
              <w:spacing w:after="0" w:line="181" w:lineRule="exact"/>
              <w:rPr>
                <w:sz w:val="20"/>
                <w:szCs w:val="20"/>
                <w:color w:val="auto"/>
              </w:rPr>
            </w:pPr>
            <w:r>
              <w:rPr>
                <w:rFonts w:ascii="Arial" w:cs="Arial" w:eastAsia="Arial" w:hAnsi="Arial"/>
                <w:sz w:val="13"/>
                <w:szCs w:val="13"/>
                <w:color w:val="auto"/>
              </w:rPr>
              <w:t xml:space="preserve">Return on assets - operating </w:t>
            </w:r>
            <w:r>
              <w:rPr>
                <w:rFonts w:ascii="Arial" w:cs="Arial" w:eastAsia="Arial" w:hAnsi="Arial"/>
                <w:sz w:val="20"/>
                <w:szCs w:val="20"/>
                <w:color w:val="auto"/>
                <w:vertAlign w:val="superscript"/>
              </w:rPr>
              <w:t>(1)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CEEFF"/>
          </w:tcPr>
          <w:p>
            <w:pPr>
              <w:ind w:left="48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1.08</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1.09</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1.05</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Dividend payout ratio - GAAP</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26.32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23.08</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22.22</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25.45</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21.57</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0" w:lineRule="exact"/>
              <w:rPr>
                <w:sz w:val="20"/>
                <w:szCs w:val="20"/>
                <w:color w:val="auto"/>
              </w:rPr>
            </w:pPr>
            <w:r>
              <w:rPr>
                <w:rFonts w:ascii="Arial" w:cs="Arial" w:eastAsia="Arial" w:hAnsi="Arial"/>
                <w:sz w:val="14"/>
                <w:szCs w:val="14"/>
                <w:color w:val="auto"/>
              </w:rPr>
              <w:t>Dividend payout ratio -</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shd w:val="clear" w:color="auto" w:fill="CCEEFF"/>
          </w:tcPr>
          <w:p>
            <w:pPr>
              <w:ind w:left="480"/>
              <w:spacing w:after="0" w:line="198" w:lineRule="exact"/>
              <w:rPr>
                <w:sz w:val="20"/>
                <w:szCs w:val="20"/>
                <w:color w:val="auto"/>
              </w:rPr>
            </w:pPr>
            <w:r>
              <w:rPr>
                <w:rFonts w:ascii="Arial" w:cs="Arial" w:eastAsia="Arial" w:hAnsi="Arial"/>
                <w:sz w:val="14"/>
                <w:szCs w:val="14"/>
                <w:color w:val="auto"/>
              </w:rPr>
              <w:t xml:space="preserve">operating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24.39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21.95</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23.08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20.00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20.51</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23.14</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20.37</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tcPr>
          <w:p>
            <w:pPr>
              <w:ind w:left="320"/>
              <w:spacing w:after="0" w:line="140" w:lineRule="exact"/>
              <w:rPr>
                <w:sz w:val="20"/>
                <w:szCs w:val="20"/>
                <w:color w:val="auto"/>
              </w:rPr>
            </w:pPr>
            <w:r>
              <w:rPr>
                <w:rFonts w:ascii="Arial" w:cs="Arial" w:eastAsia="Arial" w:hAnsi="Arial"/>
                <w:sz w:val="14"/>
                <w:szCs w:val="14"/>
                <w:color w:val="auto"/>
              </w:rPr>
              <w:t>Net interest margin (fully</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tcPr>
          <w:p>
            <w:pPr>
              <w:ind w:left="480"/>
              <w:spacing w:after="0" w:line="198" w:lineRule="exact"/>
              <w:rPr>
                <w:sz w:val="20"/>
                <w:szCs w:val="20"/>
                <w:color w:val="auto"/>
              </w:rPr>
            </w:pPr>
            <w:r>
              <w:rPr>
                <w:rFonts w:ascii="Arial" w:cs="Arial" w:eastAsia="Arial" w:hAnsi="Arial"/>
                <w:sz w:val="14"/>
                <w:szCs w:val="14"/>
                <w:color w:val="auto"/>
              </w:rPr>
              <w:t xml:space="preserve">taxable equivalent) </w:t>
            </w:r>
            <w:r>
              <w:rPr>
                <w:rFonts w:ascii="Arial" w:cs="Arial" w:eastAsia="Arial" w:hAnsi="Arial"/>
                <w:sz w:val="22"/>
                <w:szCs w:val="22"/>
                <w:color w:val="auto"/>
                <w:vertAlign w:val="superscript"/>
              </w:rPr>
              <w:t>(4)</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3.45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3.34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3.34</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3.49</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3.36</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Efficiency ratio - GAAP</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59.27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57.89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57.65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60.78</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58.81</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60.56</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60" w:type="dxa"/>
            <w:vAlign w:val="bottom"/>
            <w:gridSpan w:val="2"/>
          </w:tcPr>
          <w:p>
            <w:pPr>
              <w:ind w:left="320"/>
              <w:spacing w:after="0" w:line="189" w:lineRule="exact"/>
              <w:rPr>
                <w:sz w:val="20"/>
                <w:szCs w:val="20"/>
                <w:color w:val="auto"/>
              </w:rPr>
            </w:pPr>
            <w:r>
              <w:rPr>
                <w:rFonts w:ascii="Arial" w:cs="Arial" w:eastAsia="Arial" w:hAnsi="Arial"/>
                <w:sz w:val="13"/>
                <w:szCs w:val="13"/>
                <w:color w:val="auto"/>
              </w:rPr>
              <w:t xml:space="preserve">Efficiency ratio - operating </w:t>
            </w:r>
            <w:r>
              <w:rPr>
                <w:rFonts w:ascii="Arial" w:cs="Arial" w:eastAsia="Arial" w:hAnsi="Arial"/>
                <w:sz w:val="21"/>
                <w:szCs w:val="21"/>
                <w:color w:val="auto"/>
                <w:vertAlign w:val="superscript"/>
              </w:rPr>
              <w:t>(1)</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56.18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56.21</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57.35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56.58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57.79</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56.57</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58.21</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w w:val="92"/>
              </w:rPr>
              <w:t>Average equity to average assets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10.49</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10.38</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10.54</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10.60</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tcPr>
          <w:p>
            <w:pPr>
              <w:ind w:left="320"/>
              <w:spacing w:after="0" w:line="140" w:lineRule="exact"/>
              <w:rPr>
                <w:sz w:val="20"/>
                <w:szCs w:val="20"/>
                <w:color w:val="auto"/>
              </w:rPr>
            </w:pPr>
            <w:r>
              <w:rPr>
                <w:rFonts w:ascii="Arial" w:cs="Arial" w:eastAsia="Arial" w:hAnsi="Arial"/>
                <w:sz w:val="14"/>
                <w:szCs w:val="14"/>
                <w:color w:val="auto"/>
              </w:rPr>
              <w:t>Average tangible equity to</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tcPr>
          <w:p>
            <w:pPr>
              <w:ind w:left="480"/>
              <w:spacing w:after="0" w:line="198" w:lineRule="exact"/>
              <w:rPr>
                <w:sz w:val="20"/>
                <w:szCs w:val="20"/>
                <w:color w:val="auto"/>
              </w:rPr>
            </w:pPr>
            <w:r>
              <w:rPr>
                <w:rFonts w:ascii="Arial" w:cs="Arial" w:eastAsia="Arial" w:hAnsi="Arial"/>
                <w:sz w:val="14"/>
                <w:szCs w:val="14"/>
                <w:color w:val="auto"/>
              </w:rPr>
              <w:t xml:space="preserve">average assets </w:t>
            </w:r>
            <w:r>
              <w:rPr>
                <w:rFonts w:ascii="Arial" w:cs="Arial" w:eastAsia="Arial" w:hAnsi="Arial"/>
                <w:sz w:val="22"/>
                <w:szCs w:val="22"/>
                <w:color w:val="auto"/>
                <w:vertAlign w:val="superscript"/>
              </w:rPr>
              <w:t>(3)</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9.45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8.96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9.04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8.98</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9.21</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9.27</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shd w:val="clear" w:color="auto" w:fill="CCEEFF"/>
          </w:tcPr>
          <w:p>
            <w:pPr>
              <w:ind w:left="320"/>
              <w:spacing w:after="0" w:line="140" w:lineRule="exact"/>
              <w:rPr>
                <w:sz w:val="20"/>
                <w:szCs w:val="20"/>
                <w:color w:val="auto"/>
              </w:rPr>
            </w:pPr>
            <w:r>
              <w:rPr>
                <w:rFonts w:ascii="Arial" w:cs="Arial" w:eastAsia="Arial" w:hAnsi="Arial"/>
                <w:sz w:val="14"/>
                <w:szCs w:val="14"/>
                <w:color w:val="auto"/>
              </w:rPr>
              <w:t>Average tangible common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shd w:val="clear" w:color="auto" w:fill="CCEEFF"/>
          </w:tcPr>
          <w:p>
            <w:pPr>
              <w:ind w:left="480"/>
              <w:spacing w:after="0" w:line="198" w:lineRule="exact"/>
              <w:rPr>
                <w:sz w:val="20"/>
                <w:szCs w:val="20"/>
                <w:color w:val="auto"/>
              </w:rPr>
            </w:pPr>
            <w:r>
              <w:rPr>
                <w:rFonts w:ascii="Arial" w:cs="Arial" w:eastAsia="Arial" w:hAnsi="Arial"/>
                <w:sz w:val="14"/>
                <w:szCs w:val="14"/>
                <w:color w:val="auto"/>
              </w:rPr>
              <w:t xml:space="preserve">equity to average assets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9.45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9.23</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9.04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8.98</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9.21</w:t>
            </w:r>
          </w:p>
        </w:tc>
        <w:tc>
          <w:tcPr>
            <w:tcW w:w="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9.24</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tcPr>
          <w:p>
            <w:pPr>
              <w:ind w:left="320"/>
              <w:spacing w:after="0" w:line="140" w:lineRule="exact"/>
              <w:rPr>
                <w:sz w:val="20"/>
                <w:szCs w:val="20"/>
                <w:color w:val="auto"/>
              </w:rPr>
            </w:pPr>
            <w:r>
              <w:rPr>
                <w:rFonts w:ascii="Arial" w:cs="Arial" w:eastAsia="Arial" w:hAnsi="Arial"/>
                <w:sz w:val="14"/>
                <w:szCs w:val="14"/>
                <w:color w:val="auto"/>
              </w:rPr>
              <w:t>Tangible common equity to</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60" w:type="dxa"/>
            <w:vAlign w:val="bottom"/>
            <w:gridSpan w:val="2"/>
          </w:tcPr>
          <w:p>
            <w:pPr>
              <w:ind w:left="480"/>
              <w:spacing w:after="0" w:line="198" w:lineRule="exact"/>
              <w:rPr>
                <w:sz w:val="20"/>
                <w:szCs w:val="20"/>
                <w:color w:val="auto"/>
              </w:rPr>
            </w:pPr>
            <w:r>
              <w:rPr>
                <w:rFonts w:ascii="Arial" w:cs="Arial" w:eastAsia="Arial" w:hAnsi="Arial"/>
                <w:sz w:val="14"/>
                <w:szCs w:val="14"/>
                <w:color w:val="auto"/>
              </w:rPr>
              <w:t xml:space="preserve">risk-weighted assets </w:t>
            </w:r>
            <w:r>
              <w:rPr>
                <w:rFonts w:ascii="Arial" w:cs="Arial" w:eastAsia="Arial" w:hAnsi="Arial"/>
                <w:sz w:val="22"/>
                <w:szCs w:val="22"/>
                <w:color w:val="auto"/>
                <w:vertAlign w:val="superscript"/>
              </w:rPr>
              <w:t>(3)</w:t>
            </w: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12.80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12.07</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11.84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12.22</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12.80</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12.22</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ASSET QUALITY</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Nonperforming loans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22,921</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23,095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19,812</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21,539</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21,572</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22,921</w:t>
            </w:r>
          </w:p>
        </w:tc>
        <w:tc>
          <w:tcPr>
            <w:tcW w:w="4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21,572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2"/>
          </w:tcPr>
          <w:p>
            <w:pPr>
              <w:ind w:left="160"/>
              <w:spacing w:after="0"/>
              <w:rPr>
                <w:sz w:val="20"/>
                <w:szCs w:val="20"/>
                <w:color w:val="auto"/>
              </w:rPr>
            </w:pPr>
            <w:r>
              <w:rPr>
                <w:rFonts w:ascii="Arial" w:cs="Arial" w:eastAsia="Arial" w:hAnsi="Arial"/>
                <w:sz w:val="14"/>
                <w:szCs w:val="14"/>
                <w:color w:val="auto"/>
              </w:rPr>
              <w:t>Foreclosed properties</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2,736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2,739</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5,060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7,949</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9,187</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(70)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2,736</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9,187</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60" w:type="dxa"/>
            <w:vAlign w:val="bottom"/>
            <w:tcBorders>
              <w:top w:val="single" w:sz="8" w:color="CCEEFF"/>
            </w:tcBorders>
            <w:gridSpan w:val="2"/>
            <w:shd w:val="clear" w:color="auto" w:fill="CCEEFF"/>
          </w:tcPr>
          <w:p>
            <w:pPr>
              <w:ind w:left="160"/>
              <w:spacing w:after="0" w:line="142" w:lineRule="exact"/>
              <w:rPr>
                <w:sz w:val="20"/>
                <w:szCs w:val="20"/>
                <w:color w:val="auto"/>
              </w:rPr>
            </w:pPr>
            <w:r>
              <w:rPr>
                <w:rFonts w:ascii="Arial" w:cs="Arial" w:eastAsia="Arial" w:hAnsi="Arial"/>
                <w:sz w:val="14"/>
                <w:szCs w:val="14"/>
                <w:color w:val="auto"/>
                <w:w w:val="95"/>
              </w:rPr>
              <w:t>Total nonperforming assets (NPAs)</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25,657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25,834</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24,872</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29,488</w:t>
            </w:r>
          </w:p>
        </w:tc>
        <w:tc>
          <w:tcPr>
            <w:tcW w:w="1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30,759</w:t>
            </w:r>
          </w:p>
        </w:tc>
        <w:tc>
          <w:tcPr>
            <w:tcW w:w="2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(17)</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25,657</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30,759</w:t>
            </w:r>
          </w:p>
        </w:tc>
        <w:tc>
          <w:tcPr>
            <w:tcW w:w="2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Allowance for loan losses</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58,605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59,500</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60,543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61,422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62,961</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58,605</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62,961</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Net charge-offs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1,635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1,623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1,539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1,359</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4,937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5,227</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8"/>
              </w:rPr>
              <w:t>Allowance for loan losses to loans</w:t>
            </w:r>
          </w:p>
        </w:tc>
        <w:tc>
          <w:tcPr>
            <w:tcW w:w="10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.81%</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0" w:lineRule="exact"/>
              <w:rPr>
                <w:sz w:val="20"/>
                <w:szCs w:val="20"/>
                <w:color w:val="auto"/>
              </w:rPr>
            </w:pPr>
            <w:r>
              <w:rPr>
                <w:rFonts w:ascii="Arial" w:cs="Arial" w:eastAsia="Arial" w:hAnsi="Arial"/>
                <w:sz w:val="14"/>
                <w:szCs w:val="14"/>
                <w:color w:val="auto"/>
              </w:rPr>
              <w:t>Net charge-offs to average loans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.08</w:t>
            </w: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.09</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w:t>
            </w: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NPAs to loans and foreclosed</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tcPr>
          <w:p>
            <w:pPr>
              <w:ind w:left="320"/>
              <w:spacing w:after="0"/>
              <w:rPr>
                <w:sz w:val="20"/>
                <w:szCs w:val="20"/>
                <w:color w:val="auto"/>
              </w:rPr>
            </w:pPr>
            <w:r>
              <w:rPr>
                <w:rFonts w:ascii="Arial" w:cs="Arial" w:eastAsia="Arial" w:hAnsi="Arial"/>
                <w:sz w:val="14"/>
                <w:szCs w:val="14"/>
                <w:color w:val="auto"/>
              </w:rPr>
              <w:t>properties</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.46</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.36</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.46</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NPAs to total assets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w:t>
            </w: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b w:val="1"/>
                <w:bCs w:val="1"/>
                <w:i w:val="1"/>
                <w:iCs w:val="1"/>
                <w:color w:val="auto"/>
              </w:rPr>
              <w:t>($ in</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i w:val="1"/>
                <w:iCs w:val="1"/>
                <w:color w:val="auto"/>
              </w:rPr>
              <w:t>millions)</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7,149</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6,980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6,904</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6,814</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6,675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7,012</w:t>
            </w:r>
          </w:p>
        </w:tc>
        <w:tc>
          <w:tcPr>
            <w:tcW w:w="4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6,278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2,800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2,775</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2,610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2,799</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Earning assets</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10,133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9,899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9,872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9,443</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9,969</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9,120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10,980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10,704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10,677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10,484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10,281</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10,788</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9,909</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8,913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8,659</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8,592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8,552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8,307</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8,723</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8,051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Shareholders’ equity</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1,193</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1,085</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1,067</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1,137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1,051</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tcPr>
          <w:p>
            <w:pPr>
              <w:ind w:left="160"/>
              <w:spacing w:after="0" w:line="130" w:lineRule="exact"/>
              <w:rPr>
                <w:sz w:val="20"/>
                <w:szCs w:val="20"/>
                <w:color w:val="auto"/>
              </w:rPr>
            </w:pPr>
            <w:r>
              <w:rPr>
                <w:rFonts w:ascii="Arial" w:cs="Arial" w:eastAsia="Arial" w:hAnsi="Arial"/>
                <w:sz w:val="14"/>
                <w:szCs w:val="14"/>
                <w:color w:val="auto"/>
              </w:rPr>
              <w:t>Common shares - basic</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tcPr>
          <w:p>
            <w:pPr>
              <w:ind w:left="320"/>
              <w:spacing w:after="0"/>
              <w:rPr>
                <w:sz w:val="20"/>
                <w:szCs w:val="20"/>
                <w:color w:val="auto"/>
              </w:rPr>
            </w:pPr>
            <w:r>
              <w:rPr>
                <w:rFonts w:ascii="Arial" w:cs="Arial" w:eastAsia="Arial" w:hAnsi="Arial"/>
                <w:sz w:val="14"/>
                <w:szCs w:val="14"/>
                <w:i w:val="1"/>
                <w:iCs w:val="1"/>
                <w:color w:val="auto"/>
              </w:rPr>
              <w:t>(thousands)</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73,151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71,810</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71,700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71,641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71,556</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72,060</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color w:val="auto"/>
              </w:rPr>
              <w:t>71,992</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shares - diluted</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(thousands)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73,162</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71,820</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71,708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71,648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71,561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72,071</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71,996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b w:val="1"/>
                <w:bCs w:val="1"/>
                <w:i w:val="1"/>
                <w:iCs w:val="1"/>
                <w:color w:val="auto"/>
              </w:rPr>
              <w:t>($ in millions)</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Loans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7,203</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7,041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6,965</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6,921</w:t>
            </w:r>
          </w:p>
        </w:tc>
        <w:tc>
          <w:tcPr>
            <w:tcW w:w="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6,725</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w:t>
            </w:r>
          </w:p>
        </w:tc>
        <w:tc>
          <w:tcPr>
            <w:tcW w:w="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7,203</w:t>
            </w:r>
          </w:p>
        </w:tc>
        <w:tc>
          <w:tcPr>
            <w:tcW w:w="4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6,725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Investment securities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2,847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2,787</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2,767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2,762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2,560</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2,847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2,560</w:t>
            </w: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11,129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10,837</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10,732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10,709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10,298</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11,129</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10,298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9,127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8,736</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8,638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8,442</w:t>
            </w:r>
          </w:p>
        </w:tc>
        <w:tc>
          <w:tcPr>
            <w:tcW w:w="10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9,127</w:t>
            </w: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8,442</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Shareholders’ equity</w:t>
            </w:r>
          </w:p>
        </w:tc>
        <w:tc>
          <w:tcPr>
            <w:tcW w:w="10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1,133</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1,076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1,079</w:t>
            </w:r>
          </w:p>
        </w:tc>
        <w:tc>
          <w:tcPr>
            <w:tcW w:w="10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1,221</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1,079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60" w:type="dxa"/>
            <w:vAlign w:val="bottom"/>
            <w:gridSpan w:val="2"/>
            <w:shd w:val="clear" w:color="auto" w:fill="CCEEFF"/>
          </w:tcPr>
          <w:p>
            <w:pPr>
              <w:ind w:left="160"/>
              <w:spacing w:after="0" w:line="130" w:lineRule="exact"/>
              <w:rPr>
                <w:sz w:val="20"/>
                <w:szCs w:val="20"/>
                <w:color w:val="auto"/>
              </w:rPr>
            </w:pPr>
            <w:r>
              <w:rPr>
                <w:rFonts w:ascii="Arial" w:cs="Arial" w:eastAsia="Arial" w:hAnsi="Arial"/>
                <w:sz w:val="14"/>
                <w:szCs w:val="14"/>
                <w:color w:val="auto"/>
              </w:rPr>
              <w:t>Common shares outstanding</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2"/>
            <w:shd w:val="clear" w:color="auto" w:fill="CCEEFF"/>
          </w:tcPr>
          <w:p>
            <w:pPr>
              <w:ind w:left="320"/>
              <w:spacing w:after="0"/>
              <w:rPr>
                <w:sz w:val="20"/>
                <w:szCs w:val="20"/>
                <w:color w:val="auto"/>
              </w:rPr>
            </w:pPr>
            <w:r>
              <w:rPr>
                <w:rFonts w:ascii="Arial" w:cs="Arial" w:eastAsia="Arial" w:hAnsi="Arial"/>
                <w:sz w:val="14"/>
                <w:szCs w:val="14"/>
                <w:i w:val="1"/>
                <w:iCs w:val="1"/>
                <w:color w:val="auto"/>
              </w:rPr>
              <w:t>(thousands)</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73,403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70,981</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70,973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70,899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70,861</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73,403</w:t>
            </w: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70,861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0" w:gutter="0" w:footer="0" w:header="0"/>
        </w:sectPr>
      </w:pPr>
    </w:p>
    <w:bookmarkStart w:id="46" w:name="page47"/>
    <w:bookmarkEnd w:id="46"/>
    <w:p>
      <w:pPr>
        <w:ind w:left="220" w:hanging="212"/>
        <w:spacing w:after="0"/>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Excludes merger-related and other charges which includes amortization of certain executive change of control benefits, a first quarter 2017 release of</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disproportionate tax effects lodged in OCI and a fourth quarter 2016 deferred tax asset impairment charge related to cancelled non-qualified stock options. </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Net income available to common shareholders, which is net of preferred stock dividends, divided by average realized common equity, which excludes accumulated other comprehensive income (loss).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Excludes effect of acquisition related intangibles and associated amortization. </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Annualized.</w:t>
      </w:r>
    </w:p>
    <w:p>
      <w:pPr>
        <w:spacing w:after="0" w:line="2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7" w:right="3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 Non-GAAP Performance Measures Reconciliation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7"/>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vMerge w:val="continue"/>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468"/>
              <w:spacing w:after="0" w:line="133" w:lineRule="exact"/>
              <w:rPr>
                <w:sz w:val="20"/>
                <w:szCs w:val="20"/>
                <w:color w:val="auto"/>
              </w:rPr>
            </w:pPr>
            <w:r>
              <w:rPr>
                <w:rFonts w:ascii="Arial" w:cs="Arial" w:eastAsia="Arial" w:hAnsi="Arial"/>
                <w:sz w:val="14"/>
                <w:szCs w:val="14"/>
                <w:b w:val="1"/>
                <w:bCs w:val="1"/>
                <w:color w:val="auto"/>
              </w:rPr>
              <w:t>Third</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448"/>
              <w:spacing w:after="0" w:line="133" w:lineRule="exact"/>
              <w:rPr>
                <w:sz w:val="20"/>
                <w:szCs w:val="20"/>
                <w:color w:val="auto"/>
              </w:rPr>
            </w:pPr>
            <w:r>
              <w:rPr>
                <w:rFonts w:ascii="Arial" w:cs="Arial" w:eastAsia="Arial" w:hAnsi="Arial"/>
                <w:sz w:val="14"/>
                <w:szCs w:val="14"/>
                <w:b w:val="1"/>
                <w:bCs w:val="1"/>
                <w:color w:val="auto"/>
              </w:rPr>
              <w:t>Second</w:t>
            </w:r>
          </w:p>
        </w:tc>
        <w:tc>
          <w:tcPr>
            <w:tcW w:w="160" w:type="dxa"/>
            <w:vAlign w:val="bottom"/>
          </w:tcPr>
          <w:p>
            <w:pPr>
              <w:spacing w:after="0"/>
              <w:rPr>
                <w:sz w:val="11"/>
                <w:szCs w:val="11"/>
                <w:color w:val="auto"/>
              </w:rPr>
            </w:pPr>
          </w:p>
        </w:tc>
        <w:tc>
          <w:tcPr>
            <w:tcW w:w="84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92"/>
              </w:rPr>
              <w:t>First</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jc w:val="center"/>
              <w:ind w:right="328"/>
              <w:spacing w:after="0" w:line="133" w:lineRule="exact"/>
              <w:rPr>
                <w:sz w:val="20"/>
                <w:szCs w:val="20"/>
                <w:color w:val="auto"/>
              </w:rPr>
            </w:pPr>
            <w:r>
              <w:rPr>
                <w:rFonts w:ascii="Arial" w:cs="Arial" w:eastAsia="Arial" w:hAnsi="Arial"/>
                <w:sz w:val="14"/>
                <w:szCs w:val="14"/>
                <w:b w:val="1"/>
                <w:bCs w:val="1"/>
                <w:color w:val="auto"/>
                <w:w w:val="99"/>
              </w:rPr>
              <w:t>Fourth</w:t>
            </w:r>
          </w:p>
        </w:tc>
        <w:tc>
          <w:tcPr>
            <w:tcW w:w="160" w:type="dxa"/>
            <w:vAlign w:val="bottom"/>
          </w:tcPr>
          <w:p>
            <w:pPr>
              <w:spacing w:after="0"/>
              <w:rPr>
                <w:sz w:val="11"/>
                <w:szCs w:val="11"/>
                <w:color w:val="auto"/>
              </w:rPr>
            </w:pPr>
          </w:p>
        </w:tc>
        <w:tc>
          <w:tcPr>
            <w:tcW w:w="86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rPr>
              <w:t>Third</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80" w:type="dxa"/>
            <w:vAlign w:val="bottom"/>
          </w:tcPr>
          <w:p>
            <w:pPr>
              <w:spacing w:after="0"/>
              <w:rPr>
                <w:sz w:val="14"/>
                <w:szCs w:val="14"/>
                <w:color w:val="auto"/>
              </w:rPr>
            </w:pPr>
          </w:p>
        </w:tc>
        <w:tc>
          <w:tcPr>
            <w:tcW w:w="106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Quarter</w:t>
            </w:r>
          </w:p>
        </w:tc>
        <w:tc>
          <w:tcPr>
            <w:tcW w:w="160" w:type="dxa"/>
            <w:vAlign w:val="bottom"/>
          </w:tcPr>
          <w:p>
            <w:pPr>
              <w:spacing w:after="0"/>
              <w:rPr>
                <w:sz w:val="14"/>
                <w:szCs w:val="14"/>
                <w:color w:val="auto"/>
              </w:rPr>
            </w:pPr>
          </w:p>
        </w:tc>
        <w:tc>
          <w:tcPr>
            <w:tcW w:w="10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8"/>
              </w:rPr>
              <w:t>Quarter</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308"/>
              <w:spacing w:after="0"/>
              <w:rPr>
                <w:sz w:val="20"/>
                <w:szCs w:val="20"/>
                <w:color w:val="auto"/>
              </w:rPr>
            </w:pPr>
            <w:r>
              <w:rPr>
                <w:rFonts w:ascii="Arial" w:cs="Arial" w:eastAsia="Arial" w:hAnsi="Arial"/>
                <w:sz w:val="14"/>
                <w:szCs w:val="14"/>
                <w:b w:val="1"/>
                <w:bCs w:val="1"/>
                <w:color w:val="auto"/>
                <w:w w:val="98"/>
              </w:rPr>
              <w:t>Quarter</w:t>
            </w:r>
          </w:p>
        </w:tc>
        <w:tc>
          <w:tcPr>
            <w:tcW w:w="160" w:type="dxa"/>
            <w:vAlign w:val="bottom"/>
          </w:tcPr>
          <w:p>
            <w:pPr>
              <w:spacing w:after="0"/>
              <w:rPr>
                <w:sz w:val="14"/>
                <w:szCs w:val="14"/>
                <w:color w:val="auto"/>
              </w:rPr>
            </w:pPr>
          </w:p>
        </w:tc>
        <w:tc>
          <w:tcPr>
            <w:tcW w:w="1020" w:type="dxa"/>
            <w:vAlign w:val="bottom"/>
            <w:gridSpan w:val="2"/>
          </w:tcPr>
          <w:p>
            <w:pPr>
              <w:jc w:val="center"/>
              <w:ind w:right="248"/>
              <w:spacing w:after="0"/>
              <w:rPr>
                <w:sz w:val="20"/>
                <w:szCs w:val="20"/>
                <w:color w:val="auto"/>
              </w:rPr>
            </w:pPr>
            <w:r>
              <w:rPr>
                <w:rFonts w:ascii="Arial" w:cs="Arial" w:eastAsia="Arial" w:hAnsi="Arial"/>
                <w:sz w:val="14"/>
                <w:szCs w:val="14"/>
                <w:b w:val="1"/>
                <w:bCs w:val="1"/>
                <w:color w:val="auto"/>
                <w:w w:val="98"/>
              </w:rPr>
              <w:t>Quarter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88"/>
              <w:spacing w:after="0" w:line="142"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08"/>
              <w:spacing w:after="0" w:line="142"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08"/>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 reconciliation</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Expenses (GAAP)</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65,674</w:t>
            </w:r>
          </w:p>
        </w:tc>
        <w:tc>
          <w:tcPr>
            <w:tcW w:w="2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63,229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62,826</w:t>
            </w:r>
          </w:p>
        </w:tc>
        <w:tc>
          <w:tcPr>
            <w:tcW w:w="2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61,321</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64,023</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191,729</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179,968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Merger-related and other charges</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(3,420)</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(1,830)</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(2,054)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(1,141)</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(3,152)</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(7,304)</w:t>
            </w:r>
          </w:p>
        </w:tc>
        <w:tc>
          <w:tcPr>
            <w:tcW w:w="2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(6,981)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Expenses – operating</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62,254</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61,399</w:t>
            </w:r>
          </w:p>
        </w:tc>
        <w:tc>
          <w:tcPr>
            <w:tcW w:w="2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60,772</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60,180</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60,871</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184,425</w:t>
            </w:r>
          </w:p>
        </w:tc>
        <w:tc>
          <w:tcPr>
            <w:tcW w:w="2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172,987</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income reconciliation</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income (GAAP)</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27,946</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28,267</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23,524</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27,221</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25,874</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79,737</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73,435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80" w:type="dxa"/>
            <w:vAlign w:val="bottom"/>
          </w:tcPr>
          <w:p>
            <w:pPr>
              <w:spacing w:after="0"/>
              <w:rPr>
                <w:sz w:val="12"/>
                <w:szCs w:val="12"/>
                <w:color w:val="auto"/>
              </w:rPr>
            </w:pP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3,420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1,830</w:t>
            </w:r>
          </w:p>
        </w:tc>
        <w:tc>
          <w:tcPr>
            <w:tcW w:w="160" w:type="dxa"/>
            <w:vAlign w:val="bottom"/>
          </w:tcPr>
          <w:p>
            <w:pPr>
              <w:spacing w:after="0"/>
              <w:rPr>
                <w:sz w:val="12"/>
                <w:szCs w:val="12"/>
                <w:color w:val="auto"/>
              </w:rPr>
            </w:pP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2,054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1,141</w:t>
            </w:r>
          </w:p>
        </w:tc>
        <w:tc>
          <w:tcPr>
            <w:tcW w:w="16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3,152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7,304</w:t>
            </w:r>
          </w:p>
        </w:tc>
        <w:tc>
          <w:tcPr>
            <w:tcW w:w="2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Income tax benefit of merger-related and</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other charges</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(1,147)</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(432)</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(1,193)</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(2,580)</w:t>
            </w:r>
          </w:p>
        </w:tc>
        <w:tc>
          <w:tcPr>
            <w:tcW w:w="2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w w:val="96"/>
              </w:rPr>
              <w:t>Impairment of deferred tax asset on canceled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2"/>
          </w:tcPr>
          <w:p>
            <w:pPr>
              <w:ind w:left="160"/>
              <w:spacing w:after="0"/>
              <w:rPr>
                <w:sz w:val="20"/>
                <w:szCs w:val="20"/>
                <w:color w:val="auto"/>
              </w:rPr>
            </w:pPr>
            <w:r>
              <w:rPr>
                <w:rFonts w:ascii="Arial" w:cs="Arial" w:eastAsia="Arial" w:hAnsi="Arial"/>
                <w:sz w:val="14"/>
                <w:szCs w:val="14"/>
                <w:color w:val="auto"/>
              </w:rPr>
              <w:t>non-qualified stock options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976</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Release of disproportionate tax effects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lodged in OCI</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3,400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3,400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Net income - operating</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30,219</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29,422</w:t>
            </w:r>
          </w:p>
        </w:tc>
        <w:tc>
          <w:tcPr>
            <w:tcW w:w="2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28,220</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28,906</w:t>
            </w:r>
          </w:p>
        </w:tc>
        <w:tc>
          <w:tcPr>
            <w:tcW w:w="2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27,833</w:t>
            </w:r>
          </w:p>
        </w:tc>
        <w:tc>
          <w:tcPr>
            <w:tcW w:w="1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87,861</w:t>
            </w:r>
          </w:p>
        </w:tc>
        <w:tc>
          <w:tcPr>
            <w:tcW w:w="2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77,774</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40" w:type="dxa"/>
            <w:vAlign w:val="bottom"/>
            <w:gridSpan w:val="2"/>
            <w:shd w:val="clear" w:color="auto" w:fill="CCEEFF"/>
          </w:tcPr>
          <w:p>
            <w:pPr>
              <w:spacing w:after="0" w:line="79" w:lineRule="exact"/>
              <w:rPr>
                <w:sz w:val="20"/>
                <w:szCs w:val="20"/>
                <w:color w:val="auto"/>
              </w:rPr>
            </w:pPr>
            <w:r>
              <w:rPr>
                <w:rFonts w:ascii="Arial" w:cs="Arial" w:eastAsia="Arial" w:hAnsi="Arial"/>
                <w:sz w:val="9"/>
                <w:szCs w:val="9"/>
                <w:b w:val="1"/>
                <w:bCs w:val="1"/>
                <w:color w:val="auto"/>
              </w:rPr>
              <w:t>Diluted income per common share</w:t>
            </w: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reconciliation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Diluted income per common share (GAAP)</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.38</w:t>
            </w:r>
          </w:p>
        </w:tc>
        <w:tc>
          <w:tcPr>
            <w:tcW w:w="2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.39</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.33</w:t>
            </w:r>
          </w:p>
        </w:tc>
        <w:tc>
          <w:tcPr>
            <w:tcW w:w="2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.38</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.36</w:t>
            </w:r>
          </w:p>
        </w:tc>
        <w:tc>
          <w:tcPr>
            <w:tcW w:w="2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1.10</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.01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.06</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w w:val="96"/>
              </w:rPr>
              <w:t>Impairment of deferred tax asset on canceled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2"/>
          </w:tcPr>
          <w:p>
            <w:pPr>
              <w:ind w:left="160"/>
              <w:spacing w:after="0"/>
              <w:rPr>
                <w:sz w:val="20"/>
                <w:szCs w:val="20"/>
                <w:color w:val="auto"/>
              </w:rPr>
            </w:pPr>
            <w:r>
              <w:rPr>
                <w:rFonts w:ascii="Arial" w:cs="Arial" w:eastAsia="Arial" w:hAnsi="Arial"/>
                <w:sz w:val="14"/>
                <w:szCs w:val="14"/>
                <w:color w:val="auto"/>
              </w:rPr>
              <w:t>non-qualified stock options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.01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Release of disproportionate tax effects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lodged in OCI</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.05</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40" w:type="dxa"/>
            <w:vAlign w:val="bottom"/>
            <w:gridSpan w:val="2"/>
          </w:tcPr>
          <w:p>
            <w:pPr>
              <w:ind w:left="160"/>
              <w:spacing w:after="0" w:line="110" w:lineRule="exact"/>
              <w:rPr>
                <w:sz w:val="20"/>
                <w:szCs w:val="20"/>
                <w:color w:val="auto"/>
              </w:rPr>
            </w:pPr>
            <w:r>
              <w:rPr>
                <w:rFonts w:ascii="Arial" w:cs="Arial" w:eastAsia="Arial" w:hAnsi="Arial"/>
                <w:sz w:val="12"/>
                <w:szCs w:val="12"/>
                <w:color w:val="auto"/>
              </w:rPr>
              <w:t>Diluted income per common share -</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320"/>
              <w:spacing w:after="0"/>
              <w:rPr>
                <w:sz w:val="20"/>
                <w:szCs w:val="20"/>
                <w:color w:val="auto"/>
              </w:rPr>
            </w:pPr>
            <w:r>
              <w:rPr>
                <w:rFonts w:ascii="Arial" w:cs="Arial" w:eastAsia="Arial" w:hAnsi="Arial"/>
                <w:sz w:val="14"/>
                <w:szCs w:val="14"/>
                <w:color w:val="auto"/>
              </w:rPr>
              <w:t>operating</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28"/>
              <w:spacing w:after="0"/>
              <w:rPr>
                <w:sz w:val="20"/>
                <w:szCs w:val="20"/>
                <w:color w:val="auto"/>
              </w:rPr>
            </w:pPr>
            <w:r>
              <w:rPr>
                <w:rFonts w:ascii="Arial" w:cs="Arial" w:eastAsia="Arial" w:hAnsi="Arial"/>
                <w:sz w:val="14"/>
                <w:szCs w:val="14"/>
                <w:color w:val="auto"/>
              </w:rPr>
              <w:t>.41</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168"/>
              <w:spacing w:after="0"/>
              <w:rPr>
                <w:sz w:val="20"/>
                <w:szCs w:val="20"/>
                <w:color w:val="auto"/>
              </w:rPr>
            </w:pPr>
            <w:r>
              <w:rPr>
                <w:rFonts w:ascii="Arial" w:cs="Arial" w:eastAsia="Arial" w:hAnsi="Arial"/>
                <w:sz w:val="14"/>
                <w:szCs w:val="14"/>
                <w:color w:val="auto"/>
              </w:rPr>
              <w:t>.41</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.39</w:t>
            </w:r>
          </w:p>
        </w:tc>
        <w:tc>
          <w:tcPr>
            <w:tcW w:w="2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.40</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.39</w:t>
            </w:r>
          </w:p>
        </w:tc>
        <w:tc>
          <w:tcPr>
            <w:tcW w:w="2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1.21</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rPr>
              <w:t>Book value per common share</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tcPr>
          <w:p>
            <w:pPr>
              <w:ind w:left="160"/>
              <w:spacing w:after="0"/>
              <w:rPr>
                <w:sz w:val="20"/>
                <w:szCs w:val="20"/>
                <w:color w:val="auto"/>
              </w:rPr>
            </w:pPr>
            <w:r>
              <w:rPr>
                <w:rFonts w:ascii="Arial" w:cs="Arial" w:eastAsia="Arial" w:hAnsi="Arial"/>
                <w:sz w:val="14"/>
                <w:szCs w:val="14"/>
                <w:b w:val="1"/>
                <w:bCs w:val="1"/>
                <w:color w:val="auto"/>
              </w:rPr>
              <w:t>reconciliation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Book value per common share (GAAP)</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0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16.50</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15.83</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15.40</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15.06</w:t>
            </w: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15.12</w:t>
            </w:r>
          </w:p>
        </w:tc>
        <w:tc>
          <w:tcPr>
            <w:tcW w:w="2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16.50</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(2.39)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(2.09)</w:t>
            </w:r>
          </w:p>
        </w:tc>
        <w:tc>
          <w:tcPr>
            <w:tcW w:w="16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(2.10)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(2.11)</w:t>
            </w:r>
          </w:p>
        </w:tc>
        <w:tc>
          <w:tcPr>
            <w:tcW w:w="16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(2.12)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08"/>
              <w:spacing w:after="0"/>
              <w:rPr>
                <w:sz w:val="20"/>
                <w:szCs w:val="20"/>
                <w:color w:val="auto"/>
              </w:rPr>
            </w:pPr>
            <w:r>
              <w:rPr>
                <w:rFonts w:ascii="Arial" w:cs="Arial" w:eastAsia="Arial" w:hAnsi="Arial"/>
                <w:sz w:val="14"/>
                <w:szCs w:val="14"/>
                <w:color w:val="auto"/>
              </w:rPr>
              <w:t>(2.39)</w:t>
            </w:r>
          </w:p>
        </w:tc>
        <w:tc>
          <w:tcPr>
            <w:tcW w:w="2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Tangible book value per common share</w:t>
            </w: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14.11</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13.74</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13.30</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12.95</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14.11</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13.00</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4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Return on tangible common equity</w:t>
            </w:r>
          </w:p>
        </w:tc>
        <w:tc>
          <w:tcPr>
            <w:tcW w:w="1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reconciliation</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Return on common equity (GAAP)</w:t>
            </w:r>
          </w:p>
        </w:tc>
        <w:tc>
          <w:tcPr>
            <w:tcW w:w="180" w:type="dxa"/>
            <w:vAlign w:val="bottom"/>
          </w:tcPr>
          <w:p>
            <w:pPr>
              <w:spacing w:after="0"/>
              <w:rPr>
                <w:sz w:val="12"/>
                <w:szCs w:val="12"/>
                <w:color w:val="auto"/>
              </w:rPr>
            </w:pP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9.22%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9.98%</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9.89%</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9.26%</w:t>
            </w:r>
          </w:p>
        </w:tc>
        <w:tc>
          <w:tcPr>
            <w:tcW w:w="2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.75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.47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.73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.55</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w w:val="96"/>
              </w:rPr>
              <w:t>Impairment of deferred tax asset on canceled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2"/>
          </w:tcPr>
          <w:p>
            <w:pPr>
              <w:ind w:left="160"/>
              <w:spacing w:after="0"/>
              <w:rPr>
                <w:sz w:val="20"/>
                <w:szCs w:val="20"/>
                <w:color w:val="auto"/>
              </w:rPr>
            </w:pPr>
            <w:r>
              <w:rPr>
                <w:rFonts w:ascii="Arial" w:cs="Arial" w:eastAsia="Arial" w:hAnsi="Arial"/>
                <w:sz w:val="14"/>
                <w:szCs w:val="14"/>
                <w:color w:val="auto"/>
              </w:rPr>
              <w:t>non-qualified stock options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Release of disproportionate tax effects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lodged in OCI</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1.24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gridSpan w:val="2"/>
          </w:tcPr>
          <w:p>
            <w:pPr>
              <w:spacing w:after="0" w:line="142" w:lineRule="exact"/>
              <w:rPr>
                <w:sz w:val="20"/>
                <w:szCs w:val="20"/>
                <w:color w:val="auto"/>
              </w:rPr>
            </w:pPr>
            <w:r>
              <w:rPr>
                <w:rFonts w:ascii="Arial" w:cs="Arial" w:eastAsia="Arial" w:hAnsi="Arial"/>
                <w:sz w:val="14"/>
                <w:szCs w:val="14"/>
                <w:color w:val="auto"/>
              </w:rPr>
              <w:t>Return on common equity - operating</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9.97</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10.39</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10.25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10.51</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10.34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10.20</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9.79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1.96</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1.80</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1.85</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1.96</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2.11</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1.87</w:t>
            </w:r>
          </w:p>
        </w:tc>
        <w:tc>
          <w:tcPr>
            <w:tcW w:w="2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40" w:type="dxa"/>
            <w:vAlign w:val="bottom"/>
            <w:gridSpan w:val="2"/>
          </w:tcPr>
          <w:p>
            <w:pPr>
              <w:ind w:left="160"/>
              <w:spacing w:after="0" w:line="110" w:lineRule="exact"/>
              <w:rPr>
                <w:sz w:val="20"/>
                <w:szCs w:val="20"/>
                <w:color w:val="auto"/>
              </w:rPr>
            </w:pPr>
            <w:r>
              <w:rPr>
                <w:rFonts w:ascii="Arial" w:cs="Arial" w:eastAsia="Arial" w:hAnsi="Arial"/>
                <w:sz w:val="12"/>
                <w:szCs w:val="12"/>
                <w:color w:val="auto"/>
              </w:rPr>
              <w:t>Return on tangible common equity -</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2"/>
          </w:tcPr>
          <w:p>
            <w:pPr>
              <w:ind w:left="320"/>
              <w:spacing w:after="0"/>
              <w:rPr>
                <w:sz w:val="20"/>
                <w:szCs w:val="20"/>
                <w:color w:val="auto"/>
              </w:rPr>
            </w:pPr>
            <w:r>
              <w:rPr>
                <w:rFonts w:ascii="Arial" w:cs="Arial" w:eastAsia="Arial" w:hAnsi="Arial"/>
                <w:sz w:val="14"/>
                <w:szCs w:val="14"/>
                <w:color w:val="auto"/>
              </w:rPr>
              <w:t>operating</w:t>
            </w:r>
          </w:p>
        </w:tc>
        <w:tc>
          <w:tcPr>
            <w:tcW w:w="180" w:type="dxa"/>
            <w:vAlign w:val="bottom"/>
          </w:tcPr>
          <w:p>
            <w:pPr>
              <w:spacing w:after="0"/>
              <w:rPr>
                <w:sz w:val="20"/>
                <w:szCs w:val="20"/>
                <w:color w:val="auto"/>
              </w:rPr>
            </w:pPr>
          </w:p>
        </w:tc>
        <w:tc>
          <w:tcPr>
            <w:tcW w:w="1060" w:type="dxa"/>
            <w:vAlign w:val="bottom"/>
            <w:gridSpan w:val="2"/>
          </w:tcPr>
          <w:p>
            <w:pPr>
              <w:jc w:val="right"/>
              <w:ind w:right="8"/>
              <w:spacing w:after="0" w:line="194" w:lineRule="exact"/>
              <w:rPr>
                <w:sz w:val="20"/>
                <w:szCs w:val="20"/>
                <w:color w:val="auto"/>
              </w:rPr>
            </w:pPr>
            <w:r>
              <w:rPr>
                <w:rFonts w:ascii="Arial" w:cs="Arial" w:eastAsia="Arial" w:hAnsi="Arial"/>
                <w:sz w:val="12"/>
                <w:szCs w:val="12"/>
                <w:color w:val="auto"/>
              </w:rPr>
              <w:t>11.93</w:t>
            </w:r>
            <w:r>
              <w:rPr>
                <w:rFonts w:ascii="Arial" w:cs="Arial" w:eastAsia="Arial" w:hAnsi="Arial"/>
                <w:sz w:val="22"/>
                <w:szCs w:val="22"/>
                <w:color w:val="auto"/>
                <w:vertAlign w:val="superscript"/>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8"/>
              <w:spacing w:after="0" w:line="194" w:lineRule="exact"/>
              <w:rPr>
                <w:sz w:val="20"/>
                <w:szCs w:val="20"/>
                <w:color w:val="auto"/>
              </w:rPr>
            </w:pPr>
            <w:r>
              <w:rPr>
                <w:rFonts w:ascii="Arial" w:cs="Arial" w:eastAsia="Arial" w:hAnsi="Arial"/>
                <w:sz w:val="12"/>
                <w:szCs w:val="12"/>
                <w:color w:val="auto"/>
              </w:rPr>
              <w:t>12.19</w:t>
            </w:r>
            <w:r>
              <w:rPr>
                <w:rFonts w:ascii="Arial" w:cs="Arial" w:eastAsia="Arial" w:hAnsi="Arial"/>
                <w:sz w:val="22"/>
                <w:szCs w:val="22"/>
                <w:color w:val="auto"/>
                <w:vertAlign w:val="superscript"/>
              </w:rPr>
              <w:t>%</w:t>
            </w:r>
          </w:p>
        </w:tc>
        <w:tc>
          <w:tcPr>
            <w:tcW w:w="160" w:type="dxa"/>
            <w:vAlign w:val="bottom"/>
          </w:tcPr>
          <w:p>
            <w:pPr>
              <w:spacing w:after="0"/>
              <w:rPr>
                <w:sz w:val="20"/>
                <w:szCs w:val="20"/>
                <w:color w:val="auto"/>
              </w:rPr>
            </w:pPr>
          </w:p>
        </w:tc>
        <w:tc>
          <w:tcPr>
            <w:tcW w:w="1020" w:type="dxa"/>
            <w:vAlign w:val="bottom"/>
            <w:gridSpan w:val="2"/>
          </w:tcPr>
          <w:p>
            <w:pPr>
              <w:jc w:val="right"/>
              <w:spacing w:after="0" w:line="194" w:lineRule="exact"/>
              <w:rPr>
                <w:sz w:val="20"/>
                <w:szCs w:val="20"/>
                <w:color w:val="auto"/>
              </w:rPr>
            </w:pPr>
            <w:r>
              <w:rPr>
                <w:rFonts w:ascii="Arial" w:cs="Arial" w:eastAsia="Arial" w:hAnsi="Arial"/>
                <w:sz w:val="12"/>
                <w:szCs w:val="12"/>
                <w:color w:val="auto"/>
              </w:rPr>
              <w:t>12.10</w:t>
            </w:r>
            <w:r>
              <w:rPr>
                <w:rFonts w:ascii="Arial" w:cs="Arial" w:eastAsia="Arial" w:hAnsi="Arial"/>
                <w:sz w:val="22"/>
                <w:szCs w:val="22"/>
                <w:color w:val="auto"/>
                <w:vertAlign w:val="superscript"/>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8"/>
              <w:spacing w:after="0" w:line="194" w:lineRule="exact"/>
              <w:rPr>
                <w:sz w:val="20"/>
                <w:szCs w:val="20"/>
                <w:color w:val="auto"/>
              </w:rPr>
            </w:pPr>
            <w:r>
              <w:rPr>
                <w:rFonts w:ascii="Arial" w:cs="Arial" w:eastAsia="Arial" w:hAnsi="Arial"/>
                <w:sz w:val="12"/>
                <w:szCs w:val="12"/>
                <w:color w:val="auto"/>
              </w:rPr>
              <w:t>12.47</w:t>
            </w:r>
            <w:r>
              <w:rPr>
                <w:rFonts w:ascii="Arial" w:cs="Arial" w:eastAsia="Arial" w:hAnsi="Arial"/>
                <w:sz w:val="22"/>
                <w:szCs w:val="22"/>
                <w:color w:val="auto"/>
                <w:vertAlign w:val="superscript"/>
              </w:rPr>
              <w:t>%</w:t>
            </w:r>
          </w:p>
        </w:tc>
        <w:tc>
          <w:tcPr>
            <w:tcW w:w="160" w:type="dxa"/>
            <w:vAlign w:val="bottom"/>
          </w:tcPr>
          <w:p>
            <w:pPr>
              <w:spacing w:after="0"/>
              <w:rPr>
                <w:sz w:val="20"/>
                <w:szCs w:val="20"/>
                <w:color w:val="auto"/>
              </w:rPr>
            </w:pPr>
          </w:p>
        </w:tc>
        <w:tc>
          <w:tcPr>
            <w:tcW w:w="1020" w:type="dxa"/>
            <w:vAlign w:val="bottom"/>
            <w:gridSpan w:val="2"/>
          </w:tcPr>
          <w:p>
            <w:pPr>
              <w:jc w:val="right"/>
              <w:spacing w:after="0" w:line="194" w:lineRule="exact"/>
              <w:rPr>
                <w:sz w:val="20"/>
                <w:szCs w:val="20"/>
                <w:color w:val="auto"/>
              </w:rPr>
            </w:pPr>
            <w:r>
              <w:rPr>
                <w:rFonts w:ascii="Arial" w:cs="Arial" w:eastAsia="Arial" w:hAnsi="Arial"/>
                <w:sz w:val="12"/>
                <w:szCs w:val="12"/>
                <w:color w:val="auto"/>
              </w:rPr>
              <w:t>12.45</w:t>
            </w:r>
            <w:r>
              <w:rPr>
                <w:rFonts w:ascii="Arial" w:cs="Arial" w:eastAsia="Arial" w:hAnsi="Arial"/>
                <w:sz w:val="22"/>
                <w:szCs w:val="22"/>
                <w:color w:val="auto"/>
                <w:vertAlign w:val="superscript"/>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8"/>
              <w:spacing w:after="0" w:line="194" w:lineRule="exact"/>
              <w:rPr>
                <w:sz w:val="20"/>
                <w:szCs w:val="20"/>
                <w:color w:val="auto"/>
              </w:rPr>
            </w:pPr>
            <w:r>
              <w:rPr>
                <w:rFonts w:ascii="Arial" w:cs="Arial" w:eastAsia="Arial" w:hAnsi="Arial"/>
                <w:sz w:val="12"/>
                <w:szCs w:val="12"/>
                <w:color w:val="auto"/>
              </w:rPr>
              <w:t>12.07</w:t>
            </w:r>
            <w:r>
              <w:rPr>
                <w:rFonts w:ascii="Arial" w:cs="Arial" w:eastAsia="Arial" w:hAnsi="Arial"/>
                <w:sz w:val="22"/>
                <w:szCs w:val="22"/>
                <w:color w:val="auto"/>
                <w:vertAlign w:val="superscript"/>
              </w:rPr>
              <w:t>%</w:t>
            </w:r>
          </w:p>
        </w:tc>
        <w:tc>
          <w:tcPr>
            <w:tcW w:w="260" w:type="dxa"/>
            <w:vAlign w:val="bottom"/>
          </w:tcPr>
          <w:p>
            <w:pPr>
              <w:spacing w:after="0"/>
              <w:rPr>
                <w:sz w:val="20"/>
                <w:szCs w:val="20"/>
                <w:color w:val="auto"/>
              </w:rPr>
            </w:pPr>
          </w:p>
        </w:tc>
        <w:tc>
          <w:tcPr>
            <w:tcW w:w="880" w:type="dxa"/>
            <w:vAlign w:val="bottom"/>
            <w:gridSpan w:val="3"/>
          </w:tcPr>
          <w:p>
            <w:pPr>
              <w:jc w:val="right"/>
              <w:spacing w:after="0" w:line="194" w:lineRule="exact"/>
              <w:rPr>
                <w:sz w:val="20"/>
                <w:szCs w:val="20"/>
                <w:color w:val="auto"/>
              </w:rPr>
            </w:pPr>
            <w:r>
              <w:rPr>
                <w:rFonts w:ascii="Arial" w:cs="Arial" w:eastAsia="Arial" w:hAnsi="Arial"/>
                <w:sz w:val="12"/>
                <w:szCs w:val="12"/>
                <w:color w:val="auto"/>
              </w:rPr>
              <w:t>11.64</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Return on assets reconciliation</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Return on assets (GAAP)</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.99%</w:t>
            </w: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80" w:type="dxa"/>
            <w:vAlign w:val="bottom"/>
          </w:tcPr>
          <w:p>
            <w:pPr>
              <w:spacing w:after="0"/>
              <w:rPr>
                <w:sz w:val="12"/>
                <w:szCs w:val="12"/>
                <w:color w:val="auto"/>
              </w:rPr>
            </w:pPr>
          </w:p>
        </w:tc>
        <w:tc>
          <w:tcPr>
            <w:tcW w:w="106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.08</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.04</w:t>
            </w:r>
          </w:p>
        </w:tc>
        <w:tc>
          <w:tcPr>
            <w:tcW w:w="160" w:type="dxa"/>
            <w:vAlign w:val="bottom"/>
          </w:tcPr>
          <w:p>
            <w:pPr>
              <w:spacing w:after="0"/>
              <w:rPr>
                <w:sz w:val="12"/>
                <w:szCs w:val="12"/>
                <w:color w:val="auto"/>
              </w:rPr>
            </w:pPr>
          </w:p>
        </w:tc>
        <w:tc>
          <w:tcPr>
            <w:tcW w:w="10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.05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.03</w:t>
            </w:r>
          </w:p>
        </w:tc>
        <w:tc>
          <w:tcPr>
            <w:tcW w:w="160" w:type="dxa"/>
            <w:vAlign w:val="bottom"/>
          </w:tcPr>
          <w:p>
            <w:pPr>
              <w:spacing w:after="0"/>
              <w:rPr>
                <w:sz w:val="12"/>
                <w:szCs w:val="12"/>
                <w:color w:val="auto"/>
              </w:rPr>
            </w:pPr>
          </w:p>
        </w:tc>
        <w:tc>
          <w:tcPr>
            <w:tcW w:w="102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.08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.06</w:t>
            </w:r>
          </w:p>
        </w:tc>
        <w:tc>
          <w:tcPr>
            <w:tcW w:w="2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6"/>
              </w:rPr>
              <w:t>Impairment of deferred tax asset on canceled</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non-qualified stock options</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.04</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rPr>
              <w:t>Release of disproportionate tax effects</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gridSpan w:val="2"/>
          </w:tcPr>
          <w:p>
            <w:pPr>
              <w:ind w:left="160"/>
              <w:spacing w:after="0"/>
              <w:rPr>
                <w:sz w:val="20"/>
                <w:szCs w:val="20"/>
                <w:color w:val="auto"/>
              </w:rPr>
            </w:pPr>
            <w:r>
              <w:rPr>
                <w:rFonts w:ascii="Arial" w:cs="Arial" w:eastAsia="Arial" w:hAnsi="Arial"/>
                <w:sz w:val="14"/>
                <w:szCs w:val="14"/>
                <w:color w:val="auto"/>
              </w:rPr>
              <w:t>lodged in OCI</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.13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.04</w:t>
            </w:r>
          </w:p>
        </w:tc>
        <w:tc>
          <w:tcPr>
            <w:tcW w:w="2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Return on assets - operating</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w:t>
            </w:r>
          </w:p>
        </w:tc>
        <w:tc>
          <w:tcPr>
            <w:tcW w:w="20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w:t>
            </w:r>
          </w:p>
        </w:tc>
        <w:tc>
          <w:tcPr>
            <w:tcW w:w="1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1.10</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1.08</w:t>
            </w:r>
          </w:p>
        </w:tc>
        <w:tc>
          <w:tcPr>
            <w:tcW w:w="16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1.05</w:t>
            </w:r>
          </w:p>
        </w:tc>
        <w:tc>
          <w:tcPr>
            <w:tcW w:w="120" w:type="dxa"/>
            <w:vAlign w:val="bottom"/>
            <w:tcBorders>
              <w:top w:val="single" w:sz="8" w:color="CCEEFF"/>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Dividend payout ratio reconciliation</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Dividend payout ratio (GAAP)</w:t>
            </w:r>
          </w:p>
        </w:tc>
        <w:tc>
          <w:tcPr>
            <w:tcW w:w="180" w:type="dxa"/>
            <w:vAlign w:val="bottom"/>
          </w:tcPr>
          <w:p>
            <w:pPr>
              <w:spacing w:after="0"/>
              <w:rPr>
                <w:sz w:val="12"/>
                <w:szCs w:val="12"/>
                <w:color w:val="auto"/>
              </w:rPr>
            </w:pP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26.32%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23.08%</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27.27%</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21.05%</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25.45%</w:t>
            </w:r>
          </w:p>
        </w:tc>
        <w:tc>
          <w:tcPr>
            <w:tcW w:w="2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Merger-related and other charges</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(1.93)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(1.71)</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(1.31)</w:t>
            </w: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tcPr>
          <w:p>
            <w:pPr>
              <w:spacing w:after="0" w:line="130" w:lineRule="exact"/>
              <w:rPr>
                <w:sz w:val="20"/>
                <w:szCs w:val="20"/>
                <w:color w:val="auto"/>
              </w:rPr>
            </w:pPr>
            <w:r>
              <w:rPr>
                <w:rFonts w:ascii="Arial" w:cs="Arial" w:eastAsia="Arial" w:hAnsi="Arial"/>
                <w:sz w:val="14"/>
                <w:szCs w:val="14"/>
                <w:color w:val="auto"/>
                <w:w w:val="96"/>
              </w:rPr>
              <w:t>Impairment of deferred tax asset on canceled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40" w:type="dxa"/>
            <w:vAlign w:val="bottom"/>
            <w:gridSpan w:val="2"/>
          </w:tcPr>
          <w:p>
            <w:pPr>
              <w:ind w:left="160"/>
              <w:spacing w:after="0"/>
              <w:rPr>
                <w:sz w:val="20"/>
                <w:szCs w:val="20"/>
                <w:color w:val="auto"/>
              </w:rPr>
            </w:pPr>
            <w:r>
              <w:rPr>
                <w:rFonts w:ascii="Arial" w:cs="Arial" w:eastAsia="Arial" w:hAnsi="Arial"/>
                <w:sz w:val="14"/>
                <w:szCs w:val="14"/>
                <w:color w:val="auto"/>
              </w:rPr>
              <w:t>non-qualified stock options</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(.51)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Release of disproportionate tax effects</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lodged in OCI</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(3.21)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(1.00)</w:t>
            </w: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Dividend payout ratio - operating</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24.39</w:t>
            </w:r>
          </w:p>
        </w:tc>
        <w:tc>
          <w:tcPr>
            <w:tcW w:w="200" w:type="dxa"/>
            <w:vAlign w:val="bottom"/>
            <w:tcBorders>
              <w:bottom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21.95</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23.08</w:t>
            </w:r>
          </w:p>
        </w:tc>
        <w:tc>
          <w:tcPr>
            <w:tcW w:w="1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20.00</w:t>
            </w:r>
          </w:p>
        </w:tc>
        <w:tc>
          <w:tcPr>
            <w:tcW w:w="220" w:type="dxa"/>
            <w:vAlign w:val="bottom"/>
            <w:tcBorders>
              <w:bottom w:val="single" w:sz="8" w:color="CCEEFF"/>
            </w:tcBorders>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20.51</w:t>
            </w:r>
          </w:p>
        </w:tc>
        <w:tc>
          <w:tcPr>
            <w:tcW w:w="16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23.14</w:t>
            </w:r>
          </w:p>
        </w:tc>
        <w:tc>
          <w:tcPr>
            <w:tcW w:w="220" w:type="dxa"/>
            <w:vAlign w:val="bottom"/>
            <w:tcBorders>
              <w:bottom w:val="single" w:sz="8" w:color="CCEEFF"/>
            </w:tcBorders>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20.37</w:t>
            </w:r>
          </w:p>
        </w:tc>
        <w:tc>
          <w:tcPr>
            <w:tcW w:w="12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Efficiency ratio reconciliation</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Efficiency ratio (GAAP)</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59.27%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57.89%</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59.29%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57.65%</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60.78%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58.81%</w:t>
            </w: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60.56%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tcPr>
          <w:p>
            <w:pPr>
              <w:spacing w:after="0"/>
              <w:rPr>
                <w:sz w:val="20"/>
                <w:szCs w:val="20"/>
                <w:color w:val="auto"/>
              </w:rPr>
            </w:pPr>
            <w:r>
              <w:rPr>
                <w:rFonts w:ascii="Arial" w:cs="Arial" w:eastAsia="Arial" w:hAnsi="Arial"/>
                <w:sz w:val="14"/>
                <w:szCs w:val="14"/>
                <w:color w:val="auto"/>
              </w:rPr>
              <w:t>Merger-related and other charges</w:t>
            </w:r>
          </w:p>
        </w:tc>
        <w:tc>
          <w:tcPr>
            <w:tcW w:w="180" w:type="dxa"/>
            <w:vAlign w:val="bottom"/>
          </w:tcPr>
          <w:p>
            <w:pPr>
              <w:spacing w:after="0"/>
              <w:rPr>
                <w:sz w:val="14"/>
                <w:szCs w:val="14"/>
                <w:color w:val="auto"/>
              </w:rPr>
            </w:pPr>
          </w:p>
        </w:tc>
        <w:tc>
          <w:tcPr>
            <w:tcW w:w="1060" w:type="dxa"/>
            <w:vAlign w:val="bottom"/>
            <w:gridSpan w:val="2"/>
          </w:tcPr>
          <w:p>
            <w:pPr>
              <w:jc w:val="right"/>
              <w:ind w:right="68"/>
              <w:spacing w:after="0"/>
              <w:rPr>
                <w:sz w:val="20"/>
                <w:szCs w:val="20"/>
                <w:color w:val="auto"/>
              </w:rPr>
            </w:pPr>
            <w:r>
              <w:rPr>
                <w:rFonts w:ascii="Arial" w:cs="Arial" w:eastAsia="Arial" w:hAnsi="Arial"/>
                <w:sz w:val="14"/>
                <w:szCs w:val="14"/>
                <w:color w:val="auto"/>
              </w:rPr>
              <w:t>(3.09)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108"/>
              <w:spacing w:after="0"/>
              <w:rPr>
                <w:sz w:val="20"/>
                <w:szCs w:val="20"/>
                <w:color w:val="auto"/>
              </w:rPr>
            </w:pPr>
            <w:r>
              <w:rPr>
                <w:rFonts w:ascii="Arial" w:cs="Arial" w:eastAsia="Arial" w:hAnsi="Arial"/>
                <w:sz w:val="14"/>
                <w:szCs w:val="14"/>
                <w:color w:val="auto"/>
              </w:rPr>
              <w:t>(1.68)</w:t>
            </w:r>
          </w:p>
        </w:tc>
        <w:tc>
          <w:tcPr>
            <w:tcW w:w="16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(1.94)</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108"/>
              <w:spacing w:after="0"/>
              <w:rPr>
                <w:sz w:val="20"/>
                <w:szCs w:val="20"/>
                <w:color w:val="auto"/>
              </w:rPr>
            </w:pPr>
            <w:r>
              <w:rPr>
                <w:rFonts w:ascii="Arial" w:cs="Arial" w:eastAsia="Arial" w:hAnsi="Arial"/>
                <w:sz w:val="14"/>
                <w:szCs w:val="14"/>
                <w:color w:val="auto"/>
              </w:rPr>
              <w:t>(1.07)</w:t>
            </w:r>
          </w:p>
        </w:tc>
        <w:tc>
          <w:tcPr>
            <w:tcW w:w="160" w:type="dxa"/>
            <w:vAlign w:val="bottom"/>
          </w:tcPr>
          <w:p>
            <w:pPr>
              <w:spacing w:after="0"/>
              <w:rPr>
                <w:sz w:val="14"/>
                <w:szCs w:val="14"/>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(2.99)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08"/>
              <w:spacing w:after="0"/>
              <w:rPr>
                <w:sz w:val="20"/>
                <w:szCs w:val="20"/>
                <w:color w:val="auto"/>
              </w:rPr>
            </w:pPr>
            <w:r>
              <w:rPr>
                <w:rFonts w:ascii="Arial" w:cs="Arial" w:eastAsia="Arial" w:hAnsi="Arial"/>
                <w:sz w:val="14"/>
                <w:szCs w:val="14"/>
                <w:color w:val="auto"/>
              </w:rPr>
              <w:t>(2.24)</w:t>
            </w:r>
          </w:p>
        </w:tc>
        <w:tc>
          <w:tcPr>
            <w:tcW w:w="26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bottom w:val="single" w:sz="8" w:color="CCEEFF"/>
            </w:tcBorders>
            <w:gridSpan w:val="2"/>
            <w:shd w:val="clear" w:color="auto" w:fill="CCEEFF"/>
          </w:tcPr>
          <w:p>
            <w:pPr>
              <w:ind w:left="160"/>
              <w:spacing w:after="0" w:line="155" w:lineRule="exact"/>
              <w:rPr>
                <w:sz w:val="20"/>
                <w:szCs w:val="20"/>
                <w:color w:val="auto"/>
              </w:rPr>
            </w:pPr>
            <w:r>
              <w:rPr>
                <w:rFonts w:ascii="Arial" w:cs="Arial" w:eastAsia="Arial" w:hAnsi="Arial"/>
                <w:sz w:val="14"/>
                <w:szCs w:val="14"/>
                <w:color w:val="auto"/>
              </w:rPr>
              <w:t>Efficiency ratio - operating</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56.18</w:t>
            </w:r>
          </w:p>
        </w:tc>
        <w:tc>
          <w:tcPr>
            <w:tcW w:w="200" w:type="dxa"/>
            <w:vAlign w:val="bottom"/>
            <w:tcBorders>
              <w:top w:val="single" w:sz="8" w:color="CCEEFF"/>
              <w:bottom w:val="single" w:sz="8" w:color="CCEEFF"/>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56.21</w:t>
            </w:r>
          </w:p>
        </w:tc>
        <w:tc>
          <w:tcPr>
            <w:tcW w:w="240" w:type="dxa"/>
            <w:vAlign w:val="bottom"/>
            <w:tcBorders>
              <w:top w:val="single" w:sz="8" w:color="CCEEFF"/>
              <w:bottom w:val="single" w:sz="8" w:color="CCEEFF"/>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57.35</w:t>
            </w:r>
          </w:p>
        </w:tc>
        <w:tc>
          <w:tcPr>
            <w:tcW w:w="18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56.58</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57.79</w:t>
            </w:r>
          </w:p>
        </w:tc>
        <w:tc>
          <w:tcPr>
            <w:tcW w:w="160" w:type="dxa"/>
            <w:vAlign w:val="bottom"/>
            <w:tcBorders>
              <w:top w:val="single" w:sz="8" w:color="CCEEFF"/>
              <w:bottom w:val="single" w:sz="8" w:color="CCEEFF"/>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56.57</w:t>
            </w:r>
          </w:p>
        </w:tc>
        <w:tc>
          <w:tcPr>
            <w:tcW w:w="220" w:type="dxa"/>
            <w:vAlign w:val="bottom"/>
            <w:tcBorders>
              <w:top w:val="single" w:sz="8" w:color="CCEEFF"/>
              <w:bottom w:val="single" w:sz="8" w:color="CCEEFF"/>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58.21</w:t>
            </w:r>
          </w:p>
        </w:tc>
        <w:tc>
          <w:tcPr>
            <w:tcW w:w="120" w:type="dxa"/>
            <w:vAlign w:val="bottom"/>
            <w:tcBorders>
              <w:top w:val="single" w:sz="8" w:color="CCEEFF"/>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Average equity to assets reconciliation</w:t>
            </w:r>
          </w:p>
        </w:tc>
        <w:tc>
          <w:tcPr>
            <w:tcW w:w="1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Equity to assets (GAAP)</w:t>
            </w:r>
          </w:p>
        </w:tc>
        <w:tc>
          <w:tcPr>
            <w:tcW w:w="180" w:type="dxa"/>
            <w:vAlign w:val="bottom"/>
          </w:tcPr>
          <w:p>
            <w:pPr>
              <w:spacing w:after="0"/>
              <w:rPr>
                <w:sz w:val="12"/>
                <w:szCs w:val="12"/>
                <w:color w:val="auto"/>
              </w:rPr>
            </w:pPr>
          </w:p>
        </w:tc>
        <w:tc>
          <w:tcPr>
            <w:tcW w:w="10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10.86%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10.49%</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10.35%</w:t>
            </w:r>
          </w:p>
        </w:tc>
        <w:tc>
          <w:tcPr>
            <w:tcW w:w="1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10.38%</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10.54%</w:t>
            </w:r>
          </w:p>
        </w:tc>
        <w:tc>
          <w:tcPr>
            <w:tcW w:w="260" w:type="dxa"/>
            <w:vAlign w:val="bottom"/>
          </w:tcPr>
          <w:p>
            <w:pPr>
              <w:spacing w:after="0"/>
              <w:rPr>
                <w:sz w:val="12"/>
                <w:szCs w:val="12"/>
                <w:color w:val="auto"/>
              </w:rPr>
            </w:pPr>
          </w:p>
        </w:tc>
        <w:tc>
          <w:tcPr>
            <w:tcW w:w="8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10.60%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goodwill and other intangibles</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(1.26)</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(1.31)</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(1.40)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(1.33)</w:t>
            </w:r>
          </w:p>
        </w:tc>
        <w:tc>
          <w:tcPr>
            <w:tcW w:w="2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Tangible equity to assets</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9.45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9.23</w:t>
            </w: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8.96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9.04</w:t>
            </w: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8.98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9.21</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9.27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Effect of preferred equity</w:t>
            </w: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40" w:type="dxa"/>
            <w:vAlign w:val="bottom"/>
            <w:tcBorders>
              <w:bottom w:val="single" w:sz="8" w:color="CCEEFF"/>
            </w:tcBorders>
            <w:gridSpan w:val="2"/>
          </w:tcPr>
          <w:p>
            <w:pPr>
              <w:ind w:left="160"/>
              <w:spacing w:after="0" w:line="155" w:lineRule="exact"/>
              <w:rPr>
                <w:sz w:val="20"/>
                <w:szCs w:val="20"/>
                <w:color w:val="auto"/>
              </w:rPr>
            </w:pPr>
            <w:r>
              <w:rPr>
                <w:rFonts w:ascii="Arial" w:cs="Arial" w:eastAsia="Arial" w:hAnsi="Arial"/>
                <w:sz w:val="14"/>
                <w:szCs w:val="14"/>
                <w:color w:val="auto"/>
              </w:rPr>
              <w:t>Tangible common equity to assets</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9.45</w:t>
            </w:r>
          </w:p>
        </w:tc>
        <w:tc>
          <w:tcPr>
            <w:tcW w:w="200" w:type="dxa"/>
            <w:vAlign w:val="bottom"/>
            <w:tcBorders>
              <w:bottom w:val="single" w:sz="8" w:color="CCEEFF"/>
            </w:tcBorders>
          </w:tcPr>
          <w:p>
            <w:pPr>
              <w:jc w:val="right"/>
              <w:ind w:right="8"/>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9.23</w:t>
            </w:r>
          </w:p>
        </w:tc>
        <w:tc>
          <w:tcPr>
            <w:tcW w:w="24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8.96</w:t>
            </w:r>
          </w:p>
        </w:tc>
        <w:tc>
          <w:tcPr>
            <w:tcW w:w="18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9.04</w:t>
            </w:r>
          </w:p>
        </w:tc>
        <w:tc>
          <w:tcPr>
            <w:tcW w:w="220" w:type="dxa"/>
            <w:vAlign w:val="bottom"/>
            <w:tcBorders>
              <w:bottom w:val="single" w:sz="8" w:color="CCEEFF"/>
            </w:tcBorders>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8.98</w:t>
            </w:r>
          </w:p>
        </w:tc>
        <w:tc>
          <w:tcPr>
            <w:tcW w:w="16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79"/>
              </w:rPr>
              <w:t>%</w:t>
            </w:r>
          </w:p>
        </w:tc>
        <w:tc>
          <w:tcPr>
            <w:tcW w:w="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9.21</w:t>
            </w:r>
          </w:p>
        </w:tc>
        <w:tc>
          <w:tcPr>
            <w:tcW w:w="220" w:type="dxa"/>
            <w:vAlign w:val="bottom"/>
            <w:tcBorders>
              <w:bottom w:val="single" w:sz="8" w:color="CCEEFF"/>
            </w:tcBorders>
          </w:tcPr>
          <w:p>
            <w:pPr>
              <w:jc w:val="right"/>
              <w:ind w:right="28"/>
              <w:spacing w:after="0" w:line="155" w:lineRule="exact"/>
              <w:rPr>
                <w:sz w:val="20"/>
                <w:szCs w:val="20"/>
                <w:color w:val="auto"/>
              </w:rPr>
            </w:pPr>
            <w:r>
              <w:rPr>
                <w:rFonts w:ascii="Arial" w:cs="Arial" w:eastAsia="Arial" w:hAnsi="Arial"/>
                <w:sz w:val="14"/>
                <w:szCs w:val="14"/>
                <w:color w:val="auto"/>
                <w:w w:val="79"/>
              </w:rPr>
              <w:t>%</w:t>
            </w: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9.24</w:t>
            </w:r>
          </w:p>
        </w:tc>
        <w:tc>
          <w:tcPr>
            <w:tcW w:w="120" w:type="dxa"/>
            <w:vAlign w:val="bottom"/>
            <w:tcBorders>
              <w:bottom w:val="single" w:sz="8" w:color="CCEEFF"/>
            </w:tcBorders>
            <w:gridSpan w:val="2"/>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740" w:type="dxa"/>
            <w:vAlign w:val="bottom"/>
            <w:gridSpan w:val="2"/>
          </w:tcPr>
          <w:p>
            <w:pPr>
              <w:spacing w:after="0" w:line="126" w:lineRule="exact"/>
              <w:rPr>
                <w:sz w:val="20"/>
                <w:szCs w:val="20"/>
                <w:color w:val="auto"/>
              </w:rPr>
            </w:pPr>
            <w:r>
              <w:rPr>
                <w:rFonts w:ascii="Arial" w:cs="Arial" w:eastAsia="Arial" w:hAnsi="Arial"/>
                <w:sz w:val="14"/>
                <w:szCs w:val="14"/>
                <w:b w:val="1"/>
                <w:bCs w:val="1"/>
                <w:color w:val="auto"/>
                <w:w w:val="98"/>
              </w:rPr>
              <w:t>Tangible common equity to risk-weighted</w:t>
            </w: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40" w:type="dxa"/>
            <w:vAlign w:val="bottom"/>
            <w:gridSpan w:val="2"/>
          </w:tcPr>
          <w:p>
            <w:pPr>
              <w:ind w:left="160"/>
              <w:spacing w:after="0"/>
              <w:rPr>
                <w:sz w:val="20"/>
                <w:szCs w:val="20"/>
                <w:color w:val="auto"/>
              </w:rPr>
            </w:pPr>
            <w:r>
              <w:rPr>
                <w:rFonts w:ascii="Arial" w:cs="Arial" w:eastAsia="Arial" w:hAnsi="Arial"/>
                <w:sz w:val="14"/>
                <w:szCs w:val="14"/>
                <w:b w:val="1"/>
                <w:bCs w:val="1"/>
                <w:color w:val="auto"/>
              </w:rPr>
              <w:t>assets reconciliation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Tier 1 capital ratio (Regulatory)</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12.27%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11.91%</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11.46%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11.23%</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12.27%</w:t>
            </w:r>
          </w:p>
        </w:tc>
        <w:tc>
          <w:tcPr>
            <w:tcW w:w="2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Effect of other comprehensive income</w:t>
            </w:r>
          </w:p>
        </w:tc>
        <w:tc>
          <w:tcPr>
            <w:tcW w:w="18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w:t>
            </w:r>
          </w:p>
        </w:tc>
        <w:tc>
          <w:tcPr>
            <w:tcW w:w="16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(.34)</w:t>
            </w:r>
          </w:p>
        </w:tc>
        <w:tc>
          <w:tcPr>
            <w:tcW w:w="1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(.13)</w:t>
            </w:r>
          </w:p>
        </w:tc>
        <w:tc>
          <w:tcPr>
            <w:tcW w:w="2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Effect of deferred tax limitation</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.95</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1.13</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1.26</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1.50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gridSpan w:val="2"/>
          </w:tcPr>
          <w:p>
            <w:pPr>
              <w:spacing w:after="0" w:line="149" w:lineRule="exact"/>
              <w:rPr>
                <w:sz w:val="20"/>
                <w:szCs w:val="20"/>
                <w:color w:val="auto"/>
              </w:rPr>
            </w:pPr>
            <w:r>
              <w:rPr>
                <w:rFonts w:ascii="Arial" w:cs="Arial" w:eastAsia="Arial" w:hAnsi="Arial"/>
                <w:sz w:val="14"/>
                <w:szCs w:val="14"/>
                <w:color w:val="auto"/>
              </w:rPr>
              <w:t>Effect of trust preferred</w:t>
            </w:r>
          </w:p>
        </w:tc>
        <w:tc>
          <w:tcPr>
            <w:tcW w:w="180" w:type="dxa"/>
            <w:vAlign w:val="bottom"/>
          </w:tcPr>
          <w:p>
            <w:pPr>
              <w:spacing w:after="0"/>
              <w:rPr>
                <w:sz w:val="12"/>
                <w:szCs w:val="12"/>
                <w:color w:val="auto"/>
              </w:rPr>
            </w:pPr>
          </w:p>
        </w:tc>
        <w:tc>
          <w:tcPr>
            <w:tcW w:w="106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(.24)</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10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(.24)</w:t>
            </w:r>
          </w:p>
        </w:tc>
        <w:tc>
          <w:tcPr>
            <w:tcW w:w="260" w:type="dxa"/>
            <w:vAlign w:val="bottom"/>
          </w:tcPr>
          <w:p>
            <w:pPr>
              <w:spacing w:after="0"/>
              <w:rPr>
                <w:sz w:val="12"/>
                <w:szCs w:val="12"/>
                <w:color w:val="auto"/>
              </w:rPr>
            </w:pPr>
          </w:p>
        </w:tc>
        <w:tc>
          <w:tcPr>
            <w:tcW w:w="8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Basel III intangibles transition adjustment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c>
          <w:tcPr>
            <w:tcW w:w="1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(.03)</w:t>
            </w:r>
          </w:p>
        </w:tc>
        <w:tc>
          <w:tcPr>
            <w:tcW w:w="26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40" w:type="dxa"/>
            <w:vAlign w:val="bottom"/>
            <w:gridSpan w:val="2"/>
          </w:tcPr>
          <w:p>
            <w:pPr>
              <w:ind w:left="160"/>
              <w:spacing w:after="0" w:line="110" w:lineRule="exact"/>
              <w:rPr>
                <w:sz w:val="20"/>
                <w:szCs w:val="20"/>
                <w:color w:val="auto"/>
              </w:rPr>
            </w:pPr>
            <w:r>
              <w:rPr>
                <w:rFonts w:ascii="Arial" w:cs="Arial" w:eastAsia="Arial" w:hAnsi="Arial"/>
                <w:sz w:val="12"/>
                <w:szCs w:val="12"/>
                <w:color w:val="auto"/>
              </w:rPr>
              <w:t>Tangible common equity to risk-weighted</w:t>
            </w:r>
          </w:p>
        </w:tc>
        <w:tc>
          <w:tcPr>
            <w:tcW w:w="1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40" w:type="dxa"/>
            <w:vAlign w:val="bottom"/>
            <w:gridSpan w:val="2"/>
          </w:tcPr>
          <w:p>
            <w:pPr>
              <w:ind w:left="320"/>
              <w:spacing w:after="0"/>
              <w:rPr>
                <w:sz w:val="20"/>
                <w:szCs w:val="20"/>
                <w:color w:val="auto"/>
              </w:rPr>
            </w:pPr>
            <w:r>
              <w:rPr>
                <w:rFonts w:ascii="Arial" w:cs="Arial" w:eastAsia="Arial" w:hAnsi="Arial"/>
                <w:sz w:val="14"/>
                <w:szCs w:val="14"/>
                <w:color w:val="auto"/>
              </w:rPr>
              <w:t>assets</w:t>
            </w:r>
          </w:p>
        </w:tc>
        <w:tc>
          <w:tcPr>
            <w:tcW w:w="180" w:type="dxa"/>
            <w:vAlign w:val="bottom"/>
          </w:tcPr>
          <w:p>
            <w:pPr>
              <w:spacing w:after="0"/>
              <w:rPr>
                <w:sz w:val="16"/>
                <w:szCs w:val="16"/>
                <w:color w:val="auto"/>
              </w:rPr>
            </w:pPr>
          </w:p>
        </w:tc>
        <w:tc>
          <w:tcPr>
            <w:tcW w:w="1060" w:type="dxa"/>
            <w:vAlign w:val="bottom"/>
            <w:gridSpan w:val="2"/>
          </w:tcPr>
          <w:p>
            <w:pPr>
              <w:jc w:val="right"/>
              <w:ind w:right="8"/>
              <w:spacing w:after="0" w:line="194" w:lineRule="exact"/>
              <w:rPr>
                <w:sz w:val="20"/>
                <w:szCs w:val="20"/>
                <w:color w:val="auto"/>
              </w:rPr>
            </w:pPr>
            <w:r>
              <w:rPr>
                <w:rFonts w:ascii="Arial" w:cs="Arial" w:eastAsia="Arial" w:hAnsi="Arial"/>
                <w:sz w:val="12"/>
                <w:szCs w:val="12"/>
                <w:color w:val="auto"/>
              </w:rPr>
              <w:t>12.80</w:t>
            </w:r>
            <w:r>
              <w:rPr>
                <w:rFonts w:ascii="Arial" w:cs="Arial" w:eastAsia="Arial" w:hAnsi="Arial"/>
                <w:sz w:val="22"/>
                <w:szCs w:val="22"/>
                <w:color w:val="auto"/>
                <w:vertAlign w:val="superscript"/>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48"/>
              <w:spacing w:after="0" w:line="194" w:lineRule="exact"/>
              <w:rPr>
                <w:sz w:val="20"/>
                <w:szCs w:val="20"/>
                <w:color w:val="auto"/>
              </w:rPr>
            </w:pPr>
            <w:r>
              <w:rPr>
                <w:rFonts w:ascii="Arial" w:cs="Arial" w:eastAsia="Arial" w:hAnsi="Arial"/>
                <w:sz w:val="12"/>
                <w:szCs w:val="12"/>
                <w:color w:val="auto"/>
              </w:rPr>
              <w:t>12.44</w:t>
            </w:r>
            <w:r>
              <w:rPr>
                <w:rFonts w:ascii="Arial" w:cs="Arial" w:eastAsia="Arial" w:hAnsi="Arial"/>
                <w:sz w:val="22"/>
                <w:szCs w:val="22"/>
                <w:color w:val="auto"/>
                <w:vertAlign w:val="superscript"/>
              </w:rPr>
              <w:t>%</w:t>
            </w:r>
          </w:p>
        </w:tc>
        <w:tc>
          <w:tcPr>
            <w:tcW w:w="160" w:type="dxa"/>
            <w:vAlign w:val="bottom"/>
          </w:tcPr>
          <w:p>
            <w:pPr>
              <w:spacing w:after="0"/>
              <w:rPr>
                <w:sz w:val="16"/>
                <w:szCs w:val="16"/>
                <w:color w:val="auto"/>
              </w:rPr>
            </w:pPr>
          </w:p>
        </w:tc>
        <w:tc>
          <w:tcPr>
            <w:tcW w:w="1020" w:type="dxa"/>
            <w:vAlign w:val="bottom"/>
            <w:gridSpan w:val="2"/>
          </w:tcPr>
          <w:p>
            <w:pPr>
              <w:jc w:val="right"/>
              <w:spacing w:after="0" w:line="194" w:lineRule="exact"/>
              <w:rPr>
                <w:sz w:val="20"/>
                <w:szCs w:val="20"/>
                <w:color w:val="auto"/>
              </w:rPr>
            </w:pPr>
            <w:r>
              <w:rPr>
                <w:rFonts w:ascii="Arial" w:cs="Arial" w:eastAsia="Arial" w:hAnsi="Arial"/>
                <w:sz w:val="12"/>
                <w:szCs w:val="12"/>
                <w:color w:val="auto"/>
              </w:rPr>
              <w:t>12.07</w:t>
            </w:r>
            <w:r>
              <w:rPr>
                <w:rFonts w:ascii="Arial" w:cs="Arial" w:eastAsia="Arial" w:hAnsi="Arial"/>
                <w:sz w:val="22"/>
                <w:szCs w:val="22"/>
                <w:color w:val="auto"/>
                <w:vertAlign w:val="superscript"/>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8"/>
              <w:spacing w:after="0" w:line="194" w:lineRule="exact"/>
              <w:rPr>
                <w:sz w:val="20"/>
                <w:szCs w:val="20"/>
                <w:color w:val="auto"/>
              </w:rPr>
            </w:pPr>
            <w:r>
              <w:rPr>
                <w:rFonts w:ascii="Arial" w:cs="Arial" w:eastAsia="Arial" w:hAnsi="Arial"/>
                <w:sz w:val="12"/>
                <w:szCs w:val="12"/>
                <w:color w:val="auto"/>
              </w:rPr>
              <w:t>11.84</w:t>
            </w:r>
            <w:r>
              <w:rPr>
                <w:rFonts w:ascii="Arial" w:cs="Arial" w:eastAsia="Arial" w:hAnsi="Arial"/>
                <w:sz w:val="22"/>
                <w:szCs w:val="22"/>
                <w:color w:val="auto"/>
                <w:vertAlign w:val="superscript"/>
              </w:rPr>
              <w:t>%</w:t>
            </w:r>
          </w:p>
        </w:tc>
        <w:tc>
          <w:tcPr>
            <w:tcW w:w="160" w:type="dxa"/>
            <w:vAlign w:val="bottom"/>
          </w:tcPr>
          <w:p>
            <w:pPr>
              <w:spacing w:after="0"/>
              <w:rPr>
                <w:sz w:val="16"/>
                <w:szCs w:val="16"/>
                <w:color w:val="auto"/>
              </w:rPr>
            </w:pPr>
          </w:p>
        </w:tc>
        <w:tc>
          <w:tcPr>
            <w:tcW w:w="1020" w:type="dxa"/>
            <w:vAlign w:val="bottom"/>
            <w:gridSpan w:val="2"/>
          </w:tcPr>
          <w:p>
            <w:pPr>
              <w:jc w:val="right"/>
              <w:spacing w:after="0" w:line="194" w:lineRule="exact"/>
              <w:rPr>
                <w:sz w:val="20"/>
                <w:szCs w:val="20"/>
                <w:color w:val="auto"/>
              </w:rPr>
            </w:pPr>
            <w:r>
              <w:rPr>
                <w:rFonts w:ascii="Arial" w:cs="Arial" w:eastAsia="Arial" w:hAnsi="Arial"/>
                <w:sz w:val="12"/>
                <w:szCs w:val="12"/>
                <w:color w:val="auto"/>
              </w:rPr>
              <w:t>12.22</w:t>
            </w:r>
            <w:r>
              <w:rPr>
                <w:rFonts w:ascii="Arial" w:cs="Arial" w:eastAsia="Arial" w:hAnsi="Arial"/>
                <w:sz w:val="22"/>
                <w:szCs w:val="22"/>
                <w:color w:val="auto"/>
                <w:vertAlign w:val="superscript"/>
              </w:rPr>
              <w: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28"/>
              <w:spacing w:after="0" w:line="194" w:lineRule="exact"/>
              <w:rPr>
                <w:sz w:val="20"/>
                <w:szCs w:val="20"/>
                <w:color w:val="auto"/>
              </w:rPr>
            </w:pPr>
            <w:r>
              <w:rPr>
                <w:rFonts w:ascii="Arial" w:cs="Arial" w:eastAsia="Arial" w:hAnsi="Arial"/>
                <w:sz w:val="12"/>
                <w:szCs w:val="12"/>
                <w:color w:val="auto"/>
              </w:rPr>
              <w:t>12.81</w:t>
            </w:r>
            <w:r>
              <w:rPr>
                <w:rFonts w:ascii="Arial" w:cs="Arial" w:eastAsia="Arial" w:hAnsi="Arial"/>
                <w:sz w:val="22"/>
                <w:szCs w:val="22"/>
                <w:color w:val="auto"/>
                <w:vertAlign w:val="superscript"/>
              </w:rPr>
              <w:t>%</w:t>
            </w:r>
          </w:p>
        </w:tc>
        <w:tc>
          <w:tcPr>
            <w:tcW w:w="260" w:type="dxa"/>
            <w:vAlign w:val="bottom"/>
          </w:tcPr>
          <w:p>
            <w:pPr>
              <w:spacing w:after="0"/>
              <w:rPr>
                <w:sz w:val="16"/>
                <w:szCs w:val="16"/>
                <w:color w:val="auto"/>
              </w:rPr>
            </w:pPr>
          </w:p>
        </w:tc>
        <w:tc>
          <w:tcPr>
            <w:tcW w:w="880" w:type="dxa"/>
            <w:vAlign w:val="bottom"/>
            <w:gridSpan w:val="3"/>
          </w:tcPr>
          <w:p>
            <w:pPr>
              <w:jc w:val="right"/>
              <w:spacing w:after="0" w:line="194" w:lineRule="exact"/>
              <w:rPr>
                <w:sz w:val="20"/>
                <w:szCs w:val="20"/>
                <w:color w:val="auto"/>
              </w:rPr>
            </w:pPr>
            <w:r>
              <w:rPr>
                <w:rFonts w:ascii="Arial" w:cs="Arial" w:eastAsia="Arial" w:hAnsi="Arial"/>
                <w:sz w:val="12"/>
                <w:szCs w:val="12"/>
                <w:color w:val="auto"/>
              </w:rPr>
              <w:t>12.22</w:t>
            </w:r>
            <w:r>
              <w:rPr>
                <w:rFonts w:ascii="Arial" w:cs="Arial" w:eastAsia="Arial" w:hAnsi="Arial"/>
                <w:sz w:val="22"/>
                <w:szCs w:val="22"/>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2" w:right="239" w:bottom="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Net Interest Revenue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Management seeks to optimize this revenue while balancing interest rate, credit and liquidity risks. Net interest revenue for the third quarter of 2017 was $89.8 million. Taxable equivalent net interest revenue for the third quarter of 2017 was $90.4 million, which represents an increase of $11.2 million from the same period in 2016. The combination of the larger earning asset base from the acquisition of HCSB and growth in the loan portfolio were responsible for the increase in net interest revenue.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Average loans increased $474 million, or 7%, from the third quarter of last year, while the yield on loans increased 32 basis points, reflecting the effect of rising interest rates on the floating rate loans in the portfolio.</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interest-earning assets for the third quarter of 2017 increased $689 million, or 7%, from the third quarter of 2016, which was due primarily to the increase in loans, including the acquisition of HCSB loans. Average investment securities for the third quarter of 2017 increased $190 million from a year ago, partially due to the HCSB acquisition. The average yield on the taxable investment portfolio increased 19 basis points from a year ago, primarily due to the impact of higher short-term interest rates on the floating rate portion of the securities portfolio as well as accelerated discount accretion on called asset-backed securities and a higher reinvestment rate on maturing fixed rate investments.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interest-bearing liabilities of $6.82 billion for the third quarter of 2017 increased $196 million from the third quarter of 2016. Average non-interest-bearing deposits increased $347 million from the third quarter of 2016 to $2.84 billion for the third quarter of 2017. The average cost of interest-bearing liabilities for the third quarter of 2017 was .53% compared to .39% for the same period in 2016, reflecting higher average rates on money market deposits, NOW deposits, time deposits and brokered time deposits.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net interest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third quarters of 2017 and 2016, the net interest spread was 3.37% and 3.22%, while the net interest margin was 3.54% and 3.34%, respectively. The increase in the net interest margin reflects the impact of higher short-term interest rates on floating-rate loans and securities, which exceeded the increase in deposit and other funds pricing from the prior year.</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first nine months of 2017, net interest revenue was $258 million, an increase of $29.6 million, or 13%, from the first nine months of 2016. Similarly, fully taxable equivalent net interest revenue for the first nine months of 2017 was $260 million, an increase of $30.2 million, or 13%, from the first nine months of 2016. Average earning assets increased 9% to $9.97 billion during the first nine months of 2017 compared to the same period a year ago, primarily due to the increase in loans, including the acquisition of HCSB and Tidelands loans. The yield on earning assets increased 18 basis points to 3.81% in the first nine months of 2017 primarily due to higher loan and securities yields. The higher loan portfolio yield reflects the effect of rising interest rates on the floating rate loans in the portfolio. Investment yield increased 16 basis points for the first nine months of 2017 compared to the same period in 2016, which further improved the net interest margin. The rate on interest-bearing liabilities over the same period increased 10 basis points. The higher yield on interest-earning assets more than offset the higher cost of interest-bearing liabilities and resulted in a 13 basis point increase in the net interest margin from the first nine months of 2016 to the first nine months of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spacing w:after="0" w:line="277" w:lineRule="auto"/>
        <w:rPr>
          <w:sz w:val="20"/>
          <w:szCs w:val="20"/>
          <w:color w:val="auto"/>
        </w:rPr>
      </w:pPr>
      <w:r>
        <w:rPr>
          <w:rFonts w:ascii="Arial" w:cs="Arial" w:eastAsia="Arial" w:hAnsi="Arial"/>
          <w:sz w:val="18"/>
          <w:szCs w:val="18"/>
          <w:color w:val="auto"/>
        </w:rPr>
        <w:t>The following tables show the relationship between interest revenue and expense, and the average amounts of interest-earning assets and interest-bearing liabilities for the periods indicated.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(dollars in thousands,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9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fully taxable equivalent (FTE))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Interest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Interest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Loans, net of unearned income (FTE) </w:t>
            </w:r>
            <w:r>
              <w:rPr>
                <w:rFonts w:ascii="Arial" w:cs="Arial" w:eastAsia="Arial" w:hAnsi="Arial"/>
                <w:sz w:val="29"/>
                <w:szCs w:val="29"/>
                <w:color w:val="auto"/>
                <w:vertAlign w:val="superscript"/>
              </w:rPr>
              <w:t>(1)(2)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7,149,348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6,675,328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2,695,162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17,204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2,588,037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15,284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Tax-exempt securities (FTE) </w:t>
            </w:r>
            <w:r>
              <w:rPr>
                <w:rFonts w:ascii="Arial" w:cs="Arial" w:eastAsia="Arial" w:hAnsi="Arial"/>
                <w:sz w:val="29"/>
                <w:szCs w:val="29"/>
                <w:color w:val="auto"/>
                <w:vertAlign w:val="superscript"/>
              </w:rPr>
              <w:t>(1)(3)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105,151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22,113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w w:val="89"/>
              </w:rPr>
              <w:t>Federal funds sold and other interest-earning assets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183,170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157,972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754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interest-earning assets (FTE)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10,132,831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99,486</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9,443,450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85,684</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(60,098)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100,775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203,579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30"/>
                <w:szCs w:val="30"/>
                <w:color w:val="auto"/>
                <w:vertAlign w:val="superscript"/>
              </w:rPr>
              <w:t>(3)</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599,725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602,690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10,979,514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10,281,275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NOW</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1,863,160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1,744,473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452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2,170,148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1,997,165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Savings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593,823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537,447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1,338,786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1,375,706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Brokered time deposits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162,255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(166)</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interest-bearing deposits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6,075,728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4,557</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5,817,046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5"/>
              </w:rPr>
              <w:t>Federal funds purchased and other borrowings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Arial" w:cs="Arial" w:eastAsia="Arial" w:hAnsi="Arial"/>
                <w:sz w:val="18"/>
                <w:szCs w:val="18"/>
                <w:color w:val="auto"/>
              </w:rPr>
              <w:t>Federal Home Loan Bank advances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574,404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1,709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583,312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1,015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2,762</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borrowed funds</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740,333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4,507</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802,879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3,941</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8" w:right="239" w:bottom="1440" w:gutter="0" w:footer="0" w:header="0"/>
        </w:sectPr>
      </w:pPr>
    </w:p>
    <w:p>
      <w:pPr>
        <w:ind w:left="500"/>
        <w:spacing w:after="0"/>
        <w:rPr>
          <w:sz w:val="20"/>
          <w:szCs w:val="20"/>
          <w:color w:val="auto"/>
        </w:rPr>
      </w:pPr>
      <w:r>
        <w:rPr>
          <w:rFonts w:ascii="Arial" w:cs="Arial" w:eastAsia="Arial" w:hAnsi="Arial"/>
          <w:sz w:val="18"/>
          <w:szCs w:val="18"/>
          <w:b w:val="1"/>
          <w:bCs w:val="1"/>
          <w:color w:val="auto"/>
        </w:rPr>
        <w:t>Total interest-bearing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Non-interest-bearing liabilities:</w:t>
      </w:r>
    </w:p>
    <w:p>
      <w:pPr>
        <w:spacing w:after="0" w:line="23" w:lineRule="exact"/>
        <w:rPr>
          <w:sz w:val="20"/>
          <w:szCs w:val="20"/>
          <w:color w:val="auto"/>
        </w:rPr>
      </w:pPr>
    </w:p>
    <w:p>
      <w:pPr>
        <w:ind w:left="180" w:right="1280"/>
        <w:spacing w:after="0" w:line="257" w:lineRule="auto"/>
        <w:rPr>
          <w:sz w:val="20"/>
          <w:szCs w:val="20"/>
          <w:color w:val="auto"/>
        </w:rPr>
      </w:pPr>
      <w:r>
        <w:rPr>
          <w:rFonts w:ascii="Arial" w:cs="Arial" w:eastAsia="Arial" w:hAnsi="Arial"/>
          <w:sz w:val="18"/>
          <w:szCs w:val="18"/>
          <w:color w:val="auto"/>
        </w:rPr>
        <w:t>Non-interest-bearing deposits Other liabilities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6,816,061</w:t>
            </w: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9,064</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6,619,925</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6,450</w:t>
            </w: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25"/>
        </w:trPr>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2,837,378</w:t>
            </w:r>
          </w:p>
        </w:tc>
        <w:tc>
          <w:tcPr>
            <w:tcW w:w="10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2,490,019</w:t>
            </w: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133,212</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103,859</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9,786,651</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9,213,803</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1,192,863</w:t>
            </w: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1,067,472</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  10,979,514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10,281,275</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-2546985</wp:posOffset>
            </wp:positionH>
            <wp:positionV relativeFrom="paragraph">
              <wp:posOffset>-899795</wp:posOffset>
            </wp:positionV>
            <wp:extent cx="724662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-616585</wp:posOffset>
            </wp:positionV>
            <wp:extent cx="72466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-2546985</wp:posOffset>
            </wp:positionH>
            <wp:positionV relativeFrom="paragraph">
              <wp:posOffset>-325120</wp:posOffset>
            </wp:positionV>
            <wp:extent cx="724662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80" w:space="440"/>
            <w:col w:w="7400"/>
          </w:cols>
          <w:pgMar w:left="240" w:top="908"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Net interest revenue (FTE)</w:t>
            </w:r>
          </w:p>
        </w:tc>
        <w:tc>
          <w:tcPr>
            <w:tcW w:w="1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90,422</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30"/>
              <w:spacing w:after="0"/>
              <w:rPr>
                <w:sz w:val="20"/>
                <w:szCs w:val="20"/>
                <w:color w:val="auto"/>
              </w:rPr>
            </w:pPr>
            <w:r>
              <w:rPr>
                <w:rFonts w:ascii="Arial" w:cs="Arial" w:eastAsia="Arial" w:hAnsi="Arial"/>
                <w:sz w:val="18"/>
                <w:szCs w:val="18"/>
                <w:color w:val="auto"/>
              </w:rPr>
              <w:t>79,234</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interest-rate spread (FTE)</w:t>
            </w:r>
          </w:p>
        </w:tc>
        <w:tc>
          <w:tcPr>
            <w:tcW w:w="15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2060" w:type="dxa"/>
            <w:vAlign w:val="bottom"/>
            <w:tcBorders>
              <w:top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3.37%</w:t>
            </w:r>
          </w:p>
        </w:tc>
        <w:tc>
          <w:tcPr>
            <w:tcW w:w="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Arial" w:cs="Arial" w:eastAsia="Arial" w:hAnsi="Arial"/>
                <w:sz w:val="15"/>
                <w:szCs w:val="15"/>
                <w:b w:val="1"/>
                <w:bCs w:val="1"/>
                <w:color w:val="auto"/>
              </w:rPr>
              <w:t xml:space="preserve">Net interest margin (FTE) </w:t>
            </w:r>
            <w:r>
              <w:rPr>
                <w:rFonts w:ascii="Arial" w:cs="Arial" w:eastAsia="Arial" w:hAnsi="Arial"/>
                <w:sz w:val="23"/>
                <w:szCs w:val="23"/>
                <w:b w:val="1"/>
                <w:bCs w:val="1"/>
                <w:color w:val="auto"/>
                <w:vertAlign w:val="superscript"/>
              </w:rPr>
              <w:t>(4)</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760" w:type="dxa"/>
            <w:vAlign w:val="bottom"/>
            <w:gridSpan w:val="4"/>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10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4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760" w:type="dxa"/>
            <w:vAlign w:val="bottom"/>
            <w:gridSpan w:val="4"/>
            <w:shd w:val="clear" w:color="auto" w:fill="CCEEFF"/>
          </w:tcPr>
          <w:p>
            <w:pPr>
              <w:jc w:val="right"/>
              <w:ind w:right="820"/>
              <w:spacing w:after="0" w:line="81" w:lineRule="exact"/>
              <w:rPr>
                <w:sz w:val="20"/>
                <w:szCs w:val="20"/>
                <w:color w:val="auto"/>
              </w:rPr>
            </w:pPr>
            <w:r>
              <w:rPr>
                <w:rFonts w:ascii="Arial" w:cs="Arial" w:eastAsia="Arial" w:hAnsi="Arial"/>
                <w:sz w:val="9"/>
                <w:szCs w:val="9"/>
                <w:color w:val="auto"/>
              </w:rPr>
              <w:t>3.54</w:t>
            </w:r>
          </w:p>
        </w:tc>
        <w:tc>
          <w:tcPr>
            <w:tcW w:w="6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100" w:type="dxa"/>
            <w:vAlign w:val="bottom"/>
            <w:gridSpan w:val="4"/>
            <w:shd w:val="clear" w:color="auto" w:fill="CCEEFF"/>
          </w:tcPr>
          <w:p>
            <w:pPr>
              <w:jc w:val="right"/>
              <w:ind w:right="160"/>
              <w:spacing w:after="0" w:line="81" w:lineRule="exact"/>
              <w:rPr>
                <w:sz w:val="20"/>
                <w:szCs w:val="20"/>
                <w:color w:val="auto"/>
              </w:rPr>
            </w:pPr>
            <w:r>
              <w:rPr>
                <w:rFonts w:ascii="Arial" w:cs="Arial" w:eastAsia="Arial" w:hAnsi="Arial"/>
                <w:sz w:val="9"/>
                <w:szCs w:val="9"/>
                <w:color w:val="auto"/>
              </w:rPr>
              <w:t>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194"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40" w:hanging="332"/>
        <w:spacing w:after="0" w:line="180"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$12.6 million in 2017 and $30.4 million in 2016 are included in other assets for purposes of this presentation.</w:t>
      </w:r>
    </w:p>
    <w:p>
      <w:pPr>
        <w:ind w:left="340" w:hanging="332"/>
        <w:spacing w:after="0" w:line="180"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Average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250"/>
              <w:spacing w:after="0" w:line="205"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00"/>
              <w:spacing w:after="0" w:line="205" w:lineRule="exact"/>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500"/>
              <w:spacing w:after="0" w:line="205" w:lineRule="exact"/>
              <w:rPr>
                <w:sz w:val="20"/>
                <w:szCs w:val="20"/>
                <w:color w:val="auto"/>
              </w:rPr>
            </w:pPr>
            <w:r>
              <w:rPr>
                <w:rFonts w:ascii="Arial" w:cs="Arial" w:eastAsia="Arial" w:hAnsi="Arial"/>
                <w:sz w:val="18"/>
                <w:szCs w:val="18"/>
                <w:b w:val="1"/>
                <w:bCs w:val="1"/>
                <w:color w:val="auto"/>
              </w:rPr>
              <w:t>Avg.</w:t>
            </w:r>
          </w:p>
        </w:tc>
        <w:tc>
          <w:tcPr>
            <w:tcW w:w="0" w:type="dxa"/>
            <w:vAlign w:val="bottom"/>
          </w:tcPr>
          <w:p>
            <w:pPr>
              <w:spacing w:after="0"/>
              <w:rPr>
                <w:sz w:val="1"/>
                <w:szCs w:val="1"/>
                <w:color w:val="auto"/>
              </w:rPr>
            </w:pPr>
          </w:p>
        </w:tc>
      </w:tr>
      <w:tr>
        <w:trPr>
          <w:trHeight w:val="234"/>
        </w:trPr>
        <w:tc>
          <w:tcPr>
            <w:tcW w:w="404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(dollars in thousands, fully taxable equivalent (FTE))</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Interest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Interest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Loans, net of unearned income (FTE) </w:t>
            </w:r>
            <w:r>
              <w:rPr>
                <w:rFonts w:ascii="Arial" w:cs="Arial" w:eastAsia="Arial" w:hAnsi="Arial"/>
                <w:sz w:val="29"/>
                <w:szCs w:val="29"/>
                <w:color w:val="auto"/>
                <w:vertAlign w:val="superscript"/>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7,011,962</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227,853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6,277,972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196,956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tcPr>
          <w:p>
            <w:pPr>
              <w:ind w:left="160"/>
              <w:spacing w:after="0" w:line="25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9"/>
                <w:szCs w:val="29"/>
                <w:color w:val="auto"/>
                <w:vertAlign w:val="superscript"/>
              </w:rPr>
              <w:t>(3)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2,731,081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52,058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2,665,272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47,590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02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 xml:space="preserve">Tax-exempt securities (FTE) </w:t>
            </w:r>
            <w:r>
              <w:rPr>
                <w:rFonts w:ascii="Arial" w:cs="Arial" w:eastAsia="Arial" w:hAnsi="Arial"/>
                <w:sz w:val="29"/>
                <w:szCs w:val="29"/>
                <w:color w:val="auto"/>
                <w:vertAlign w:val="superscript"/>
              </w:rPr>
              <w:t>(1)(3)</w:t>
            </w:r>
          </w:p>
        </w:tc>
        <w:tc>
          <w:tcPr>
            <w:tcW w:w="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w w:val="92"/>
              </w:rPr>
              <w:t>Federal funds sold and other interest-earning assets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157,582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2,290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150,146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2,719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interest-earning assets (FTE)</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9,968,630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284,340</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9,119,805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248,000</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loan losses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(60,971)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93,802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 and equipment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187,019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020" w:type="dxa"/>
            <w:vAlign w:val="bottom"/>
          </w:tcPr>
          <w:p>
            <w:pPr>
              <w:ind w:left="160"/>
              <w:spacing w:after="0" w:line="269"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30"/>
                <w:szCs w:val="30"/>
                <w:color w:val="auto"/>
                <w:vertAlign w:val="superscript"/>
              </w:rPr>
              <w:t>(3)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582,194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574,870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b w:val="1"/>
                <w:bCs w:val="1"/>
                <w:color w:val="auto"/>
              </w:rPr>
              <w:t>Total assets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10,787,958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9,909,354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Interest-bearing deposits: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NOW</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1,907,889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1,795,372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1,381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Money market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1,901,903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Savings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576,927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505,337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1,292,521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1,280,503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2,325</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Brokered time deposits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106,753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194,199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Total interest-bearing deposits</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5,984,386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5,677,314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8"/>
              </w:rPr>
              <w:t>Federal funds purchased and other borrowings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22,525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20"/>
              <w:spacing w:after="0"/>
              <w:rPr>
                <w:sz w:val="20"/>
                <w:szCs w:val="20"/>
                <w:color w:val="auto"/>
              </w:rPr>
            </w:pPr>
            <w:r>
              <w:rPr>
                <w:rFonts w:ascii="Arial" w:cs="Arial" w:eastAsia="Arial" w:hAnsi="Arial"/>
                <w:sz w:val="18"/>
                <w:szCs w:val="18"/>
                <w:color w:val="auto"/>
              </w:rPr>
              <w:t>Federal Home Loan Bank advances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616,388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4,603</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506,524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2,731</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Long-term debt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8,178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borrowed funds</w:t>
            </w: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807,184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704,906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11,187</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05" w:right="239" w:bottom="1440" w:gutter="0" w:footer="0" w:header="0"/>
        </w:sectPr>
      </w:pPr>
    </w:p>
    <w:p>
      <w:pPr>
        <w:ind w:left="500"/>
        <w:spacing w:after="0"/>
        <w:rPr>
          <w:sz w:val="20"/>
          <w:szCs w:val="20"/>
          <w:color w:val="auto"/>
        </w:rPr>
      </w:pPr>
      <w:r>
        <w:rPr>
          <w:rFonts w:ascii="Arial" w:cs="Arial" w:eastAsia="Arial" w:hAnsi="Arial"/>
          <w:sz w:val="18"/>
          <w:szCs w:val="18"/>
          <w:b w:val="1"/>
          <w:bCs w:val="1"/>
          <w:color w:val="auto"/>
        </w:rPr>
        <w:t>Total interest-bearing liabilities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Non-interest-bearing liabilities:</w:t>
      </w:r>
    </w:p>
    <w:p>
      <w:pPr>
        <w:spacing w:after="0" w:line="23" w:lineRule="exact"/>
        <w:rPr>
          <w:sz w:val="20"/>
          <w:szCs w:val="20"/>
          <w:color w:val="auto"/>
        </w:rPr>
      </w:pPr>
    </w:p>
    <w:p>
      <w:pPr>
        <w:ind w:left="180" w:right="1280"/>
        <w:spacing w:after="0" w:line="257" w:lineRule="auto"/>
        <w:rPr>
          <w:sz w:val="20"/>
          <w:szCs w:val="20"/>
          <w:color w:val="auto"/>
        </w:rPr>
      </w:pPr>
      <w:r>
        <w:rPr>
          <w:rFonts w:ascii="Arial" w:cs="Arial" w:eastAsia="Arial" w:hAnsi="Arial"/>
          <w:sz w:val="18"/>
          <w:szCs w:val="18"/>
          <w:color w:val="auto"/>
        </w:rPr>
        <w:t>Non-interest-bearing deposits Other liabilities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liabilities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6"/>
          <w:szCs w:val="16"/>
          <w:b w:val="1"/>
          <w:bCs w:val="1"/>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6,791,570</w:t>
            </w:r>
          </w:p>
        </w:tc>
        <w:tc>
          <w:tcPr>
            <w:tcW w:w="22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24,486</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6,382,220</w:t>
            </w: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18,383</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25"/>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2,738,118</w:t>
            </w: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2,374,076</w:t>
            </w:r>
          </w:p>
        </w:tc>
        <w:tc>
          <w:tcPr>
            <w:tcW w:w="2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121,672</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102,421</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9,651,360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8,858,717</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0"/>
        </w:trPr>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1,136,598</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1,050,637</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$ 10,787,958</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9,909,354</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-899795</wp:posOffset>
            </wp:positionV>
            <wp:extent cx="72466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-616585</wp:posOffset>
            </wp:positionV>
            <wp:extent cx="72466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-325120</wp:posOffset>
            </wp:positionV>
            <wp:extent cx="72466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80" w:space="500"/>
            <w:col w:w="734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Net interest revenue (FTE)</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259,854</w:t>
            </w: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229,617</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interest-rate spread (FTE)</w:t>
            </w:r>
          </w:p>
        </w:tc>
        <w:tc>
          <w:tcPr>
            <w:tcW w:w="15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2040" w:type="dxa"/>
            <w:vAlign w:val="bottom"/>
            <w:tcBorders>
              <w:top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3.33%</w:t>
            </w:r>
          </w:p>
        </w:tc>
        <w:tc>
          <w:tcPr>
            <w:tcW w:w="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shd w:val="clear" w:color="auto" w:fill="CCEEFF"/>
          </w:tcPr>
          <w:p>
            <w:pPr>
              <w:spacing w:after="0" w:line="202" w:lineRule="exact"/>
              <w:rPr>
                <w:sz w:val="20"/>
                <w:szCs w:val="20"/>
                <w:color w:val="auto"/>
              </w:rPr>
            </w:pPr>
            <w:r>
              <w:rPr>
                <w:rFonts w:ascii="Arial" w:cs="Arial" w:eastAsia="Arial" w:hAnsi="Arial"/>
                <w:sz w:val="15"/>
                <w:szCs w:val="15"/>
                <w:b w:val="1"/>
                <w:bCs w:val="1"/>
                <w:color w:val="auto"/>
              </w:rPr>
              <w:t xml:space="preserve">Net interest margin (FTE) </w:t>
            </w:r>
            <w:r>
              <w:rPr>
                <w:rFonts w:ascii="Arial" w:cs="Arial" w:eastAsia="Arial" w:hAnsi="Arial"/>
                <w:sz w:val="23"/>
                <w:szCs w:val="23"/>
                <w:b w:val="1"/>
                <w:bCs w:val="1"/>
                <w:color w:val="auto"/>
                <w:vertAlign w:val="superscript"/>
              </w:rPr>
              <w:t>(4)</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780" w:type="dxa"/>
            <w:vAlign w:val="bottom"/>
            <w:gridSpan w:val="4"/>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140" w:type="dxa"/>
            <w:vAlign w:val="bottom"/>
            <w:gridSpan w:val="4"/>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760" w:type="dxa"/>
            <w:vAlign w:val="bottom"/>
            <w:shd w:val="clear" w:color="auto" w:fill="CCEEFF"/>
          </w:tcPr>
          <w:p>
            <w:pPr>
              <w:spacing w:after="0"/>
              <w:rPr>
                <w:sz w:val="7"/>
                <w:szCs w:val="7"/>
                <w:color w:val="auto"/>
              </w:rPr>
            </w:pPr>
          </w:p>
        </w:tc>
        <w:tc>
          <w:tcPr>
            <w:tcW w:w="15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780" w:type="dxa"/>
            <w:vAlign w:val="bottom"/>
            <w:gridSpan w:val="4"/>
            <w:shd w:val="clear" w:color="auto" w:fill="CCEEFF"/>
          </w:tcPr>
          <w:p>
            <w:pPr>
              <w:jc w:val="right"/>
              <w:ind w:right="820"/>
              <w:spacing w:after="0" w:line="81" w:lineRule="exact"/>
              <w:rPr>
                <w:sz w:val="20"/>
                <w:szCs w:val="20"/>
                <w:color w:val="auto"/>
              </w:rPr>
            </w:pPr>
            <w:r>
              <w:rPr>
                <w:rFonts w:ascii="Arial" w:cs="Arial" w:eastAsia="Arial" w:hAnsi="Arial"/>
                <w:sz w:val="9"/>
                <w:szCs w:val="9"/>
                <w:color w:val="auto"/>
              </w:rPr>
              <w:t>3.49</w:t>
            </w:r>
          </w:p>
        </w:tc>
        <w:tc>
          <w:tcPr>
            <w:tcW w:w="6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140" w:type="dxa"/>
            <w:vAlign w:val="bottom"/>
            <w:gridSpan w:val="4"/>
            <w:shd w:val="clear" w:color="auto" w:fill="CCEEFF"/>
          </w:tcPr>
          <w:p>
            <w:pPr>
              <w:jc w:val="right"/>
              <w:ind w:right="160"/>
              <w:spacing w:after="0" w:line="81" w:lineRule="exact"/>
              <w:rPr>
                <w:sz w:val="20"/>
                <w:szCs w:val="20"/>
                <w:color w:val="auto"/>
              </w:rPr>
            </w:pPr>
            <w:r>
              <w:rPr>
                <w:rFonts w:ascii="Arial" w:cs="Arial" w:eastAsia="Arial" w:hAnsi="Arial"/>
                <w:sz w:val="9"/>
                <w:szCs w:val="9"/>
                <w:color w:val="auto"/>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194"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40" w:hanging="332"/>
        <w:spacing w:after="0" w:line="180"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5"/>
          <w:szCs w:val="25"/>
          <w:color w:val="auto"/>
          <w:vertAlign w:val="superscript"/>
        </w:rPr>
      </w:pPr>
    </w:p>
    <w:p>
      <w:pPr>
        <w:ind w:left="340" w:hanging="332"/>
        <w:spacing w:after="0" w:line="187" w:lineRule="auto"/>
        <w:tabs>
          <w:tab w:leader="none" w:pos="340" w:val="left"/>
        </w:tabs>
        <w:numPr>
          <w:ilvl w:val="0"/>
          <w:numId w:val="11"/>
        </w:numPr>
        <w:rPr>
          <w:rFonts w:ascii="Arial" w:cs="Arial" w:eastAsia="Arial" w:hAnsi="Arial"/>
          <w:sz w:val="30"/>
          <w:szCs w:val="30"/>
          <w:color w:val="auto"/>
          <w:vertAlign w:val="superscript"/>
        </w:rPr>
      </w:pPr>
      <w:r>
        <w:rPr>
          <w:rFonts w:ascii="Arial" w:cs="Arial" w:eastAsia="Arial" w:hAnsi="Arial"/>
          <w:sz w:val="18"/>
          <w:szCs w:val="18"/>
          <w:color w:val="auto"/>
        </w:rPr>
        <w:t>Securities available for sale are shown at amortized cost. Pretax unrealized gains of $4.67 million in 2017 and $15.1 million in 2016 are included in other assets for purposes of this presentation.</w:t>
      </w:r>
    </w:p>
    <w:p>
      <w:pPr>
        <w:ind w:left="340" w:hanging="332"/>
        <w:spacing w:after="0" w:line="180"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Net interest margin is taxable equivalent net-interest revenue divided by average interest-earning assets.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1" w:name="page52"/>
    <w:bookmarkEnd w:id="51"/>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4 - Change in Interest Revenue and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Three Months Ended September 30, 2017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40" w:type="dxa"/>
            <w:vAlign w:val="bottom"/>
            <w:gridSpan w:val="8"/>
          </w:tcPr>
          <w:p>
            <w:pPr>
              <w:jc w:val="center"/>
              <w:ind w:right="240"/>
              <w:spacing w:after="0"/>
              <w:rPr>
                <w:sz w:val="20"/>
                <w:szCs w:val="20"/>
                <w:color w:val="auto"/>
              </w:rPr>
            </w:pPr>
            <w:r>
              <w:rPr>
                <w:rFonts w:ascii="Arial" w:cs="Arial" w:eastAsia="Arial" w:hAnsi="Arial"/>
                <w:sz w:val="18"/>
                <w:szCs w:val="18"/>
                <w:b w:val="1"/>
                <w:bCs w:val="1"/>
                <w:color w:val="auto"/>
                <w:w w:val="90"/>
              </w:rPr>
              <w:t>Nine Months Ended September 30,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Compared to 2016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Compared to 2016</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Increase (decrease)</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88"/>
              </w:rPr>
              <w:t>Increase (decrease)</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Due to Changes in</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95"/>
              <w:spacing w:after="0"/>
              <w:rPr>
                <w:sz w:val="20"/>
                <w:szCs w:val="20"/>
                <w:color w:val="auto"/>
              </w:rPr>
            </w:pPr>
            <w:r>
              <w:rPr>
                <w:rFonts w:ascii="Arial" w:cs="Arial" w:eastAsia="Arial" w:hAnsi="Arial"/>
                <w:sz w:val="18"/>
                <w:szCs w:val="18"/>
                <w:b w:val="1"/>
                <w:bCs w:val="1"/>
                <w:color w:val="auto"/>
              </w:rPr>
              <w:t>Volume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Volume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Rate</w:t>
            </w:r>
          </w:p>
        </w:tc>
        <w:tc>
          <w:tcPr>
            <w:tcW w:w="200" w:type="dxa"/>
            <w:vAlign w:val="bottom"/>
          </w:tcPr>
          <w:p>
            <w:pPr>
              <w:spacing w:after="0"/>
              <w:rPr>
                <w:sz w:val="19"/>
                <w:szCs w:val="19"/>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Interest-earning assets:</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Loans (FTE)</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5,115</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5,759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10,874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23,658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7,239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Taxable securities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1,270</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3,272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Tax-exempt securities (FTE)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1"/>
              </w:rPr>
              <w:t>Federal funds sold and other interest-earning assets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(558)</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b w:val="1"/>
                <w:bCs w:val="1"/>
                <w:color w:val="auto"/>
              </w:rPr>
              <w:t>Total interest-earning assets (FTE)</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6,752</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7,050</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NOW accounts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Money market accounts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481</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868</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Savings deposits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715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1,152</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Brokered deposits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&amp; other borrowings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710</w:t>
            </w:r>
          </w:p>
        </w:tc>
        <w:tc>
          <w:tcPr>
            <w:tcW w:w="2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borrowed funds</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Increase in net interest revenue (FTE)</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25,091</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5,146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Provision for Credit Losses</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is based on management’s evaluation of probable incurred losses in the loan portfolio and corresponding analysis of the allowance for credit losses at quarter-end. Provision for credit losses was $1.00 million for the third quarter of 2017, compared to a release of provision of $300,000 in the third quarter of 2016. The provision for credit losses for the nine months ended September 30, 2017 and 2016 was provision expense of $2.60 million and a release of provision expense of $800,000, respectively. The amount of provision recorded in each period was the amount required such that the total allowance for loan losses reflected the appropriate balance, in the estimation of management, sufficient to cover incurred losses in the loan portfolio. For the three months ended September 30, 2017, net loan charge-offs as an annualized percentage of average outstanding loans were .09% compared to .08% for the same period in 2016.</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section of this report on page 54.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for the three and nine months ended September 30, 2017 was $20.6 million and $66.3 million, respectively, a decrease of $5.79 million, or 22%, compared to the third quarter of 2016 and a decrease of $2.13 million, or 3%, compared to the first nine months of 2016. The following table presents the components of fee revenue for the periods indicated.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Fee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19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2016</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Percent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Overdraft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10,338</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ATM and debit card fees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2,810</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5,283</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(2,473)</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(1,855)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service charges and fees</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1,855</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1,888</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8,220</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2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(1,935)</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Mortgage loan and related fees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(1,839)</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Brokerage fees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1,199</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3,369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Gains on sales of SBA/USDA loans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2,806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2,479</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Customer derivatives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1,446</w:t>
            </w: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(892)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Securities gains,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3,596</w:t>
            </w:r>
          </w:p>
        </w:tc>
        <w:tc>
          <w:tcPr>
            <w:tcW w:w="16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4,118</w:t>
            </w: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(522)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1,281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fee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(5,788</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94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Service charges and fees of $8.22 million and $29.5 million for the third quarter and first nine months of 2017 were down $2.60 million, or 24%, from the third quarter of 2016 and $1.94 million, or 6%, from the first nine months of 2016. The decrease in both periods was primarily due to the impact of the Durbin Amendment to the Dodd Frank Act which became effective for United on July 1, 2017 and reduced United’s debit card interchange fees in the third quarter of 2017 by approximately $2.7 million compared to the second quarter of 2017 and $2.47 million compared to the third quarter of 2016.</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Mortgage loan and related fees for the third quarter and first nine months of 2017 were down $1.84 million, or 30%, and $341,000, or 2%, respectively, from the same periods in 2016. The decrease reflects the impact of moving to mandatory delivery of loans to the secondary market from best efforts in late 2016, which accelerated revenue recognition to the time of the rate lock. Also, in the third quarter of 2017, the fair value mark on the mortgage servicing asset was a decrease in value of $419,000. United elected to carry its mortgage servicing asset at fair value effective January 1, 2017. In the third quarter of 2017, United closed 848 loans totaling $193 million compared with 904 loans totaling $194 million in the third quarter of 2016. Year-to-date mortgage production in 2017 amounted to 2,433 loans totaling $548 million, compared to 2,407 loans totaling $522 million for the same period in 2016. United had $117 million and $351 million, respectively, in home purchase mortgage originations in the third quarter and first nine months of 2017, compared with $99.7 million and $292 million, respectively, for the same periods a year ago. The volume of home purchase mortgages relative to total mortgages (both purchases and refinances) in the third quarter of 2017 was 60% compared with 51% in the third quarter of 2016.</w:t>
      </w:r>
    </w:p>
    <w:p>
      <w:pPr>
        <w:spacing w:after="0" w:line="18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Brokerage fees in the third quarter of 2017 decreased 16% compared to the same period of 2016, primarily due to the United States Department of Labor’s new fiduciary rules, effective in June 2017, which implemented a level compensation requirement throughout the industry. Brokerage fees in the first nine months of 2017 increased 6% compared to the same period in 2016, reflecting the addition of several new financial advisors since early 2016.</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third quarter and first nine months of 2017, United realized $2.81 million and $7.39 million, respectively, in gains from the sales of the guaranteed portion of SBA/USDA loans, compared to $2.48 million and $6.52 million, respectively, in the same periods of 2016. United’s SBA/USDA lending strategy includes selling a portion of the loan production each quarter. United retains the servicing rights on the sold loans and earns a fee for servicing the loans. In the third quarter and first nine months of 2017, United sold the guaranteed portion of loans in the amount of $29.9 million and $83.6 million, respectively, compared to $32.2 million and $78.6 million, respectively, for the same periods a year ago.</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Customer derivative fees were down $892,000 and $1.48 million from the third quarter and first nine months of 2016 due to lower demand for this product in the current rate environment.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fee revenue was down $522,000, or 13%, for the third quarter of 2017 due to a number of small gains on disposition of assets in 2016. For the first nine months of 2017, other fee revenue was up $1.28 million, or 14%, primarily due to volume driven increases in earnings on bank owned life insurance, increases in miscellaneous banking fees, decreases in losses attributable to hedge ineffectiveness, and increases in the value of equity investments held by United.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periods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Operating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1"/>
              </w:rPr>
              <w:t>Nine Months Ended</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20"/>
                <w:szCs w:val="20"/>
                <w:color w:val="auto"/>
              </w:rPr>
            </w:pPr>
          </w:p>
        </w:tc>
        <w:tc>
          <w:tcPr>
            <w:tcW w:w="192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2016</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Percent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8"/>
                <w:szCs w:val="18"/>
                <w:b w:val="1"/>
                <w:bCs w:val="1"/>
                <w:color w:val="auto"/>
              </w:rPr>
              <w:t>Amount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benefits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1,549</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112,056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103,112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8,944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4,547</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4,919</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841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Occupancy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4,945</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5,132</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14,393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1,026</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(62)</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Postage, printing and supplies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2,976</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3,160</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(658)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FDIC assessments and other regulatory</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2,127</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core deposit intangibles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968</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1,119</w:t>
            </w:r>
          </w:p>
        </w:tc>
        <w:tc>
          <w:tcPr>
            <w:tcW w:w="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6,227</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6,112</w:t>
            </w:r>
          </w:p>
        </w:tc>
        <w:tc>
          <w:tcPr>
            <w:tcW w:w="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20" w:type="dxa"/>
            <w:vAlign w:val="bottom"/>
          </w:tcPr>
          <w:p>
            <w:pPr>
              <w:ind w:left="320"/>
              <w:spacing w:after="0" w:line="182" w:lineRule="exact"/>
              <w:rPr>
                <w:sz w:val="20"/>
                <w:szCs w:val="20"/>
                <w:color w:val="auto"/>
              </w:rPr>
            </w:pPr>
            <w:r>
              <w:rPr>
                <w:rFonts w:ascii="Arial" w:cs="Arial" w:eastAsia="Arial" w:hAnsi="Arial"/>
                <w:sz w:val="18"/>
                <w:szCs w:val="18"/>
                <w:color w:val="auto"/>
              </w:rPr>
              <w:t>Total excluding merger-related and</w:t>
            </w: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480"/>
              <w:spacing w:after="0"/>
              <w:rPr>
                <w:sz w:val="20"/>
                <w:szCs w:val="20"/>
                <w:color w:val="auto"/>
              </w:rPr>
            </w:pPr>
            <w:r>
              <w:rPr>
                <w:rFonts w:ascii="Arial" w:cs="Arial" w:eastAsia="Arial" w:hAnsi="Arial"/>
                <w:sz w:val="18"/>
                <w:szCs w:val="18"/>
                <w:color w:val="auto"/>
              </w:rPr>
              <w:t>other charges</w:t>
            </w: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62,254</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60,871</w:t>
            </w:r>
          </w:p>
        </w:tc>
        <w:tc>
          <w:tcPr>
            <w:tcW w:w="8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1,383</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184,425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172,987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11,438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Merger-related and other charges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Amortization of noncompete agreements</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244</w:t>
            </w: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191,729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179,968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for the third quarter of 2017 totaled $65.7 million, up $1.65 million, or 3%, from the third quarter of 2016, primarily due to the inclusion of operating expenses of HCSB. For the nine months ended September 30, 2017, operating expenses totaled $192 million, an increase of $11.8 million, or 7%, from the same period in 2016. The increase year over year reflects the inclusion of the operating expenses of both the Tidelands and the HCSB acquisitions.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Salaries and employee benefits for the third quarter of 2017 were $38.0 million, up $1.55 million, or 4%, from the third quarter of 2016. The increase was due to a number of factors including additional staff resulting from the HCSB acquisition and higher incentives and commissions. For the first nine months of 2017, salaries and employee benefits of $112 million were up $8.94 million, or 9%, from the same period in 2016. Full time equivalent headcount totaled 2,020 at September 30, 2017, up from 1,939 at September 30, 2016, reflecting the addition of HCSB personnel.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and equipment and occupancy expenses decreased in third quarter 2017 relative to the same period in 2016 primarily due to lower telephone charges and service contract charges and lower building maintenance and rental charges. For the first nine months of 2017, communications and equipment and occupancy expenses increased primarily due to the Tidelands acquisition.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Professional fees for the third quarter and first nine months of 2017 were down 6% and 7%, respectively, from the same periods in 2016 due primarily to lower fees related to outsourcing functions.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of intangibles in the third quarter and first nine months of 2017 decreased from the same periods in 2016 due to the accelerated method used to amortize core deposit intangibles, which more than offset the additional amortization resulting from the HCSB acquisition.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third quarter of 2017, merger-related and other charges of $3.18 million consisted of merger costs of $2.04 million and impairment charges on surplus properties of $1.14 million. In the first nine months of 2017, merger-related and other charges of $7.06 million included these costs as well as executive retirement costs, severance, branch closure costs and technology equipment write offs. In the third quarter and first nine months of 2016, merger-related charges of $3.15 million and $6.98 million, respectively, consisted primarily of severance, conversion costs, and legal and professional fees.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expense of $6.23 million for the third quarter of 2017 increased $115,000, or 2%, from the third quarter of 2016. Year-to-date, other expenses of $19.7 million increased $1.70 million, or 9%, from the first nine months of 2016. The increase was primarily due to writedowns on foreclosed property and higher lending support costs resulting from higher production volume in the Commercial Banking areas.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income tax provision for the three and nine months ended September 30, 2017 was $15.7 million and $50.7 million, respectively, as compared with $15.8 million and $44.7 million, respectively, for the same periods in 2016. The income tax provision represents effective tax rates of 36.0% and 38.9%, respectively, for the third quarter and first nine months of 2017, compared to 37.8% for both periods of 2016. Upon reversal of United’s former full deferred tax valuation allowance in 2013, certain disproportionate tax effects were retained in accumulated other comprehensive income (loss). During the first quarter of 2017, with the maturity and termination of certain dedesignated cash flow hedges, the disproportionate tax effect associated with these hedges was reversed and recorded as a tax expense of $3.40 million, which was the primary reason for the increase in the effective tax rate compared to the first nine months of 2016.</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532" w:gutter="0" w:footer="0" w:header="0"/>
        </w:sectPr>
      </w:pPr>
    </w:p>
    <w:bookmarkStart w:id="54" w:name="page55"/>
    <w:bookmarkEnd w:id="54"/>
    <w:p>
      <w:pPr>
        <w:jc w:val="both"/>
        <w:spacing w:after="0" w:line="259" w:lineRule="auto"/>
        <w:rPr>
          <w:sz w:val="20"/>
          <w:szCs w:val="20"/>
          <w:color w:val="auto"/>
        </w:rPr>
      </w:pPr>
      <w:r>
        <w:rPr>
          <w:rFonts w:ascii="Arial" w:cs="Arial" w:eastAsia="Arial" w:hAnsi="Arial"/>
          <w:sz w:val="18"/>
          <w:szCs w:val="18"/>
          <w:color w:val="auto"/>
        </w:rPr>
        <w:t>At September 30, 2017 and December 31, 2016, United maintained a valuation allowance on its net deferred tax asset of $4.20 million and $3.88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 evaluated the need for a valuation allowance at September 30, 2017. Based on the assessment of all the positive and negative evidence, management concluded that it is more likely than not that nearly all of its net deferred tax asset will be realized based upon future taxable income. The remaining valuation allowance of $4.20 million is related to specific state income tax credits that have short carryforward periods and are expected to expire unused.</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September 30, 2017 that it was more likely than not that the net deferred tax asset of $129 million will be realized is based upon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2014. Although it is not possible to know the ultimate outcome of future examinations, management believes that the liability recorded for uncertain tax positions is appropriate.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assets at September 30, 2017 and December 31, 2016 were $11.1 billion and $10.7 billion, respectively. Average total assets for the third quarter and first nine months of 2017 were $11.0 billion and $10.8 billion, respectively, up from $10.3 billion and $9.91 billion, respectively, in the third quarter and first nine months of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4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7 - Loans Outstanding</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ind w:left="660"/>
              <w:spacing w:after="0"/>
              <w:rPr>
                <w:sz w:val="20"/>
                <w:szCs w:val="20"/>
                <w:color w:val="auto"/>
              </w:rPr>
            </w:pPr>
            <w:r>
              <w:rPr>
                <w:rFonts w:ascii="Arial" w:cs="Arial" w:eastAsia="Arial" w:hAnsi="Arial"/>
                <w:sz w:val="18"/>
                <w:szCs w:val="18"/>
                <w:i w:val="1"/>
                <w:iCs w:val="1"/>
                <w:color w:val="auto"/>
              </w:rPr>
              <w:t>(in thousands)</w:t>
            </w:r>
          </w:p>
        </w:tc>
        <w:tc>
          <w:tcPr>
            <w:tcW w:w="2700" w:type="dxa"/>
            <w:vAlign w:val="bottom"/>
            <w:gridSpan w:val="4"/>
            <w:vMerge w:val="restart"/>
          </w:tcPr>
          <w:p>
            <w:pPr>
              <w:ind w:left="140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1"/>
        </w:trPr>
        <w:tc>
          <w:tcPr>
            <w:tcW w:w="6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700" w:type="dxa"/>
            <w:vAlign w:val="bottom"/>
            <w:gridSpan w:val="4"/>
            <w:vMerge w:val="continue"/>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18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Loan Type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6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1,791,762</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1,650,360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1,413,104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1,281,541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1,083,591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1,069,715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583,344</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633,921</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Total commercial</w:t>
            </w:r>
          </w:p>
        </w:tc>
        <w:tc>
          <w:tcPr>
            <w:tcW w:w="14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4,871,801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4,635,537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933,205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856,725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688,875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655,410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190,047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190,043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Consumer installment</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118,742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123,567</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400,267</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459,354</w:t>
            </w:r>
          </w:p>
        </w:tc>
        <w:tc>
          <w:tcPr>
            <w:tcW w:w="0" w:type="dxa"/>
            <w:vAlign w:val="bottom"/>
          </w:tcPr>
          <w:p>
            <w:pPr>
              <w:spacing w:after="0"/>
              <w:rPr>
                <w:sz w:val="1"/>
                <w:szCs w:val="1"/>
                <w:color w:val="auto"/>
              </w:rPr>
            </w:pPr>
          </w:p>
        </w:tc>
      </w:tr>
      <w:tr>
        <w:trPr>
          <w:trHeight w:val="263"/>
        </w:trPr>
        <w:tc>
          <w:tcPr>
            <w:tcW w:w="660" w:type="dxa"/>
            <w:vAlign w:val="bottom"/>
          </w:tcPr>
          <w:p>
            <w:pPr>
              <w:spacing w:after="0"/>
              <w:rPr>
                <w:sz w:val="22"/>
                <w:szCs w:val="22"/>
                <w:color w:val="auto"/>
              </w:rPr>
            </w:pPr>
          </w:p>
        </w:tc>
        <w:tc>
          <w:tcPr>
            <w:tcW w:w="51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loans</w:t>
            </w:r>
          </w:p>
        </w:tc>
        <w:tc>
          <w:tcPr>
            <w:tcW w:w="14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7,202,937</w:t>
            </w:r>
          </w:p>
        </w:tc>
        <w:tc>
          <w:tcPr>
            <w:tcW w:w="2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6,920,636</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5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&amp; industrial</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commercial</w:t>
            </w:r>
          </w:p>
        </w:tc>
        <w:tc>
          <w:tcPr>
            <w:tcW w:w="1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Home equity lines of credit</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installment</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18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8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Geographic Location</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North Georgia</w:t>
            </w:r>
          </w:p>
        </w:tc>
        <w:tc>
          <w:tcPr>
            <w:tcW w:w="164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1,047,254</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1,096,974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Atlanta MSA</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1,476,624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1,398,657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North Carolina</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542,069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544,792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Coastal Georgia</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634,048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581,138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Gainesville MSA</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242,128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247,410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East Tennessee</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470,407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503,843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South Carolina</w:t>
            </w: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1,470,392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1,233,185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Commercial Banking Solutions</w:t>
            </w:r>
          </w:p>
        </w:tc>
        <w:tc>
          <w:tcPr>
            <w:tcW w:w="1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919,748</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855,283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Indirect Auto</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400,267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color w:val="auto"/>
              </w:rPr>
              <w:t>459,354</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18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loans</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7,202,937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6,920,636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South Carolina and Tennessee, including customers who have a seasonal residence in United’s market areas, or are generated by United’s Commercial Banking Solutions division (formerly referred to as Specialized Lending) that focuses on specific commercial loan businesses, such as SBA and franchise lending. More than 77% of the loans were secured by real estate. Total loans averaged $7.15 billion in the third quarter of 2017, compared with $6.68 billion in the third quarter of 2016, an increase of 7% which includes the acquisition of HCSB. At September 30, 2017, total loans were $7.20 billion, an increase of $282 million from December 31, 2016.</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both"/>
        <w:spacing w:after="0" w:line="257"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September 30, 2017 and December 31, 2016, the funded portion of home equity lines totaled $689 million and $655 million, respectively. Approximately 3% of the home equity lines at September 30, 2017 were amortizing. Of the $689 million in balances outstanding at September 30, 2017, $403 million, or 58%, were secured by first liens. At September 30, 2017, 55% of the total available home equity lines were drawn upon.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management reviews current valuations to determine if any charge-offs are warranted and whether it is in United’s best interest to pay off the first lien holder, in order to potentially limit losses on the second lien.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 of Directors approved portfolio limits, establishing credit policies and procedures and enforcing the consistent application of these policies and procedures among all lending units. Additional information on the credit administration function is included in Item 1 under the heading </w:t>
      </w:r>
      <w:r>
        <w:rPr>
          <w:rFonts w:ascii="Arial" w:cs="Arial" w:eastAsia="Arial" w:hAnsi="Arial"/>
          <w:sz w:val="17"/>
          <w:szCs w:val="17"/>
          <w:i w:val="1"/>
          <w:iCs w:val="1"/>
          <w:color w:val="auto"/>
        </w:rPr>
        <w:t>Loan Review and Nonperforming Assets</w:t>
      </w:r>
      <w:r>
        <w:rPr>
          <w:rFonts w:ascii="Arial" w:cs="Arial" w:eastAsia="Arial" w:hAnsi="Arial"/>
          <w:sz w:val="17"/>
          <w:szCs w:val="17"/>
          <w:color w:val="auto"/>
        </w:rPr>
        <w:t xml:space="preserve"> in United’s Annual Report on Form 10-K for the year ended December 31, 2016.</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“fail” when the loan is in bankruptcy or voluntary repossession.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Table 8 - Performing Classified Loans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jc w:val="right"/>
              <w:ind w:right="5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260" w:type="dxa"/>
            <w:vAlign w:val="bottom"/>
            <w:gridSpan w:val="2"/>
            <w:vMerge w:val="restart"/>
          </w:tcPr>
          <w:p>
            <w:pPr>
              <w:jc w:val="right"/>
              <w:ind w:right="420"/>
              <w:spacing w:after="0"/>
              <w:rPr>
                <w:sz w:val="20"/>
                <w:szCs w:val="20"/>
                <w:color w:val="auto"/>
              </w:rPr>
            </w:pPr>
            <w:r>
              <w:rPr>
                <w:rFonts w:ascii="Arial" w:cs="Arial" w:eastAsia="Arial" w:hAnsi="Arial"/>
                <w:sz w:val="18"/>
                <w:szCs w:val="18"/>
                <w:b w:val="1"/>
                <w:bCs w:val="1"/>
                <w:color w:val="auto"/>
                <w:w w:val="98"/>
              </w:rPr>
              <w:t>March 31,</w:t>
            </w:r>
          </w:p>
        </w:tc>
        <w:tc>
          <w:tcPr>
            <w:tcW w:w="142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3"/>
              </w:rPr>
              <w:t>December 31,</w:t>
            </w:r>
          </w:p>
        </w:tc>
        <w:tc>
          <w:tcPr>
            <w:tcW w:w="20" w:type="dxa"/>
            <w:vAlign w:val="bottom"/>
          </w:tcPr>
          <w:p>
            <w:pPr>
              <w:spacing w:after="0"/>
              <w:rPr>
                <w:sz w:val="20"/>
                <w:szCs w:val="20"/>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37,147</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34,427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41,536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42,169</w:t>
            </w:r>
          </w:p>
        </w:tc>
        <w:tc>
          <w:tcPr>
            <w:tcW w:w="260" w:type="dxa"/>
            <w:vAlign w:val="bottom"/>
            <w:gridSpan w:val="2"/>
          </w:tcPr>
          <w:p>
            <w:pPr>
              <w:jc w:val="right"/>
              <w:ind w:right="117"/>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producing commercial real estate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22,457</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24,143</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29,379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10,740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10,372</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8,903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10,047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8,564</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ind w:left="320"/>
              <w:spacing w:after="0"/>
              <w:rPr>
                <w:sz w:val="20"/>
                <w:szCs w:val="20"/>
                <w:color w:val="auto"/>
              </w:rPr>
            </w:pPr>
            <w:r>
              <w:rPr>
                <w:rFonts w:ascii="Arial" w:cs="Arial" w:eastAsia="Arial" w:hAnsi="Arial"/>
                <w:sz w:val="18"/>
                <w:szCs w:val="18"/>
                <w:color w:val="auto"/>
              </w:rPr>
              <w:t>Total commercial</w:t>
            </w: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68,939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84,615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89,291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92,487</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12,929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Home equity</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5,603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5,789</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5,060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4,930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Consumer installment</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627</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657</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100,486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22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108,839</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114,347</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30,049</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39,438</w:t>
            </w:r>
          </w:p>
        </w:tc>
        <w:tc>
          <w:tcPr>
            <w:tcW w:w="260" w:type="dxa"/>
            <w:vAlign w:val="bottom"/>
            <w:gridSpan w:val="2"/>
            <w:shd w:val="clear" w:color="auto" w:fill="CCEEFF"/>
          </w:tcPr>
          <w:p>
            <w:pPr>
              <w:jc w:val="right"/>
              <w:ind w:right="117"/>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Atlanta MSA</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9,936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10,384</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14,258</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17,954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10,022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Coastal Georgia</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6,957</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East Tennessee</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7,089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6,781</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7,485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21,763</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Commercial Banking Solutions</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723</w:t>
            </w:r>
          </w:p>
        </w:tc>
        <w:tc>
          <w:tcPr>
            <w:tcW w:w="1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Total loans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108,839</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121,626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2017, performing classified loans totaled $100 million and increased $8.74 million from the prior quarter-end, and decreased $21.1 million from a year ago. Performing classified loans reflect a general downward trend, offset by acquisition activity. The increase in performing classified loans in South Carolina in the third quarter of 2017 was attributable to the HCSB acquisition.</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United also has an internal loan review team which directly reviews the portfolio in conjunction with external loan review to ensure the objectivity of the loan review process.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68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Allowance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98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90"/>
              </w:rPr>
              <w:t>Three Months Ended September 30,</w:t>
            </w:r>
          </w:p>
        </w:tc>
        <w:tc>
          <w:tcPr>
            <w:tcW w:w="60" w:type="dxa"/>
            <w:vAlign w:val="bottom"/>
          </w:tcPr>
          <w:p>
            <w:pPr>
              <w:spacing w:after="0"/>
              <w:rPr>
                <w:sz w:val="20"/>
                <w:szCs w:val="20"/>
                <w:color w:val="auto"/>
              </w:rPr>
            </w:pPr>
          </w:p>
        </w:tc>
        <w:tc>
          <w:tcPr>
            <w:tcW w:w="2920" w:type="dxa"/>
            <w:vAlign w:val="bottom"/>
            <w:gridSpan w:val="7"/>
          </w:tcPr>
          <w:p>
            <w:pPr>
              <w:jc w:val="right"/>
              <w:ind w:right="12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49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19"/>
                <w:szCs w:val="19"/>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at beginning of period</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64,253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61,422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68,448</w:t>
            </w: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Charge-offs: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Owner occupied commercial real estate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1,929</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Income producing commercial real estate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2,335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788</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&amp; industrial</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1,645</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mortgage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Home equity lines of credit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1,216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1,513</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Residential construction</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475</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1,374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1,123</w:t>
            </w:r>
          </w:p>
        </w:tc>
      </w:tr>
      <w:tr>
        <w:trPr>
          <w:trHeight w:val="230"/>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Indirect auto</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w:t>
            </w:r>
          </w:p>
        </w:tc>
      </w:tr>
      <w:tr>
        <w:trPr>
          <w:trHeight w:val="210"/>
        </w:trPr>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loans charged-off</w:t>
            </w:r>
          </w:p>
        </w:tc>
        <w:tc>
          <w:tcPr>
            <w:tcW w:w="5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3,452</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2,964</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9,382</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9,650</w:t>
            </w:r>
          </w:p>
        </w:tc>
        <w:tc>
          <w:tcPr>
            <w:tcW w:w="160" w:type="dxa"/>
            <w:vAlign w:val="bottom"/>
            <w:tcBorders>
              <w:bottom w:val="single" w:sz="8" w:color="CCEEFF"/>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Owner occupied commercial real estate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605</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producing commercial real estate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1,302</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construction</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Home equity lines of credit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installment</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Indirect auto</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r>
      <w:tr>
        <w:trPr>
          <w:trHeight w:val="210"/>
        </w:trPr>
        <w:tc>
          <w:tcPr>
            <w:tcW w:w="49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recoveries</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4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charge-offs</w:t>
            </w:r>
          </w:p>
        </w:tc>
        <w:tc>
          <w:tcPr>
            <w:tcW w:w="5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4,937</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160" w:type="dxa"/>
            <w:vAlign w:val="bottom"/>
            <w:tcBorders>
              <w:bottom w:val="single" w:sz="8" w:color="CCEEFF"/>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(Release of) provision for loan losses</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r>
      <w:tr>
        <w:trPr>
          <w:trHeight w:val="263"/>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 at end of period</w:t>
            </w:r>
          </w:p>
        </w:tc>
        <w:tc>
          <w:tcPr>
            <w:tcW w:w="5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58,605</w:t>
            </w: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62,961</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58,605</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62,961</w:t>
            </w:r>
          </w:p>
        </w:tc>
        <w:tc>
          <w:tcPr>
            <w:tcW w:w="160" w:type="dxa"/>
            <w:vAlign w:val="bottom"/>
            <w:tcBorders>
              <w:bottom w:val="single" w:sz="8" w:color="CCEEFF"/>
            </w:tcBorders>
          </w:tcPr>
          <w:p>
            <w:pPr>
              <w:spacing w:after="0"/>
              <w:rPr>
                <w:sz w:val="22"/>
                <w:szCs w:val="22"/>
                <w:color w:val="auto"/>
              </w:rPr>
            </w:pPr>
          </w:p>
        </w:tc>
      </w:tr>
      <w:tr>
        <w:trPr>
          <w:trHeight w:val="197"/>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Allowance for unfunded commitments at beginning of period</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2,222</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2,369</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2,002</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2,542</w:t>
            </w:r>
          </w:p>
        </w:tc>
        <w:tc>
          <w:tcPr>
            <w:tcW w:w="160" w:type="dxa"/>
            <w:vAlign w:val="bottom"/>
            <w:shd w:val="clear" w:color="auto" w:fill="CCEEFF"/>
          </w:tcPr>
          <w:p>
            <w:pPr>
              <w:spacing w:after="0"/>
              <w:rPr>
                <w:sz w:val="17"/>
                <w:szCs w:val="17"/>
                <w:color w:val="auto"/>
              </w:rPr>
            </w:pPr>
          </w:p>
        </w:tc>
      </w:tr>
      <w:tr>
        <w:trPr>
          <w:trHeight w:val="230"/>
        </w:trPr>
        <w:tc>
          <w:tcPr>
            <w:tcW w:w="4960" w:type="dxa"/>
            <w:vAlign w:val="bottom"/>
          </w:tcPr>
          <w:p>
            <w:pPr>
              <w:ind w:left="180"/>
              <w:spacing w:after="0"/>
              <w:rPr>
                <w:sz w:val="20"/>
                <w:szCs w:val="20"/>
                <w:color w:val="auto"/>
              </w:rPr>
            </w:pPr>
            <w:r>
              <w:rPr>
                <w:rFonts w:ascii="Arial" w:cs="Arial" w:eastAsia="Arial" w:hAnsi="Arial"/>
                <w:sz w:val="18"/>
                <w:szCs w:val="18"/>
                <w:color w:val="auto"/>
              </w:rPr>
              <w:t>(Release of) provision for losses on unfunded commitments</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(540)</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unfunded commitments at end of period</w:t>
            </w:r>
          </w:p>
        </w:tc>
        <w:tc>
          <w:tcPr>
            <w:tcW w:w="5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60" w:type="dxa"/>
            <w:vAlign w:val="bottom"/>
            <w:tcBorders>
              <w:top w:val="single" w:sz="8" w:color="CCEEFF"/>
            </w:tcBorders>
            <w:shd w:val="clear" w:color="auto" w:fill="CCEEFF"/>
          </w:tcPr>
          <w:p>
            <w:pPr>
              <w:spacing w:after="0"/>
              <w:rPr>
                <w:sz w:val="18"/>
                <w:szCs w:val="18"/>
                <w:color w:val="auto"/>
              </w:rPr>
            </w:pPr>
          </w:p>
        </w:tc>
      </w:tr>
      <w:tr>
        <w:trPr>
          <w:trHeight w:val="263"/>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credit losses</w:t>
            </w:r>
          </w:p>
        </w:tc>
        <w:tc>
          <w:tcPr>
            <w:tcW w:w="5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61,087</w:t>
            </w:r>
          </w:p>
        </w:tc>
        <w:tc>
          <w:tcPr>
            <w:tcW w:w="2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64,963</w:t>
            </w:r>
          </w:p>
        </w:tc>
        <w:tc>
          <w:tcPr>
            <w:tcW w:w="2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61,087</w:t>
            </w: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64,963</w:t>
            </w:r>
          </w:p>
        </w:tc>
        <w:tc>
          <w:tcPr>
            <w:tcW w:w="160" w:type="dxa"/>
            <w:vAlign w:val="bottom"/>
            <w:tcBorders>
              <w:bottom w:val="single" w:sz="8" w:color="CCEEFF"/>
            </w:tcBorders>
          </w:tcPr>
          <w:p>
            <w:pPr>
              <w:spacing w:after="0"/>
              <w:rPr>
                <w:sz w:val="22"/>
                <w:szCs w:val="22"/>
                <w:color w:val="auto"/>
              </w:rPr>
            </w:pPr>
          </w:p>
        </w:tc>
      </w:tr>
      <w:tr>
        <w:trPr>
          <w:trHeight w:val="197"/>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loans:</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At period-end</w:t>
            </w:r>
          </w:p>
        </w:tc>
        <w:tc>
          <w:tcPr>
            <w:tcW w:w="760" w:type="dxa"/>
            <w:vAlign w:val="bottom"/>
            <w:gridSpan w:val="2"/>
          </w:tcPr>
          <w:p>
            <w:pPr>
              <w:jc w:val="right"/>
              <w:ind w:right="10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7,202,937</w:t>
            </w:r>
          </w:p>
        </w:tc>
        <w:tc>
          <w:tcPr>
            <w:tcW w:w="2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6,725,110</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7,202,937</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6,725,110</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Average</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7,149,348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6,675,328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7,011,962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6,277,972</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w w:val="99"/>
              </w:rPr>
              <w:t>Allowance for loan losses as a percentage of period-end loans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As a percentage of average loans (annualized):</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960" w:type="dxa"/>
            <w:vAlign w:val="bottom"/>
          </w:tcPr>
          <w:p>
            <w:pPr>
              <w:ind w:left="180"/>
              <w:spacing w:after="0"/>
              <w:rPr>
                <w:sz w:val="20"/>
                <w:szCs w:val="20"/>
                <w:color w:val="auto"/>
              </w:rPr>
            </w:pPr>
            <w:r>
              <w:rPr>
                <w:rFonts w:ascii="Arial" w:cs="Arial" w:eastAsia="Arial" w:hAnsi="Arial"/>
                <w:sz w:val="18"/>
                <w:szCs w:val="18"/>
                <w:color w:val="auto"/>
              </w:rPr>
              <w:t>Net charge-offs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r>
      <w:tr>
        <w:trPr>
          <w:trHeight w:val="216"/>
        </w:trPr>
        <w:tc>
          <w:tcPr>
            <w:tcW w:w="4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 of) provision for loan losses</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$61.1 million at September 30, 2017, compared with $63.4 million at December 31, 2016. At September 30, 2017, the allowance for loan losses was $58.6 million, or .81% of loans, compared with $61.4 million, or .89% of total loans, at December 31, 2016.</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believes that the allowance for credit losses at September 30, 2017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0"/>
        </w:trPr>
        <w:tc>
          <w:tcPr>
            <w:tcW w:w="62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Nonperforming Assets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20" w:type="dxa"/>
            <w:vAlign w:val="bottom"/>
            <w:gridSpan w:val="2"/>
          </w:tcPr>
          <w:p>
            <w:pPr>
              <w:spacing w:after="0"/>
              <w:rPr>
                <w:sz w:val="20"/>
                <w:szCs w:val="20"/>
                <w:color w:val="auto"/>
              </w:rPr>
            </w:pPr>
            <w:r>
              <w:rPr>
                <w:rFonts w:ascii="Arial" w:cs="Arial" w:eastAsia="Arial" w:hAnsi="Arial"/>
                <w:sz w:val="18"/>
                <w:szCs w:val="18"/>
                <w:color w:val="auto"/>
              </w:rPr>
              <w:t>The table below summarizes nonperforming assets.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20" w:type="dxa"/>
            <w:vAlign w:val="bottom"/>
            <w:gridSpan w:val="2"/>
          </w:tcPr>
          <w:p>
            <w:pPr>
              <w:ind w:left="660"/>
              <w:spacing w:after="0"/>
              <w:rPr>
                <w:sz w:val="20"/>
                <w:szCs w:val="20"/>
                <w:color w:val="auto"/>
              </w:rPr>
            </w:pPr>
            <w:r>
              <w:rPr>
                <w:rFonts w:ascii="Arial" w:cs="Arial" w:eastAsia="Arial" w:hAnsi="Arial"/>
                <w:sz w:val="18"/>
                <w:szCs w:val="18"/>
                <w:b w:val="1"/>
                <w:bCs w:val="1"/>
                <w:color w:val="auto"/>
              </w:rPr>
              <w:t>Table 10 - Nonperforming Assets</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220" w:type="dxa"/>
            <w:vAlign w:val="bottom"/>
            <w:gridSpan w:val="2"/>
          </w:tcPr>
          <w:p>
            <w:pPr>
              <w:ind w:left="660"/>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2320" w:type="dxa"/>
            <w:vAlign w:val="bottom"/>
            <w:gridSpan w:val="4"/>
          </w:tcPr>
          <w:p>
            <w:pPr>
              <w:ind w:left="10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4"/>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556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Foreclosed properties (OREO)</w:t>
            </w: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2,736</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7,949</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5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nonperforming assets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660"/>
              <w:spacing w:after="0"/>
              <w:rPr>
                <w:sz w:val="20"/>
                <w:szCs w:val="20"/>
                <w:color w:val="auto"/>
              </w:rPr>
            </w:pPr>
            <w:r>
              <w:rPr>
                <w:rFonts w:ascii="Arial" w:cs="Arial" w:eastAsia="Arial" w:hAnsi="Arial"/>
                <w:sz w:val="18"/>
                <w:szCs w:val="18"/>
                <w:color w:val="auto"/>
              </w:rPr>
              <w:t>Nonperforming loans as a percentage of total loans</w:t>
            </w:r>
          </w:p>
        </w:tc>
        <w:tc>
          <w:tcPr>
            <w:tcW w:w="1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as a percentage of total loans and OREO</w:t>
            </w: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Nonperforming assets as a percentage of total assets</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 September 30, 2017, nonperforming loans were $22.9 million compared to $21.5 million at December 31, 2016. Nonperforming assets, which include nonperforming loans and foreclosed real estate, totaled $25.7 million at September 30, 2017 and $29.5 million at December 31, 2016.</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applied to reduce the loan’s recorded investment.</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covered loan loss provision or future period yield adjustments. The accrual of interest is discontinued on PCI loans if management can no longer reliably estimate future cash flows on the loan. No PCI loans were classified as nonaccrual at September 30, 2017 or December 31, 2016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nonperforming assets by category and market as of the dates indicated.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Table 11 - Nonperforming Assets by Category and Market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89"/>
              </w:rPr>
              <w:t>September 30, 2017</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90"/>
              </w:rPr>
              <w:t>December 31, 2016</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89"/>
              </w:rPr>
              <w:t>Nonaccrual</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300"/>
              <w:spacing w:after="0" w:line="205" w:lineRule="exact"/>
              <w:rPr>
                <w:sz w:val="20"/>
                <w:szCs w:val="20"/>
                <w:color w:val="auto"/>
              </w:rPr>
            </w:pPr>
            <w:r>
              <w:rPr>
                <w:rFonts w:ascii="Arial" w:cs="Arial" w:eastAsia="Arial" w:hAnsi="Arial"/>
                <w:sz w:val="18"/>
                <w:szCs w:val="18"/>
                <w:b w:val="1"/>
                <w:bCs w:val="1"/>
                <w:color w:val="auto"/>
                <w:w w:val="85"/>
              </w:rPr>
              <w:t>Foreclosed</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00"/>
              <w:spacing w:after="0" w:line="205" w:lineRule="exact"/>
              <w:rPr>
                <w:sz w:val="20"/>
                <w:szCs w:val="20"/>
                <w:color w:val="auto"/>
              </w:rPr>
            </w:pPr>
            <w:r>
              <w:rPr>
                <w:rFonts w:ascii="Arial" w:cs="Arial" w:eastAsia="Arial" w:hAnsi="Arial"/>
                <w:sz w:val="18"/>
                <w:szCs w:val="18"/>
                <w:b w:val="1"/>
                <w:bCs w:val="1"/>
                <w:color w:val="auto"/>
                <w:w w:val="91"/>
              </w:rPr>
              <w:t>Nonaccrual</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right w:val="single" w:sz="8" w:color="auto"/>
            </w:tcBorders>
            <w:gridSpan w:val="2"/>
          </w:tcPr>
          <w:p>
            <w:pPr>
              <w:jc w:val="center"/>
              <w:ind w:right="280"/>
              <w:spacing w:after="0" w:line="205" w:lineRule="exact"/>
              <w:rPr>
                <w:sz w:val="20"/>
                <w:szCs w:val="20"/>
                <w:color w:val="auto"/>
              </w:rPr>
            </w:pPr>
            <w:r>
              <w:rPr>
                <w:rFonts w:ascii="Arial" w:cs="Arial" w:eastAsia="Arial" w:hAnsi="Arial"/>
                <w:sz w:val="18"/>
                <w:szCs w:val="18"/>
                <w:b w:val="1"/>
                <w:bCs w:val="1"/>
                <w:color w:val="auto"/>
                <w:w w:val="85"/>
              </w:rPr>
              <w:t>Foreclosed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Loans</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Borders>
              <w:right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7"/>
              </w:rPr>
              <w:t>Properties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Loans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Properties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BY CATEGORY</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w w:val="99"/>
              </w:rPr>
              <w:t>Owner occupied commercial real</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estate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5,027</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5,791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7,373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3,145</w:t>
            </w:r>
          </w:p>
        </w:tc>
        <w:tc>
          <w:tcPr>
            <w:tcW w:w="80" w:type="dxa"/>
            <w:vAlign w:val="bottom"/>
          </w:tcPr>
          <w:p>
            <w:pPr>
              <w:spacing w:after="0"/>
              <w:rPr>
                <w:sz w:val="20"/>
                <w:szCs w:val="20"/>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10,518</w:t>
            </w: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producing commercial</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1,360</w:t>
            </w:r>
          </w:p>
        </w:tc>
        <w:tc>
          <w:tcPr>
            <w:tcW w:w="100" w:type="dxa"/>
            <w:vAlign w:val="bottom"/>
            <w:tcBorders>
              <w:right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2,378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966</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Commercial construction</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4,515</w:t>
            </w:r>
          </w:p>
        </w:tc>
        <w:tc>
          <w:tcPr>
            <w:tcW w:w="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6,158</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17,359</w:t>
            </w: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8,559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7,628</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1,898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2,093</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1,831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531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2,362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776</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Consumer installment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NPAs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22,921</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4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25,657</w:t>
            </w:r>
          </w:p>
        </w:tc>
        <w:tc>
          <w:tcPr>
            <w:tcW w:w="120" w:type="dxa"/>
            <w:vAlign w:val="bottom"/>
            <w:tcBorders>
              <w:bottom w:val="single" w:sz="8" w:color="CCEEFF"/>
              <w:right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29,488</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North Georgia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6,707</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856</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6,134</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Atlanta MSA</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1,098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716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1,975</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5,382</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Coastal Georgia</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2,532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1,778</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Gainesville MSA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East Tennessee</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1,734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2,354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675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3,029</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7,564</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Commercial Banking Solutions</w:t>
            </w:r>
          </w:p>
        </w:tc>
        <w:tc>
          <w:tcPr>
            <w:tcW w:w="14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2,429</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2,072</w:t>
            </w: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Indirect auto</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1,275</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w:t>
            </w:r>
          </w:p>
        </w:tc>
        <w:tc>
          <w:tcPr>
            <w:tcW w:w="100" w:type="dxa"/>
            <w:vAlign w:val="bottom"/>
            <w:tcBorders>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160"/>
              <w:spacing w:after="0"/>
              <w:rPr>
                <w:sz w:val="20"/>
                <w:szCs w:val="20"/>
                <w:color w:val="auto"/>
              </w:rPr>
            </w:pPr>
            <w:r>
              <w:rPr>
                <w:rFonts w:ascii="Arial" w:cs="Arial" w:eastAsia="Arial" w:hAnsi="Arial"/>
                <w:sz w:val="18"/>
                <w:szCs w:val="18"/>
                <w:b w:val="1"/>
                <w:bCs w:val="1"/>
                <w:color w:val="auto"/>
              </w:rPr>
              <w:t>Total NPAs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22,921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25,657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29,488</w:t>
            </w:r>
          </w:p>
        </w:tc>
        <w:tc>
          <w:tcPr>
            <w:tcW w:w="20" w:type="dxa"/>
            <w:vAlign w:val="bottom"/>
            <w:tcBorders>
              <w:bottom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activity in nonperforming assets for the periods indicated.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4" w:right="21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b w:val="1"/>
          <w:bCs w:val="1"/>
          <w:color w:val="auto"/>
        </w:rPr>
        <w:t>Table 12 - Activity in Nonperforming Assets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 thousands)</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6"/>
              </w:rPr>
              <w:t>Third Quarter 2017</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7"/>
          </w:tcPr>
          <w:p>
            <w:pPr>
              <w:ind w:left="1040"/>
              <w:spacing w:after="0"/>
              <w:rPr>
                <w:sz w:val="20"/>
                <w:szCs w:val="20"/>
                <w:color w:val="auto"/>
              </w:rPr>
            </w:pPr>
            <w:r>
              <w:rPr>
                <w:rFonts w:ascii="Arial" w:cs="Arial" w:eastAsia="Arial" w:hAnsi="Arial"/>
                <w:sz w:val="18"/>
                <w:szCs w:val="18"/>
                <w:b w:val="1"/>
                <w:bCs w:val="1"/>
                <w:color w:val="auto"/>
                <w:w w:val="94"/>
              </w:rPr>
              <w:t>Third Quarter 2016</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90"/>
              <w:spacing w:after="0" w:line="205" w:lineRule="exact"/>
              <w:rPr>
                <w:sz w:val="20"/>
                <w:szCs w:val="20"/>
                <w:color w:val="auto"/>
              </w:rPr>
            </w:pPr>
            <w:r>
              <w:rPr>
                <w:rFonts w:ascii="Arial" w:cs="Arial" w:eastAsia="Arial" w:hAnsi="Arial"/>
                <w:sz w:val="18"/>
                <w:szCs w:val="18"/>
                <w:b w:val="1"/>
                <w:bCs w:val="1"/>
                <w:color w:val="auto"/>
                <w:w w:val="91"/>
              </w:rPr>
              <w:t>Nonaccrual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85"/>
              </w:rPr>
              <w:t>Foreclosed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1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91"/>
              </w:rPr>
              <w:t>Nonaccrual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89"/>
              </w:rPr>
              <w:t>Foreclosed</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290"/>
              <w:spacing w:after="0" w:line="205" w:lineRule="exact"/>
              <w:rPr>
                <w:sz w:val="20"/>
                <w:szCs w:val="20"/>
                <w:color w:val="auto"/>
              </w:rPr>
            </w:pPr>
            <w:r>
              <w:rPr>
                <w:rFonts w:ascii="Arial" w:cs="Arial" w:eastAsia="Arial" w:hAnsi="Arial"/>
                <w:sz w:val="18"/>
                <w:szCs w:val="18"/>
                <w:b w:val="1"/>
                <w:bCs w:val="1"/>
                <w:color w:val="auto"/>
              </w:rPr>
              <w:t>Total</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Properties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rPr>
              <w:t>NPAs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4"/>
              </w:rPr>
              <w:t>Properties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23,095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Loans placed on non-accrual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7,964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Payments received</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(3,938)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Loan charge-offs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Foreclosures</w:t>
            </w: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(1,282)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Capitalized costs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Property sales</w:t>
            </w:r>
          </w:p>
        </w:tc>
        <w:tc>
          <w:tcPr>
            <w:tcW w:w="10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(6,553)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Net gains on sales</w:t>
            </w:r>
          </w:p>
        </w:tc>
        <w:tc>
          <w:tcPr>
            <w:tcW w:w="100" w:type="dxa"/>
            <w:vAlign w:val="bottom"/>
          </w:tcPr>
          <w:p>
            <w:pPr>
              <w:spacing w:after="0"/>
              <w:rPr>
                <w:sz w:val="19"/>
                <w:szCs w:val="19"/>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30,759</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8"/>
          </w:tcPr>
          <w:p>
            <w:pPr>
              <w:jc w:val="center"/>
              <w:ind w:left="670"/>
              <w:spacing w:after="0"/>
              <w:rPr>
                <w:sz w:val="20"/>
                <w:szCs w:val="20"/>
                <w:color w:val="auto"/>
              </w:rPr>
            </w:pPr>
            <w:r>
              <w:rPr>
                <w:rFonts w:ascii="Arial" w:cs="Arial" w:eastAsia="Arial" w:hAnsi="Arial"/>
                <w:sz w:val="18"/>
                <w:szCs w:val="18"/>
                <w:b w:val="1"/>
                <w:bCs w:val="1"/>
                <w:color w:val="auto"/>
                <w:w w:val="92"/>
              </w:rPr>
              <w:t>First Nine Months of 2017</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First Nine Months 2016</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line="205" w:lineRule="exact"/>
              <w:rPr>
                <w:sz w:val="20"/>
                <w:szCs w:val="20"/>
                <w:color w:val="auto"/>
              </w:rPr>
            </w:pPr>
            <w:r>
              <w:rPr>
                <w:rFonts w:ascii="Arial" w:cs="Arial" w:eastAsia="Arial" w:hAnsi="Arial"/>
                <w:sz w:val="18"/>
                <w:szCs w:val="18"/>
                <w:b w:val="1"/>
                <w:bCs w:val="1"/>
                <w:color w:val="auto"/>
                <w:w w:val="91"/>
              </w:rPr>
              <w:t>Nonaccrual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60"/>
              <w:spacing w:after="0" w:line="205" w:lineRule="exact"/>
              <w:rPr>
                <w:sz w:val="20"/>
                <w:szCs w:val="20"/>
                <w:color w:val="auto"/>
              </w:rPr>
            </w:pPr>
            <w:r>
              <w:rPr>
                <w:rFonts w:ascii="Arial" w:cs="Arial" w:eastAsia="Arial" w:hAnsi="Arial"/>
                <w:sz w:val="18"/>
                <w:szCs w:val="18"/>
                <w:b w:val="1"/>
                <w:bCs w:val="1"/>
                <w:color w:val="auto"/>
                <w:w w:val="85"/>
              </w:rPr>
              <w:t>Foreclosed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ind w:right="31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91"/>
              </w:rPr>
              <w:t>Nonaccrual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260"/>
              <w:spacing w:after="0" w:line="205" w:lineRule="exact"/>
              <w:rPr>
                <w:sz w:val="20"/>
                <w:szCs w:val="20"/>
                <w:color w:val="auto"/>
              </w:rPr>
            </w:pPr>
            <w:r>
              <w:rPr>
                <w:rFonts w:ascii="Arial" w:cs="Arial" w:eastAsia="Arial" w:hAnsi="Arial"/>
                <w:sz w:val="18"/>
                <w:szCs w:val="18"/>
                <w:b w:val="1"/>
                <w:bCs w:val="1"/>
                <w:color w:val="auto"/>
                <w:w w:val="89"/>
              </w:rPr>
              <w:t>Foreclosed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290"/>
              <w:spacing w:after="0" w:line="205" w:lineRule="exact"/>
              <w:rPr>
                <w:sz w:val="20"/>
                <w:szCs w:val="20"/>
                <w:color w:val="auto"/>
              </w:rPr>
            </w:pPr>
            <w:r>
              <w:rPr>
                <w:rFonts w:ascii="Arial" w:cs="Arial" w:eastAsia="Arial" w:hAnsi="Arial"/>
                <w:sz w:val="18"/>
                <w:szCs w:val="18"/>
                <w:b w:val="1"/>
                <w:bCs w:val="1"/>
                <w:color w:val="auto"/>
              </w:rPr>
              <w:t>Total</w:t>
            </w: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Properties</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b w:val="1"/>
                <w:bCs w:val="1"/>
                <w:color w:val="auto"/>
                <w:w w:val="99"/>
              </w:rPr>
              <w:t>NPAs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Loans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w w:val="94"/>
              </w:rPr>
              <w:t>Properties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22,653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Acquisitions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805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6,998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Loans placed on non-accrual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Payments received</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(11,193)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(9,951)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Loan charge-offs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Foreclosures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(1,676)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6,647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Capitalized costs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Note / property sales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(7,076)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(7,076)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(9,501)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Write downs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Net gains on sales</w:t>
            </w: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12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21,572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9,187</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30,759</w:t>
            </w:r>
          </w:p>
        </w:tc>
        <w:tc>
          <w:tcPr>
            <w:tcW w:w="10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6"/>
          <w:szCs w:val="16"/>
          <w:i w:val="1"/>
          <w:iCs w:val="1"/>
          <w:color w:val="auto"/>
        </w:rPr>
        <w:t>Real Estate Sales</w:t>
      </w:r>
      <w:r>
        <w:rPr>
          <w:rFonts w:ascii="Arial" w:cs="Arial" w:eastAsia="Arial" w:hAnsi="Arial"/>
          <w:sz w:val="16"/>
          <w:szCs w:val="16"/>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Impaired Loans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2017 and December 31, 2016, United had $65.2 million and $73.2 million, respectively, in loans with terms that have been modified in TDRs. Included therein were $5.65 million and $5.35 million, respectively, of TDRs that were classified as nonaccrual and were included in nonperforming loans. The remaining TDRs with an aggregate balance of $59.6 million and $67.8 million, respectively, were performing according to their modified terms and are therefore not considered to be nonperforming assets.</w:t>
      </w:r>
    </w:p>
    <w:p>
      <w:pPr>
        <w:spacing w:after="0" w:line="18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September 30, 2017 and December 31, 2016, there were $83.6 million and $85.7 million, respectively, of loans classified as impaired under the definition outlined in the Accounting Standards Codification, including TDRs which are by definition considered impaired. Included in impaired loans at September 30, 2017 and December 31, 2016 was $29.2 million and $28.3 million, respectively, that did not require specific reserves or had previously been charged down to net realizable value. The balance of impaired loans at September 30, 2017 and December 31, 2016 of $54.4 million and $57.4 million, respectively, had specific reserves that totaled $4.44 million and $3.45 million, respectively. The average recorded investment in impaired loans for the third quarters of 2017 and 2016 was $84.2 million and $93.0 million, respectively. For the nine months ended September 30, 2017 and 2016, the average recorded investment in impaired loans was $84.2 million and $92.0 million, respectively. For the three and nine months ended September 30, 2017, United recognized $931,000 and $2.89 million in interest revenue on impaired loans compared to $1.13 million and $3.26 million, respectively, for the same periods of the prior year.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2017 and December 31, 2016, United had securities held-to-maturity with a carrying amount of $307 million and $330 million, respectively, and securities available-for-sale totaling $2.54 billion and $2.43 billion, respectively. At September 30, 2017 and December 31, 2016, the securities portfolio represented approximately 26% of total assets.</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September 30, 2017 primarily reflect the effect of changes in interest rates. United did not recognize any other than temporary impairment losses on its investment securities during the third quarter of 2017 or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2017 and December 31, 2016, 16% and 22%, respectively, of the securities portfolio was invested in floating-rate securities or fixed-rate securities that were swapped to floating rates in order to manage exposure to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Core Deposit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Core deposit intangibles, representing the value of acquired deposit relationships,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Total customer deposits, excluding brokered deposits, as of September 30, 2017 were $8.76 billion, compared to $8.31 billion at December 31, 2016. Total core transaction deposits (demand, NOW, money market and savings deposits, excluding public funds deposits) of $6.45 billion at September 30, 2017 increased $532 million since December 31, 2016, partly due to the HCSB acquisition. United’s high level of service, as evidenced by its strong customer satisfaction scores, has been instrumental in attracting and retaining core transaction deposit accounts.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$494 million and $709 million, respectively, as of September 30, 2017 and December 31, 2016. United anticipates continued use of this short and long-term source of funds. Additional information regarding FHLB advances is provided in Note 13 to the consolidated financial statements included in United’s Annual Report on Form 10-K for the year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112" w:gutter="0" w:footer="0" w:header="0"/>
        </w:sectPr>
      </w:pPr>
    </w:p>
    <w:bookmarkStart w:id="62" w:name="page63"/>
    <w:bookmarkEnd w:id="62"/>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14 to the consolidated financial statements for additional information on off-balance sheet arrangements.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from 100 to 400 basis points or decrease 100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Historically low rates on September 30, 2016 made use of the down scenarios irrelevant. The following table presents United’s interest sensitivity position at the dates indicated.</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Table 13 - Interest Sensitivity</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60" w:type="dxa"/>
            <w:vAlign w:val="bottom"/>
            <w:gridSpan w:val="10"/>
          </w:tcPr>
          <w:p>
            <w:pPr>
              <w:jc w:val="center"/>
              <w:ind w:right="160"/>
              <w:spacing w:after="0"/>
              <w:rPr>
                <w:sz w:val="20"/>
                <w:szCs w:val="20"/>
                <w:color w:val="auto"/>
              </w:rPr>
            </w:pPr>
            <w:r>
              <w:rPr>
                <w:rFonts w:ascii="Arial" w:cs="Arial" w:eastAsia="Arial" w:hAnsi="Arial"/>
                <w:sz w:val="18"/>
                <w:szCs w:val="18"/>
                <w:b w:val="1"/>
                <w:bCs w:val="1"/>
                <w:color w:val="auto"/>
                <w:w w:val="89"/>
              </w:rPr>
              <w:t>Increase (Decrease) in Net Interest Revenue from Base Scenario at</w:t>
            </w:r>
          </w:p>
        </w:tc>
      </w:tr>
      <w:tr>
        <w:trPr>
          <w:trHeight w:val="234"/>
        </w:trPr>
        <w:tc>
          <w:tcPr>
            <w:tcW w:w="3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8"/>
                <w:szCs w:val="18"/>
                <w:b w:val="1"/>
                <w:bCs w:val="1"/>
                <w:color w:val="auto"/>
                <w:w w:val="89"/>
              </w:rPr>
              <w:t>September 30,</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68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Change in Rates</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Shock</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Ramp</w:t>
            </w:r>
          </w:p>
        </w:tc>
        <w:tc>
          <w:tcPr>
            <w:tcW w:w="2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Shock</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Ramp</w:t>
            </w:r>
          </w:p>
        </w:tc>
        <w:tc>
          <w:tcPr>
            <w:tcW w:w="160" w:type="dxa"/>
            <w:vAlign w:val="bottom"/>
            <w:tcBorders>
              <w:bottom w:val="single" w:sz="8" w:color="CCEEFF"/>
            </w:tcBorders>
          </w:tcPr>
          <w:p>
            <w:pPr>
              <w:spacing w:after="0"/>
              <w:rPr>
                <w:sz w:val="19"/>
                <w:szCs w:val="19"/>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increase</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87"/>
              </w:rPr>
              <w:t>0.0%</w:t>
            </w:r>
          </w:p>
        </w:tc>
      </w:tr>
      <w:tr>
        <w:trPr>
          <w:trHeight w:val="230"/>
        </w:trPr>
        <w:tc>
          <w:tcPr>
            <w:tcW w:w="3760" w:type="dxa"/>
            <w:vAlign w:val="bottom"/>
            <w:gridSpan w:val="2"/>
          </w:tcPr>
          <w:p>
            <w:pPr>
              <w:spacing w:after="0"/>
              <w:rPr>
                <w:sz w:val="20"/>
                <w:szCs w:val="20"/>
                <w:color w:val="auto"/>
              </w:rPr>
            </w:pPr>
            <w:r>
              <w:rPr>
                <w:rFonts w:ascii="Arial" w:cs="Arial" w:eastAsia="Arial" w:hAnsi="Arial"/>
                <w:sz w:val="18"/>
                <w:szCs w:val="18"/>
                <w:color w:val="auto"/>
              </w:rPr>
              <w:t>100 basis point decrease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1540" w:type="dxa"/>
            <w:vAlign w:val="bottom"/>
            <w:gridSpan w:val="3"/>
          </w:tcPr>
          <w:p>
            <w:pPr>
              <w:ind w:left="88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n/a</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jc w:val="both"/>
        <w:spacing w:after="0" w:line="273" w:lineRule="auto"/>
        <w:rPr>
          <w:sz w:val="20"/>
          <w:szCs w:val="20"/>
          <w:color w:val="auto"/>
        </w:rPr>
      </w:pPr>
      <w:r>
        <w:rPr>
          <w:rFonts w:ascii="Arial" w:cs="Arial" w:eastAsia="Arial" w:hAnsi="Arial"/>
          <w:sz w:val="17"/>
          <w:szCs w:val="17"/>
          <w:color w:val="auto"/>
        </w:rPr>
        <w:t>Management uses derivative financial instruments to assist in the management of interest rate sensitivity.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 interest rate caps that fix the maximum amount of interest paid on a variable rate borrowing and interest rate floors that fix the minimum amount of interest received for floating rate loans. In addition to derivative instruments, management uses a variety of balance sheet instruments to manage interest rate risk such as investment securities, wholesale funding, and bank-issued deposits.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hedging positions when conditions change and the position is no longer necessary to manage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United expects that $545,000 will be reclassified as an increase to interest expense from other comprehensive income over the next twelve months related to these terminated cash flow hedges.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systemic and combined scenarios for both moderate and severe events. 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United maintains an unencumbered liquid asset reserve to help ensure its ability to meet its obligations under normal conditions for at least a 12-month period and under severely adverse liquidity conditions for a minimum of 30 days.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 The Bank also maintains excess funds in short-term interest-bearing assets that provide additional liquidity.</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because United’s holding company is a separate entity and apart from the Bank, it must provide for its own liquidity. United’s holding company is responsible for the payment of dividends declared for its common shareholders, and interest and principal on any outstanding debt or trust preferred securities. United’s holding company currently has internal capital resources to meet these obligations. While United’s holding company has access to the capital markets, the ultimate source of holding company liquidity is subsidiary service fees and dividends from the Bank, which are limited by applicable law and regulations.</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September 30, 2017, United had cash and cash equivalent balances of $247 million and had sufficient qualifying collateral to increase FHLB advances by $834 million and Federal Reserve discount window borrowing capacity of $1.17 billion. United also has the ability to raise substantial funds through brokered deposits. In addition to these wholesale sources, United has the ability to attract retail deposits by competing more aggressively on pricing.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4" w:name="page65"/>
    <w:bookmarkEnd w:id="64"/>
    <w:p>
      <w:pPr>
        <w:jc w:val="both"/>
        <w:spacing w:after="0" w:line="287" w:lineRule="auto"/>
        <w:rPr>
          <w:sz w:val="20"/>
          <w:szCs w:val="20"/>
          <w:color w:val="auto"/>
        </w:rPr>
      </w:pPr>
      <w:r>
        <w:rPr>
          <w:rFonts w:ascii="Arial" w:cs="Arial" w:eastAsia="Arial" w:hAnsi="Arial"/>
          <w:sz w:val="16"/>
          <w:szCs w:val="16"/>
          <w:color w:val="auto"/>
        </w:rPr>
        <w:t>As disclosed in the consolidated statement of cash flows, net cash provided by operating activities was $147 million for the nine months ended September 30, 2017. Net income of $79.7 million for the nine month period included deferred income tax expense of $51.8 million, and non-cash expenses for the following: depreciation, amortization and accretion of $20.1 million and stock-based compensation expense of $4.36 million. Other sources of cash from operating activities included a decrease in other assets and accrued interest receivable of $4.11 million. These sources of cash from operating activities were offset by a decrease in accrued expenses and other liabilities of $8.38 million. Net cash used in investing activities of $198,000 consisted primarily of a $57.3 million net increase in loans, purchases of investment securities available-for-sale totaling $710 million and purchases of investment securities held-to-maturity of $21.6 million. These uses of cash were partially offset by $44.9 million in proceeds from maturities and calls of investment securities held-to-maturity, $276 million in proceeds from the sale of investment securities available-for-sale and $466 million in proceeds from maturities and calls of investment securities available-for-sale. Net cash used in financing activities of $117 million consisted primarily of a net decrease in FHLB advances of $239 million, repayment of long-term debt of $40.0 million, and $18.7 million in dividends to common shareholders, partially offset by a net increase in deposits of $172 million. In the opinion of management, United’s liquidity position at September 30, 2017, was sufficient to meet its expected cash flow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Shareholders’ equity at September 30, 2017 was $1.22 billion, an increase of $145 million from December 31, 2016 due to year-to-date earnings less dividends declared, stock issued for the HCSB acquisition, an increase in the value of available-for-sale securities and the release of the disproportionate tax effect related to terminated cash flow hedges.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w:t>
      </w:r>
    </w:p>
    <w:p>
      <w:pPr>
        <w:spacing w:after="0" w:line="1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following table shows United’s capital ratios, as calculated under applicable regulatory guidelines, at September 30, 2017 and December 31, 2016. As of September 30, 2017, capital levels remained characterized as “well-capitalized” under the Basel III Capital Rules in effect at the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4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Basel III Guidelines</w:t>
            </w:r>
          </w:p>
        </w:tc>
        <w:tc>
          <w:tcPr>
            <w:tcW w:w="60" w:type="dxa"/>
            <w:vAlign w:val="bottom"/>
          </w:tcPr>
          <w:p>
            <w:pPr>
              <w:spacing w:after="0"/>
              <w:rPr>
                <w:sz w:val="14"/>
                <w:szCs w:val="14"/>
                <w:color w:val="auto"/>
              </w:rPr>
            </w:pPr>
          </w:p>
        </w:tc>
        <w:tc>
          <w:tcPr>
            <w:tcW w:w="226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5"/>
              </w:rPr>
              <w:t>United Community Banks, Inc.</w:t>
            </w:r>
          </w:p>
        </w:tc>
        <w:tc>
          <w:tcPr>
            <w:tcW w:w="160" w:type="dxa"/>
            <w:vAlign w:val="bottom"/>
          </w:tcPr>
          <w:p>
            <w:pPr>
              <w:spacing w:after="0"/>
              <w:rPr>
                <w:sz w:val="14"/>
                <w:szCs w:val="14"/>
                <w:color w:val="auto"/>
              </w:rPr>
            </w:pPr>
          </w:p>
        </w:tc>
        <w:tc>
          <w:tcPr>
            <w:tcW w:w="2000" w:type="dxa"/>
            <w:vAlign w:val="bottom"/>
            <w:gridSpan w:val="5"/>
            <w:vMerge w:val="restart"/>
          </w:tcPr>
          <w:p>
            <w:pPr>
              <w:jc w:val="right"/>
              <w:ind w:right="360"/>
              <w:spacing w:after="0"/>
              <w:rPr>
                <w:sz w:val="20"/>
                <w:szCs w:val="20"/>
                <w:color w:val="auto"/>
              </w:rPr>
            </w:pPr>
            <w:r>
              <w:rPr>
                <w:rFonts w:ascii="Arial" w:cs="Arial" w:eastAsia="Arial" w:hAnsi="Arial"/>
                <w:sz w:val="14"/>
                <w:szCs w:val="14"/>
                <w:b w:val="1"/>
                <w:bCs w:val="1"/>
                <w:color w:val="auto"/>
                <w:w w:val="99"/>
              </w:rPr>
              <w:t>United Community Bank</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4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20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248"/>
              <w:spacing w:after="0" w:line="133" w:lineRule="exact"/>
              <w:rPr>
                <w:sz w:val="20"/>
                <w:szCs w:val="20"/>
                <w:color w:val="auto"/>
              </w:rPr>
            </w:pPr>
            <w:r>
              <w:rPr>
                <w:rFonts w:ascii="Arial" w:cs="Arial" w:eastAsia="Arial" w:hAnsi="Arial"/>
                <w:sz w:val="14"/>
                <w:szCs w:val="14"/>
                <w:b w:val="1"/>
                <w:bCs w:val="1"/>
                <w:color w:val="auto"/>
              </w:rPr>
              <w:t>Well</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Borders>
              <w:top w:val="single" w:sz="8" w:color="auto"/>
            </w:tcBorders>
            <w:gridSpan w:val="3"/>
          </w:tcPr>
          <w:p>
            <w:pPr>
              <w:spacing w:after="0" w:line="133" w:lineRule="exact"/>
              <w:rPr>
                <w:sz w:val="20"/>
                <w:szCs w:val="20"/>
                <w:color w:val="auto"/>
              </w:rPr>
            </w:pPr>
            <w:r>
              <w:rPr>
                <w:rFonts w:ascii="Arial" w:cs="Arial" w:eastAsia="Arial" w:hAnsi="Arial"/>
                <w:sz w:val="14"/>
                <w:szCs w:val="14"/>
                <w:b w:val="1"/>
                <w:bCs w:val="1"/>
                <w:color w:val="auto"/>
              </w:rPr>
              <w:t>September 30,</w:t>
            </w: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4"/>
              </w:rPr>
              <w:t>December 31,</w:t>
            </w:r>
          </w:p>
        </w:tc>
        <w:tc>
          <w:tcPr>
            <w:tcW w:w="240" w:type="dxa"/>
            <w:vAlign w:val="bottom"/>
          </w:tcPr>
          <w:p>
            <w:pPr>
              <w:spacing w:after="0"/>
              <w:rPr>
                <w:sz w:val="11"/>
                <w:szCs w:val="11"/>
                <w:color w:val="auto"/>
              </w:rPr>
            </w:pPr>
          </w:p>
        </w:tc>
        <w:tc>
          <w:tcPr>
            <w:tcW w:w="114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September 30,</w:t>
            </w:r>
          </w:p>
        </w:tc>
        <w:tc>
          <w:tcPr>
            <w:tcW w:w="90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Minimum</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Capitalized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Risk-based ratios: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Common equity tier 1 capital</w:t>
            </w: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4.5%</w:t>
            </w:r>
          </w:p>
        </w:tc>
        <w:tc>
          <w:tcPr>
            <w:tcW w:w="10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6.5%</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11.23%</w:t>
            </w:r>
          </w:p>
        </w:tc>
        <w:tc>
          <w:tcPr>
            <w:tcW w:w="16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12.67%</w:t>
            </w:r>
          </w:p>
        </w:tc>
        <w:tc>
          <w:tcPr>
            <w:tcW w:w="16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Tier I capital</w:t>
            </w:r>
          </w:p>
        </w:tc>
        <w:tc>
          <w:tcPr>
            <w:tcW w:w="11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6.0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11.23</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12.67</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Total capital</w:t>
            </w: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8.0</w:t>
            </w: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13.02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12.04</w:t>
            </w: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13.43</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Leverage ratio</w:t>
            </w:r>
          </w:p>
        </w:tc>
        <w:tc>
          <w:tcPr>
            <w:tcW w:w="11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4.0</w:t>
            </w: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8.54</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9.61</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equity tier 1 capital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993,706</w:t>
            </w:r>
          </w:p>
        </w:tc>
        <w:tc>
          <w:tcPr>
            <w:tcW w:w="22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874,452</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1,028,893</w:t>
            </w:r>
          </w:p>
        </w:tc>
        <w:tc>
          <w:tcPr>
            <w:tcW w:w="160" w:type="dxa"/>
            <w:vAlign w:val="bottom"/>
            <w:shd w:val="clear" w:color="auto" w:fill="CCEEFF"/>
          </w:tcPr>
          <w:p>
            <w:pPr>
              <w:jc w:val="right"/>
              <w:ind w:right="38"/>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984,529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line="149" w:lineRule="exact"/>
              <w:rPr>
                <w:sz w:val="20"/>
                <w:szCs w:val="20"/>
                <w:color w:val="auto"/>
              </w:rPr>
            </w:pPr>
            <w:r>
              <w:rPr>
                <w:rFonts w:ascii="Arial" w:cs="Arial" w:eastAsia="Arial" w:hAnsi="Arial"/>
                <w:sz w:val="14"/>
                <w:szCs w:val="14"/>
                <w:color w:val="auto"/>
              </w:rPr>
              <w:t>Tier I capital</w:t>
            </w: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997,883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874,452</w:t>
            </w: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1,028,893</w:t>
            </w: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984,529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capital</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1,058,970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937,876</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1,089,980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1,047,953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Risk-weighted assets</w:t>
            </w: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8,134,417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7,789,089</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8,118,459</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7,775,352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20"/>
                <w:szCs w:val="20"/>
                <w:color w:val="auto"/>
              </w:rPr>
            </w:pPr>
            <w:r>
              <w:rPr>
                <w:rFonts w:ascii="Arial" w:cs="Arial" w:eastAsia="Arial" w:hAnsi="Arial"/>
                <w:sz w:val="14"/>
                <w:szCs w:val="14"/>
                <w:color w:val="auto"/>
              </w:rPr>
              <w:t>Average total assets</w:t>
            </w: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10,726,624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10,236,868</w:t>
            </w:r>
          </w:p>
        </w:tc>
        <w:tc>
          <w:tcPr>
            <w:tcW w:w="16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10,710,987</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10,221,318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2017 and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Stock Price Information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0"/>
                <w:szCs w:val="10"/>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0"/>
                <w:szCs w:val="10"/>
                <w:color w:val="auto"/>
              </w:rPr>
            </w:pPr>
          </w:p>
        </w:tc>
        <w:tc>
          <w:tcPr>
            <w:tcW w:w="9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Close</w:t>
            </w:r>
          </w:p>
        </w:tc>
        <w:tc>
          <w:tcPr>
            <w:tcW w:w="800" w:type="dxa"/>
            <w:vAlign w:val="bottom"/>
          </w:tcPr>
          <w:p>
            <w:pPr>
              <w:jc w:val="right"/>
              <w:ind w:right="29"/>
              <w:spacing w:after="0" w:line="119" w:lineRule="exact"/>
              <w:rPr>
                <w:sz w:val="20"/>
                <w:szCs w:val="20"/>
                <w:color w:val="auto"/>
              </w:rPr>
            </w:pPr>
            <w:r>
              <w:rPr>
                <w:rFonts w:ascii="Arial" w:cs="Arial" w:eastAsia="Arial" w:hAnsi="Arial"/>
                <w:sz w:val="13"/>
                <w:szCs w:val="13"/>
                <w:b w:val="1"/>
                <w:bCs w:val="1"/>
                <w:color w:val="auto"/>
              </w:rPr>
              <w:t>Avg Daily</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Close</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Avg Daily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Volume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quarter</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30.47</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25.29</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27.69</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459,018</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19.27</w:t>
            </w: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15.74</w:t>
            </w:r>
          </w:p>
        </w:tc>
        <w:tc>
          <w:tcPr>
            <w:tcW w:w="2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18.47</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440,759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line="149" w:lineRule="exact"/>
              <w:rPr>
                <w:sz w:val="20"/>
                <w:szCs w:val="20"/>
                <w:color w:val="auto"/>
              </w:rPr>
            </w:pPr>
            <w:r>
              <w:rPr>
                <w:rFonts w:ascii="Arial" w:cs="Arial" w:eastAsia="Arial" w:hAnsi="Arial"/>
                <w:sz w:val="14"/>
                <w:szCs w:val="14"/>
                <w:color w:val="auto"/>
              </w:rPr>
              <w:t>Second quarter</w:t>
            </w: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28.57</w:t>
            </w:r>
          </w:p>
        </w:tc>
        <w:tc>
          <w:tcPr>
            <w:tcW w:w="18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25.39</w:t>
            </w:r>
          </w:p>
        </w:tc>
        <w:tc>
          <w:tcPr>
            <w:tcW w:w="16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27.80</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402,802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20.60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17.07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18.29</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771,334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Third quarter</w:t>
            </w: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29.02</w:t>
            </w:r>
          </w:p>
        </w:tc>
        <w:tc>
          <w:tcPr>
            <w:tcW w:w="1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24.47</w:t>
            </w:r>
          </w:p>
        </w:tc>
        <w:tc>
          <w:tcPr>
            <w:tcW w:w="1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28.54</w:t>
            </w: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365,102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21.13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21.02</w:t>
            </w: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379,492</w:t>
            </w:r>
          </w:p>
        </w:tc>
        <w:tc>
          <w:tcPr>
            <w:tcW w:w="0" w:type="dxa"/>
            <w:vAlign w:val="bottom"/>
          </w:tcPr>
          <w:p>
            <w:pPr>
              <w:spacing w:after="0"/>
              <w:rPr>
                <w:sz w:val="1"/>
                <w:szCs w:val="1"/>
                <w:color w:val="auto"/>
              </w:rPr>
            </w:pPr>
          </w:p>
        </w:tc>
      </w:tr>
      <w:tr>
        <w:trPr>
          <w:trHeight w:val="218"/>
        </w:trPr>
        <w:tc>
          <w:tcPr>
            <w:tcW w:w="3340" w:type="dxa"/>
            <w:vAlign w:val="bottom"/>
            <w:gridSpan w:val="2"/>
          </w:tcPr>
          <w:p>
            <w:pPr>
              <w:spacing w:after="0"/>
              <w:rPr>
                <w:sz w:val="20"/>
                <w:szCs w:val="20"/>
                <w:color w:val="auto"/>
              </w:rPr>
            </w:pPr>
            <w:r>
              <w:rPr>
                <w:rFonts w:ascii="Arial" w:cs="Arial" w:eastAsia="Arial" w:hAnsi="Arial"/>
                <w:sz w:val="14"/>
                <w:szCs w:val="14"/>
                <w:color w:val="auto"/>
              </w:rPr>
              <w:t>Fourth quarter</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30.22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29.62</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532,944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market risk as of September 30, 2017 from that presented in the Annual Report on Form 10-K for the year ended December 31, 2016. The interest rate sensitivity position at September 30, 2017 is included in management’s discussion and analysis on page 59 of this report.</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September 30, 2017.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6" w:name="page67"/>
    <w:bookmarkEnd w:id="66"/>
    <w:p>
      <w:pPr>
        <w:spacing w:after="0"/>
        <w:tabs>
          <w:tab w:leader="none" w:pos="96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22, 2016, United announced that its Board of Directors had authorized a program to repurchase up to $50 million of United’s outstanding common stock through December 31, 2017. Under the program, the shares may be repurchased periodically in open market transactions at prevailing market prices, in privately negotiated transactions, or by other means in accordance with federal securities laws. The actual timing, number and value of shares repurchased under the program depends on a number of factors, including the market price of United’s common stock, general market and economic conditions, and applicable legal requirements. As of September 30, 2017, the remaining authorization was $36.3 million. In November of 2017, the Board of Directors extended this program through December 31,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for shares repurchased during the third quarter of 2017.</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Maximum Number (or</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 Purchased</w:t>
            </w:r>
          </w:p>
        </w:tc>
        <w:tc>
          <w:tcPr>
            <w:tcW w:w="22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2"/>
              </w:rPr>
              <w:t>Approximate Dollar Value)</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as Part of Publicly</w:t>
            </w:r>
          </w:p>
        </w:tc>
        <w:tc>
          <w:tcPr>
            <w:tcW w:w="80" w:type="dxa"/>
            <w:vAlign w:val="bottom"/>
          </w:tcPr>
          <w:p>
            <w:pPr>
              <w:spacing w:after="0"/>
              <w:rPr>
                <w:sz w:val="18"/>
                <w:szCs w:val="18"/>
                <w:color w:val="auto"/>
              </w:rPr>
            </w:pPr>
          </w:p>
        </w:tc>
        <w:tc>
          <w:tcPr>
            <w:tcW w:w="21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of Shares that May Yet Be</w:t>
            </w: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(Dollars in thousands, except for per share</w:t>
            </w: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Price Paid</w:t>
            </w: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Under the</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amounts)</w:t>
            </w:r>
          </w:p>
        </w:tc>
        <w:tc>
          <w:tcPr>
            <w:tcW w:w="3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Purchased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per Share</w:t>
            </w:r>
          </w:p>
        </w:tc>
        <w:tc>
          <w:tcPr>
            <w:tcW w:w="10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Plans or Programs</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July 1, 2017 - July 31, 2017</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gridSpan w:val="3"/>
          </w:tcPr>
          <w:p>
            <w:pPr>
              <w:spacing w:after="0"/>
              <w:rPr>
                <w:sz w:val="20"/>
                <w:szCs w:val="20"/>
                <w:color w:val="auto"/>
              </w:rPr>
            </w:pPr>
            <w:r>
              <w:rPr>
                <w:rFonts w:ascii="Arial" w:cs="Arial" w:eastAsia="Arial" w:hAnsi="Arial"/>
                <w:sz w:val="18"/>
                <w:szCs w:val="18"/>
                <w:color w:val="auto"/>
              </w:rPr>
              <w:t>August 1, 2017 - August 31, 2017</w:t>
            </w:r>
          </w:p>
        </w:tc>
        <w:tc>
          <w:tcPr>
            <w:tcW w:w="1040" w:type="dxa"/>
            <w:vAlign w:val="bottom"/>
          </w:tcPr>
          <w:p>
            <w:pPr>
              <w:spacing w:after="0"/>
              <w:rPr>
                <w:sz w:val="18"/>
                <w:szCs w:val="18"/>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2"/>
          </w:tcPr>
          <w:p>
            <w:pPr>
              <w:jc w:val="right"/>
              <w:ind w:right="100"/>
              <w:spacing w:after="0"/>
              <w:rPr>
                <w:sz w:val="20"/>
                <w:szCs w:val="20"/>
                <w:color w:val="auto"/>
              </w:rPr>
            </w:pPr>
            <w:r>
              <w:rPr>
                <w:rFonts w:ascii="Arial" w:cs="Arial" w:eastAsia="Arial" w:hAnsi="Arial"/>
                <w:sz w:val="18"/>
                <w:szCs w:val="18"/>
                <w:color w:val="auto"/>
              </w:rPr>
              <w:t>36,342</w:t>
            </w:r>
          </w:p>
        </w:tc>
        <w:tc>
          <w:tcPr>
            <w:tcW w:w="0" w:type="dxa"/>
            <w:vAlign w:val="bottom"/>
          </w:tcPr>
          <w:p>
            <w:pPr>
              <w:spacing w:after="0"/>
              <w:rPr>
                <w:sz w:val="1"/>
                <w:szCs w:val="1"/>
                <w:color w:val="auto"/>
              </w:rPr>
            </w:pPr>
          </w:p>
        </w:tc>
      </w:tr>
      <w:tr>
        <w:trPr>
          <w:trHeight w:val="230"/>
        </w:trPr>
        <w:tc>
          <w:tcPr>
            <w:tcW w:w="4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1, 2017 - September 30, 2017</w:t>
            </w:r>
          </w:p>
        </w:tc>
        <w:tc>
          <w:tcPr>
            <w:tcW w:w="104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36,342</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Total</w:t>
            </w:r>
          </w:p>
        </w:tc>
        <w:tc>
          <w:tcPr>
            <w:tcW w:w="3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Item 3.</w:t>
            </w:r>
          </w:p>
        </w:tc>
        <w:tc>
          <w:tcPr>
            <w:tcW w:w="4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Defaults upon Senior Securities – None</w:t>
            </w: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0" w:type="dxa"/>
            <w:vAlign w:val="bottom"/>
            <w:vMerge w:val="continue"/>
          </w:tcPr>
          <w:p>
            <w:pPr>
              <w:spacing w:after="0"/>
              <w:rPr>
                <w:sz w:val="24"/>
                <w:szCs w:val="24"/>
                <w:color w:val="auto"/>
              </w:rPr>
            </w:pPr>
          </w:p>
        </w:tc>
        <w:tc>
          <w:tcPr>
            <w:tcW w:w="40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020" w:type="dxa"/>
            <w:vAlign w:val="bottom"/>
            <w:gridSpan w:val="2"/>
          </w:tcPr>
          <w:p>
            <w:pPr>
              <w:ind w:left="140"/>
              <w:spacing w:after="0"/>
              <w:rPr>
                <w:sz w:val="20"/>
                <w:szCs w:val="20"/>
                <w:color w:val="auto"/>
              </w:rPr>
            </w:pPr>
            <w:r>
              <w:rPr>
                <w:rFonts w:ascii="Arial" w:cs="Arial" w:eastAsia="Arial" w:hAnsi="Arial"/>
                <w:sz w:val="18"/>
                <w:szCs w:val="18"/>
                <w:b w:val="1"/>
                <w:bCs w:val="1"/>
                <w:color w:val="auto"/>
              </w:rPr>
              <w:t>Mine Safety Disclosures – None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02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Information – None</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300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w:t>
            </w:r>
          </w:p>
        </w:tc>
        <w:tc>
          <w:tcPr>
            <w:tcW w:w="7660" w:type="dxa"/>
            <w:vAlign w:val="bottom"/>
          </w:tcPr>
          <w:p>
            <w:pPr>
              <w:spacing w:after="0"/>
              <w:rPr>
                <w:sz w:val="20"/>
                <w:szCs w:val="20"/>
                <w:color w:val="auto"/>
              </w:rPr>
            </w:pPr>
          </w:p>
        </w:tc>
      </w:tr>
      <w:tr>
        <w:trPr>
          <w:trHeight w:val="432"/>
        </w:trPr>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ind w:left="2140"/>
              <w:spacing w:after="0"/>
              <w:rPr>
                <w:sz w:val="20"/>
                <w:szCs w:val="20"/>
                <w:color w:val="auto"/>
              </w:rPr>
            </w:pPr>
            <w:r>
              <w:rPr>
                <w:rFonts w:ascii="Arial" w:cs="Arial" w:eastAsia="Arial" w:hAnsi="Arial"/>
                <w:sz w:val="18"/>
                <w:szCs w:val="18"/>
                <w:b w:val="1"/>
                <w:bCs w:val="1"/>
                <w:color w:val="auto"/>
              </w:rPr>
              <w:t>Description</w:t>
            </w:r>
          </w:p>
        </w:tc>
      </w:tr>
    </w:tbl>
    <w:p>
      <w:pPr>
        <w:spacing w:after="0" w:line="202" w:lineRule="exact"/>
        <w:rPr>
          <w:sz w:val="20"/>
          <w:szCs w:val="20"/>
          <w:color w:val="auto"/>
        </w:rPr>
      </w:pPr>
    </w:p>
    <w:p>
      <w:pPr>
        <w:ind w:left="1280" w:hanging="431"/>
        <w:spacing w:after="0" w:line="277"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31.1 Certification by Jimmy C. Tallent, Chairman and Chief Executive Officer of United Community Banks, Inc., pursuant to Exchange Act</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Rules 13a-14(a) and 15d-14(a), as adopted pursuant to Section 302 of the Sarbanes-Oxley Act of 2002.</w:t>
        </w:r>
      </w:hyperlink>
    </w:p>
    <w:p>
      <w:pPr>
        <w:spacing w:after="0" w:line="170" w:lineRule="exact"/>
        <w:rPr>
          <w:sz w:val="20"/>
          <w:szCs w:val="20"/>
          <w:color w:val="auto"/>
        </w:rPr>
      </w:pPr>
    </w:p>
    <w:p>
      <w:pPr>
        <w:ind w:left="1280" w:hanging="431"/>
        <w:spacing w:after="0" w:line="308" w:lineRule="auto"/>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31.2 Certification by Jefferson L. Harralson, Executive Vice President and Chief Financial Officer of United Community Banks, Inc., pursuant to</w:t>
        </w:r>
      </w:hyperlink>
      <w:r>
        <w:rPr>
          <w:rFonts w:ascii="Arial" w:cs="Arial" w:eastAsia="Arial" w:hAnsi="Arial"/>
          <w:sz w:val="17"/>
          <w:szCs w:val="17"/>
          <w:u w:val="single" w:color="auto"/>
          <w:color w:val="0000EE"/>
        </w:rPr>
        <w:t xml:space="preserve"> </w:t>
      </w:r>
      <w:hyperlink w:anchor="page71">
        <w:r>
          <w:rPr>
            <w:rFonts w:ascii="Arial" w:cs="Arial" w:eastAsia="Arial" w:hAnsi="Arial"/>
            <w:sz w:val="17"/>
            <w:szCs w:val="17"/>
            <w:u w:val="single" w:color="auto"/>
            <w:color w:val="0000EE"/>
          </w:rPr>
          <w:t>Exchange Act Rules 13a-14(a) and 15d-14(a), as adopted pursuant to Section 302 of the Sarbanes-Oxley Act of 2002.</w:t>
        </w:r>
      </w:hyperlink>
    </w:p>
    <w:p>
      <w:pPr>
        <w:spacing w:after="0" w:line="147" w:lineRule="exact"/>
        <w:rPr>
          <w:sz w:val="20"/>
          <w:szCs w:val="20"/>
          <w:color w:val="auto"/>
        </w:rPr>
      </w:pPr>
    </w:p>
    <w:p>
      <w:pPr>
        <w:ind w:left="560" w:right="1440" w:firstLine="416"/>
        <w:spacing w:after="0" w:line="501" w:lineRule="auto"/>
        <w:tabs>
          <w:tab w:leader="none" w:pos="1282" w:val="left"/>
        </w:tabs>
        <w:numPr>
          <w:ilvl w:val="0"/>
          <w:numId w:val="12"/>
        </w:numPr>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Certification pursuant to 18 U.S.C. Section 1350, as adopted pursuant to Section 906 of the Sarbanes-Oxley Act of 2002.</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101.INS XBRL Instance Document</w:t>
      </w:r>
    </w:p>
    <w:p>
      <w:pPr>
        <w:ind w:left="500"/>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101.LAB  XBRL Taxonomy Extension Label Linkbase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60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2752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b w:val="1"/>
          <w:bCs w:val="1"/>
          <w:i w:val="1"/>
          <w:iCs w:val="1"/>
          <w:color w:val="auto"/>
        </w:rPr>
        <w:t>/s/ Jefferson L. Harralson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27527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2752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Accounting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November 3,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277" w:lineRule="auto"/>
        <w:tabs>
          <w:tab w:leader="none" w:pos="2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86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September 30, 2017 filed with the Securities and Exchange Commission on the date hereof (the “Report”), I, Jimmy C. Tallent, Chairman and Chief Executive Officer of United, and I, Jefferson L. Harralson, Executive Vice President and Chief Financial Officer of United, certify, pursuant to 18 U.S.C. Section 1350, as adopted pursuant to Section 906 of the Sarbanes-Oxley Act of 2002, that:</w:t>
      </w:r>
    </w:p>
    <w:p>
      <w:pPr>
        <w:spacing w:after="0" w:line="18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00" w:lineRule="exact"/>
        <w:rPr>
          <w:sz w:val="20"/>
          <w:szCs w:val="20"/>
          <w:color w:val="auto"/>
        </w:rPr>
      </w:pPr>
    </w:p>
    <w:p>
      <w:pPr>
        <w:spacing w:after="0" w:line="253"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Chairman and Chief Executive Officer</w:t>
      </w:r>
    </w:p>
    <w:p>
      <w:pPr>
        <w:spacing w:after="0" w:line="211" w:lineRule="exact"/>
        <w:rPr>
          <w:sz w:val="20"/>
          <w:szCs w:val="20"/>
          <w:color w:val="auto"/>
        </w:rPr>
      </w:pPr>
    </w:p>
    <w:p>
      <w:pPr>
        <w:ind w:left="5720"/>
        <w:spacing w:after="0"/>
        <w:tabs>
          <w:tab w:leader="none" w:pos="6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Jefferson L. Harralson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-130810</wp:posOffset>
            </wp:positionV>
            <wp:extent cx="25298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Executive Vice President and Chief Financial Officer</w:t>
      </w:r>
    </w:p>
    <w:p>
      <w:pPr>
        <w:spacing w:after="0" w:line="211" w:lineRule="exact"/>
        <w:rPr>
          <w:sz w:val="20"/>
          <w:szCs w:val="20"/>
          <w:color w:val="auto"/>
        </w:rPr>
      </w:pPr>
    </w:p>
    <w:p>
      <w:pPr>
        <w:ind w:left="5720"/>
        <w:spacing w:after="0"/>
        <w:tabs>
          <w:tab w:leader="none" w:pos="6280" w:val="left"/>
        </w:tabs>
        <w:rPr>
          <w:sz w:val="20"/>
          <w:szCs w:val="20"/>
          <w:color w:val="auto"/>
        </w:rPr>
      </w:pPr>
      <w:r>
        <w:rPr>
          <w:rFonts w:ascii="Arial" w:cs="Arial" w:eastAsia="Arial" w:hAnsi="Arial"/>
          <w:sz w:val="18"/>
          <w:szCs w:val="18"/>
          <w:color w:val="auto"/>
        </w:rPr>
        <w:t>Date:</w:t>
        <w:tab/>
        <w:t>November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7"/>
    </w:lvl>
  </w:abstractNum>
  <w:abstractNum w:abstractNumId="6">
    <w:nsid w:val="1F16E9E8"/>
    <w:multiLevelType w:val="hybridMultilevel"/>
    <w:lvl w:ilvl="0">
      <w:lvlJc w:val="left"/>
      <w:lvlText w:val="(%1)"/>
      <w:numFmt w:val="decimal"/>
      <w:start w:val="495"/>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32"/>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2019-12-29T03:31:36Z</dcterms:created>
  <dcterms:modified xsi:type="dcterms:W3CDTF">2019-12-29T03:31:36Z</dcterms:modified>
</cp:coreProperties>
</file>