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203200</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228600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112395</wp:posOffset>
            </wp:positionV>
            <wp:extent cx="15144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124460</wp:posOffset>
            </wp:positionV>
            <wp:extent cx="1514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69"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June 30, 2012</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07" w:lineRule="exact"/>
        <w:rPr>
          <w:sz w:val="24"/>
          <w:szCs w:val="24"/>
          <w:color w:val="auto"/>
        </w:rPr>
      </w:pPr>
    </w:p>
    <w:p>
      <w:pPr>
        <w:ind w:left="460" w:hanging="453"/>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87"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3747770</wp:posOffset>
            </wp:positionH>
            <wp:positionV relativeFrom="paragraph">
              <wp:posOffset>-3810</wp:posOffset>
            </wp:positionV>
            <wp:extent cx="1253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001-35095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123190</wp:posOffset>
            </wp:positionV>
            <wp:extent cx="1514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COMMUNITY BANKS,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118745</wp:posOffset>
            </wp:positionV>
            <wp:extent cx="1514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74" w:lineRule="exact"/>
        <w:rPr>
          <w:sz w:val="24"/>
          <w:szCs w:val="24"/>
          <w:color w:val="auto"/>
        </w:rPr>
      </w:pPr>
    </w:p>
    <w:tbl>
      <w:tblPr>
        <w:tblLayout w:type="fixed"/>
        <w:tblInd w:w="1800" w:type="dxa"/>
        <w:tblCellMar>
          <w:top w:w="0" w:type="dxa"/>
          <w:left w:w="0" w:type="dxa"/>
          <w:bottom w:w="0" w:type="dxa"/>
          <w:right w:w="0" w:type="dxa"/>
        </w:tblCellMar>
      </w:tblPr>
      <w:tr>
        <w:trPr>
          <w:trHeight w:val="216"/>
        </w:trPr>
        <w:tc>
          <w:tcPr>
            <w:tcW w:w="2760" w:type="dxa"/>
            <w:vAlign w:val="bottom"/>
          </w:tcPr>
          <w:p>
            <w:pPr>
              <w:jc w:val="center"/>
              <w:ind w:right="481"/>
              <w:spacing w:after="0"/>
              <w:rPr>
                <w:sz w:val="20"/>
                <w:szCs w:val="20"/>
                <w:color w:val="auto"/>
              </w:rPr>
            </w:pPr>
            <w:r>
              <w:rPr>
                <w:rFonts w:ascii="Arial" w:cs="Arial" w:eastAsia="Arial" w:hAnsi="Arial"/>
                <w:sz w:val="17"/>
                <w:szCs w:val="17"/>
                <w:b w:val="1"/>
                <w:bCs w:val="1"/>
                <w:color w:val="auto"/>
                <w:w w:val="93"/>
              </w:rPr>
              <w:t>Georgia</w:t>
            </w:r>
          </w:p>
        </w:tc>
        <w:tc>
          <w:tcPr>
            <w:tcW w:w="4620" w:type="dxa"/>
            <w:vAlign w:val="bottom"/>
          </w:tcPr>
          <w:p>
            <w:pPr>
              <w:jc w:val="right"/>
              <w:ind w:right="24"/>
              <w:spacing w:after="0"/>
              <w:rPr>
                <w:sz w:val="20"/>
                <w:szCs w:val="20"/>
                <w:color w:val="auto"/>
              </w:rPr>
            </w:pPr>
            <w:r>
              <w:rPr>
                <w:rFonts w:ascii="Arial" w:cs="Arial" w:eastAsia="Arial" w:hAnsi="Arial"/>
                <w:sz w:val="17"/>
                <w:szCs w:val="17"/>
                <w:b w:val="1"/>
                <w:bCs w:val="1"/>
                <w:color w:val="auto"/>
              </w:rPr>
              <w:t>58-1807304</w:t>
            </w:r>
          </w:p>
        </w:tc>
      </w:tr>
      <w:tr>
        <w:trPr>
          <w:trHeight w:val="147"/>
        </w:trPr>
        <w:tc>
          <w:tcPr>
            <w:tcW w:w="2760" w:type="dxa"/>
            <w:vAlign w:val="bottom"/>
          </w:tcPr>
          <w:p>
            <w:pPr>
              <w:jc w:val="center"/>
              <w:ind w:right="481"/>
              <w:spacing w:after="0" w:line="148" w:lineRule="exact"/>
              <w:rPr>
                <w:sz w:val="20"/>
                <w:szCs w:val="20"/>
                <w:color w:val="auto"/>
              </w:rPr>
            </w:pPr>
            <w:r>
              <w:rPr>
                <w:rFonts w:ascii="Arial" w:cs="Arial" w:eastAsia="Arial" w:hAnsi="Arial"/>
                <w:sz w:val="13"/>
                <w:szCs w:val="13"/>
                <w:b w:val="1"/>
                <w:bCs w:val="1"/>
                <w:color w:val="auto"/>
                <w:w w:val="94"/>
              </w:rPr>
              <w:t>(State of Incorporation)</w:t>
            </w:r>
          </w:p>
        </w:tc>
        <w:tc>
          <w:tcPr>
            <w:tcW w:w="4620" w:type="dxa"/>
            <w:vAlign w:val="bottom"/>
          </w:tcPr>
          <w:p>
            <w:pPr>
              <w:jc w:val="center"/>
              <w:ind w:left="3504"/>
              <w:spacing w:after="0" w:line="148" w:lineRule="exact"/>
              <w:rPr>
                <w:sz w:val="20"/>
                <w:szCs w:val="20"/>
                <w:color w:val="auto"/>
              </w:rPr>
            </w:pPr>
            <w:r>
              <w:rPr>
                <w:rFonts w:ascii="Arial" w:cs="Arial" w:eastAsia="Arial" w:hAnsi="Arial"/>
                <w:sz w:val="13"/>
                <w:szCs w:val="13"/>
                <w:b w:val="1"/>
                <w:bCs w:val="1"/>
                <w:color w:val="auto"/>
                <w:w w:val="96"/>
              </w:rPr>
              <w:t>(I.R.S. Employer</w:t>
            </w:r>
          </w:p>
        </w:tc>
      </w:tr>
      <w:tr>
        <w:trPr>
          <w:trHeight w:val="173"/>
        </w:trPr>
        <w:tc>
          <w:tcPr>
            <w:tcW w:w="2760" w:type="dxa"/>
            <w:vAlign w:val="bottom"/>
          </w:tcPr>
          <w:p>
            <w:pPr>
              <w:spacing w:after="0"/>
              <w:rPr>
                <w:sz w:val="15"/>
                <w:szCs w:val="15"/>
                <w:color w:val="auto"/>
              </w:rPr>
            </w:pPr>
          </w:p>
        </w:tc>
        <w:tc>
          <w:tcPr>
            <w:tcW w:w="4620" w:type="dxa"/>
            <w:vAlign w:val="bottom"/>
          </w:tcPr>
          <w:p>
            <w:pPr>
              <w:jc w:val="center"/>
              <w:ind w:left="3484"/>
              <w:spacing w:after="0"/>
              <w:rPr>
                <w:sz w:val="20"/>
                <w:szCs w:val="20"/>
                <w:color w:val="auto"/>
              </w:rPr>
            </w:pPr>
            <w:r>
              <w:rPr>
                <w:rFonts w:ascii="Arial" w:cs="Arial" w:eastAsia="Arial" w:hAnsi="Arial"/>
                <w:sz w:val="13"/>
                <w:szCs w:val="13"/>
                <w:b w:val="1"/>
                <w:bCs w:val="1"/>
                <w:color w:val="auto"/>
                <w:w w:val="96"/>
              </w:rPr>
              <w:t>Identification No.)</w:t>
            </w:r>
          </w:p>
        </w:tc>
      </w:tr>
      <w:tr>
        <w:trPr>
          <w:trHeight w:val="401"/>
        </w:trPr>
        <w:tc>
          <w:tcPr>
            <w:tcW w:w="2760" w:type="dxa"/>
            <w:vAlign w:val="bottom"/>
          </w:tcPr>
          <w:p>
            <w:pPr>
              <w:jc w:val="center"/>
              <w:ind w:right="501"/>
              <w:spacing w:after="0"/>
              <w:rPr>
                <w:sz w:val="20"/>
                <w:szCs w:val="20"/>
                <w:color w:val="auto"/>
              </w:rPr>
            </w:pPr>
            <w:r>
              <w:rPr>
                <w:rFonts w:ascii="Arial" w:cs="Arial" w:eastAsia="Arial" w:hAnsi="Arial"/>
                <w:sz w:val="17"/>
                <w:szCs w:val="17"/>
                <w:b w:val="1"/>
                <w:bCs w:val="1"/>
                <w:color w:val="auto"/>
                <w:w w:val="93"/>
              </w:rPr>
              <w:t>125 Highway 515 East</w:t>
            </w:r>
          </w:p>
        </w:tc>
        <w:tc>
          <w:tcPr>
            <w:tcW w:w="4620" w:type="dxa"/>
            <w:vAlign w:val="bottom"/>
          </w:tcPr>
          <w:p>
            <w:pPr>
              <w:spacing w:after="0"/>
              <w:rPr>
                <w:sz w:val="24"/>
                <w:szCs w:val="24"/>
                <w:color w:val="auto"/>
              </w:rPr>
            </w:pPr>
          </w:p>
        </w:tc>
      </w:tr>
      <w:tr>
        <w:trPr>
          <w:trHeight w:val="229"/>
        </w:trPr>
        <w:tc>
          <w:tcPr>
            <w:tcW w:w="2760" w:type="dxa"/>
            <w:vAlign w:val="bottom"/>
          </w:tcPr>
          <w:p>
            <w:pPr>
              <w:jc w:val="center"/>
              <w:ind w:right="481"/>
              <w:spacing w:after="0"/>
              <w:rPr>
                <w:sz w:val="20"/>
                <w:szCs w:val="20"/>
                <w:color w:val="auto"/>
              </w:rPr>
            </w:pPr>
            <w:r>
              <w:rPr>
                <w:rFonts w:ascii="Arial" w:cs="Arial" w:eastAsia="Arial" w:hAnsi="Arial"/>
                <w:sz w:val="17"/>
                <w:szCs w:val="17"/>
                <w:b w:val="1"/>
                <w:bCs w:val="1"/>
                <w:color w:val="auto"/>
                <w:w w:val="93"/>
              </w:rPr>
              <w:t>Blairsville, Georgia</w:t>
            </w:r>
          </w:p>
        </w:tc>
        <w:tc>
          <w:tcPr>
            <w:tcW w:w="4620" w:type="dxa"/>
            <w:vAlign w:val="bottom"/>
          </w:tcPr>
          <w:p>
            <w:pPr>
              <w:jc w:val="right"/>
              <w:ind w:right="224"/>
              <w:spacing w:after="0"/>
              <w:rPr>
                <w:sz w:val="20"/>
                <w:szCs w:val="20"/>
                <w:color w:val="auto"/>
              </w:rPr>
            </w:pPr>
            <w:r>
              <w:rPr>
                <w:rFonts w:ascii="Arial" w:cs="Arial" w:eastAsia="Arial" w:hAnsi="Arial"/>
                <w:sz w:val="17"/>
                <w:szCs w:val="17"/>
                <w:b w:val="1"/>
                <w:bCs w:val="1"/>
                <w:color w:val="auto"/>
              </w:rPr>
              <w:t>30512</w:t>
            </w:r>
          </w:p>
        </w:tc>
      </w:tr>
      <w:tr>
        <w:trPr>
          <w:trHeight w:val="173"/>
        </w:trPr>
        <w:tc>
          <w:tcPr>
            <w:tcW w:w="2760" w:type="dxa"/>
            <w:vAlign w:val="bottom"/>
          </w:tcPr>
          <w:p>
            <w:pPr>
              <w:jc w:val="center"/>
              <w:ind w:right="481"/>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4620" w:type="dxa"/>
            <w:vAlign w:val="bottom"/>
          </w:tcPr>
          <w:p>
            <w:pPr>
              <w:jc w:val="center"/>
              <w:ind w:left="3484"/>
              <w:spacing w:after="0"/>
              <w:rPr>
                <w:sz w:val="20"/>
                <w:szCs w:val="20"/>
                <w:color w:val="auto"/>
              </w:rPr>
            </w:pPr>
            <w:r>
              <w:rPr>
                <w:rFonts w:ascii="Arial" w:cs="Arial" w:eastAsia="Arial" w:hAnsi="Arial"/>
                <w:sz w:val="13"/>
                <w:szCs w:val="13"/>
                <w:b w:val="1"/>
                <w:bCs w:val="1"/>
                <w:color w:val="auto"/>
                <w:w w:val="96"/>
              </w:rPr>
              <w:t>(Zip Code)</w:t>
            </w:r>
          </w:p>
        </w:tc>
      </w:tr>
      <w:tr>
        <w:trPr>
          <w:trHeight w:val="349"/>
        </w:trPr>
        <w:tc>
          <w:tcPr>
            <w:tcW w:w="2760" w:type="dxa"/>
            <w:vAlign w:val="bottom"/>
          </w:tcPr>
          <w:p>
            <w:pPr>
              <w:spacing w:after="0"/>
              <w:rPr>
                <w:sz w:val="24"/>
                <w:szCs w:val="24"/>
                <w:color w:val="auto"/>
              </w:rPr>
            </w:pPr>
          </w:p>
        </w:tc>
        <w:tc>
          <w:tcPr>
            <w:tcW w:w="4620" w:type="dxa"/>
            <w:vAlign w:val="bottom"/>
          </w:tcPr>
          <w:p>
            <w:pPr>
              <w:jc w:val="right"/>
              <w:ind w:right="2844"/>
              <w:spacing w:after="0"/>
              <w:rPr>
                <w:sz w:val="20"/>
                <w:szCs w:val="20"/>
                <w:color w:val="auto"/>
              </w:rPr>
            </w:pPr>
            <w:r>
              <w:rPr>
                <w:rFonts w:ascii="Arial" w:cs="Arial" w:eastAsia="Arial" w:hAnsi="Arial"/>
                <w:sz w:val="17"/>
                <w:szCs w:val="17"/>
                <w:b w:val="1"/>
                <w:bCs w:val="1"/>
                <w:color w:val="auto"/>
              </w:rPr>
              <w:t>(706) 781-2265</w:t>
            </w:r>
          </w:p>
        </w:tc>
      </w:tr>
      <w:tr>
        <w:trPr>
          <w:trHeight w:val="173"/>
        </w:trPr>
        <w:tc>
          <w:tcPr>
            <w:tcW w:w="2760" w:type="dxa"/>
            <w:vAlign w:val="bottom"/>
          </w:tcPr>
          <w:p>
            <w:pPr>
              <w:spacing w:after="0"/>
              <w:rPr>
                <w:sz w:val="15"/>
                <w:szCs w:val="15"/>
                <w:color w:val="auto"/>
              </w:rPr>
            </w:pPr>
          </w:p>
        </w:tc>
        <w:tc>
          <w:tcPr>
            <w:tcW w:w="4620" w:type="dxa"/>
            <w:vAlign w:val="bottom"/>
          </w:tcPr>
          <w:p>
            <w:pPr>
              <w:jc w:val="center"/>
              <w:ind w:right="2244"/>
              <w:spacing w:after="0"/>
              <w:rPr>
                <w:sz w:val="20"/>
                <w:szCs w:val="20"/>
                <w:color w:val="auto"/>
              </w:rPr>
            </w:pPr>
            <w:r>
              <w:rPr>
                <w:rFonts w:ascii="Arial" w:cs="Arial" w:eastAsia="Arial" w:hAnsi="Arial"/>
                <w:sz w:val="13"/>
                <w:szCs w:val="13"/>
                <w:b w:val="1"/>
                <w:bCs w:val="1"/>
                <w:color w:val="auto"/>
                <w:w w:val="93"/>
              </w:rPr>
              <w:t>(Telephone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93980</wp:posOffset>
            </wp:positionV>
            <wp:extent cx="151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07" w:lineRule="exact"/>
        <w:rPr>
          <w:sz w:val="24"/>
          <w:szCs w:val="24"/>
          <w:color w:val="auto"/>
        </w:rPr>
      </w:pPr>
    </w:p>
    <w:p>
      <w:pPr>
        <w:jc w:val="both"/>
        <w:ind w:right="200"/>
        <w:spacing w:after="0" w:line="225" w:lineRule="exact"/>
        <w:rPr>
          <w:sz w:val="20"/>
          <w:szCs w:val="20"/>
          <w:color w:val="auto"/>
        </w:rPr>
      </w:pPr>
      <w:r>
        <w:rPr>
          <w:rFonts w:ascii="Arial" w:cs="Arial" w:eastAsia="Arial" w:hAnsi="Arial"/>
          <w:sz w:val="17"/>
          <w:szCs w:val="17"/>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jc w:val="both"/>
        <w:ind w:right="500"/>
        <w:spacing w:after="0" w:line="225" w:lineRule="exact"/>
        <w:rPr>
          <w:sz w:val="20"/>
          <w:szCs w:val="20"/>
          <w:color w:val="auto"/>
        </w:rPr>
      </w:pPr>
      <w:r>
        <w:rPr>
          <w:rFonts w:ascii="Arial" w:cs="Arial" w:eastAsia="Arial" w:hAnsi="Arial"/>
          <w:sz w:val="17"/>
          <w:szCs w:val="17"/>
          <w:b w:val="1"/>
          <w:bCs w:val="1"/>
          <w:color w:val="auto"/>
        </w:rPr>
        <w:t xml:space="preserve">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Indicate by check mark whether the registrant is a large accelerated filer, an accelerated filer, or a non-accelerated filer or a smaller reporting company.</w:t>
      </w:r>
    </w:p>
    <w:p>
      <w:pPr>
        <w:spacing w:after="0" w:line="5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1" w:lineRule="exact"/>
        <w:rPr>
          <w:sz w:val="24"/>
          <w:szCs w:val="24"/>
          <w:color w:val="auto"/>
        </w:rPr>
      </w:pPr>
    </w:p>
    <w:p>
      <w:pPr>
        <w:sectPr>
          <w:pgSz w:w="11900" w:h="16838" w:orient="portrait"/>
          <w:cols w:equalWidth="0" w:num="4">
            <w:col w:w="1700" w:space="340"/>
            <w:col w:w="5780" w:space="720"/>
            <w:col w:w="2000" w:space="720"/>
            <w:col w:w="16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4" w:lineRule="exact"/>
        <w:rPr>
          <w:sz w:val="24"/>
          <w:szCs w:val="24"/>
          <w:color w:val="auto"/>
        </w:rPr>
      </w:pPr>
    </w:p>
    <w:p>
      <w:pPr>
        <w:sectPr>
          <w:pgSz w:w="11900" w:h="16838" w:orient="portrait"/>
          <w:cols w:equalWidth="0" w:num="5">
            <w:col w:w="1560" w:space="480"/>
            <w:col w:w="160" w:space="100"/>
            <w:col w:w="5520" w:space="720"/>
            <w:col w:w="2140" w:space="580"/>
            <w:col w:w="16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1" w:lineRule="exact"/>
        <w:rPr>
          <w:sz w:val="24"/>
          <w:szCs w:val="24"/>
          <w:color w:val="auto"/>
        </w:rPr>
      </w:pPr>
    </w:p>
    <w:p>
      <w:pPr>
        <w:sectPr>
          <w:pgSz w:w="11900" w:h="16838" w:orient="portrait"/>
          <w:cols w:equalWidth="0" w:num="5">
            <w:col w:w="7620" w:space="220"/>
            <w:col w:w="340" w:space="80"/>
            <w:col w:w="160" w:space="180"/>
            <w:col w:w="260" w:space="80"/>
            <w:col w:w="248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Common stock, par value $1 per share 41,774,770 shares voting and 15,914,209 shares non-voting outstanding as of July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247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137795</wp:posOffset>
            </wp:positionV>
            <wp:extent cx="7247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860" w:type="dxa"/>
            <w:vAlign w:val="bottom"/>
            <w:gridSpan w:val="22"/>
          </w:tcPr>
          <w:p>
            <w:pPr>
              <w:spacing w:after="0"/>
              <w:rPr>
                <w:sz w:val="20"/>
                <w:szCs w:val="20"/>
                <w:color w:val="auto"/>
              </w:rPr>
            </w:pPr>
            <w:r>
              <w:rPr>
                <w:rFonts w:ascii="Arial" w:cs="Arial" w:eastAsia="Arial" w:hAnsi="Arial"/>
                <w:sz w:val="17"/>
                <w:szCs w:val="17"/>
                <w:b w:val="1"/>
                <w:bCs w:val="1"/>
                <w:color w:val="auto"/>
              </w:rPr>
              <w:t>INDEX</w:t>
            </w:r>
          </w:p>
        </w:tc>
        <w:tc>
          <w:tcPr>
            <w:tcW w:w="460" w:type="dxa"/>
            <w:vAlign w:val="bottom"/>
          </w:tcPr>
          <w:p>
            <w:pPr>
              <w:spacing w:after="0"/>
              <w:rPr>
                <w:sz w:val="19"/>
                <w:szCs w:val="19"/>
                <w:color w:val="auto"/>
              </w:rPr>
            </w:pPr>
          </w:p>
        </w:tc>
      </w:tr>
      <w:tr>
        <w:trPr>
          <w:trHeight w:val="377"/>
        </w:trPr>
        <w:tc>
          <w:tcPr>
            <w:tcW w:w="2380" w:type="dxa"/>
            <w:vAlign w:val="bottom"/>
            <w:tcBorders>
              <w:bottom w:val="single" w:sz="8" w:color="0000EE"/>
            </w:tcBorders>
            <w:gridSpan w:val="8"/>
          </w:tcPr>
          <w:p>
            <w:pPr>
              <w:spacing w:after="0"/>
              <w:rPr>
                <w:rFonts w:ascii="Arial" w:cs="Arial" w:eastAsia="Arial" w:hAnsi="Arial"/>
                <w:sz w:val="17"/>
                <w:szCs w:val="17"/>
                <w:b w:val="1"/>
                <w:bCs w:val="1"/>
                <w:color w:val="0000EE"/>
                <w:w w:val="97"/>
              </w:rPr>
            </w:pPr>
            <w:hyperlink w:anchor="page3">
              <w:r>
                <w:rPr>
                  <w:rFonts w:ascii="Arial" w:cs="Arial" w:eastAsia="Arial" w:hAnsi="Arial"/>
                  <w:sz w:val="17"/>
                  <w:szCs w:val="17"/>
                  <w:b w:val="1"/>
                  <w:bCs w:val="1"/>
                  <w:color w:val="0000EE"/>
                  <w:w w:val="97"/>
                </w:rPr>
                <w:t>PART I - Financial Information</w:t>
              </w:r>
            </w:hyperlink>
          </w:p>
        </w:tc>
        <w:tc>
          <w:tcPr>
            <w:tcW w:w="848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r>
      <w:tr>
        <w:trPr>
          <w:trHeight w:val="302"/>
        </w:trPr>
        <w:tc>
          <w:tcPr>
            <w:tcW w:w="440" w:type="dxa"/>
            <w:vAlign w:val="bottom"/>
          </w:tcPr>
          <w:p>
            <w:pPr>
              <w:spacing w:after="0"/>
              <w:rPr>
                <w:sz w:val="24"/>
                <w:szCs w:val="24"/>
                <w:color w:val="auto"/>
              </w:rPr>
            </w:pPr>
          </w:p>
        </w:tc>
        <w:tc>
          <w:tcPr>
            <w:tcW w:w="10420" w:type="dxa"/>
            <w:vAlign w:val="bottom"/>
            <w:gridSpan w:val="21"/>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Item 1. Financial Statements</w:t>
              </w:r>
            </w:hyperlink>
          </w:p>
        </w:tc>
        <w:tc>
          <w:tcPr>
            <w:tcW w:w="46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40" w:type="dxa"/>
            <w:vAlign w:val="bottom"/>
            <w:tcBorders>
              <w:bottom w:val="single" w:sz="8" w:color="0000EE"/>
            </w:tcBorders>
            <w:gridSpan w:val="15"/>
          </w:tcPr>
          <w:p>
            <w:pPr>
              <w:spacing w:after="0"/>
              <w:rPr>
                <w:rFonts w:ascii="Arial" w:cs="Arial" w:eastAsia="Arial" w:hAnsi="Arial"/>
                <w:sz w:val="17"/>
                <w:szCs w:val="17"/>
                <w:b w:val="1"/>
                <w:bCs w:val="1"/>
                <w:color w:val="0000EE"/>
                <w:w w:val="92"/>
              </w:rPr>
            </w:pPr>
            <w:hyperlink w:anchor="page3">
              <w:r>
                <w:rPr>
                  <w:rFonts w:ascii="Arial" w:cs="Arial" w:eastAsia="Arial" w:hAnsi="Arial"/>
                  <w:sz w:val="17"/>
                  <w:szCs w:val="17"/>
                  <w:b w:val="1"/>
                  <w:bCs w:val="1"/>
                  <w:color w:val="0000EE"/>
                  <w:w w:val="92"/>
                </w:rPr>
                <w:t>Consolidated Statement of Operations (unaudited) for the Three and Six Months Ended June 30, 2012 and 2011</w:t>
              </w:r>
            </w:hyperlink>
          </w:p>
        </w:tc>
        <w:tc>
          <w:tcPr>
            <w:tcW w:w="166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30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7"/>
                <w:szCs w:val="17"/>
                <w:b w:val="1"/>
                <w:bCs w:val="1"/>
                <w:color w:val="0000EE"/>
                <w:w w:val="94"/>
              </w:rPr>
            </w:pPr>
            <w:hyperlink w:anchor="page4">
              <w:r>
                <w:rPr>
                  <w:rFonts w:ascii="Arial" w:cs="Arial" w:eastAsia="Arial" w:hAnsi="Arial"/>
                  <w:sz w:val="17"/>
                  <w:szCs w:val="17"/>
                  <w:b w:val="1"/>
                  <w:bCs w:val="1"/>
                  <w:color w:val="0000EE"/>
                  <w:w w:val="94"/>
                </w:rPr>
                <w:t>Consolidated Statement of Comprehensive (Loss) Income (unaudited) for the Three and Six Months Ended June 30, 2012 and 2011</w:t>
              </w:r>
            </w:hyperlink>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30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60" w:type="dxa"/>
            <w:vAlign w:val="bottom"/>
            <w:tcBorders>
              <w:top w:val="single" w:sz="8" w:color="0000EE"/>
              <w:bottom w:val="single" w:sz="8" w:color="0000EE"/>
            </w:tcBorders>
            <w:gridSpan w:val="16"/>
          </w:tcPr>
          <w:p>
            <w:pPr>
              <w:spacing w:after="0"/>
              <w:rPr>
                <w:rFonts w:ascii="Arial" w:cs="Arial" w:eastAsia="Arial" w:hAnsi="Arial"/>
                <w:sz w:val="17"/>
                <w:szCs w:val="17"/>
                <w:b w:val="1"/>
                <w:bCs w:val="1"/>
                <w:color w:val="0000EE"/>
                <w:w w:val="92"/>
              </w:rPr>
            </w:pPr>
            <w:hyperlink w:anchor="page5">
              <w:r>
                <w:rPr>
                  <w:rFonts w:ascii="Arial" w:cs="Arial" w:eastAsia="Arial" w:hAnsi="Arial"/>
                  <w:sz w:val="17"/>
                  <w:szCs w:val="17"/>
                  <w:b w:val="1"/>
                  <w:bCs w:val="1"/>
                  <w:color w:val="0000EE"/>
                  <w:w w:val="92"/>
                </w:rPr>
                <w:t>Consolidated Balance Sheet at June 30, 2012 (unaudited), December 31, 2011 (audited) and June 30, 2011 (unaudited)</w:t>
              </w:r>
            </w:hyperlink>
          </w:p>
        </w:tc>
        <w:tc>
          <w:tcPr>
            <w:tcW w:w="940" w:type="dxa"/>
            <w:vAlign w:val="bottom"/>
            <w:tcBorders>
              <w:top w:val="single" w:sz="8" w:color="0000EE"/>
            </w:tcBorders>
            <w:gridSpan w:val="2"/>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30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60" w:type="dxa"/>
            <w:vAlign w:val="bottom"/>
            <w:tcBorders>
              <w:bottom w:val="single" w:sz="8" w:color="0000EE"/>
            </w:tcBorders>
            <w:gridSpan w:val="17"/>
          </w:tcPr>
          <w:p>
            <w:pPr>
              <w:spacing w:after="0"/>
              <w:rPr>
                <w:rFonts w:ascii="Arial" w:cs="Arial" w:eastAsia="Arial" w:hAnsi="Arial"/>
                <w:sz w:val="17"/>
                <w:szCs w:val="17"/>
                <w:b w:val="1"/>
                <w:bCs w:val="1"/>
                <w:color w:val="0000EE"/>
                <w:w w:val="92"/>
              </w:rPr>
            </w:pPr>
            <w:hyperlink w:anchor="page6">
              <w:r>
                <w:rPr>
                  <w:rFonts w:ascii="Arial" w:cs="Arial" w:eastAsia="Arial" w:hAnsi="Arial"/>
                  <w:sz w:val="17"/>
                  <w:szCs w:val="17"/>
                  <w:b w:val="1"/>
                  <w:bCs w:val="1"/>
                  <w:color w:val="0000EE"/>
                  <w:w w:val="92"/>
                </w:rPr>
                <w:t>Consolidated Statement of Changes in Shareholders’ Equity (unaudited) for the Six Months Ended June 30, 2012 and 2011</w:t>
              </w:r>
            </w:hyperlink>
          </w:p>
        </w:tc>
        <w:tc>
          <w:tcPr>
            <w:tcW w:w="84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30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Consolidated Statement of Cash Flows (unaudited) for the Six Months Ended June 30, 2012 and 2011</w:t>
              </w:r>
            </w:hyperlink>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7</w:t>
            </w:r>
          </w:p>
        </w:tc>
      </w:tr>
      <w:tr>
        <w:trPr>
          <w:trHeight w:val="30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Borders>
              <w:top w:val="single" w:sz="8" w:color="0000EE"/>
              <w:bottom w:val="single" w:sz="8" w:color="0000EE"/>
            </w:tcBorders>
            <w:gridSpan w:val="10"/>
          </w:tcPr>
          <w:p>
            <w:pPr>
              <w:spacing w:after="0"/>
              <w:rPr>
                <w:rFonts w:ascii="Arial" w:cs="Arial" w:eastAsia="Arial" w:hAnsi="Arial"/>
                <w:sz w:val="17"/>
                <w:szCs w:val="17"/>
                <w:b w:val="1"/>
                <w:bCs w:val="1"/>
                <w:color w:val="0000EE"/>
                <w:w w:val="90"/>
              </w:rPr>
            </w:pPr>
            <w:hyperlink w:anchor="page8">
              <w:r>
                <w:rPr>
                  <w:rFonts w:ascii="Arial" w:cs="Arial" w:eastAsia="Arial" w:hAnsi="Arial"/>
                  <w:sz w:val="17"/>
                  <w:szCs w:val="17"/>
                  <w:b w:val="1"/>
                  <w:bCs w:val="1"/>
                  <w:color w:val="0000EE"/>
                  <w:w w:val="90"/>
                </w:rPr>
                <w:t>Notes to Consolidated Financial Statements</w:t>
              </w:r>
            </w:hyperlink>
          </w:p>
        </w:tc>
        <w:tc>
          <w:tcPr>
            <w:tcW w:w="4300" w:type="dxa"/>
            <w:vAlign w:val="bottom"/>
            <w:tcBorders>
              <w:top w:val="single" w:sz="8" w:color="0000EE"/>
            </w:tcBorders>
            <w:gridSpan w:val="4"/>
          </w:tcPr>
          <w:p>
            <w:pPr>
              <w:spacing w:after="0"/>
              <w:rPr>
                <w:sz w:val="24"/>
                <w:szCs w:val="24"/>
                <w:color w:val="auto"/>
              </w:rPr>
            </w:pPr>
          </w:p>
        </w:tc>
        <w:tc>
          <w:tcPr>
            <w:tcW w:w="246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02"/>
        </w:trPr>
        <w:tc>
          <w:tcPr>
            <w:tcW w:w="440" w:type="dxa"/>
            <w:vAlign w:val="bottom"/>
          </w:tcPr>
          <w:p>
            <w:pPr>
              <w:spacing w:after="0"/>
              <w:rPr>
                <w:sz w:val="24"/>
                <w:szCs w:val="24"/>
                <w:color w:val="auto"/>
              </w:rPr>
            </w:pPr>
          </w:p>
        </w:tc>
        <w:tc>
          <w:tcPr>
            <w:tcW w:w="7220" w:type="dxa"/>
            <w:vAlign w:val="bottom"/>
            <w:tcBorders>
              <w:bottom w:val="single" w:sz="8" w:color="0000EE"/>
            </w:tcBorders>
            <w:gridSpan w:val="15"/>
          </w:tcPr>
          <w:p>
            <w:pPr>
              <w:spacing w:after="0"/>
              <w:rPr>
                <w:rFonts w:ascii="Arial" w:cs="Arial" w:eastAsia="Arial" w:hAnsi="Arial"/>
                <w:sz w:val="17"/>
                <w:szCs w:val="17"/>
                <w:b w:val="1"/>
                <w:bCs w:val="1"/>
                <w:color w:val="0000EE"/>
                <w:w w:val="92"/>
              </w:rPr>
            </w:pPr>
            <w:hyperlink w:anchor="page29">
              <w:r>
                <w:rPr>
                  <w:rFonts w:ascii="Arial" w:cs="Arial" w:eastAsia="Arial" w:hAnsi="Arial"/>
                  <w:sz w:val="17"/>
                  <w:szCs w:val="17"/>
                  <w:b w:val="1"/>
                  <w:bCs w:val="1"/>
                  <w:color w:val="0000EE"/>
                  <w:w w:val="92"/>
                </w:rPr>
                <w:t>Item 2. Management’s Discussion and Analysis of Financial Condition and Results of Operations</w:t>
              </w:r>
            </w:hyperlink>
          </w:p>
        </w:tc>
        <w:tc>
          <w:tcPr>
            <w:tcW w:w="320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02"/>
        </w:trPr>
        <w:tc>
          <w:tcPr>
            <w:tcW w:w="440" w:type="dxa"/>
            <w:vAlign w:val="bottom"/>
          </w:tcPr>
          <w:p>
            <w:pPr>
              <w:spacing w:after="0"/>
              <w:rPr>
                <w:sz w:val="24"/>
                <w:szCs w:val="24"/>
                <w:color w:val="auto"/>
              </w:rPr>
            </w:pPr>
          </w:p>
        </w:tc>
        <w:tc>
          <w:tcPr>
            <w:tcW w:w="5080" w:type="dxa"/>
            <w:vAlign w:val="bottom"/>
            <w:tcBorders>
              <w:bottom w:val="single" w:sz="8" w:color="0000EE"/>
            </w:tcBorders>
            <w:gridSpan w:val="14"/>
          </w:tcPr>
          <w:p>
            <w:pPr>
              <w:spacing w:after="0"/>
              <w:rPr>
                <w:rFonts w:ascii="Arial" w:cs="Arial" w:eastAsia="Arial" w:hAnsi="Arial"/>
                <w:sz w:val="17"/>
                <w:szCs w:val="17"/>
                <w:b w:val="1"/>
                <w:bCs w:val="1"/>
                <w:color w:val="0000EE"/>
                <w:w w:val="93"/>
              </w:rPr>
            </w:pPr>
            <w:hyperlink w:anchor="page53">
              <w:r>
                <w:rPr>
                  <w:rFonts w:ascii="Arial" w:cs="Arial" w:eastAsia="Arial" w:hAnsi="Arial"/>
                  <w:sz w:val="17"/>
                  <w:szCs w:val="17"/>
                  <w:b w:val="1"/>
                  <w:bCs w:val="1"/>
                  <w:color w:val="0000EE"/>
                  <w:w w:val="93"/>
                </w:rPr>
                <w:t>Item 3. Quantitative and Qualitative Disclosures About Market Risk</w:t>
              </w:r>
            </w:hyperlink>
          </w:p>
        </w:tc>
        <w:tc>
          <w:tcPr>
            <w:tcW w:w="534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302"/>
        </w:trPr>
        <w:tc>
          <w:tcPr>
            <w:tcW w:w="440" w:type="dxa"/>
            <w:vAlign w:val="bottom"/>
          </w:tcPr>
          <w:p>
            <w:pPr>
              <w:spacing w:after="0"/>
              <w:rPr>
                <w:sz w:val="24"/>
                <w:szCs w:val="24"/>
                <w:color w:val="auto"/>
              </w:rPr>
            </w:pPr>
          </w:p>
        </w:tc>
        <w:tc>
          <w:tcPr>
            <w:tcW w:w="10420" w:type="dxa"/>
            <w:vAlign w:val="bottom"/>
            <w:gridSpan w:val="21"/>
          </w:tcPr>
          <w:p>
            <w:pPr>
              <w:spacing w:after="0"/>
              <w:rPr>
                <w:rFonts w:ascii="Arial" w:cs="Arial" w:eastAsia="Arial" w:hAnsi="Arial"/>
                <w:sz w:val="17"/>
                <w:szCs w:val="17"/>
                <w:b w:val="1"/>
                <w:bCs w:val="1"/>
                <w:color w:val="0000EE"/>
              </w:rPr>
            </w:pPr>
            <w:hyperlink w:anchor="page53">
              <w:r>
                <w:rPr>
                  <w:rFonts w:ascii="Arial" w:cs="Arial" w:eastAsia="Arial" w:hAnsi="Arial"/>
                  <w:sz w:val="17"/>
                  <w:szCs w:val="17"/>
                  <w:b w:val="1"/>
                  <w:bCs w:val="1"/>
                  <w:color w:val="0000EE"/>
                </w:rPr>
                <w:t>Item 4. Controls and Procedures</w:t>
              </w:r>
            </w:hyperlink>
          </w:p>
        </w:tc>
        <w:tc>
          <w:tcPr>
            <w:tcW w:w="4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
        </w:trPr>
        <w:tc>
          <w:tcPr>
            <w:tcW w:w="44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2"/>
        </w:trPr>
        <w:tc>
          <w:tcPr>
            <w:tcW w:w="10860" w:type="dxa"/>
            <w:vAlign w:val="bottom"/>
            <w:gridSpan w:val="22"/>
          </w:tcPr>
          <w:p>
            <w:pPr>
              <w:spacing w:after="0"/>
              <w:rPr>
                <w:rFonts w:ascii="Arial" w:cs="Arial" w:eastAsia="Arial" w:hAnsi="Arial"/>
                <w:sz w:val="17"/>
                <w:szCs w:val="17"/>
                <w:b w:val="1"/>
                <w:bCs w:val="1"/>
                <w:color w:val="0000EE"/>
              </w:rPr>
            </w:pPr>
            <w:hyperlink w:anchor="page54">
              <w:r>
                <w:rPr>
                  <w:rFonts w:ascii="Arial" w:cs="Arial" w:eastAsia="Arial" w:hAnsi="Arial"/>
                  <w:sz w:val="17"/>
                  <w:szCs w:val="17"/>
                  <w:b w:val="1"/>
                  <w:bCs w:val="1"/>
                  <w:color w:val="0000EE"/>
                </w:rPr>
                <w:t>PART II - Other Information</w:t>
              </w:r>
            </w:hyperlink>
          </w:p>
        </w:tc>
        <w:tc>
          <w:tcPr>
            <w:tcW w:w="46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2"/>
        </w:trPr>
        <w:tc>
          <w:tcPr>
            <w:tcW w:w="440" w:type="dxa"/>
            <w:vAlign w:val="bottom"/>
          </w:tcPr>
          <w:p>
            <w:pPr>
              <w:spacing w:after="0"/>
              <w:rPr>
                <w:sz w:val="24"/>
                <w:szCs w:val="24"/>
                <w:color w:val="auto"/>
              </w:rPr>
            </w:pPr>
          </w:p>
        </w:tc>
        <w:tc>
          <w:tcPr>
            <w:tcW w:w="1920" w:type="dxa"/>
            <w:vAlign w:val="bottom"/>
            <w:tcBorders>
              <w:bottom w:val="single" w:sz="8" w:color="0000EE"/>
            </w:tcBorders>
            <w:gridSpan w:val="6"/>
          </w:tcPr>
          <w:p>
            <w:pPr>
              <w:spacing w:after="0"/>
              <w:rPr>
                <w:rFonts w:ascii="Arial" w:cs="Arial" w:eastAsia="Arial" w:hAnsi="Arial"/>
                <w:sz w:val="17"/>
                <w:szCs w:val="17"/>
                <w:b w:val="1"/>
                <w:bCs w:val="1"/>
                <w:color w:val="0000EE"/>
                <w:w w:val="90"/>
              </w:rPr>
            </w:pPr>
            <w:hyperlink w:anchor="page54">
              <w:r>
                <w:rPr>
                  <w:rFonts w:ascii="Arial" w:cs="Arial" w:eastAsia="Arial" w:hAnsi="Arial"/>
                  <w:sz w:val="17"/>
                  <w:szCs w:val="17"/>
                  <w:b w:val="1"/>
                  <w:bCs w:val="1"/>
                  <w:color w:val="0000EE"/>
                  <w:w w:val="90"/>
                </w:rPr>
                <w:t>Item 1. Legal Proceedings</w:t>
              </w:r>
            </w:hyperlink>
          </w:p>
        </w:tc>
        <w:tc>
          <w:tcPr>
            <w:tcW w:w="8500" w:type="dxa"/>
            <w:vAlign w:val="bottom"/>
            <w:gridSpan w:val="1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194"/>
        </w:trPr>
        <w:tc>
          <w:tcPr>
            <w:tcW w:w="440" w:type="dxa"/>
            <w:vAlign w:val="bottom"/>
          </w:tcPr>
          <w:p>
            <w:pPr>
              <w:spacing w:after="0"/>
              <w:rPr>
                <w:sz w:val="16"/>
                <w:szCs w:val="16"/>
                <w:color w:val="auto"/>
              </w:rPr>
            </w:pPr>
          </w:p>
        </w:tc>
        <w:tc>
          <w:tcPr>
            <w:tcW w:w="1640" w:type="dxa"/>
            <w:vAlign w:val="bottom"/>
            <w:tcBorders>
              <w:bottom w:val="single" w:sz="8" w:color="0000EE"/>
            </w:tcBorders>
            <w:gridSpan w:val="4"/>
          </w:tcPr>
          <w:p>
            <w:pPr>
              <w:spacing w:after="0" w:line="194" w:lineRule="exact"/>
              <w:rPr>
                <w:rFonts w:ascii="Arial" w:cs="Arial" w:eastAsia="Arial" w:hAnsi="Arial"/>
                <w:sz w:val="17"/>
                <w:szCs w:val="17"/>
                <w:b w:val="1"/>
                <w:bCs w:val="1"/>
                <w:color w:val="0000EE"/>
                <w:w w:val="93"/>
              </w:rPr>
            </w:pPr>
            <w:hyperlink w:anchor="page54">
              <w:r>
                <w:rPr>
                  <w:rFonts w:ascii="Arial" w:cs="Arial" w:eastAsia="Arial" w:hAnsi="Arial"/>
                  <w:sz w:val="17"/>
                  <w:szCs w:val="17"/>
                  <w:b w:val="1"/>
                  <w:bCs w:val="1"/>
                  <w:color w:val="0000EE"/>
                  <w:w w:val="93"/>
                </w:rPr>
                <w:t>Item 1A. Risk Factors</w:t>
              </w:r>
            </w:hyperlink>
          </w:p>
        </w:tc>
        <w:tc>
          <w:tcPr>
            <w:tcW w:w="8780" w:type="dxa"/>
            <w:vAlign w:val="bottom"/>
            <w:gridSpan w:val="17"/>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53</w:t>
            </w:r>
          </w:p>
        </w:tc>
      </w:tr>
      <w:tr>
        <w:trPr>
          <w:trHeight w:val="194"/>
        </w:trPr>
        <w:tc>
          <w:tcPr>
            <w:tcW w:w="440" w:type="dxa"/>
            <w:vAlign w:val="bottom"/>
          </w:tcPr>
          <w:p>
            <w:pPr>
              <w:spacing w:after="0"/>
              <w:rPr>
                <w:sz w:val="16"/>
                <w:szCs w:val="16"/>
                <w:color w:val="auto"/>
              </w:rPr>
            </w:pPr>
          </w:p>
        </w:tc>
        <w:tc>
          <w:tcPr>
            <w:tcW w:w="10420" w:type="dxa"/>
            <w:vAlign w:val="bottom"/>
            <w:gridSpan w:val="21"/>
          </w:tcPr>
          <w:p>
            <w:pPr>
              <w:spacing w:after="0" w:line="194" w:lineRule="exact"/>
              <w:rPr>
                <w:rFonts w:ascii="Arial" w:cs="Arial" w:eastAsia="Arial" w:hAnsi="Arial"/>
                <w:sz w:val="17"/>
                <w:szCs w:val="17"/>
                <w:b w:val="1"/>
                <w:bCs w:val="1"/>
                <w:color w:val="0000EE"/>
              </w:rPr>
            </w:pPr>
            <w:hyperlink w:anchor="page54">
              <w:r>
                <w:rPr>
                  <w:rFonts w:ascii="Arial" w:cs="Arial" w:eastAsia="Arial" w:hAnsi="Arial"/>
                  <w:sz w:val="17"/>
                  <w:szCs w:val="17"/>
                  <w:b w:val="1"/>
                  <w:bCs w:val="1"/>
                  <w:color w:val="0000EE"/>
                </w:rPr>
                <w:t>Item 2. Unregistered Sales of Equity Securities and Use of Proceeds</w:t>
              </w:r>
            </w:hyperlink>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53</w:t>
            </w:r>
          </w:p>
        </w:tc>
      </w:tr>
      <w:tr>
        <w:trPr>
          <w:trHeight w:val="194"/>
        </w:trPr>
        <w:tc>
          <w:tcPr>
            <w:tcW w:w="440" w:type="dxa"/>
            <w:vAlign w:val="bottom"/>
          </w:tcPr>
          <w:p>
            <w:pPr>
              <w:spacing w:after="0"/>
              <w:rPr>
                <w:sz w:val="16"/>
                <w:szCs w:val="16"/>
                <w:color w:val="auto"/>
              </w:rPr>
            </w:pPr>
          </w:p>
        </w:tc>
        <w:tc>
          <w:tcPr>
            <w:tcW w:w="4980" w:type="dxa"/>
            <w:vAlign w:val="bottom"/>
            <w:tcBorders>
              <w:top w:val="single" w:sz="8" w:color="0000EE"/>
            </w:tcBorders>
            <w:gridSpan w:val="13"/>
          </w:tcPr>
          <w:p>
            <w:pPr>
              <w:spacing w:after="0" w:line="194" w:lineRule="exact"/>
              <w:rPr>
                <w:rFonts w:ascii="Arial" w:cs="Arial" w:eastAsia="Arial" w:hAnsi="Arial"/>
                <w:sz w:val="17"/>
                <w:szCs w:val="17"/>
                <w:b w:val="1"/>
                <w:bCs w:val="1"/>
                <w:color w:val="0000EE"/>
              </w:rPr>
            </w:pPr>
            <w:hyperlink w:anchor="page54">
              <w:r>
                <w:rPr>
                  <w:rFonts w:ascii="Arial" w:cs="Arial" w:eastAsia="Arial" w:hAnsi="Arial"/>
                  <w:sz w:val="17"/>
                  <w:szCs w:val="17"/>
                  <w:b w:val="1"/>
                  <w:bCs w:val="1"/>
                  <w:color w:val="0000EE"/>
                </w:rPr>
                <w:t>Item 3. Defaults Upon Senior Securities</w:t>
              </w:r>
            </w:hyperlink>
          </w:p>
        </w:tc>
        <w:tc>
          <w:tcPr>
            <w:tcW w:w="5440" w:type="dxa"/>
            <w:vAlign w:val="bottom"/>
            <w:gridSpan w:val="8"/>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53</w:t>
            </w:r>
          </w:p>
        </w:tc>
      </w:tr>
      <w:tr>
        <w:trPr>
          <w:trHeight w:val="194"/>
        </w:trPr>
        <w:tc>
          <w:tcPr>
            <w:tcW w:w="440" w:type="dxa"/>
            <w:vAlign w:val="bottom"/>
          </w:tcPr>
          <w:p>
            <w:pPr>
              <w:spacing w:after="0"/>
              <w:rPr>
                <w:sz w:val="16"/>
                <w:szCs w:val="16"/>
                <w:color w:val="auto"/>
              </w:rPr>
            </w:pPr>
          </w:p>
        </w:tc>
        <w:tc>
          <w:tcPr>
            <w:tcW w:w="2400" w:type="dxa"/>
            <w:vAlign w:val="bottom"/>
            <w:tcBorders>
              <w:top w:val="single" w:sz="8" w:color="0000EE"/>
              <w:bottom w:val="single" w:sz="8" w:color="0000EE"/>
            </w:tcBorders>
            <w:gridSpan w:val="10"/>
          </w:tcPr>
          <w:p>
            <w:pPr>
              <w:spacing w:after="0" w:line="194" w:lineRule="exact"/>
              <w:rPr>
                <w:rFonts w:ascii="Arial" w:cs="Arial" w:eastAsia="Arial" w:hAnsi="Arial"/>
                <w:sz w:val="17"/>
                <w:szCs w:val="17"/>
                <w:b w:val="1"/>
                <w:bCs w:val="1"/>
                <w:color w:val="0000EE"/>
                <w:w w:val="92"/>
              </w:rPr>
            </w:pPr>
            <w:hyperlink w:anchor="page54">
              <w:r>
                <w:rPr>
                  <w:rFonts w:ascii="Arial" w:cs="Arial" w:eastAsia="Arial" w:hAnsi="Arial"/>
                  <w:sz w:val="17"/>
                  <w:szCs w:val="17"/>
                  <w:b w:val="1"/>
                  <w:bCs w:val="1"/>
                  <w:color w:val="0000EE"/>
                  <w:w w:val="92"/>
                </w:rPr>
                <w:t>Item 4. Mine Safety Disclosures</w:t>
              </w:r>
            </w:hyperlink>
          </w:p>
        </w:tc>
        <w:tc>
          <w:tcPr>
            <w:tcW w:w="520" w:type="dxa"/>
            <w:vAlign w:val="bottom"/>
            <w:tcBorders>
              <w:top w:val="single" w:sz="8" w:color="0000EE"/>
            </w:tcBorders>
          </w:tcPr>
          <w:p>
            <w:pPr>
              <w:spacing w:after="0"/>
              <w:rPr>
                <w:sz w:val="16"/>
                <w:szCs w:val="16"/>
                <w:color w:val="auto"/>
              </w:rPr>
            </w:pPr>
          </w:p>
        </w:tc>
        <w:tc>
          <w:tcPr>
            <w:tcW w:w="7500" w:type="dxa"/>
            <w:vAlign w:val="bottom"/>
            <w:gridSpan w:val="10"/>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53</w:t>
            </w:r>
          </w:p>
        </w:tc>
      </w:tr>
      <w:tr>
        <w:trPr>
          <w:trHeight w:val="194"/>
        </w:trPr>
        <w:tc>
          <w:tcPr>
            <w:tcW w:w="440" w:type="dxa"/>
            <w:vAlign w:val="bottom"/>
          </w:tcPr>
          <w:p>
            <w:pPr>
              <w:spacing w:after="0"/>
              <w:rPr>
                <w:sz w:val="16"/>
                <w:szCs w:val="16"/>
                <w:color w:val="auto"/>
              </w:rPr>
            </w:pPr>
          </w:p>
        </w:tc>
        <w:tc>
          <w:tcPr>
            <w:tcW w:w="1960" w:type="dxa"/>
            <w:vAlign w:val="bottom"/>
            <w:tcBorders>
              <w:bottom w:val="single" w:sz="8" w:color="0000EE"/>
            </w:tcBorders>
            <w:gridSpan w:val="8"/>
          </w:tcPr>
          <w:p>
            <w:pPr>
              <w:spacing w:after="0" w:line="194" w:lineRule="exact"/>
              <w:rPr>
                <w:rFonts w:ascii="Arial" w:cs="Arial" w:eastAsia="Arial" w:hAnsi="Arial"/>
                <w:sz w:val="17"/>
                <w:szCs w:val="17"/>
                <w:b w:val="1"/>
                <w:bCs w:val="1"/>
                <w:color w:val="0000EE"/>
                <w:w w:val="95"/>
              </w:rPr>
            </w:pPr>
            <w:hyperlink w:anchor="page54">
              <w:r>
                <w:rPr>
                  <w:rFonts w:ascii="Arial" w:cs="Arial" w:eastAsia="Arial" w:hAnsi="Arial"/>
                  <w:sz w:val="17"/>
                  <w:szCs w:val="17"/>
                  <w:b w:val="1"/>
                  <w:bCs w:val="1"/>
                  <w:color w:val="0000EE"/>
                  <w:w w:val="95"/>
                </w:rPr>
                <w:t>Item 5. Other Information</w:t>
              </w:r>
            </w:hyperlink>
          </w:p>
        </w:tc>
        <w:tc>
          <w:tcPr>
            <w:tcW w:w="8460" w:type="dxa"/>
            <w:vAlign w:val="bottom"/>
            <w:gridSpan w:val="13"/>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53</w:t>
            </w:r>
          </w:p>
        </w:tc>
      </w:tr>
      <w:tr>
        <w:trPr>
          <w:trHeight w:val="194"/>
        </w:trPr>
        <w:tc>
          <w:tcPr>
            <w:tcW w:w="440" w:type="dxa"/>
            <w:vAlign w:val="bottom"/>
          </w:tcPr>
          <w:p>
            <w:pPr>
              <w:spacing w:after="0"/>
              <w:rPr>
                <w:sz w:val="16"/>
                <w:szCs w:val="16"/>
                <w:color w:val="auto"/>
              </w:rPr>
            </w:pPr>
          </w:p>
        </w:tc>
        <w:tc>
          <w:tcPr>
            <w:tcW w:w="10420" w:type="dxa"/>
            <w:vAlign w:val="bottom"/>
            <w:gridSpan w:val="21"/>
          </w:tcPr>
          <w:p>
            <w:pPr>
              <w:spacing w:after="0" w:line="194" w:lineRule="exact"/>
              <w:rPr>
                <w:rFonts w:ascii="Arial" w:cs="Arial" w:eastAsia="Arial" w:hAnsi="Arial"/>
                <w:sz w:val="17"/>
                <w:szCs w:val="17"/>
                <w:b w:val="1"/>
                <w:bCs w:val="1"/>
                <w:color w:val="0000EE"/>
              </w:rPr>
            </w:pPr>
            <w:hyperlink w:anchor="page55">
              <w:r>
                <w:rPr>
                  <w:rFonts w:ascii="Arial" w:cs="Arial" w:eastAsia="Arial" w:hAnsi="Arial"/>
                  <w:sz w:val="17"/>
                  <w:szCs w:val="17"/>
                  <w:b w:val="1"/>
                  <w:bCs w:val="1"/>
                  <w:color w:val="0000EE"/>
                </w:rPr>
                <w:t>Item 6. Exhibits</w:t>
              </w:r>
            </w:hyperlink>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54</w:t>
            </w:r>
          </w:p>
        </w:tc>
      </w:tr>
      <w:tr>
        <w:trPr>
          <w:trHeight w:val="380"/>
        </w:trPr>
        <w:tc>
          <w:tcPr>
            <w:tcW w:w="460" w:type="dxa"/>
            <w:vAlign w:val="bottom"/>
            <w:gridSpan w:val="2"/>
          </w:tcPr>
          <w:p>
            <w:pPr>
              <w:spacing w:after="0"/>
              <w:rPr>
                <w:sz w:val="24"/>
                <w:szCs w:val="24"/>
                <w:color w:val="auto"/>
              </w:rPr>
            </w:pPr>
          </w:p>
        </w:tc>
        <w:tc>
          <w:tcPr>
            <w:tcW w:w="1160" w:type="dxa"/>
            <w:vAlign w:val="bottom"/>
            <w:tcBorders>
              <w:top w:val="single" w:sz="8" w:color="0000EE"/>
            </w:tcBorders>
            <w:gridSpan w:val="2"/>
          </w:tcPr>
          <w:p>
            <w:pPr>
              <w:spacing w:after="0"/>
              <w:rPr>
                <w:sz w:val="24"/>
                <w:szCs w:val="24"/>
                <w:color w:val="auto"/>
              </w:rPr>
            </w:pPr>
          </w:p>
        </w:tc>
        <w:tc>
          <w:tcPr>
            <w:tcW w:w="6040" w:type="dxa"/>
            <w:vAlign w:val="bottom"/>
            <w:gridSpan w:val="12"/>
          </w:tcPr>
          <w:p>
            <w:pPr>
              <w:jc w:val="right"/>
              <w:ind w:right="1900"/>
              <w:spacing w:after="0"/>
              <w:rPr>
                <w:sz w:val="20"/>
                <w:szCs w:val="20"/>
                <w:color w:val="auto"/>
              </w:rPr>
            </w:pPr>
            <w:r>
              <w:rPr>
                <w:rFonts w:ascii="Arial" w:cs="Arial" w:eastAsia="Arial" w:hAnsi="Arial"/>
                <w:sz w:val="17"/>
                <w:szCs w:val="17"/>
                <w:color w:val="auto"/>
              </w:rPr>
              <w:t>2</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20"/>
          </w:cols>
          <w:pgMar w:left="240" w:top="457"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COMMUNITY BANKS,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Consolidated Statement of Operations </w:t>
      </w:r>
      <w:r>
        <w:rPr>
          <w:rFonts w:ascii="Arial" w:cs="Arial" w:eastAsia="Arial" w:hAnsi="Arial"/>
          <w:sz w:val="17"/>
          <w:szCs w:val="17"/>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w w:val="96"/>
              </w:rPr>
              <w:t>Three Months Ended</w:t>
            </w:r>
          </w:p>
        </w:tc>
        <w:tc>
          <w:tcPr>
            <w:tcW w:w="100" w:type="dxa"/>
            <w:vAlign w:val="bottom"/>
          </w:tcPr>
          <w:p>
            <w:pPr>
              <w:spacing w:after="0"/>
              <w:rPr>
                <w:sz w:val="13"/>
                <w:szCs w:val="13"/>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2120" w:type="dxa"/>
            <w:vAlign w:val="bottom"/>
            <w:vMerge w:val="restart"/>
          </w:tcPr>
          <w:p>
            <w:pPr>
              <w:spacing w:after="0"/>
              <w:rPr>
                <w:sz w:val="20"/>
                <w:szCs w:val="20"/>
                <w:color w:val="auto"/>
              </w:rPr>
            </w:pPr>
            <w:r>
              <w:rPr>
                <w:rFonts w:ascii="Arial" w:cs="Arial" w:eastAsia="Arial" w:hAnsi="Arial"/>
                <w:sz w:val="13"/>
                <w:szCs w:val="13"/>
                <w:i w:val="1"/>
                <w:iCs w:val="1"/>
                <w:color w:val="auto"/>
                <w:w w:val="97"/>
              </w:rPr>
              <w:t>(in thousands, except per share data)</w:t>
            </w:r>
          </w:p>
        </w:tc>
        <w:tc>
          <w:tcPr>
            <w:tcW w:w="518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2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28" w:lineRule="exact"/>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3"/>
              <w:spacing w:after="0" w:line="128" w:lineRule="exact"/>
              <w:rPr>
                <w:sz w:val="20"/>
                <w:szCs w:val="20"/>
                <w:color w:val="auto"/>
              </w:rPr>
            </w:pPr>
            <w:r>
              <w:rPr>
                <w:rFonts w:ascii="Arial" w:cs="Arial" w:eastAsia="Arial" w:hAnsi="Arial"/>
                <w:sz w:val="13"/>
                <w:szCs w:val="13"/>
                <w:b w:val="1"/>
                <w:bCs w:val="1"/>
                <w:color w:val="auto"/>
              </w:rPr>
              <w:t>2011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28" w:lineRule="exact"/>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53"/>
              <w:spacing w:after="0" w:line="12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3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Interest revenue:</w:t>
            </w: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Loans, including fees</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54,178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60,958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109,937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122,065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Investment securities, including tax exempt of $262, $251, $512 and $510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11,062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14,792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00" w:type="dxa"/>
            <w:vAlign w:val="bottom"/>
            <w:gridSpan w:val="2"/>
          </w:tcPr>
          <w:p>
            <w:pPr>
              <w:ind w:left="440"/>
              <w:spacing w:after="0"/>
              <w:rPr>
                <w:sz w:val="20"/>
                <w:szCs w:val="20"/>
                <w:color w:val="auto"/>
              </w:rPr>
            </w:pPr>
            <w:r>
              <w:rPr>
                <w:rFonts w:ascii="Arial" w:cs="Arial" w:eastAsia="Arial" w:hAnsi="Arial"/>
                <w:sz w:val="17"/>
                <w:szCs w:val="17"/>
                <w:color w:val="auto"/>
                <w:w w:val="97"/>
              </w:rPr>
              <w:t>Federal funds sold, reverse repurchase agreements, commercial paper and deposits in banks</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1300"/>
              <w:spacing w:after="0"/>
              <w:rPr>
                <w:sz w:val="20"/>
                <w:szCs w:val="20"/>
                <w:color w:val="auto"/>
              </w:rPr>
            </w:pPr>
            <w:r>
              <w:rPr>
                <w:rFonts w:ascii="Arial" w:cs="Arial" w:eastAsia="Arial" w:hAnsi="Arial"/>
                <w:sz w:val="17"/>
                <w:szCs w:val="17"/>
                <w:color w:val="auto"/>
              </w:rPr>
              <w:t>Total interest revenue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66,336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76,502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136,111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spacing w:after="0"/>
              <w:rPr>
                <w:sz w:val="20"/>
                <w:szCs w:val="20"/>
                <w:color w:val="auto"/>
              </w:rPr>
            </w:pPr>
            <w:r>
              <w:rPr>
                <w:rFonts w:ascii="Arial" w:cs="Arial" w:eastAsia="Arial" w:hAnsi="Arial"/>
                <w:sz w:val="17"/>
                <w:szCs w:val="17"/>
                <w:b w:val="1"/>
                <w:bCs w:val="1"/>
                <w:color w:val="auto"/>
              </w:rPr>
              <w:t>Interest expense:</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Deposits: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860"/>
              <w:spacing w:after="0"/>
              <w:rPr>
                <w:sz w:val="20"/>
                <w:szCs w:val="20"/>
                <w:color w:val="auto"/>
              </w:rPr>
            </w:pPr>
            <w:r>
              <w:rPr>
                <w:rFonts w:ascii="Arial" w:cs="Arial" w:eastAsia="Arial" w:hAnsi="Arial"/>
                <w:sz w:val="17"/>
                <w:szCs w:val="17"/>
                <w:color w:val="auto"/>
              </w:rPr>
              <w:t>NOW</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Money market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860"/>
              <w:spacing w:after="0"/>
              <w:rPr>
                <w:sz w:val="20"/>
                <w:szCs w:val="20"/>
                <w:color w:val="auto"/>
              </w:rPr>
            </w:pPr>
            <w:r>
              <w:rPr>
                <w:rFonts w:ascii="Arial" w:cs="Arial" w:eastAsia="Arial" w:hAnsi="Arial"/>
                <w:sz w:val="17"/>
                <w:szCs w:val="17"/>
                <w:color w:val="auto"/>
              </w:rPr>
              <w:t>Savings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Time</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10,995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ind w:left="1300"/>
              <w:spacing w:after="0"/>
              <w:rPr>
                <w:sz w:val="20"/>
                <w:szCs w:val="20"/>
                <w:color w:val="auto"/>
              </w:rPr>
            </w:pPr>
            <w:r>
              <w:rPr>
                <w:rFonts w:ascii="Arial" w:cs="Arial" w:eastAsia="Arial" w:hAnsi="Arial"/>
                <w:sz w:val="17"/>
                <w:szCs w:val="17"/>
                <w:color w:val="auto"/>
              </w:rPr>
              <w:t>Total deposit interest expense</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6,275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13,594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13,749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Federal funds purchased, repurchase agreements and other short-term borrowings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Federal Home Loan Bank advances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856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Long-term debt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00" w:type="dxa"/>
            <w:vAlign w:val="bottom"/>
            <w:gridSpan w:val="2"/>
          </w:tcPr>
          <w:p>
            <w:pPr>
              <w:ind w:left="860"/>
              <w:spacing w:after="0"/>
              <w:rPr>
                <w:sz w:val="20"/>
                <w:szCs w:val="20"/>
                <w:color w:val="auto"/>
              </w:rPr>
            </w:pPr>
            <w:r>
              <w:rPr>
                <w:rFonts w:ascii="Arial" w:cs="Arial" w:eastAsia="Arial" w:hAnsi="Arial"/>
                <w:sz w:val="17"/>
                <w:szCs w:val="17"/>
                <w:color w:val="auto"/>
              </w:rPr>
              <w:t>Total interest expense</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9,944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17,985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Net interest revenue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56,392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58,517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114,810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Provision for loan losses</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18,000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11,000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Net interest revenue after provision for loan losses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38,392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47,517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81,810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(86,526)</w:t>
            </w:r>
          </w:p>
        </w:tc>
        <w:tc>
          <w:tcPr>
            <w:tcW w:w="0" w:type="dxa"/>
            <w:vAlign w:val="bottom"/>
          </w:tcPr>
          <w:p>
            <w:pPr>
              <w:spacing w:after="0"/>
              <w:rPr>
                <w:sz w:val="1"/>
                <w:szCs w:val="1"/>
                <w:color w:val="auto"/>
              </w:rPr>
            </w:pPr>
          </w:p>
        </w:tc>
      </w:tr>
      <w:tr>
        <w:trPr>
          <w:trHeight w:val="220"/>
        </w:trPr>
        <w:tc>
          <w:tcPr>
            <w:tcW w:w="7300" w:type="dxa"/>
            <w:vAlign w:val="bottom"/>
            <w:gridSpan w:val="2"/>
          </w:tcPr>
          <w:p>
            <w:pPr>
              <w:spacing w:after="0"/>
              <w:rPr>
                <w:sz w:val="20"/>
                <w:szCs w:val="20"/>
                <w:color w:val="auto"/>
              </w:rPr>
            </w:pPr>
            <w:r>
              <w:rPr>
                <w:rFonts w:ascii="Arial" w:cs="Arial" w:eastAsia="Arial" w:hAnsi="Arial"/>
                <w:sz w:val="17"/>
                <w:szCs w:val="17"/>
                <w:b w:val="1"/>
                <w:bCs w:val="1"/>
                <w:color w:val="auto"/>
              </w:rPr>
              <w:t>Fee revenue:</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Service charges and fees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15,599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Mortgage loan and other related fees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2,322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4,421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Brokerage fees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Securities gains,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6,490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7,047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Loss from prepayment of debt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21"/>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Other</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1,629</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Total fee revenue</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12,867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13,905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00" w:type="dxa"/>
            <w:vAlign w:val="bottom"/>
            <w:gridSpan w:val="2"/>
          </w:tcPr>
          <w:p>
            <w:pPr>
              <w:ind w:left="860"/>
              <w:spacing w:after="0"/>
              <w:rPr>
                <w:sz w:val="20"/>
                <w:szCs w:val="20"/>
                <w:color w:val="auto"/>
              </w:rPr>
            </w:pPr>
            <w:r>
              <w:rPr>
                <w:rFonts w:ascii="Arial" w:cs="Arial" w:eastAsia="Arial" w:hAnsi="Arial"/>
                <w:sz w:val="17"/>
                <w:szCs w:val="17"/>
                <w:b w:val="1"/>
                <w:bCs w:val="1"/>
                <w:color w:val="auto"/>
              </w:rPr>
              <w:t>Total revenue</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51,259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61,422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110,056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(60,783)</w:t>
            </w: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Salaries and employee benefits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24,297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26,436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49,522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Communications and equipment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Occupancy</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3,539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3,805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7,310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Advertising and public relations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Postage, printing and supplies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Professional fees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Foreclosed property</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1,851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1,891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5,676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66,790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FDIC assessments and other regulatory charges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Amortization of intangibles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1,462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00" w:type="dxa"/>
            <w:vAlign w:val="bottom"/>
            <w:gridSpan w:val="2"/>
          </w:tcPr>
          <w:p>
            <w:pPr>
              <w:ind w:left="860"/>
              <w:spacing w:after="0"/>
              <w:rPr>
                <w:sz w:val="20"/>
                <w:szCs w:val="20"/>
                <w:color w:val="auto"/>
              </w:rPr>
            </w:pPr>
            <w:r>
              <w:rPr>
                <w:rFonts w:ascii="Arial" w:cs="Arial" w:eastAsia="Arial" w:hAnsi="Arial"/>
                <w:sz w:val="17"/>
                <w:szCs w:val="17"/>
                <w:color w:val="auto"/>
              </w:rPr>
              <w:t>Total operating expenses</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44,310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48,728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Net income (loss) before income taxes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12,694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18,791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(224,782)</w:t>
            </w:r>
          </w:p>
        </w:tc>
        <w:tc>
          <w:tcPr>
            <w:tcW w:w="0" w:type="dxa"/>
            <w:vAlign w:val="bottom"/>
          </w:tcPr>
          <w:p>
            <w:pPr>
              <w:spacing w:after="0"/>
              <w:rPr>
                <w:sz w:val="1"/>
                <w:szCs w:val="1"/>
                <w:color w:val="auto"/>
              </w:rPr>
            </w:pPr>
          </w:p>
        </w:tc>
      </w:tr>
      <w:tr>
        <w:trPr>
          <w:trHeight w:val="221"/>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Income tax expense</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860"/>
              <w:spacing w:after="0"/>
              <w:rPr>
                <w:sz w:val="20"/>
                <w:szCs w:val="20"/>
                <w:color w:val="auto"/>
              </w:rPr>
            </w:pPr>
            <w:r>
              <w:rPr>
                <w:rFonts w:ascii="Arial" w:cs="Arial" w:eastAsia="Arial" w:hAnsi="Arial"/>
                <w:sz w:val="17"/>
                <w:szCs w:val="17"/>
                <w:b w:val="1"/>
                <w:bCs w:val="1"/>
                <w:color w:val="auto"/>
              </w:rPr>
              <w:t>Net income (loss)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12,028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(225,308)</w:t>
            </w:r>
          </w:p>
        </w:tc>
        <w:tc>
          <w:tcPr>
            <w:tcW w:w="0" w:type="dxa"/>
            <w:vAlign w:val="bottom"/>
          </w:tcPr>
          <w:p>
            <w:pPr>
              <w:spacing w:after="0"/>
              <w:rPr>
                <w:sz w:val="1"/>
                <w:szCs w:val="1"/>
                <w:color w:val="auto"/>
              </w:rPr>
            </w:pPr>
          </w:p>
        </w:tc>
      </w:tr>
      <w:tr>
        <w:trPr>
          <w:trHeight w:val="221"/>
        </w:trPr>
        <w:tc>
          <w:tcPr>
            <w:tcW w:w="7300" w:type="dxa"/>
            <w:vAlign w:val="bottom"/>
            <w:gridSpan w:val="2"/>
          </w:tcPr>
          <w:p>
            <w:pPr>
              <w:ind w:left="440"/>
              <w:spacing w:after="0"/>
              <w:rPr>
                <w:sz w:val="20"/>
                <w:szCs w:val="20"/>
                <w:color w:val="auto"/>
              </w:rPr>
            </w:pPr>
            <w:r>
              <w:rPr>
                <w:rFonts w:ascii="Arial" w:cs="Arial" w:eastAsia="Arial" w:hAnsi="Arial"/>
                <w:sz w:val="17"/>
                <w:szCs w:val="17"/>
                <w:color w:val="auto"/>
              </w:rPr>
              <w:t>Preferred stock dividends and discount accretion</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3,032</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ind w:left="860"/>
              <w:spacing w:after="0"/>
              <w:rPr>
                <w:sz w:val="20"/>
                <w:szCs w:val="20"/>
                <w:color w:val="auto"/>
              </w:rPr>
            </w:pPr>
            <w:r>
              <w:rPr>
                <w:rFonts w:ascii="Arial" w:cs="Arial" w:eastAsia="Arial" w:hAnsi="Arial"/>
                <w:sz w:val="17"/>
                <w:szCs w:val="17"/>
                <w:b w:val="1"/>
                <w:bCs w:val="1"/>
                <w:color w:val="auto"/>
              </w:rPr>
              <w:t>Net income (loss) available to common shareholders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11,965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(231,102)</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7"/>
                <w:szCs w:val="17"/>
                <w:color w:val="auto"/>
              </w:rPr>
              <w:t>Earnings (loss) per common share - Basic</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00" w:type="dxa"/>
            <w:vAlign w:val="bottom"/>
            <w:gridSpan w:val="2"/>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.06</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(10.52)</w:t>
            </w:r>
          </w:p>
        </w:tc>
        <w:tc>
          <w:tcPr>
            <w:tcW w:w="0" w:type="dxa"/>
            <w:vAlign w:val="bottom"/>
          </w:tcPr>
          <w:p>
            <w:pPr>
              <w:spacing w:after="0"/>
              <w:rPr>
                <w:sz w:val="1"/>
                <w:szCs w:val="1"/>
                <w:color w:val="auto"/>
              </w:rPr>
            </w:pPr>
          </w:p>
        </w:tc>
      </w:tr>
      <w:tr>
        <w:trPr>
          <w:trHeight w:val="215"/>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(loss) per common share - Diluted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(10.52)</w:t>
            </w:r>
          </w:p>
        </w:tc>
        <w:tc>
          <w:tcPr>
            <w:tcW w:w="0" w:type="dxa"/>
            <w:vAlign w:val="bottom"/>
          </w:tcPr>
          <w:p>
            <w:pPr>
              <w:spacing w:after="0"/>
              <w:rPr>
                <w:sz w:val="1"/>
                <w:szCs w:val="1"/>
                <w:color w:val="auto"/>
              </w:rPr>
            </w:pPr>
          </w:p>
        </w:tc>
      </w:tr>
      <w:tr>
        <w:trPr>
          <w:trHeight w:val="214"/>
        </w:trPr>
        <w:tc>
          <w:tcPr>
            <w:tcW w:w="7300" w:type="dxa"/>
            <w:vAlign w:val="bottom"/>
            <w:gridSpan w:val="2"/>
          </w:tcPr>
          <w:p>
            <w:pPr>
              <w:spacing w:after="0"/>
              <w:rPr>
                <w:sz w:val="20"/>
                <w:szCs w:val="20"/>
                <w:color w:val="auto"/>
              </w:rPr>
            </w:pPr>
            <w:r>
              <w:rPr>
                <w:rFonts w:ascii="Arial" w:cs="Arial" w:eastAsia="Arial" w:hAnsi="Arial"/>
                <w:sz w:val="17"/>
                <w:szCs w:val="17"/>
                <w:color w:val="auto"/>
              </w:rPr>
              <w:t>Weighted average common shares outstanding - Basic</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57,840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25,427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57,803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common shares outstanding - Diluted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57,840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57,543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57,803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420"/>
          </w:cols>
          <w:pgMar w:left="240" w:top="457" w:right="2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7"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Consolidated Statement of Comprehensive (Loss) Income </w:t>
      </w:r>
      <w:r>
        <w:rPr>
          <w:rFonts w:ascii="Arial" w:cs="Arial" w:eastAsia="Arial" w:hAnsi="Arial"/>
          <w:sz w:val="17"/>
          <w:szCs w:val="17"/>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820" w:type="dxa"/>
            <w:vAlign w:val="bottom"/>
            <w:vMerge w:val="restart"/>
          </w:tcPr>
          <w:p>
            <w:pPr>
              <w:spacing w:after="0"/>
              <w:rPr>
                <w:sz w:val="20"/>
                <w:szCs w:val="20"/>
                <w:color w:val="auto"/>
              </w:rPr>
            </w:pPr>
            <w:r>
              <w:rPr>
                <w:rFonts w:ascii="Arial" w:cs="Arial" w:eastAsia="Arial" w:hAnsi="Arial"/>
                <w:sz w:val="13"/>
                <w:szCs w:val="13"/>
                <w:i w:val="1"/>
                <w:iCs w:val="1"/>
                <w:color w:val="auto"/>
                <w:w w:val="97"/>
              </w:rPr>
              <w:t>(in thousands)</w:t>
            </w:r>
          </w:p>
        </w:tc>
        <w:tc>
          <w:tcPr>
            <w:tcW w:w="69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right"/>
              <w:ind w:right="800"/>
              <w:spacing w:after="0"/>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3"/>
                <w:szCs w:val="13"/>
                <w:color w:val="auto"/>
              </w:rPr>
            </w:pPr>
          </w:p>
        </w:tc>
        <w:tc>
          <w:tcPr>
            <w:tcW w:w="170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47"/>
        </w:trPr>
        <w:tc>
          <w:tcPr>
            <w:tcW w:w="820" w:type="dxa"/>
            <w:vAlign w:val="bottom"/>
            <w:tcBorders>
              <w:bottom w:val="single" w:sz="8" w:color="auto"/>
            </w:tcBorders>
            <w:vMerge w:val="continue"/>
          </w:tcPr>
          <w:p>
            <w:pPr>
              <w:spacing w:after="0"/>
              <w:rPr>
                <w:sz w:val="12"/>
                <w:szCs w:val="12"/>
                <w:color w:val="auto"/>
              </w:rPr>
            </w:pPr>
          </w:p>
        </w:tc>
        <w:tc>
          <w:tcPr>
            <w:tcW w:w="6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jc w:val="right"/>
              <w:ind w:right="63"/>
              <w:spacing w:after="0" w:line="128"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28" w:lineRule="exact"/>
              <w:rPr>
                <w:sz w:val="20"/>
                <w:szCs w:val="20"/>
                <w:color w:val="auto"/>
              </w:rPr>
            </w:pPr>
            <w:r>
              <w:rPr>
                <w:rFonts w:ascii="Arial" w:cs="Arial" w:eastAsia="Arial" w:hAnsi="Arial"/>
                <w:sz w:val="13"/>
                <w:szCs w:val="13"/>
                <w:b w:val="1"/>
                <w:bCs w:val="1"/>
                <w:color w:val="auto"/>
              </w:rPr>
              <w:t>2011</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28" w:lineRule="exact"/>
              <w:rPr>
                <w:sz w:val="20"/>
                <w:szCs w:val="20"/>
                <w:color w:val="auto"/>
              </w:rPr>
            </w:pPr>
            <w:r>
              <w:rPr>
                <w:rFonts w:ascii="Arial" w:cs="Arial" w:eastAsia="Arial" w:hAnsi="Arial"/>
                <w:sz w:val="13"/>
                <w:szCs w:val="13"/>
                <w:b w:val="1"/>
                <w:bCs w:val="1"/>
                <w:color w:val="auto"/>
              </w:rPr>
              <w:t>2012</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53"/>
              <w:spacing w:after="0" w:line="12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$ 6,499</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$12,028</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18,027</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5"/>
              </w:rPr>
              <w:t>$(225,308)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40" w:type="dxa"/>
            <w:vAlign w:val="bottom"/>
            <w:gridSpan w:val="2"/>
          </w:tcPr>
          <w:p>
            <w:pPr>
              <w:spacing w:after="0"/>
              <w:rPr>
                <w:sz w:val="20"/>
                <w:szCs w:val="20"/>
                <w:color w:val="auto"/>
              </w:rPr>
            </w:pPr>
            <w:r>
              <w:rPr>
                <w:rFonts w:ascii="Arial" w:cs="Arial" w:eastAsia="Arial" w:hAnsi="Arial"/>
                <w:sz w:val="17"/>
                <w:szCs w:val="17"/>
                <w:color w:val="auto"/>
              </w:rPr>
              <w:t>Other comprehensive loss: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Unrealized (losses) gains on available for sale securities: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6920" w:type="dxa"/>
            <w:vAlign w:val="bottom"/>
          </w:tcPr>
          <w:p>
            <w:pPr>
              <w:ind w:left="40"/>
              <w:spacing w:after="0"/>
              <w:rPr>
                <w:sz w:val="20"/>
                <w:szCs w:val="20"/>
                <w:color w:val="auto"/>
              </w:rPr>
            </w:pPr>
            <w:r>
              <w:rPr>
                <w:rFonts w:ascii="Arial" w:cs="Arial" w:eastAsia="Arial" w:hAnsi="Arial"/>
                <w:sz w:val="17"/>
                <w:szCs w:val="17"/>
                <w:color w:val="auto"/>
              </w:rPr>
              <w:t>Unrealized holding gains arising during period</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4,264</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10,967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924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6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Reclassification adjustment for gains included in net income</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(6,490)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(783)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(7,047)</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206"/>
        </w:trPr>
        <w:tc>
          <w:tcPr>
            <w:tcW w:w="7740" w:type="dxa"/>
            <w:vAlign w:val="bottom"/>
            <w:gridSpan w:val="2"/>
          </w:tcPr>
          <w:p>
            <w:pPr>
              <w:ind w:left="440"/>
              <w:spacing w:after="0"/>
              <w:rPr>
                <w:sz w:val="20"/>
                <w:szCs w:val="20"/>
                <w:color w:val="auto"/>
              </w:rPr>
            </w:pPr>
            <w:r>
              <w:rPr>
                <w:rFonts w:ascii="Arial" w:cs="Arial" w:eastAsia="Arial" w:hAnsi="Arial"/>
                <w:sz w:val="17"/>
                <w:szCs w:val="17"/>
                <w:color w:val="auto"/>
                <w:w w:val="96"/>
              </w:rPr>
              <w:t>Amortization of gains included in net income (loss) on available for sale securities transferred to held</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40" w:type="dxa"/>
            <w:vAlign w:val="bottom"/>
            <w:gridSpan w:val="2"/>
          </w:tcPr>
          <w:p>
            <w:pPr>
              <w:ind w:left="660"/>
              <w:spacing w:after="0"/>
              <w:rPr>
                <w:sz w:val="20"/>
                <w:szCs w:val="20"/>
                <w:color w:val="auto"/>
              </w:rPr>
            </w:pPr>
            <w:r>
              <w:rPr>
                <w:rFonts w:ascii="Arial" w:cs="Arial" w:eastAsia="Arial" w:hAnsi="Arial"/>
                <w:sz w:val="17"/>
                <w:szCs w:val="17"/>
                <w:color w:val="auto"/>
              </w:rPr>
              <w:t>to maturity</w:t>
            </w:r>
          </w:p>
        </w:tc>
        <w:tc>
          <w:tcPr>
            <w:tcW w:w="980" w:type="dxa"/>
            <w:vAlign w:val="bottom"/>
            <w:gridSpan w:val="3"/>
          </w:tcPr>
          <w:p>
            <w:pPr>
              <w:jc w:val="right"/>
              <w:ind w:right="260"/>
              <w:spacing w:after="0"/>
              <w:rPr>
                <w:sz w:val="20"/>
                <w:szCs w:val="20"/>
                <w:color w:val="auto"/>
              </w:rPr>
            </w:pPr>
            <w:r>
              <w:rPr>
                <w:rFonts w:ascii="Arial" w:cs="Arial" w:eastAsia="Arial" w:hAnsi="Arial"/>
                <w:sz w:val="17"/>
                <w:szCs w:val="17"/>
                <w:color w:val="auto"/>
              </w:rPr>
              <w:t>(400)</w:t>
            </w: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(813)</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(1,167)</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7"/>
              </w:rPr>
              <w:t>Amortization of gains included in net income (loss) on derivative financial instruments accounted for</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as cash flow hedges</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(714)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(5,399)</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(9,622)</w:t>
            </w:r>
          </w:p>
        </w:tc>
        <w:tc>
          <w:tcPr>
            <w:tcW w:w="0" w:type="dxa"/>
            <w:vAlign w:val="bottom"/>
          </w:tcPr>
          <w:p>
            <w:pPr>
              <w:spacing w:after="0"/>
              <w:rPr>
                <w:sz w:val="1"/>
                <w:szCs w:val="1"/>
                <w:color w:val="auto"/>
              </w:rPr>
            </w:pPr>
          </w:p>
        </w:tc>
      </w:tr>
      <w:tr>
        <w:trPr>
          <w:trHeight w:val="214"/>
        </w:trPr>
        <w:tc>
          <w:tcPr>
            <w:tcW w:w="7740" w:type="dxa"/>
            <w:vAlign w:val="bottom"/>
            <w:gridSpan w:val="2"/>
          </w:tcPr>
          <w:p>
            <w:pPr>
              <w:ind w:left="440"/>
              <w:spacing w:after="0"/>
              <w:rPr>
                <w:sz w:val="20"/>
                <w:szCs w:val="20"/>
                <w:color w:val="auto"/>
              </w:rPr>
            </w:pPr>
            <w:r>
              <w:rPr>
                <w:rFonts w:ascii="Arial" w:cs="Arial" w:eastAsia="Arial" w:hAnsi="Arial"/>
                <w:sz w:val="17"/>
                <w:szCs w:val="17"/>
                <w:color w:val="auto"/>
              </w:rPr>
              <w:t>Unrealized losses on derivative financial instruments accounted for as cash flow hedges</w:t>
            </w:r>
          </w:p>
        </w:tc>
        <w:tc>
          <w:tcPr>
            <w:tcW w:w="980" w:type="dxa"/>
            <w:vAlign w:val="bottom"/>
            <w:gridSpan w:val="3"/>
          </w:tcPr>
          <w:p>
            <w:pPr>
              <w:jc w:val="right"/>
              <w:ind w:right="260"/>
              <w:spacing w:after="0"/>
              <w:rPr>
                <w:sz w:val="20"/>
                <w:szCs w:val="20"/>
                <w:color w:val="auto"/>
              </w:rPr>
            </w:pPr>
            <w:r>
              <w:rPr>
                <w:rFonts w:ascii="Arial" w:cs="Arial" w:eastAsia="Arial" w:hAnsi="Arial"/>
                <w:sz w:val="17"/>
                <w:szCs w:val="17"/>
                <w:color w:val="auto"/>
              </w:rPr>
              <w:t>(4,855)</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(4,855)</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5"/>
              </w:rPr>
              <w:t>Amortization of prior service cost and actuarial losses included in net periodic pension cost for defined</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benefit pension plans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308</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920" w:type="dxa"/>
            <w:vAlign w:val="bottom"/>
            <w:vMerge w:val="restart"/>
          </w:tcPr>
          <w:p>
            <w:pPr>
              <w:ind w:left="480"/>
              <w:spacing w:after="0"/>
              <w:rPr>
                <w:sz w:val="20"/>
                <w:szCs w:val="20"/>
                <w:color w:val="auto"/>
              </w:rPr>
            </w:pPr>
            <w:r>
              <w:rPr>
                <w:rFonts w:ascii="Arial" w:cs="Arial" w:eastAsia="Arial" w:hAnsi="Arial"/>
                <w:sz w:val="17"/>
                <w:szCs w:val="17"/>
                <w:color w:val="auto"/>
              </w:rPr>
              <w:t>Total other comprehensive (loss) income</w:t>
            </w: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tcPr>
          <w:p>
            <w:pPr>
              <w:spacing w:after="0"/>
              <w:rPr>
                <w:sz w:val="19"/>
                <w:szCs w:val="19"/>
                <w:color w:val="auto"/>
              </w:rPr>
            </w:pPr>
          </w:p>
        </w:tc>
        <w:tc>
          <w:tcPr>
            <w:tcW w:w="6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(8,041)</w:t>
            </w:r>
          </w:p>
        </w:tc>
        <w:tc>
          <w:tcPr>
            <w:tcW w:w="580" w:type="dxa"/>
            <w:vAlign w:val="bottom"/>
          </w:tcPr>
          <w:p>
            <w:pPr>
              <w:jc w:val="right"/>
              <w:spacing w:after="0"/>
              <w:rPr>
                <w:sz w:val="20"/>
                <w:szCs w:val="20"/>
                <w:color w:val="auto"/>
              </w:rPr>
            </w:pPr>
            <w:r>
              <w:rPr>
                <w:rFonts w:ascii="Arial" w:cs="Arial" w:eastAsia="Arial" w:hAnsi="Arial"/>
                <w:sz w:val="17"/>
                <w:szCs w:val="17"/>
                <w:color w:val="auto"/>
              </w:rPr>
              <w:t>4,281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(13,797)</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(1,619)</w:t>
            </w:r>
          </w:p>
        </w:tc>
        <w:tc>
          <w:tcPr>
            <w:tcW w:w="0" w:type="dxa"/>
            <w:vAlign w:val="bottom"/>
          </w:tcPr>
          <w:p>
            <w:pPr>
              <w:spacing w:after="0"/>
              <w:rPr>
                <w:sz w:val="1"/>
                <w:szCs w:val="1"/>
                <w:color w:val="auto"/>
              </w:rPr>
            </w:pPr>
          </w:p>
        </w:tc>
      </w:tr>
      <w:tr>
        <w:trPr>
          <w:trHeight w:val="28"/>
        </w:trPr>
        <w:tc>
          <w:tcPr>
            <w:tcW w:w="8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Comprehensive (loss) income</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(1,542)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16,309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4,230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(226,927)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7"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June 30,</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60"/>
        </w:trPr>
        <w:tc>
          <w:tcPr>
            <w:tcW w:w="2560" w:type="dxa"/>
            <w:vAlign w:val="bottom"/>
            <w:vMerge w:val="restart"/>
          </w:tcPr>
          <w:p>
            <w:pPr>
              <w:spacing w:after="0"/>
              <w:rPr>
                <w:sz w:val="20"/>
                <w:szCs w:val="20"/>
                <w:color w:val="auto"/>
              </w:rPr>
            </w:pPr>
            <w:r>
              <w:rPr>
                <w:rFonts w:ascii="Arial" w:cs="Arial" w:eastAsia="Arial" w:hAnsi="Arial"/>
                <w:sz w:val="13"/>
                <w:szCs w:val="13"/>
                <w:i w:val="1"/>
                <w:iCs w:val="1"/>
                <w:color w:val="auto"/>
                <w:w w:val="91"/>
              </w:rPr>
              <w:t>(in thousands, except share and per share data)</w:t>
            </w:r>
          </w:p>
        </w:tc>
        <w:tc>
          <w:tcPr>
            <w:tcW w:w="5720" w:type="dxa"/>
            <w:vAlign w:val="bottom"/>
            <w:vMerge w:val="restart"/>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560" w:type="dxa"/>
            <w:vAlign w:val="bottom"/>
            <w:tcBorders>
              <w:bottom w:val="single" w:sz="8" w:color="auto"/>
            </w:tcBorders>
            <w:vMerge w:val="continue"/>
          </w:tcPr>
          <w:p>
            <w:pPr>
              <w:spacing w:after="0"/>
              <w:rPr>
                <w:sz w:val="11"/>
                <w:szCs w:val="11"/>
                <w:color w:val="auto"/>
              </w:rPr>
            </w:pPr>
          </w:p>
        </w:tc>
        <w:tc>
          <w:tcPr>
            <w:tcW w:w="5720" w:type="dxa"/>
            <w:vAlign w:val="bottom"/>
            <w:vMerge w:val="continue"/>
          </w:tcPr>
          <w:p>
            <w:pPr>
              <w:spacing w:after="0"/>
              <w:rPr>
                <w:sz w:val="11"/>
                <w:szCs w:val="11"/>
                <w:color w:val="auto"/>
              </w:rPr>
            </w:pPr>
          </w:p>
        </w:tc>
        <w:tc>
          <w:tcPr>
            <w:tcW w:w="780" w:type="dxa"/>
            <w:vAlign w:val="bottom"/>
            <w:gridSpan w:val="2"/>
          </w:tcPr>
          <w:p>
            <w:pPr>
              <w:jc w:val="center"/>
              <w:spacing w:after="0" w:line="128" w:lineRule="exact"/>
              <w:rPr>
                <w:sz w:val="20"/>
                <w:szCs w:val="20"/>
                <w:color w:val="auto"/>
              </w:rPr>
            </w:pPr>
            <w:r>
              <w:rPr>
                <w:rFonts w:ascii="Arial" w:cs="Arial" w:eastAsia="Arial" w:hAnsi="Arial"/>
                <w:sz w:val="13"/>
                <w:szCs w:val="13"/>
                <w:i w:val="1"/>
                <w:iCs w:val="1"/>
                <w:color w:val="auto"/>
                <w:w w:val="94"/>
              </w:rPr>
              <w:t>(unaudited)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3"/>
                <w:szCs w:val="13"/>
                <w:i w:val="1"/>
                <w:iCs w:val="1"/>
                <w:color w:val="auto"/>
                <w:w w:val="97"/>
              </w:rPr>
              <w:t>(audited)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spacing w:after="0" w:line="128" w:lineRule="exact"/>
              <w:rPr>
                <w:sz w:val="20"/>
                <w:szCs w:val="20"/>
                <w:color w:val="auto"/>
              </w:rPr>
            </w:pPr>
            <w:r>
              <w:rPr>
                <w:rFonts w:ascii="Arial" w:cs="Arial" w:eastAsia="Arial" w:hAnsi="Arial"/>
                <w:sz w:val="13"/>
                <w:szCs w:val="13"/>
                <w:i w:val="1"/>
                <w:i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8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Cash and due from banks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50,596</w:t>
            </w:r>
          </w:p>
        </w:tc>
        <w:tc>
          <w:tcPr>
            <w:tcW w:w="3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53,807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163,331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Interest-bearing deposits in banks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133,857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139,609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Federal funds sold, reverse repurchase agreements, commercial paper and short-term investments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185,000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174,996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2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Cash and cash equivalents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304,453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378,416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Securities available for sale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1,701,583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1,790,047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1,816,613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Securities held to maturity (fair value $299,971, $343,531 and $379,231)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282,750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330,203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Mortgage loans held for sale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18,645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23,881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Loans, net of unearned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4,119,235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4,109,614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4,163,447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860"/>
              <w:spacing w:after="0"/>
              <w:rPr>
                <w:sz w:val="20"/>
                <w:szCs w:val="20"/>
                <w:color w:val="auto"/>
              </w:rPr>
            </w:pPr>
            <w:r>
              <w:rPr>
                <w:rFonts w:ascii="Arial" w:cs="Arial" w:eastAsia="Arial" w:hAnsi="Arial"/>
                <w:sz w:val="17"/>
                <w:szCs w:val="17"/>
                <w:color w:val="auto"/>
              </w:rPr>
              <w:t>Less allowance for loan losses</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112,705</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114,468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127,638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280" w:type="dxa"/>
            <w:vAlign w:val="bottom"/>
            <w:gridSpan w:val="2"/>
            <w:shd w:val="clear" w:color="auto" w:fill="CCEEFF"/>
          </w:tcPr>
          <w:p>
            <w:pPr>
              <w:ind w:left="1720"/>
              <w:spacing w:after="0"/>
              <w:rPr>
                <w:sz w:val="20"/>
                <w:szCs w:val="20"/>
                <w:color w:val="auto"/>
              </w:rPr>
            </w:pPr>
            <w:r>
              <w:rPr>
                <w:rFonts w:ascii="Arial" w:cs="Arial" w:eastAsia="Arial" w:hAnsi="Arial"/>
                <w:sz w:val="17"/>
                <w:szCs w:val="17"/>
                <w:color w:val="auto"/>
              </w:rPr>
              <w:t>Loans,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4,006,530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3,995,146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4,035,809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Assets covered by loss sharing agreements with the FDIC</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65,914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78,145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Premises and equipment,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175,088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Bank owned life insurance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81,265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80,599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80,134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Accrued interest receivable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20,693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Goodwill and other intangible assets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8,428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Foreclosed property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32,859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Other assets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46,229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69,915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280" w:type="dxa"/>
            <w:vAlign w:val="bottom"/>
            <w:gridSpan w:val="2"/>
            <w:shd w:val="clear" w:color="auto" w:fill="CCEEFF"/>
          </w:tcPr>
          <w:p>
            <w:pPr>
              <w:ind w:left="860"/>
              <w:spacing w:after="0"/>
              <w:rPr>
                <w:sz w:val="20"/>
                <w:szCs w:val="20"/>
                <w:color w:val="auto"/>
              </w:rPr>
            </w:pPr>
            <w:r>
              <w:rPr>
                <w:rFonts w:ascii="Arial" w:cs="Arial" w:eastAsia="Arial" w:hAnsi="Arial"/>
                <w:sz w:val="17"/>
                <w:szCs w:val="17"/>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6,737,106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6,983,420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7,152,295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Deposits: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Demand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1,150,444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992,109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860"/>
              <w:spacing w:after="0"/>
              <w:rPr>
                <w:sz w:val="20"/>
                <w:szCs w:val="20"/>
                <w:color w:val="auto"/>
              </w:rPr>
            </w:pPr>
            <w:r>
              <w:rPr>
                <w:rFonts w:ascii="Arial" w:cs="Arial" w:eastAsia="Arial" w:hAnsi="Arial"/>
                <w:sz w:val="17"/>
                <w:szCs w:val="17"/>
                <w:color w:val="auto"/>
              </w:rPr>
              <w:t>NOW</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1,196,507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1,509,896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1,306,109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Money market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1,117,139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1,038,778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860"/>
              <w:spacing w:after="0"/>
              <w:rPr>
                <w:sz w:val="20"/>
                <w:szCs w:val="20"/>
                <w:color w:val="auto"/>
              </w:rPr>
            </w:pPr>
            <w:r>
              <w:rPr>
                <w:rFonts w:ascii="Arial" w:cs="Arial" w:eastAsia="Arial" w:hAnsi="Arial"/>
                <w:sz w:val="17"/>
                <w:szCs w:val="17"/>
                <w:color w:val="auto"/>
              </w:rPr>
              <w:t>Savings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219,077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199,007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197,927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Time: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1300"/>
              <w:spacing w:after="0"/>
              <w:rPr>
                <w:sz w:val="20"/>
                <w:szCs w:val="20"/>
                <w:color w:val="auto"/>
              </w:rPr>
            </w:pPr>
            <w:r>
              <w:rPr>
                <w:rFonts w:ascii="Arial" w:cs="Arial" w:eastAsia="Arial" w:hAnsi="Arial"/>
                <w:sz w:val="17"/>
                <w:szCs w:val="17"/>
                <w:color w:val="auto"/>
              </w:rPr>
              <w:t>Less than $100,000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1,164,451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1,332,394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1,508,444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1300"/>
              <w:spacing w:after="0"/>
              <w:rPr>
                <w:sz w:val="20"/>
                <w:szCs w:val="20"/>
                <w:color w:val="auto"/>
              </w:rPr>
            </w:pPr>
            <w:r>
              <w:rPr>
                <w:rFonts w:ascii="Arial" w:cs="Arial" w:eastAsia="Arial" w:hAnsi="Arial"/>
                <w:sz w:val="17"/>
                <w:szCs w:val="17"/>
                <w:color w:val="auto"/>
              </w:rPr>
              <w:t>Greater than $100,000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764,343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847,152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860"/>
              <w:spacing w:after="0"/>
              <w:rPr>
                <w:sz w:val="20"/>
                <w:szCs w:val="20"/>
                <w:color w:val="auto"/>
              </w:rPr>
            </w:pPr>
            <w:r>
              <w:rPr>
                <w:rFonts w:ascii="Arial" w:cs="Arial" w:eastAsia="Arial" w:hAnsi="Arial"/>
                <w:sz w:val="17"/>
                <w:szCs w:val="17"/>
                <w:color w:val="auto"/>
              </w:rPr>
              <w:t>Brokered</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210,506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178,647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300,964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280" w:type="dxa"/>
            <w:vAlign w:val="bottom"/>
            <w:gridSpan w:val="2"/>
            <w:shd w:val="clear" w:color="auto" w:fill="CCEEFF"/>
          </w:tcPr>
          <w:p>
            <w:pPr>
              <w:ind w:left="2160"/>
              <w:spacing w:after="0"/>
              <w:rPr>
                <w:sz w:val="20"/>
                <w:szCs w:val="20"/>
                <w:color w:val="auto"/>
              </w:rPr>
            </w:pPr>
            <w:r>
              <w:rPr>
                <w:rFonts w:ascii="Arial" w:cs="Arial" w:eastAsia="Arial" w:hAnsi="Arial"/>
                <w:sz w:val="17"/>
                <w:szCs w:val="17"/>
                <w:color w:val="auto"/>
              </w:rPr>
              <w:t>Total deposits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5,822,467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6,097,983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6,183,215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Federal funds purchased, repurchase agreements, and other short-term borrowings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53,656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102,577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Federal Home Loan Bank advances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40,625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Long-term debt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120,265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120,225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150,186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Unsettled securities purchases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Accrued expenses and other liabilities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39,598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36,199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280" w:type="dxa"/>
            <w:vAlign w:val="bottom"/>
            <w:gridSpan w:val="2"/>
            <w:shd w:val="clear" w:color="auto" w:fill="CCEEFF"/>
          </w:tcPr>
          <w:p>
            <w:pPr>
              <w:ind w:left="860"/>
              <w:spacing w:after="0"/>
              <w:rPr>
                <w:sz w:val="20"/>
                <w:szCs w:val="20"/>
                <w:color w:val="auto"/>
              </w:rPr>
            </w:pPr>
            <w:r>
              <w:rPr>
                <w:rFonts w:ascii="Arial" w:cs="Arial" w:eastAsia="Arial" w:hAnsi="Arial"/>
                <w:sz w:val="17"/>
                <w:szCs w:val="17"/>
                <w:b w:val="1"/>
                <w:bCs w:val="1"/>
                <w:color w:val="auto"/>
              </w:rPr>
              <w:t>Total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6,161,111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6,407,934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6,549,694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8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Preferred stock, $1 par value; 10,000,000 shares authorized;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860"/>
              <w:spacing w:after="0"/>
              <w:rPr>
                <w:sz w:val="20"/>
                <w:szCs w:val="20"/>
                <w:color w:val="auto"/>
              </w:rPr>
            </w:pPr>
            <w:r>
              <w:rPr>
                <w:rFonts w:ascii="Arial" w:cs="Arial" w:eastAsia="Arial" w:hAnsi="Arial"/>
                <w:sz w:val="17"/>
                <w:szCs w:val="17"/>
                <w:color w:val="auto"/>
              </w:rPr>
              <w:t>Series A; $10 stated value; 21,700 shares issued and outstanding</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Series B; $1,000 stated value; 180,000 shares issued and outstanding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177,092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860"/>
              <w:spacing w:after="0"/>
              <w:rPr>
                <w:sz w:val="20"/>
                <w:szCs w:val="20"/>
                <w:color w:val="auto"/>
              </w:rPr>
            </w:pPr>
            <w:r>
              <w:rPr>
                <w:rFonts w:ascii="Arial" w:cs="Arial" w:eastAsia="Arial" w:hAnsi="Arial"/>
                <w:sz w:val="17"/>
                <w:szCs w:val="17"/>
                <w:color w:val="auto"/>
              </w:rPr>
              <w:t>Series D; $1,000 stated value; 16,613 shares issued and outstanding</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16,613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16,613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Common stock, $1 par value; 100,000,000 shares authorized;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860"/>
              <w:spacing w:after="0"/>
              <w:rPr>
                <w:sz w:val="20"/>
                <w:szCs w:val="20"/>
                <w:color w:val="auto"/>
              </w:rPr>
            </w:pPr>
            <w:r>
              <w:rPr>
                <w:rFonts w:ascii="Arial" w:cs="Arial" w:eastAsia="Arial" w:hAnsi="Arial"/>
                <w:sz w:val="17"/>
                <w:szCs w:val="17"/>
                <w:color w:val="auto"/>
              </w:rPr>
              <w:t>41,726,509, 41,647,100 and 41,554,874 shares issued and outstanding</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41,727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41,647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Common stock, non-voting, $1 par value; 30,000,000 shares authorized;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860"/>
              <w:spacing w:after="0"/>
              <w:rPr>
                <w:sz w:val="20"/>
                <w:szCs w:val="20"/>
                <w:color w:val="auto"/>
              </w:rPr>
            </w:pPr>
            <w:r>
              <w:rPr>
                <w:rFonts w:ascii="Arial" w:cs="Arial" w:eastAsia="Arial" w:hAnsi="Arial"/>
                <w:sz w:val="17"/>
                <w:szCs w:val="17"/>
                <w:color w:val="auto"/>
              </w:rPr>
              <w:t>15,914,209 shares issued and outstanding</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15,914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15,914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Common stock issuable; 94,657, 93,681 and 83,575 shares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Capital surplus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1,056,819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1,054,940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1,052,482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Accumulated deficit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(718,896)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(730,861)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(723,378)</w:t>
            </w:r>
          </w:p>
        </w:tc>
        <w:tc>
          <w:tcPr>
            <w:tcW w:w="0" w:type="dxa"/>
            <w:vAlign w:val="bottom"/>
          </w:tcPr>
          <w:p>
            <w:pPr>
              <w:spacing w:after="0"/>
              <w:rPr>
                <w:sz w:val="1"/>
                <w:szCs w:val="1"/>
                <w:color w:val="auto"/>
              </w:rPr>
            </w:pPr>
          </w:p>
        </w:tc>
      </w:tr>
      <w:tr>
        <w:trPr>
          <w:trHeight w:val="214"/>
        </w:trPr>
        <w:tc>
          <w:tcPr>
            <w:tcW w:w="8280" w:type="dxa"/>
            <w:vAlign w:val="bottom"/>
            <w:gridSpan w:val="2"/>
          </w:tcPr>
          <w:p>
            <w:pPr>
              <w:ind w:left="440"/>
              <w:spacing w:after="0"/>
              <w:rPr>
                <w:sz w:val="20"/>
                <w:szCs w:val="20"/>
                <w:color w:val="auto"/>
              </w:rPr>
            </w:pPr>
            <w:r>
              <w:rPr>
                <w:rFonts w:ascii="Arial" w:cs="Arial" w:eastAsia="Arial" w:hAnsi="Arial"/>
                <w:sz w:val="17"/>
                <w:szCs w:val="17"/>
                <w:color w:val="auto"/>
              </w:rPr>
              <w:t>Accumulated other comprehensive (loss) income</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(17,106)</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(3,309)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280" w:type="dxa"/>
            <w:vAlign w:val="bottom"/>
            <w:gridSpan w:val="2"/>
            <w:shd w:val="clear" w:color="auto" w:fill="CCEEFF"/>
          </w:tcPr>
          <w:p>
            <w:pPr>
              <w:ind w:left="860"/>
              <w:spacing w:after="0"/>
              <w:rPr>
                <w:sz w:val="20"/>
                <w:szCs w:val="20"/>
                <w:color w:val="auto"/>
              </w:rPr>
            </w:pPr>
            <w:r>
              <w:rPr>
                <w:rFonts w:ascii="Arial" w:cs="Arial" w:eastAsia="Arial" w:hAnsi="Arial"/>
                <w:sz w:val="17"/>
                <w:szCs w:val="17"/>
                <w:b w:val="1"/>
                <w:bCs w:val="1"/>
                <w:color w:val="auto"/>
              </w:rPr>
              <w:t>Total shareholders’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575,995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575,486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ind w:left="860"/>
              <w:spacing w:after="0"/>
              <w:rPr>
                <w:sz w:val="20"/>
                <w:szCs w:val="20"/>
                <w:color w:val="auto"/>
              </w:rPr>
            </w:pPr>
            <w:r>
              <w:rPr>
                <w:rFonts w:ascii="Arial" w:cs="Arial" w:eastAsia="Arial" w:hAnsi="Arial"/>
                <w:sz w:val="17"/>
                <w:szCs w:val="17"/>
                <w:b w:val="1"/>
                <w:bCs w:val="1"/>
                <w:color w:val="auto"/>
              </w:rPr>
              <w:t>Total liabilities and shareholders’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6,737,106</w:t>
            </w:r>
          </w:p>
        </w:tc>
        <w:tc>
          <w:tcPr>
            <w:tcW w:w="3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6,983,420</w:t>
            </w:r>
          </w:p>
        </w:tc>
        <w:tc>
          <w:tcPr>
            <w:tcW w:w="2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7,152,295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420"/>
          </w:cols>
          <w:pgMar w:left="240" w:top="457" w:right="2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7"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Consolidated Statement of Changes in Shareholders’ Equity </w:t>
      </w:r>
      <w:r>
        <w:rPr>
          <w:rFonts w:ascii="Arial" w:cs="Arial" w:eastAsia="Arial" w:hAnsi="Arial"/>
          <w:sz w:val="17"/>
          <w:szCs w:val="17"/>
          <w:i w:val="1"/>
          <w:iCs w:val="1"/>
          <w:color w:val="auto"/>
        </w:rPr>
        <w:t>(Unaudited)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Six Months Ended June 30,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3"/>
                <w:szCs w:val="13"/>
                <w:b w:val="1"/>
                <w:bCs w:val="1"/>
                <w:color w:val="auto"/>
                <w:w w:val="94"/>
              </w:rPr>
              <w:t>Preferred Stock</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Non-Voting</w:t>
            </w:r>
          </w:p>
        </w:tc>
        <w:tc>
          <w:tcPr>
            <w:tcW w:w="18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0"/>
        </w:trPr>
        <w:tc>
          <w:tcPr>
            <w:tcW w:w="2280" w:type="dxa"/>
            <w:vAlign w:val="bottom"/>
            <w:gridSpan w:val="2"/>
          </w:tcPr>
          <w:p>
            <w:pPr>
              <w:spacing w:after="0" w:line="130" w:lineRule="exact"/>
              <w:rPr>
                <w:sz w:val="20"/>
                <w:szCs w:val="20"/>
                <w:color w:val="auto"/>
              </w:rPr>
            </w:pPr>
            <w:r>
              <w:rPr>
                <w:rFonts w:ascii="Arial" w:cs="Arial" w:eastAsia="Arial" w:hAnsi="Arial"/>
                <w:sz w:val="13"/>
                <w:szCs w:val="13"/>
                <w:i w:val="1"/>
                <w:iCs w:val="1"/>
                <w:color w:val="auto"/>
              </w:rPr>
              <w:t>(in thousands, except share</w:t>
            </w:r>
          </w:p>
        </w:tc>
        <w:tc>
          <w:tcPr>
            <w:tcW w:w="3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w w:val="86"/>
              </w:rPr>
              <w:t>Series</w:t>
            </w:r>
          </w:p>
        </w:tc>
        <w:tc>
          <w:tcPr>
            <w:tcW w:w="160" w:type="dxa"/>
            <w:vAlign w:val="bottom"/>
          </w:tcPr>
          <w:p>
            <w:pPr>
              <w:spacing w:after="0"/>
              <w:rPr>
                <w:sz w:val="11"/>
                <w:szCs w:val="11"/>
                <w:color w:val="auto"/>
              </w:rPr>
            </w:pPr>
          </w:p>
        </w:tc>
        <w:tc>
          <w:tcPr>
            <w:tcW w:w="560" w:type="dxa"/>
            <w:vAlign w:val="bottom"/>
            <w:gridSpan w:val="2"/>
          </w:tcPr>
          <w:p>
            <w:pPr>
              <w:jc w:val="center"/>
              <w:ind w:right="20"/>
              <w:spacing w:after="0" w:line="130" w:lineRule="exact"/>
              <w:rPr>
                <w:sz w:val="20"/>
                <w:szCs w:val="20"/>
                <w:color w:val="auto"/>
              </w:rPr>
            </w:pPr>
            <w:r>
              <w:rPr>
                <w:rFonts w:ascii="Arial" w:cs="Arial" w:eastAsia="Arial" w:hAnsi="Arial"/>
                <w:sz w:val="13"/>
                <w:szCs w:val="13"/>
                <w:b w:val="1"/>
                <w:bCs w:val="1"/>
                <w:color w:val="auto"/>
                <w:w w:val="86"/>
              </w:rPr>
              <w:t>Series</w:t>
            </w:r>
          </w:p>
        </w:tc>
        <w:tc>
          <w:tcPr>
            <w:tcW w:w="140" w:type="dxa"/>
            <w:vAlign w:val="bottom"/>
          </w:tcPr>
          <w:p>
            <w:pPr>
              <w:spacing w:after="0"/>
              <w:rPr>
                <w:sz w:val="11"/>
                <w:szCs w:val="11"/>
                <w:color w:val="auto"/>
              </w:rPr>
            </w:pPr>
          </w:p>
        </w:tc>
        <w:tc>
          <w:tcPr>
            <w:tcW w:w="440" w:type="dxa"/>
            <w:vAlign w:val="bottom"/>
            <w:gridSpan w:val="2"/>
          </w:tcPr>
          <w:p>
            <w:pPr>
              <w:jc w:val="right"/>
              <w:spacing w:after="0" w:line="130" w:lineRule="exact"/>
              <w:rPr>
                <w:sz w:val="20"/>
                <w:szCs w:val="20"/>
                <w:color w:val="auto"/>
              </w:rPr>
            </w:pPr>
            <w:r>
              <w:rPr>
                <w:rFonts w:ascii="Arial" w:cs="Arial" w:eastAsia="Arial" w:hAnsi="Arial"/>
                <w:sz w:val="13"/>
                <w:szCs w:val="13"/>
                <w:b w:val="1"/>
                <w:bCs w:val="1"/>
                <w:color w:val="auto"/>
                <w:w w:val="92"/>
              </w:rPr>
              <w:t>Series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0" w:lineRule="exact"/>
              <w:rPr>
                <w:sz w:val="20"/>
                <w:szCs w:val="20"/>
                <w:color w:val="auto"/>
              </w:rPr>
            </w:pPr>
            <w:r>
              <w:rPr>
                <w:rFonts w:ascii="Arial" w:cs="Arial" w:eastAsia="Arial" w:hAnsi="Arial"/>
                <w:sz w:val="13"/>
                <w:szCs w:val="13"/>
                <w:b w:val="1"/>
                <w:bCs w:val="1"/>
                <w:color w:val="auto"/>
                <w:w w:val="92"/>
              </w:rPr>
              <w:t>Series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3"/>
              <w:spacing w:after="0" w:line="130" w:lineRule="exact"/>
              <w:rPr>
                <w:sz w:val="20"/>
                <w:szCs w:val="20"/>
                <w:color w:val="auto"/>
              </w:rPr>
            </w:pPr>
            <w:r>
              <w:rPr>
                <w:rFonts w:ascii="Arial" w:cs="Arial" w:eastAsia="Arial" w:hAnsi="Arial"/>
                <w:sz w:val="13"/>
                <w:szCs w:val="13"/>
                <w:b w:val="1"/>
                <w:bCs w:val="1"/>
                <w:color w:val="auto"/>
                <w:w w:val="86"/>
              </w:rPr>
              <w:t>Series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0"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13"/>
              <w:spacing w:after="0" w:line="130" w:lineRule="exact"/>
              <w:rPr>
                <w:sz w:val="20"/>
                <w:szCs w:val="20"/>
                <w:color w:val="auto"/>
              </w:rPr>
            </w:pPr>
            <w:r>
              <w:rPr>
                <w:rFonts w:ascii="Arial" w:cs="Arial" w:eastAsia="Arial" w:hAnsi="Arial"/>
                <w:sz w:val="13"/>
                <w:szCs w:val="13"/>
                <w:b w:val="1"/>
                <w:bCs w:val="1"/>
                <w:color w:val="auto"/>
                <w:w w:val="88"/>
              </w:rPr>
              <w:t>Common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300"/>
              <w:spacing w:after="0" w:line="130"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1"/>
                <w:szCs w:val="11"/>
                <w:color w:val="auto"/>
              </w:rPr>
            </w:pPr>
          </w:p>
        </w:tc>
        <w:tc>
          <w:tcPr>
            <w:tcW w:w="720" w:type="dxa"/>
            <w:vAlign w:val="bottom"/>
            <w:gridSpan w:val="2"/>
          </w:tcPr>
          <w:p>
            <w:pPr>
              <w:jc w:val="right"/>
              <w:ind w:right="280"/>
              <w:spacing w:after="0" w:line="130" w:lineRule="exact"/>
              <w:rPr>
                <w:sz w:val="20"/>
                <w:szCs w:val="20"/>
                <w:color w:val="auto"/>
              </w:rPr>
            </w:pPr>
            <w:r>
              <w:rPr>
                <w:rFonts w:ascii="Arial" w:cs="Arial" w:eastAsia="Arial" w:hAnsi="Arial"/>
                <w:sz w:val="13"/>
                <w:szCs w:val="13"/>
                <w:b w:val="1"/>
                <w:bCs w:val="1"/>
                <w:color w:val="auto"/>
                <w:w w:val="96"/>
              </w:rPr>
              <w:t>Capital</w:t>
            </w:r>
          </w:p>
        </w:tc>
        <w:tc>
          <w:tcPr>
            <w:tcW w:w="980" w:type="dxa"/>
            <w:vAlign w:val="bottom"/>
            <w:gridSpan w:val="3"/>
          </w:tcPr>
          <w:p>
            <w:pPr>
              <w:ind w:left="20"/>
              <w:spacing w:after="0" w:line="130"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spacing w:after="0" w:line="130" w:lineRule="exact"/>
              <w:rPr>
                <w:sz w:val="20"/>
                <w:szCs w:val="20"/>
                <w:color w:val="auto"/>
              </w:rPr>
            </w:pPr>
            <w:r>
              <w:rPr>
                <w:rFonts w:ascii="Arial" w:cs="Arial" w:eastAsia="Arial" w:hAnsi="Arial"/>
                <w:sz w:val="13"/>
                <w:szCs w:val="13"/>
                <w:b w:val="1"/>
                <w:bCs w:val="1"/>
                <w:color w:val="auto"/>
                <w:w w:val="94"/>
              </w:rPr>
              <w:t>Comprehensive</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and per share data)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ind w:right="73"/>
              <w:spacing w:after="0"/>
              <w:rPr>
                <w:sz w:val="20"/>
                <w:szCs w:val="20"/>
                <w:color w:val="auto"/>
              </w:rPr>
            </w:pPr>
            <w:r>
              <w:rPr>
                <w:rFonts w:ascii="Arial" w:cs="Arial" w:eastAsia="Arial" w:hAnsi="Arial"/>
                <w:sz w:val="13"/>
                <w:szCs w:val="13"/>
                <w:b w:val="1"/>
                <w:bCs w:val="1"/>
                <w:color w:val="auto"/>
              </w:rPr>
              <w:t>A</w:t>
            </w:r>
          </w:p>
        </w:tc>
        <w:tc>
          <w:tcPr>
            <w:tcW w:w="160" w:type="dxa"/>
            <w:vAlign w:val="bottom"/>
          </w:tcPr>
          <w:p>
            <w:pPr>
              <w:spacing w:after="0"/>
              <w:rPr>
                <w:sz w:val="15"/>
                <w:szCs w:val="15"/>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4"/>
              </w:rPr>
              <w:t>B</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ind w:right="113"/>
              <w:spacing w:after="0"/>
              <w:rPr>
                <w:sz w:val="20"/>
                <w:szCs w:val="20"/>
                <w:color w:val="auto"/>
              </w:rPr>
            </w:pPr>
            <w:r>
              <w:rPr>
                <w:rFonts w:ascii="Arial" w:cs="Arial" w:eastAsia="Arial" w:hAnsi="Arial"/>
                <w:sz w:val="13"/>
                <w:szCs w:val="13"/>
                <w:b w:val="1"/>
                <w:bCs w:val="1"/>
                <w:color w:val="auto"/>
              </w:rPr>
              <w:t>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F</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G</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Issuable</w:t>
            </w:r>
          </w:p>
        </w:tc>
        <w:tc>
          <w:tcPr>
            <w:tcW w:w="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Surplus</w:t>
            </w:r>
          </w:p>
        </w:tc>
        <w:tc>
          <w:tcPr>
            <w:tcW w:w="14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Deficit</w:t>
            </w: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Income (Loss)</w:t>
            </w:r>
          </w:p>
        </w:tc>
        <w:tc>
          <w:tcPr>
            <w:tcW w:w="0" w:type="dxa"/>
            <w:vAlign w:val="bottom"/>
          </w:tcPr>
          <w:p>
            <w:pPr>
              <w:spacing w:after="0"/>
              <w:rPr>
                <w:sz w:val="1"/>
                <w:szCs w:val="1"/>
                <w:color w:val="auto"/>
              </w:rPr>
            </w:pPr>
          </w:p>
        </w:tc>
      </w:tr>
      <w:tr>
        <w:trPr>
          <w:trHeight w:val="123"/>
        </w:trPr>
        <w:tc>
          <w:tcPr>
            <w:tcW w:w="228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Balance, December 31, 2010</w:t>
            </w:r>
          </w:p>
        </w:tc>
        <w:tc>
          <w:tcPr>
            <w:tcW w:w="10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217</w:t>
            </w:r>
          </w:p>
        </w:tc>
        <w:tc>
          <w:tcPr>
            <w:tcW w:w="160" w:type="dxa"/>
            <w:vAlign w:val="bottom"/>
          </w:tcPr>
          <w:p>
            <w:pPr>
              <w:spacing w:after="0"/>
              <w:rPr>
                <w:sz w:val="10"/>
                <w:szCs w:val="10"/>
                <w:color w:val="auto"/>
              </w:rPr>
            </w:pPr>
          </w:p>
        </w:tc>
        <w:tc>
          <w:tcPr>
            <w:tcW w:w="5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w w:val="92"/>
              </w:rPr>
              <w:t>$175,711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ind w:right="13"/>
              <w:spacing w:after="0" w:line="12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tcPr>
          <w:p>
            <w:pPr>
              <w:jc w:val="right"/>
              <w:ind w:right="13"/>
              <w:spacing w:after="0" w:line="12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tcPr>
          <w:p>
            <w:pPr>
              <w:jc w:val="right"/>
              <w:ind w:right="13"/>
              <w:spacing w:after="0" w:line="12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18,937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3,894</w:t>
            </w:r>
          </w:p>
        </w:tc>
        <w:tc>
          <w:tcPr>
            <w:tcW w:w="200" w:type="dxa"/>
            <w:vAlign w:val="bottom"/>
          </w:tcPr>
          <w:p>
            <w:pPr>
              <w:spacing w:after="0"/>
              <w:rPr>
                <w:sz w:val="10"/>
                <w:szCs w:val="10"/>
                <w:color w:val="auto"/>
              </w:rPr>
            </w:pPr>
          </w:p>
        </w:tc>
        <w:tc>
          <w:tcPr>
            <w:tcW w:w="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741,244</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(492,276)</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20,851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(225,308)</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Other comprehensive loss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(1,619)</w:t>
            </w: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Preferred for common equity exchange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related to tax benefits preservation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plan (1,551,126 common 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w w:val="90"/>
              </w:rPr>
              <w:t>16,613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(1,551)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(15,062)</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Penalty received on incomplete private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equity transaction, net of tax</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expense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3,250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Conversion of Series F and Series 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Preferred Stock (20,618,156 voting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w w:val="98"/>
              </w:rPr>
              <w:t>and 15,914,209 non-voting common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89"/>
              </w:rPr>
              <w:t>(195,872)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89"/>
              </w:rPr>
              <w:t>(151,185)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20,618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15,914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310,525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Common stock issued to dividend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reinvestment plan and employee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benefit plans (78,584 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665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Common and preferred stock issued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(3,467,699 common 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195,872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151,185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3,468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11,035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Amortization of stock options and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restricted stock awards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758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w w:val="97"/>
              </w:rPr>
              <w:t>Vesting of restricted stock (1,417 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issued, 6,382 shares deferred)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(55)</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Deferred compensation plan, net,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including dividend equivalents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127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Shares issued from deferred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compensation plan (3,209 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(501)</w:t>
            </w: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498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Tax on option exercise and restricted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stock vesting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(376)</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Preferred stock dividends: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Series A</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Series B</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681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(5,200)</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80" w:type="dxa"/>
            <w:vAlign w:val="bottom"/>
            <w:gridSpan w:val="2"/>
          </w:tcPr>
          <w:p>
            <w:pPr>
              <w:ind w:left="440"/>
              <w:spacing w:after="0"/>
              <w:rPr>
                <w:sz w:val="20"/>
                <w:szCs w:val="20"/>
                <w:color w:val="auto"/>
              </w:rPr>
            </w:pPr>
            <w:r>
              <w:rPr>
                <w:rFonts w:ascii="Arial" w:cs="Arial" w:eastAsia="Arial" w:hAnsi="Arial"/>
                <w:sz w:val="13"/>
                <w:szCs w:val="13"/>
                <w:color w:val="auto"/>
              </w:rPr>
              <w:t>Series 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(587)</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June 30, 2011</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80" w:type="dxa"/>
            <w:vAlign w:val="bottom"/>
            <w:gridSpan w:val="2"/>
            <w:vMerge w:val="continue"/>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217</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u w:val="single" w:color="auto"/>
                <w:color w:val="auto"/>
                <w:w w:val="92"/>
              </w:rPr>
              <w:t>$</w:t>
            </w:r>
            <w:r>
              <w:rPr>
                <w:rFonts w:ascii="Arial" w:cs="Arial" w:eastAsia="Arial" w:hAnsi="Arial"/>
                <w:sz w:val="13"/>
                <w:szCs w:val="13"/>
                <w:color w:val="auto"/>
                <w:w w:val="92"/>
              </w:rPr>
              <w:t>176,392</w:t>
            </w:r>
          </w:p>
        </w:tc>
        <w:tc>
          <w:tcPr>
            <w:tcW w:w="4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16,613</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41,555</w:t>
            </w:r>
          </w:p>
        </w:tc>
        <w:tc>
          <w:tcPr>
            <w:tcW w:w="14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15,914</w:t>
            </w:r>
          </w:p>
        </w:tc>
        <w:tc>
          <w:tcPr>
            <w:tcW w:w="2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3,574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1,052,482</w:t>
            </w:r>
          </w:p>
        </w:tc>
        <w:tc>
          <w:tcPr>
            <w:tcW w:w="2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(723,378)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19,232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December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280" w:type="dxa"/>
            <w:vAlign w:val="bottom"/>
            <w:gridSpan w:val="2"/>
            <w:vMerge w:val="continue"/>
          </w:tcPr>
          <w:p>
            <w:pPr>
              <w:spacing w:after="0"/>
              <w:rPr>
                <w:sz w:val="11"/>
                <w:szCs w:val="11"/>
                <w:color w:val="auto"/>
              </w:rPr>
            </w:pPr>
          </w:p>
        </w:tc>
        <w:tc>
          <w:tcPr>
            <w:tcW w:w="100" w:type="dxa"/>
            <w:vAlign w:val="bottom"/>
          </w:tcPr>
          <w:p>
            <w:pPr>
              <w:spacing w:after="0" w:line="130"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0" w:lineRule="exact"/>
              <w:rPr>
                <w:sz w:val="20"/>
                <w:szCs w:val="20"/>
                <w:color w:val="auto"/>
              </w:rPr>
            </w:pPr>
            <w:r>
              <w:rPr>
                <w:rFonts w:ascii="Arial" w:cs="Arial" w:eastAsia="Arial" w:hAnsi="Arial"/>
                <w:sz w:val="13"/>
                <w:szCs w:val="13"/>
                <w:color w:val="auto"/>
              </w:rPr>
              <w:t>217</w:t>
            </w:r>
          </w:p>
        </w:tc>
        <w:tc>
          <w:tcPr>
            <w:tcW w:w="680" w:type="dxa"/>
            <w:vAlign w:val="bottom"/>
            <w:gridSpan w:val="2"/>
          </w:tcPr>
          <w:p>
            <w:pPr>
              <w:jc w:val="right"/>
              <w:spacing w:after="0" w:line="130" w:lineRule="exact"/>
              <w:rPr>
                <w:sz w:val="20"/>
                <w:szCs w:val="20"/>
                <w:color w:val="auto"/>
              </w:rPr>
            </w:pPr>
            <w:r>
              <w:rPr>
                <w:rFonts w:ascii="Arial" w:cs="Arial" w:eastAsia="Arial" w:hAnsi="Arial"/>
                <w:sz w:val="13"/>
                <w:szCs w:val="13"/>
                <w:color w:val="auto"/>
              </w:rPr>
              <w:t>$177,092</w:t>
            </w:r>
          </w:p>
        </w:tc>
        <w:tc>
          <w:tcPr>
            <w:tcW w:w="40" w:type="dxa"/>
            <w:vAlign w:val="bottom"/>
          </w:tcPr>
          <w:p>
            <w:pPr>
              <w:spacing w:after="0"/>
              <w:rPr>
                <w:sz w:val="11"/>
                <w:szCs w:val="11"/>
                <w:color w:val="auto"/>
              </w:rPr>
            </w:pPr>
          </w:p>
        </w:tc>
        <w:tc>
          <w:tcPr>
            <w:tcW w:w="200" w:type="dxa"/>
            <w:vAlign w:val="bottom"/>
            <w:gridSpan w:val="2"/>
          </w:tcPr>
          <w:p>
            <w:pPr>
              <w:jc w:val="right"/>
              <w:spacing w:after="0" w:line="130"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0" w:lineRule="exact"/>
              <w:rPr>
                <w:sz w:val="20"/>
                <w:szCs w:val="20"/>
                <w:color w:val="auto"/>
              </w:rPr>
            </w:pPr>
            <w:r>
              <w:rPr>
                <w:rFonts w:ascii="Arial" w:cs="Arial" w:eastAsia="Arial" w:hAnsi="Arial"/>
                <w:sz w:val="13"/>
                <w:szCs w:val="13"/>
                <w:color w:val="auto"/>
                <w:w w:val="90"/>
              </w:rPr>
              <w:t>16,613</w:t>
            </w:r>
          </w:p>
        </w:tc>
        <w:tc>
          <w:tcPr>
            <w:tcW w:w="240" w:type="dxa"/>
            <w:vAlign w:val="bottom"/>
            <w:gridSpan w:val="2"/>
          </w:tcPr>
          <w:p>
            <w:pPr>
              <w:jc w:val="right"/>
              <w:spacing w:after="0" w:line="13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line="130"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line="13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line="130"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0"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41,647</w:t>
            </w:r>
          </w:p>
        </w:tc>
        <w:tc>
          <w:tcPr>
            <w:tcW w:w="140" w:type="dxa"/>
            <w:vAlign w:val="bottom"/>
          </w:tcPr>
          <w:p>
            <w:pPr>
              <w:spacing w:after="0"/>
              <w:rPr>
                <w:sz w:val="11"/>
                <w:szCs w:val="11"/>
                <w:color w:val="auto"/>
              </w:rPr>
            </w:pPr>
          </w:p>
        </w:tc>
        <w:tc>
          <w:tcPr>
            <w:tcW w:w="140" w:type="dxa"/>
            <w:vAlign w:val="bottom"/>
            <w:gridSpan w:val="2"/>
          </w:tcPr>
          <w:p>
            <w:pPr>
              <w:jc w:val="right"/>
              <w:spacing w:after="0" w:line="130"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0" w:lineRule="exact"/>
              <w:rPr>
                <w:sz w:val="20"/>
                <w:szCs w:val="20"/>
                <w:color w:val="auto"/>
              </w:rPr>
            </w:pPr>
            <w:r>
              <w:rPr>
                <w:rFonts w:ascii="Arial" w:cs="Arial" w:eastAsia="Arial" w:hAnsi="Arial"/>
                <w:sz w:val="13"/>
                <w:szCs w:val="13"/>
                <w:color w:val="auto"/>
              </w:rPr>
              <w:t>15,914</w:t>
            </w:r>
          </w:p>
        </w:tc>
        <w:tc>
          <w:tcPr>
            <w:tcW w:w="280" w:type="dxa"/>
            <w:vAlign w:val="bottom"/>
            <w:gridSpan w:val="2"/>
          </w:tcPr>
          <w:p>
            <w:pPr>
              <w:ind w:left="180"/>
              <w:spacing w:after="0" w:line="130"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3,233</w:t>
            </w:r>
          </w:p>
        </w:tc>
        <w:tc>
          <w:tcPr>
            <w:tcW w:w="200" w:type="dxa"/>
            <w:vAlign w:val="bottom"/>
          </w:tcPr>
          <w:p>
            <w:pPr>
              <w:spacing w:after="0"/>
              <w:rPr>
                <w:sz w:val="11"/>
                <w:szCs w:val="11"/>
                <w:color w:val="auto"/>
              </w:rPr>
            </w:pPr>
          </w:p>
        </w:tc>
        <w:tc>
          <w:tcPr>
            <w:tcW w:w="80" w:type="dxa"/>
            <w:vAlign w:val="bottom"/>
          </w:tcPr>
          <w:p>
            <w:pPr>
              <w:jc w:val="right"/>
              <w:spacing w:after="0" w:line="130"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w w:val="86"/>
              </w:rPr>
              <w:t>1,054,940</w:t>
            </w:r>
          </w:p>
        </w:tc>
        <w:tc>
          <w:tcPr>
            <w:tcW w:w="200" w:type="dxa"/>
            <w:vAlign w:val="bottom"/>
          </w:tcPr>
          <w:p>
            <w:pPr>
              <w:spacing w:after="0"/>
              <w:rPr>
                <w:sz w:val="11"/>
                <w:szCs w:val="11"/>
                <w:color w:val="auto"/>
              </w:rPr>
            </w:pPr>
          </w:p>
        </w:tc>
        <w:tc>
          <w:tcPr>
            <w:tcW w:w="140" w:type="dxa"/>
            <w:vAlign w:val="bottom"/>
          </w:tcPr>
          <w:p>
            <w:pPr>
              <w:spacing w:after="0" w:line="130"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(730,861)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spacing w:after="0" w:line="130" w:lineRule="exact"/>
              <w:rPr>
                <w:sz w:val="20"/>
                <w:szCs w:val="20"/>
                <w:color w:val="auto"/>
              </w:rPr>
            </w:pPr>
            <w:r>
              <w:rPr>
                <w:rFonts w:ascii="Arial" w:cs="Arial" w:eastAsia="Arial" w:hAnsi="Arial"/>
                <w:sz w:val="13"/>
                <w:szCs w:val="13"/>
                <w:color w:val="auto"/>
              </w:rPr>
              <w:t>(3,309)</w:t>
            </w: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18,027</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Other comprehensive loss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(13,797)</w:t>
            </w: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Common stock issued to dividend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reinvestment plan and to employee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benefit plans (60,982 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440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Amortization of stock options and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restricted stock awards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946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Vesting of restricted stock (15,790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shares issued, (8,399 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(151)</w:t>
            </w: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206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Deferred compensation plan, net,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including dividend equivalents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101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Shares issued from deferred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compensation plan (2,637 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(290)</w:t>
            </w:r>
          </w:p>
        </w:tc>
        <w:tc>
          <w:tcPr>
            <w:tcW w:w="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287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Preferred stock dividends: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Series A</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Series B</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(5,222)</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80" w:type="dxa"/>
            <w:vAlign w:val="bottom"/>
            <w:gridSpan w:val="2"/>
          </w:tcPr>
          <w:p>
            <w:pPr>
              <w:ind w:left="440"/>
              <w:spacing w:after="0"/>
              <w:rPr>
                <w:sz w:val="20"/>
                <w:szCs w:val="20"/>
                <w:color w:val="auto"/>
              </w:rPr>
            </w:pPr>
            <w:r>
              <w:rPr>
                <w:rFonts w:ascii="Arial" w:cs="Arial" w:eastAsia="Arial" w:hAnsi="Arial"/>
                <w:sz w:val="13"/>
                <w:szCs w:val="13"/>
                <w:color w:val="auto"/>
              </w:rPr>
              <w:t>Series 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(834)</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June 30, 2012</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80" w:type="dxa"/>
            <w:vAlign w:val="bottom"/>
            <w:gridSpan w:val="2"/>
            <w:vMerge w:val="continue"/>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217</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u w:val="single" w:color="auto"/>
                <w:color w:val="auto"/>
                <w:w w:val="92"/>
              </w:rPr>
              <w:t>$</w:t>
            </w:r>
            <w:r>
              <w:rPr>
                <w:rFonts w:ascii="Arial" w:cs="Arial" w:eastAsia="Arial" w:hAnsi="Arial"/>
                <w:sz w:val="13"/>
                <w:szCs w:val="13"/>
                <w:color w:val="auto"/>
                <w:w w:val="92"/>
              </w:rPr>
              <w:t>177,814</w:t>
            </w:r>
          </w:p>
        </w:tc>
        <w:tc>
          <w:tcPr>
            <w:tcW w:w="4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16,613</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41,727</w:t>
            </w:r>
          </w:p>
        </w:tc>
        <w:tc>
          <w:tcPr>
            <w:tcW w:w="14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15,914</w:t>
            </w:r>
          </w:p>
        </w:tc>
        <w:tc>
          <w:tcPr>
            <w:tcW w:w="2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2,893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1,056,819</w:t>
            </w:r>
          </w:p>
        </w:tc>
        <w:tc>
          <w:tcPr>
            <w:tcW w:w="2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(718,896)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(17,106)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-4865370</wp:posOffset>
            </wp:positionV>
            <wp:extent cx="7247890" cy="93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8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-4490720</wp:posOffset>
            </wp:positionV>
            <wp:extent cx="7247890" cy="280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8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-3836035</wp:posOffset>
            </wp:positionV>
            <wp:extent cx="7247890" cy="280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8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-3368040</wp:posOffset>
            </wp:positionV>
            <wp:extent cx="7247890" cy="187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890" cy="1873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-2994025</wp:posOffset>
            </wp:positionV>
            <wp:extent cx="7247890" cy="187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890" cy="1873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-2619375</wp:posOffset>
            </wp:positionV>
            <wp:extent cx="7247890" cy="187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890" cy="1873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-2338705</wp:posOffset>
            </wp:positionV>
            <wp:extent cx="7247890" cy="93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8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-2151380</wp:posOffset>
            </wp:positionV>
            <wp:extent cx="7247890" cy="93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8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-1913255</wp:posOffset>
            </wp:positionV>
            <wp:extent cx="7247890" cy="93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8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-1725930</wp:posOffset>
            </wp:positionV>
            <wp:extent cx="7247890" cy="93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8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-1351915</wp:posOffset>
            </wp:positionV>
            <wp:extent cx="7247890" cy="187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1873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-883920</wp:posOffset>
            </wp:positionV>
            <wp:extent cx="7247890" cy="187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1873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-509905</wp:posOffset>
            </wp:positionV>
            <wp:extent cx="7247890" cy="933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8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-322580</wp:posOffset>
            </wp:positionV>
            <wp:extent cx="7247890" cy="93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wp:posOffset>
            </wp:positionV>
            <wp:extent cx="7247890" cy="93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9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-5060950</wp:posOffset>
            </wp:positionV>
            <wp:extent cx="7247890" cy="102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890" cy="102235"/>
                    </a:xfrm>
                    <a:prstGeom prst="rect">
                      <a:avLst/>
                    </a:prstGeom>
                    <a:noFill/>
                  </pic:spPr>
                </pic:pic>
              </a:graphicData>
            </a:graphic>
          </wp:anchor>
        </w:drawing>
      </w:r>
    </w:p>
    <w:p>
      <w:pPr>
        <w:spacing w:after="0" w:line="146" w:lineRule="exact"/>
        <w:rPr>
          <w:sz w:val="20"/>
          <w:szCs w:val="20"/>
          <w:color w:val="auto"/>
        </w:rPr>
      </w:pPr>
    </w:p>
    <w:p>
      <w:pPr>
        <w:jc w:val="center"/>
        <w:ind w:left="78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6" w:lineRule="exact"/>
        <w:rPr>
          <w:sz w:val="20"/>
          <w:szCs w:val="20"/>
          <w:color w:val="auto"/>
        </w:rPr>
      </w:pPr>
    </w:p>
    <w:p>
      <w:pPr>
        <w:jc w:val="center"/>
        <w:ind w:left="7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9"/>
        <w:spacing w:after="0"/>
        <w:rPr>
          <w:sz w:val="20"/>
          <w:szCs w:val="20"/>
          <w:color w:val="auto"/>
        </w:rPr>
      </w:pPr>
      <w:r>
        <w:rPr>
          <w:rFonts w:ascii="Arial" w:cs="Arial" w:eastAsia="Arial" w:hAnsi="Arial"/>
          <w:sz w:val="13"/>
          <w:szCs w:val="13"/>
          <w:b w:val="1"/>
          <w:bCs w:val="1"/>
          <w:color w:val="auto"/>
        </w:rPr>
        <w:t>Total</w:t>
      </w:r>
    </w:p>
    <w:p>
      <w:pPr>
        <w:spacing w:after="0" w:line="23" w:lineRule="exact"/>
        <w:rPr>
          <w:sz w:val="20"/>
          <w:szCs w:val="20"/>
          <w:color w:val="auto"/>
        </w:rPr>
      </w:pPr>
    </w:p>
    <w:p>
      <w:pPr>
        <w:ind w:left="109" w:hanging="109"/>
        <w:spacing w:after="0"/>
        <w:tabs>
          <w:tab w:leader="none" w:pos="109" w:val="left"/>
        </w:tabs>
        <w:numPr>
          <w:ilvl w:val="0"/>
          <w:numId w:val="3"/>
        </w:numPr>
        <w:rPr>
          <w:rFonts w:ascii="Arial" w:cs="Arial" w:eastAsia="Arial" w:hAnsi="Arial"/>
          <w:sz w:val="13"/>
          <w:szCs w:val="13"/>
          <w:color w:val="auto"/>
        </w:rPr>
      </w:pPr>
      <w:r>
        <w:rPr>
          <w:rFonts w:ascii="Arial" w:cs="Arial" w:eastAsia="Arial" w:hAnsi="Arial"/>
          <w:sz w:val="13"/>
          <w:szCs w:val="13"/>
          <w:color w:val="auto"/>
        </w:rPr>
        <w:t>468,578</w:t>
      </w:r>
    </w:p>
    <w:p>
      <w:pPr>
        <w:ind w:left="69"/>
        <w:spacing w:after="0"/>
        <w:rPr>
          <w:rFonts w:ascii="Arial" w:cs="Arial" w:eastAsia="Arial" w:hAnsi="Arial"/>
          <w:sz w:val="13"/>
          <w:szCs w:val="13"/>
          <w:color w:val="auto"/>
        </w:rPr>
      </w:pPr>
      <w:r>
        <w:rPr>
          <w:rFonts w:ascii="Arial" w:cs="Arial" w:eastAsia="Arial" w:hAnsi="Arial"/>
          <w:sz w:val="12"/>
          <w:szCs w:val="12"/>
          <w:color w:val="auto"/>
        </w:rPr>
        <w:t>(225,308)</w:t>
      </w:r>
    </w:p>
    <w:p>
      <w:pPr>
        <w:spacing w:after="0" w:line="9" w:lineRule="exact"/>
        <w:rPr>
          <w:rFonts w:ascii="Arial" w:cs="Arial" w:eastAsia="Arial" w:hAnsi="Arial"/>
          <w:sz w:val="13"/>
          <w:szCs w:val="13"/>
          <w:color w:val="auto"/>
        </w:rPr>
      </w:pPr>
    </w:p>
    <w:p>
      <w:pPr>
        <w:ind w:left="209"/>
        <w:spacing w:after="0"/>
        <w:rPr>
          <w:rFonts w:ascii="Arial" w:cs="Arial" w:eastAsia="Arial" w:hAnsi="Arial"/>
          <w:sz w:val="13"/>
          <w:szCs w:val="13"/>
          <w:color w:val="auto"/>
        </w:rPr>
      </w:pPr>
      <w:r>
        <w:rPr>
          <w:rFonts w:ascii="Arial" w:cs="Arial" w:eastAsia="Arial" w:hAnsi="Arial"/>
          <w:sz w:val="11"/>
          <w:szCs w:val="11"/>
          <w:color w:val="auto"/>
        </w:rPr>
        <w:t>(1,619)</w:t>
      </w:r>
    </w:p>
    <w:p>
      <w:pPr>
        <w:spacing w:after="0" w:line="304" w:lineRule="exact"/>
        <w:rPr>
          <w:sz w:val="20"/>
          <w:szCs w:val="20"/>
          <w:color w:val="auto"/>
        </w:rPr>
      </w:pPr>
    </w:p>
    <w:p>
      <w:pPr>
        <w:ind w:left="349"/>
        <w:spacing w:after="0"/>
        <w:rPr>
          <w:sz w:val="20"/>
          <w:szCs w:val="20"/>
          <w:color w:val="auto"/>
        </w:rPr>
      </w:pPr>
      <w:r>
        <w:rPr>
          <w:rFonts w:ascii="Arial" w:cs="Arial" w:eastAsia="Arial" w:hAnsi="Arial"/>
          <w:sz w:val="13"/>
          <w:szCs w:val="13"/>
          <w:color w:val="auto"/>
        </w:rPr>
        <w:t>—</w:t>
      </w:r>
    </w:p>
    <w:p>
      <w:pPr>
        <w:spacing w:after="0" w:line="293" w:lineRule="exact"/>
        <w:rPr>
          <w:sz w:val="20"/>
          <w:szCs w:val="20"/>
          <w:color w:val="auto"/>
        </w:rPr>
      </w:pPr>
    </w:p>
    <w:p>
      <w:pPr>
        <w:ind w:left="249"/>
        <w:spacing w:after="0"/>
        <w:rPr>
          <w:sz w:val="20"/>
          <w:szCs w:val="20"/>
          <w:color w:val="auto"/>
        </w:rPr>
      </w:pPr>
      <w:r>
        <w:rPr>
          <w:rFonts w:ascii="Arial" w:cs="Arial" w:eastAsia="Arial" w:hAnsi="Arial"/>
          <w:sz w:val="13"/>
          <w:szCs w:val="13"/>
          <w:color w:val="auto"/>
        </w:rPr>
        <w:t>3,250</w:t>
      </w:r>
    </w:p>
    <w:p>
      <w:pPr>
        <w:spacing w:after="0" w:line="200" w:lineRule="exact"/>
        <w:rPr>
          <w:sz w:val="20"/>
          <w:szCs w:val="20"/>
          <w:color w:val="auto"/>
        </w:rPr>
      </w:pPr>
    </w:p>
    <w:p>
      <w:pPr>
        <w:spacing w:after="0" w:line="240" w:lineRule="exact"/>
        <w:rPr>
          <w:sz w:val="20"/>
          <w:szCs w:val="20"/>
          <w:color w:val="auto"/>
        </w:rPr>
      </w:pPr>
    </w:p>
    <w:p>
      <w:pPr>
        <w:ind w:left="349"/>
        <w:spacing w:after="0"/>
        <w:rPr>
          <w:sz w:val="20"/>
          <w:szCs w:val="20"/>
          <w:color w:val="auto"/>
        </w:rPr>
      </w:pPr>
      <w:r>
        <w:rPr>
          <w:rFonts w:ascii="Arial" w:cs="Arial" w:eastAsia="Arial" w:hAnsi="Arial"/>
          <w:sz w:val="13"/>
          <w:szCs w:val="13"/>
          <w:color w:val="auto"/>
        </w:rPr>
        <w:t>—</w:t>
      </w:r>
    </w:p>
    <w:p>
      <w:pPr>
        <w:spacing w:after="0" w:line="293" w:lineRule="exact"/>
        <w:rPr>
          <w:sz w:val="20"/>
          <w:szCs w:val="20"/>
          <w:color w:val="auto"/>
        </w:rPr>
      </w:pPr>
    </w:p>
    <w:p>
      <w:pPr>
        <w:ind w:left="349"/>
        <w:spacing w:after="0"/>
        <w:rPr>
          <w:sz w:val="20"/>
          <w:szCs w:val="20"/>
          <w:color w:val="auto"/>
        </w:rPr>
      </w:pPr>
      <w:r>
        <w:rPr>
          <w:rFonts w:ascii="Arial" w:cs="Arial" w:eastAsia="Arial" w:hAnsi="Arial"/>
          <w:sz w:val="13"/>
          <w:szCs w:val="13"/>
          <w:color w:val="auto"/>
        </w:rPr>
        <w:t>744</w:t>
      </w:r>
    </w:p>
    <w:p>
      <w:pPr>
        <w:spacing w:after="0" w:line="145" w:lineRule="exact"/>
        <w:rPr>
          <w:sz w:val="20"/>
          <w:szCs w:val="20"/>
          <w:color w:val="auto"/>
        </w:rPr>
      </w:pPr>
    </w:p>
    <w:p>
      <w:pPr>
        <w:ind w:left="109"/>
        <w:spacing w:after="0"/>
        <w:rPr>
          <w:sz w:val="20"/>
          <w:szCs w:val="20"/>
          <w:color w:val="auto"/>
        </w:rPr>
      </w:pPr>
      <w:r>
        <w:rPr>
          <w:rFonts w:ascii="Arial" w:cs="Arial" w:eastAsia="Arial" w:hAnsi="Arial"/>
          <w:sz w:val="13"/>
          <w:szCs w:val="13"/>
          <w:color w:val="auto"/>
        </w:rPr>
        <w:t>361,560</w:t>
      </w:r>
    </w:p>
    <w:p>
      <w:pPr>
        <w:spacing w:after="0" w:line="145" w:lineRule="exact"/>
        <w:rPr>
          <w:sz w:val="20"/>
          <w:szCs w:val="20"/>
          <w:color w:val="auto"/>
        </w:rPr>
      </w:pPr>
    </w:p>
    <w:p>
      <w:pPr>
        <w:ind w:left="349"/>
        <w:spacing w:after="0"/>
        <w:rPr>
          <w:sz w:val="20"/>
          <w:szCs w:val="20"/>
          <w:color w:val="auto"/>
        </w:rPr>
      </w:pPr>
      <w:r>
        <w:rPr>
          <w:rFonts w:ascii="Arial" w:cs="Arial" w:eastAsia="Arial" w:hAnsi="Arial"/>
          <w:sz w:val="13"/>
          <w:szCs w:val="13"/>
          <w:color w:val="auto"/>
        </w:rPr>
        <w:t>758</w:t>
      </w:r>
    </w:p>
    <w:p>
      <w:pPr>
        <w:spacing w:after="0" w:line="145" w:lineRule="exact"/>
        <w:rPr>
          <w:sz w:val="20"/>
          <w:szCs w:val="20"/>
          <w:color w:val="auto"/>
        </w:rPr>
      </w:pPr>
    </w:p>
    <w:p>
      <w:pPr>
        <w:ind w:left="34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ind w:left="349"/>
        <w:spacing w:after="0"/>
        <w:rPr>
          <w:sz w:val="20"/>
          <w:szCs w:val="20"/>
          <w:color w:val="auto"/>
        </w:rPr>
      </w:pPr>
      <w:r>
        <w:rPr>
          <w:rFonts w:ascii="Arial" w:cs="Arial" w:eastAsia="Arial" w:hAnsi="Arial"/>
          <w:sz w:val="13"/>
          <w:szCs w:val="13"/>
          <w:color w:val="auto"/>
        </w:rPr>
        <w:t>127</w:t>
      </w:r>
    </w:p>
    <w:p>
      <w:pPr>
        <w:spacing w:after="0" w:line="145" w:lineRule="exact"/>
        <w:rPr>
          <w:sz w:val="20"/>
          <w:szCs w:val="20"/>
          <w:color w:val="auto"/>
        </w:rPr>
      </w:pPr>
    </w:p>
    <w:p>
      <w:pPr>
        <w:ind w:left="34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(376)</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(4,519)</w:t>
      </w:r>
    </w:p>
    <w:p>
      <w:pPr>
        <w:jc w:val="right"/>
        <w:spacing w:after="0"/>
        <w:rPr>
          <w:sz w:val="20"/>
          <w:szCs w:val="20"/>
          <w:color w:val="auto"/>
        </w:rPr>
      </w:pPr>
      <w:r>
        <w:rPr>
          <w:rFonts w:ascii="Arial" w:cs="Arial" w:eastAsia="Arial" w:hAnsi="Arial"/>
          <w:sz w:val="13"/>
          <w:szCs w:val="13"/>
          <w:color w:val="auto"/>
        </w:rPr>
        <w:t>(587)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348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ind w:left="9"/>
        <w:spacing w:after="0"/>
        <w:rPr>
          <w:sz w:val="20"/>
          <w:szCs w:val="20"/>
          <w:color w:val="auto"/>
        </w:rPr>
      </w:pPr>
      <w:r>
        <w:rPr>
          <w:rFonts w:ascii="Arial" w:cs="Arial" w:eastAsia="Arial" w:hAnsi="Arial"/>
          <w:sz w:val="13"/>
          <w:szCs w:val="13"/>
          <w:u w:val="single" w:color="auto"/>
          <w:color w:val="auto"/>
        </w:rPr>
        <w:t>$ 602,601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3486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31" w:lineRule="exact"/>
        <w:rPr>
          <w:sz w:val="20"/>
          <w:szCs w:val="20"/>
          <w:color w:val="auto"/>
        </w:rPr>
      </w:pPr>
    </w:p>
    <w:p>
      <w:pPr>
        <w:ind w:left="109" w:hanging="109"/>
        <w:spacing w:after="0"/>
        <w:tabs>
          <w:tab w:leader="none" w:pos="109" w:val="left"/>
        </w:tabs>
        <w:numPr>
          <w:ilvl w:val="0"/>
          <w:numId w:val="4"/>
        </w:numPr>
        <w:rPr>
          <w:rFonts w:ascii="Arial" w:cs="Arial" w:eastAsia="Arial" w:hAnsi="Arial"/>
          <w:sz w:val="13"/>
          <w:szCs w:val="13"/>
          <w:color w:val="auto"/>
        </w:rPr>
      </w:pPr>
      <w:r>
        <w:rPr>
          <w:rFonts w:ascii="Arial" w:cs="Arial" w:eastAsia="Arial" w:hAnsi="Arial"/>
          <w:sz w:val="13"/>
          <w:szCs w:val="13"/>
          <w:color w:val="auto"/>
        </w:rPr>
        <w:t>575,486</w:t>
      </w:r>
    </w:p>
    <w:p>
      <w:pPr>
        <w:spacing w:after="0" w:line="9" w:lineRule="exact"/>
        <w:rPr>
          <w:rFonts w:ascii="Arial" w:cs="Arial" w:eastAsia="Arial" w:hAnsi="Arial"/>
          <w:sz w:val="13"/>
          <w:szCs w:val="13"/>
          <w:color w:val="auto"/>
        </w:rPr>
      </w:pPr>
    </w:p>
    <w:p>
      <w:pPr>
        <w:ind w:left="189"/>
        <w:spacing w:after="0" w:line="236" w:lineRule="auto"/>
        <w:rPr>
          <w:rFonts w:ascii="Arial" w:cs="Arial" w:eastAsia="Arial" w:hAnsi="Arial"/>
          <w:sz w:val="13"/>
          <w:szCs w:val="13"/>
          <w:color w:val="auto"/>
        </w:rPr>
      </w:pPr>
      <w:r>
        <w:rPr>
          <w:rFonts w:ascii="Arial" w:cs="Arial" w:eastAsia="Arial" w:hAnsi="Arial"/>
          <w:sz w:val="13"/>
          <w:szCs w:val="13"/>
          <w:color w:val="auto"/>
        </w:rPr>
        <w:t>18,027</w:t>
      </w:r>
    </w:p>
    <w:p>
      <w:pPr>
        <w:jc w:val="right"/>
        <w:spacing w:after="0"/>
        <w:rPr>
          <w:sz w:val="20"/>
          <w:szCs w:val="20"/>
          <w:color w:val="auto"/>
        </w:rPr>
      </w:pPr>
      <w:r>
        <w:rPr>
          <w:rFonts w:ascii="Arial" w:cs="Arial" w:eastAsia="Arial" w:hAnsi="Arial"/>
          <w:sz w:val="13"/>
          <w:szCs w:val="13"/>
          <w:color w:val="auto"/>
        </w:rPr>
        <w:t>(13,797)</w:t>
      </w:r>
    </w:p>
    <w:p>
      <w:pPr>
        <w:spacing w:after="0" w:line="281" w:lineRule="exact"/>
        <w:rPr>
          <w:sz w:val="20"/>
          <w:szCs w:val="20"/>
          <w:color w:val="auto"/>
        </w:rPr>
      </w:pPr>
    </w:p>
    <w:p>
      <w:pPr>
        <w:ind w:left="349"/>
        <w:spacing w:after="0"/>
        <w:rPr>
          <w:sz w:val="20"/>
          <w:szCs w:val="20"/>
          <w:color w:val="auto"/>
        </w:rPr>
      </w:pPr>
      <w:r>
        <w:rPr>
          <w:rFonts w:ascii="Arial" w:cs="Arial" w:eastAsia="Arial" w:hAnsi="Arial"/>
          <w:sz w:val="13"/>
          <w:szCs w:val="13"/>
          <w:color w:val="auto"/>
        </w:rPr>
        <w:t>501</w:t>
      </w:r>
    </w:p>
    <w:p>
      <w:pPr>
        <w:spacing w:after="0" w:line="145" w:lineRule="exact"/>
        <w:rPr>
          <w:sz w:val="20"/>
          <w:szCs w:val="20"/>
          <w:color w:val="auto"/>
        </w:rPr>
      </w:pPr>
    </w:p>
    <w:p>
      <w:pPr>
        <w:ind w:left="349"/>
        <w:spacing w:after="0"/>
        <w:rPr>
          <w:sz w:val="20"/>
          <w:szCs w:val="20"/>
          <w:color w:val="auto"/>
        </w:rPr>
      </w:pPr>
      <w:r>
        <w:rPr>
          <w:rFonts w:ascii="Arial" w:cs="Arial" w:eastAsia="Arial" w:hAnsi="Arial"/>
          <w:sz w:val="13"/>
          <w:szCs w:val="13"/>
          <w:color w:val="auto"/>
        </w:rPr>
        <w:t>946</w:t>
      </w:r>
    </w:p>
    <w:p>
      <w:pPr>
        <w:spacing w:after="0" w:line="293" w:lineRule="exact"/>
        <w:rPr>
          <w:sz w:val="20"/>
          <w:szCs w:val="20"/>
          <w:color w:val="auto"/>
        </w:rPr>
      </w:pPr>
    </w:p>
    <w:p>
      <w:pPr>
        <w:ind w:left="409"/>
        <w:spacing w:after="0"/>
        <w:rPr>
          <w:sz w:val="20"/>
          <w:szCs w:val="20"/>
          <w:color w:val="auto"/>
        </w:rPr>
      </w:pPr>
      <w:r>
        <w:rPr>
          <w:rFonts w:ascii="Arial" w:cs="Arial" w:eastAsia="Arial" w:hAnsi="Arial"/>
          <w:sz w:val="13"/>
          <w:szCs w:val="13"/>
          <w:color w:val="auto"/>
        </w:rPr>
        <w:t>71</w:t>
      </w:r>
    </w:p>
    <w:p>
      <w:pPr>
        <w:spacing w:after="0" w:line="145" w:lineRule="exact"/>
        <w:rPr>
          <w:sz w:val="20"/>
          <w:szCs w:val="20"/>
          <w:color w:val="auto"/>
        </w:rPr>
      </w:pPr>
    </w:p>
    <w:p>
      <w:pPr>
        <w:ind w:left="349"/>
        <w:spacing w:after="0"/>
        <w:rPr>
          <w:sz w:val="20"/>
          <w:szCs w:val="20"/>
          <w:color w:val="auto"/>
        </w:rPr>
      </w:pPr>
      <w:r>
        <w:rPr>
          <w:rFonts w:ascii="Arial" w:cs="Arial" w:eastAsia="Arial" w:hAnsi="Arial"/>
          <w:sz w:val="13"/>
          <w:szCs w:val="13"/>
          <w:color w:val="auto"/>
        </w:rPr>
        <w:t>101</w:t>
      </w:r>
    </w:p>
    <w:p>
      <w:pPr>
        <w:spacing w:after="0" w:line="145" w:lineRule="exact"/>
        <w:rPr>
          <w:sz w:val="20"/>
          <w:szCs w:val="20"/>
          <w:color w:val="auto"/>
        </w:rPr>
      </w:pPr>
    </w:p>
    <w:p>
      <w:pPr>
        <w:ind w:left="34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(4,500)</w:t>
      </w:r>
    </w:p>
    <w:p>
      <w:pPr>
        <w:jc w:val="right"/>
        <w:spacing w:after="0"/>
        <w:rPr>
          <w:sz w:val="20"/>
          <w:szCs w:val="20"/>
          <w:color w:val="auto"/>
        </w:rPr>
      </w:pPr>
      <w:r>
        <w:rPr>
          <w:rFonts w:ascii="Arial" w:cs="Arial" w:eastAsia="Arial" w:hAnsi="Arial"/>
          <w:sz w:val="13"/>
          <w:szCs w:val="13"/>
          <w:color w:val="auto"/>
        </w:rPr>
        <w:t>(834)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3486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ind w:left="9"/>
        <w:spacing w:after="0"/>
        <w:rPr>
          <w:sz w:val="20"/>
          <w:szCs w:val="20"/>
          <w:color w:val="auto"/>
        </w:rPr>
      </w:pPr>
      <w:r>
        <w:rPr>
          <w:rFonts w:ascii="Arial" w:cs="Arial" w:eastAsia="Arial" w:hAnsi="Arial"/>
          <w:sz w:val="13"/>
          <w:szCs w:val="13"/>
          <w:u w:val="single" w:color="auto"/>
          <w:color w:val="auto"/>
        </w:rPr>
        <w:t>$ 575,995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3486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ectPr>
          <w:pgSz w:w="11900" w:h="16838" w:orient="portrait"/>
          <w:cols w:equalWidth="0" w:num="2">
            <w:col w:w="10640" w:space="151"/>
            <w:col w:w="589"/>
          </w:cols>
          <w:pgMar w:left="240" w:top="457"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Consolidated Statement of Cash Flows </w:t>
      </w:r>
      <w:r>
        <w:rPr>
          <w:rFonts w:ascii="Arial" w:cs="Arial" w:eastAsia="Arial" w:hAnsi="Arial"/>
          <w:sz w:val="17"/>
          <w:szCs w:val="17"/>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820" w:type="dxa"/>
            <w:vAlign w:val="bottom"/>
            <w:vMerge w:val="restart"/>
          </w:tcPr>
          <w:p>
            <w:pPr>
              <w:spacing w:after="0"/>
              <w:rPr>
                <w:sz w:val="20"/>
                <w:szCs w:val="20"/>
                <w:color w:val="auto"/>
              </w:rPr>
            </w:pPr>
            <w:r>
              <w:rPr>
                <w:rFonts w:ascii="Arial" w:cs="Arial" w:eastAsia="Arial" w:hAnsi="Arial"/>
                <w:sz w:val="13"/>
                <w:szCs w:val="13"/>
                <w:i w:val="1"/>
                <w:iCs w:val="1"/>
                <w:color w:val="auto"/>
                <w:w w:val="97"/>
              </w:rPr>
              <w:t>(in thousands)</w:t>
            </w:r>
          </w:p>
        </w:tc>
        <w:tc>
          <w:tcPr>
            <w:tcW w:w="7400" w:type="dxa"/>
            <w:vAlign w:val="bottom"/>
            <w:vMerge w:val="restart"/>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June 30,</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 w:type="dxa"/>
            <w:vAlign w:val="bottom"/>
            <w:tcBorders>
              <w:bottom w:val="single" w:sz="8" w:color="auto"/>
            </w:tcBorders>
            <w:vMerge w:val="continue"/>
          </w:tcPr>
          <w:p>
            <w:pPr>
              <w:spacing w:after="0"/>
              <w:rPr>
                <w:sz w:val="12"/>
                <w:szCs w:val="12"/>
                <w:color w:val="auto"/>
              </w:rPr>
            </w:pPr>
          </w:p>
        </w:tc>
        <w:tc>
          <w:tcPr>
            <w:tcW w:w="740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14"/>
              <w:spacing w:after="0" w:line="128" w:lineRule="exact"/>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53"/>
              <w:spacing w:after="0" w:line="12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Operating activities:</w:t>
            </w:r>
          </w:p>
        </w:tc>
        <w:tc>
          <w:tcPr>
            <w:tcW w:w="10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ind w:left="440"/>
              <w:spacing w:after="0"/>
              <w:rPr>
                <w:sz w:val="20"/>
                <w:szCs w:val="20"/>
                <w:color w:val="auto"/>
              </w:rPr>
            </w:pPr>
            <w:r>
              <w:rPr>
                <w:rFonts w:ascii="Arial" w:cs="Arial" w:eastAsia="Arial" w:hAnsi="Arial"/>
                <w:sz w:val="17"/>
                <w:szCs w:val="17"/>
                <w:color w:val="auto"/>
              </w:rPr>
              <w:t>Net income (loss)</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18,027</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(225,308)</w:t>
            </w: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40"/>
              <w:spacing w:after="0"/>
              <w:rPr>
                <w:sz w:val="20"/>
                <w:szCs w:val="20"/>
                <w:color w:val="auto"/>
              </w:rPr>
            </w:pPr>
            <w:r>
              <w:rPr>
                <w:rFonts w:ascii="Arial" w:cs="Arial" w:eastAsia="Arial" w:hAnsi="Arial"/>
                <w:sz w:val="17"/>
                <w:szCs w:val="17"/>
                <w:color w:val="auto"/>
              </w:rPr>
              <w:t>Depreciation, amortization and accretion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16,511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Provision for loan losses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40"/>
              <w:spacing w:after="0"/>
              <w:rPr>
                <w:sz w:val="20"/>
                <w:szCs w:val="20"/>
                <w:color w:val="auto"/>
              </w:rPr>
            </w:pPr>
            <w:r>
              <w:rPr>
                <w:rFonts w:ascii="Arial" w:cs="Arial" w:eastAsia="Arial" w:hAnsi="Arial"/>
                <w:sz w:val="17"/>
                <w:szCs w:val="17"/>
                <w:color w:val="auto"/>
              </w:rPr>
              <w:t>Stock based compensation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946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 gains, net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(7,047)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40"/>
              <w:spacing w:after="0"/>
              <w:rPr>
                <w:sz w:val="20"/>
                <w:szCs w:val="20"/>
                <w:color w:val="auto"/>
              </w:rPr>
            </w:pPr>
            <w:r>
              <w:rPr>
                <w:rFonts w:ascii="Arial" w:cs="Arial" w:eastAsia="Arial" w:hAnsi="Arial"/>
                <w:sz w:val="17"/>
                <w:szCs w:val="17"/>
                <w:color w:val="auto"/>
              </w:rPr>
              <w:t>Losses and write downs on sales of other real estate owned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2,943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Loss on prepayment of borrowings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6,681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40"/>
              <w:spacing w:after="0"/>
              <w:rPr>
                <w:sz w:val="20"/>
                <w:szCs w:val="20"/>
                <w:color w:val="auto"/>
              </w:rPr>
            </w:pPr>
            <w:r>
              <w:rPr>
                <w:rFonts w:ascii="Arial" w:cs="Arial" w:eastAsia="Arial" w:hAnsi="Arial"/>
                <w:sz w:val="17"/>
                <w:szCs w:val="17"/>
                <w:color w:val="auto"/>
              </w:rPr>
              <w:t>Changes in assets and liabilities: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7400" w:type="dxa"/>
            <w:vAlign w:val="bottom"/>
            <w:shd w:val="clear" w:color="auto" w:fill="CCEEFF"/>
          </w:tcPr>
          <w:p>
            <w:pPr>
              <w:ind w:left="900"/>
              <w:spacing w:after="0"/>
              <w:rPr>
                <w:sz w:val="20"/>
                <w:szCs w:val="20"/>
                <w:color w:val="auto"/>
              </w:rPr>
            </w:pPr>
            <w:r>
              <w:rPr>
                <w:rFonts w:ascii="Arial" w:cs="Arial" w:eastAsia="Arial" w:hAnsi="Arial"/>
                <w:sz w:val="17"/>
                <w:szCs w:val="17"/>
                <w:color w:val="auto"/>
              </w:rPr>
              <w:t>Other assets and accrued interest receivable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22,783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900"/>
              <w:spacing w:after="0"/>
              <w:rPr>
                <w:sz w:val="20"/>
                <w:szCs w:val="20"/>
                <w:color w:val="auto"/>
              </w:rPr>
            </w:pPr>
            <w:r>
              <w:rPr>
                <w:rFonts w:ascii="Arial" w:cs="Arial" w:eastAsia="Arial" w:hAnsi="Arial"/>
                <w:sz w:val="17"/>
                <w:szCs w:val="17"/>
                <w:color w:val="auto"/>
              </w:rPr>
              <w:t>Accrued expenses and other liabilities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(6,754)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7400" w:type="dxa"/>
            <w:vAlign w:val="bottom"/>
            <w:shd w:val="clear" w:color="auto" w:fill="CCEEFF"/>
          </w:tcPr>
          <w:p>
            <w:pPr>
              <w:ind w:left="900"/>
              <w:spacing w:after="0"/>
              <w:rPr>
                <w:sz w:val="20"/>
                <w:szCs w:val="20"/>
                <w:color w:val="auto"/>
              </w:rPr>
            </w:pPr>
            <w:r>
              <w:rPr>
                <w:rFonts w:ascii="Arial" w:cs="Arial" w:eastAsia="Arial" w:hAnsi="Arial"/>
                <w:sz w:val="17"/>
                <w:szCs w:val="17"/>
                <w:color w:val="auto"/>
              </w:rPr>
              <w:t>Mortgage loans held for sale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5,236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22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92,326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93,194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ind w:left="440"/>
              <w:spacing w:after="0"/>
              <w:rPr>
                <w:sz w:val="20"/>
                <w:szCs w:val="20"/>
                <w:color w:val="auto"/>
              </w:rPr>
            </w:pPr>
            <w:r>
              <w:rPr>
                <w:rFonts w:ascii="Arial" w:cs="Arial" w:eastAsia="Arial" w:hAnsi="Arial"/>
                <w:sz w:val="17"/>
                <w:szCs w:val="17"/>
                <w:color w:val="auto"/>
              </w:rPr>
              <w:t>Investment securities held to maturity: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Proceeds from maturities and calls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45,741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40"/>
              <w:spacing w:after="0"/>
              <w:rPr>
                <w:sz w:val="20"/>
                <w:szCs w:val="20"/>
                <w:color w:val="auto"/>
              </w:rPr>
            </w:pPr>
            <w:r>
              <w:rPr>
                <w:rFonts w:ascii="Arial" w:cs="Arial" w:eastAsia="Arial" w:hAnsi="Arial"/>
                <w:sz w:val="17"/>
                <w:szCs w:val="17"/>
                <w:color w:val="auto"/>
              </w:rPr>
              <w:t>Purchases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(141,862)</w:t>
            </w: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Investment securities available for sale: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40"/>
              <w:spacing w:after="0"/>
              <w:rPr>
                <w:sz w:val="20"/>
                <w:szCs w:val="20"/>
                <w:color w:val="auto"/>
              </w:rPr>
            </w:pPr>
            <w:r>
              <w:rPr>
                <w:rFonts w:ascii="Arial" w:cs="Arial" w:eastAsia="Arial" w:hAnsi="Arial"/>
                <w:sz w:val="17"/>
                <w:szCs w:val="17"/>
                <w:color w:val="auto"/>
              </w:rPr>
              <w:t>Proceeds from sales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371,103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106,603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Proceeds from maturities and calls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289,985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40"/>
              <w:spacing w:after="0"/>
              <w:rPr>
                <w:sz w:val="20"/>
                <w:szCs w:val="20"/>
                <w:color w:val="auto"/>
              </w:rPr>
            </w:pPr>
            <w:r>
              <w:rPr>
                <w:rFonts w:ascii="Arial" w:cs="Arial" w:eastAsia="Arial" w:hAnsi="Arial"/>
                <w:sz w:val="17"/>
                <w:szCs w:val="17"/>
                <w:color w:val="auto"/>
              </w:rPr>
              <w:t>Purchases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(580,652)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(875,250)</w:t>
            </w: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(increase) decrease in loans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(58,765)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ind w:left="440"/>
              <w:spacing w:after="0"/>
              <w:rPr>
                <w:sz w:val="20"/>
                <w:szCs w:val="20"/>
                <w:color w:val="auto"/>
              </w:rPr>
            </w:pPr>
            <w:r>
              <w:rPr>
                <w:rFonts w:ascii="Arial" w:cs="Arial" w:eastAsia="Arial" w:hAnsi="Arial"/>
                <w:sz w:val="17"/>
                <w:szCs w:val="17"/>
                <w:color w:val="auto"/>
              </w:rPr>
              <w:t>Proceeds from loan sales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99,298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Proceeds collected from FDIC under loss sharing agreements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5,054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ind w:left="440"/>
              <w:spacing w:after="0"/>
              <w:rPr>
                <w:sz w:val="20"/>
                <w:szCs w:val="20"/>
                <w:color w:val="auto"/>
              </w:rPr>
            </w:pPr>
            <w:r>
              <w:rPr>
                <w:rFonts w:ascii="Arial" w:cs="Arial" w:eastAsia="Arial" w:hAnsi="Arial"/>
                <w:sz w:val="17"/>
                <w:szCs w:val="17"/>
                <w:color w:val="auto"/>
              </w:rPr>
              <w:t>Proceeds from sales of premises and equipment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664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Purchases of premises and equipment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(2,581)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(5,276)</w:t>
            </w:r>
          </w:p>
        </w:tc>
        <w:tc>
          <w:tcPr>
            <w:tcW w:w="0" w:type="dxa"/>
            <w:vAlign w:val="bottom"/>
          </w:tcPr>
          <w:p>
            <w:pPr>
              <w:spacing w:after="0"/>
              <w:rPr>
                <w:sz w:val="1"/>
                <w:szCs w:val="1"/>
                <w:color w:val="auto"/>
              </w:rPr>
            </w:pPr>
          </w:p>
        </w:tc>
      </w:tr>
      <w:tr>
        <w:trPr>
          <w:trHeight w:val="214"/>
        </w:trPr>
        <w:tc>
          <w:tcPr>
            <w:tcW w:w="8220" w:type="dxa"/>
            <w:vAlign w:val="bottom"/>
            <w:gridSpan w:val="2"/>
          </w:tcPr>
          <w:p>
            <w:pPr>
              <w:ind w:left="440"/>
              <w:spacing w:after="0"/>
              <w:rPr>
                <w:sz w:val="20"/>
                <w:szCs w:val="20"/>
                <w:color w:val="auto"/>
              </w:rPr>
            </w:pPr>
            <w:r>
              <w:rPr>
                <w:rFonts w:ascii="Arial" w:cs="Arial" w:eastAsia="Arial" w:hAnsi="Arial"/>
                <w:sz w:val="17"/>
                <w:szCs w:val="17"/>
                <w:color w:val="auto"/>
              </w:rPr>
              <w:t>Proceeds from sale of other real estate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14,620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85,169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(424,253)</w:t>
            </w:r>
          </w:p>
        </w:tc>
        <w:tc>
          <w:tcPr>
            <w:tcW w:w="0" w:type="dxa"/>
            <w:vAlign w:val="bottom"/>
          </w:tcPr>
          <w:p>
            <w:pPr>
              <w:spacing w:after="0"/>
              <w:rPr>
                <w:sz w:val="1"/>
                <w:szCs w:val="1"/>
                <w:color w:val="auto"/>
              </w:rPr>
            </w:pPr>
          </w:p>
        </w:tc>
      </w:tr>
      <w:tr>
        <w:trPr>
          <w:trHeight w:val="220"/>
        </w:trPr>
        <w:tc>
          <w:tcPr>
            <w:tcW w:w="8220" w:type="dxa"/>
            <w:vAlign w:val="bottom"/>
            <w:gridSpan w:val="2"/>
          </w:tcPr>
          <w:p>
            <w:pPr>
              <w:spacing w:after="0"/>
              <w:rPr>
                <w:sz w:val="20"/>
                <w:szCs w:val="20"/>
                <w:color w:val="auto"/>
              </w:rPr>
            </w:pPr>
            <w:r>
              <w:rPr>
                <w:rFonts w:ascii="Arial" w:cs="Arial" w:eastAsia="Arial" w:hAnsi="Arial"/>
                <w:sz w:val="17"/>
                <w:szCs w:val="17"/>
                <w:b w:val="1"/>
                <w:bCs w:val="1"/>
                <w:color w:val="auto"/>
              </w:rPr>
              <w:t>Financing activities:</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change in deposits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(275,516)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(285,957)</w:t>
            </w:r>
          </w:p>
        </w:tc>
        <w:tc>
          <w:tcPr>
            <w:tcW w:w="0" w:type="dxa"/>
            <w:vAlign w:val="bottom"/>
          </w:tcPr>
          <w:p>
            <w:pPr>
              <w:spacing w:after="0"/>
              <w:rPr>
                <w:sz w:val="1"/>
                <w:szCs w:val="1"/>
                <w:color w:val="auto"/>
              </w:rPr>
            </w:pPr>
          </w:p>
        </w:tc>
      </w:tr>
      <w:tr>
        <w:trPr>
          <w:trHeight w:val="214"/>
        </w:trPr>
        <w:tc>
          <w:tcPr>
            <w:tcW w:w="8220" w:type="dxa"/>
            <w:vAlign w:val="bottom"/>
            <w:gridSpan w:val="2"/>
          </w:tcPr>
          <w:p>
            <w:pPr>
              <w:ind w:left="440"/>
              <w:spacing w:after="0"/>
              <w:rPr>
                <w:sz w:val="20"/>
                <w:szCs w:val="20"/>
                <w:color w:val="auto"/>
              </w:rPr>
            </w:pPr>
            <w:r>
              <w:rPr>
                <w:rFonts w:ascii="Arial" w:cs="Arial" w:eastAsia="Arial" w:hAnsi="Arial"/>
                <w:sz w:val="17"/>
                <w:szCs w:val="17"/>
                <w:color w:val="auto"/>
              </w:rPr>
              <w:t>Net change in federal funds purchased, repurchase agreements, and other short-term borrowings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(53,401)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Proceeds from Federal Home Loan Bank advances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7"/>
              </w:rPr>
              <w:t>1,489,000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220" w:type="dxa"/>
            <w:vAlign w:val="bottom"/>
            <w:gridSpan w:val="2"/>
          </w:tcPr>
          <w:p>
            <w:pPr>
              <w:ind w:left="440"/>
              <w:spacing w:after="0"/>
              <w:rPr>
                <w:sz w:val="20"/>
                <w:szCs w:val="20"/>
                <w:color w:val="auto"/>
              </w:rPr>
            </w:pPr>
            <w:r>
              <w:rPr>
                <w:rFonts w:ascii="Arial" w:cs="Arial" w:eastAsia="Arial" w:hAnsi="Arial"/>
                <w:sz w:val="17"/>
                <w:szCs w:val="17"/>
                <w:color w:val="auto"/>
              </w:rPr>
              <w:t>Settlement of Federal Home Loan Bank advances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w w:val="91"/>
              </w:rPr>
              <w:t>(1,406,701)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(15,291)</w:t>
            </w: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Proceeds from issuance of common stock for dividend reinvestment and employee benefit plans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501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ind w:left="440"/>
              <w:spacing w:after="0"/>
              <w:rPr>
                <w:sz w:val="20"/>
                <w:szCs w:val="20"/>
                <w:color w:val="auto"/>
              </w:rPr>
            </w:pPr>
            <w:r>
              <w:rPr>
                <w:rFonts w:ascii="Arial" w:cs="Arial" w:eastAsia="Arial" w:hAnsi="Arial"/>
                <w:sz w:val="17"/>
                <w:szCs w:val="17"/>
                <w:color w:val="auto"/>
              </w:rPr>
              <w:t>Proceeds from issuance of common and preferred stock, net of offering costs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361,560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Proceeds from penalty on incomplete private equity transaction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ind w:left="440"/>
              <w:spacing w:after="0"/>
              <w:rPr>
                <w:sz w:val="20"/>
                <w:szCs w:val="20"/>
                <w:color w:val="auto"/>
              </w:rPr>
            </w:pPr>
            <w:r>
              <w:rPr>
                <w:rFonts w:ascii="Arial" w:cs="Arial" w:eastAsia="Arial" w:hAnsi="Arial"/>
                <w:sz w:val="17"/>
                <w:szCs w:val="17"/>
                <w:color w:val="auto"/>
              </w:rPr>
              <w:t>Cash dividends on preferred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(5,341)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(5,113)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(251,458)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change in cash and cash equivalents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2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(73,963)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(269,267)</w:t>
            </w:r>
          </w:p>
        </w:tc>
        <w:tc>
          <w:tcPr>
            <w:tcW w:w="0" w:type="dxa"/>
            <w:vAlign w:val="bottom"/>
          </w:tcPr>
          <w:p>
            <w:pPr>
              <w:spacing w:after="0"/>
              <w:rPr>
                <w:sz w:val="1"/>
                <w:szCs w:val="1"/>
                <w:color w:val="auto"/>
              </w:rPr>
            </w:pPr>
          </w:p>
        </w:tc>
      </w:tr>
      <w:tr>
        <w:trPr>
          <w:trHeight w:val="215"/>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Cash and cash equivalents at beginning of period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378,416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2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304,453</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380,190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40"/>
              <w:spacing w:after="0"/>
              <w:rPr>
                <w:sz w:val="20"/>
                <w:szCs w:val="20"/>
                <w:color w:val="auto"/>
              </w:rPr>
            </w:pPr>
            <w:r>
              <w:rPr>
                <w:rFonts w:ascii="Arial" w:cs="Arial" w:eastAsia="Arial" w:hAnsi="Arial"/>
                <w:sz w:val="17"/>
                <w:szCs w:val="17"/>
                <w:color w:val="auto"/>
              </w:rPr>
              <w:t>Cash paid (received) during the period for: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74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Interest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23,222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400" w:type="dxa"/>
            <w:vAlign w:val="bottom"/>
          </w:tcPr>
          <w:p>
            <w:pPr>
              <w:ind w:left="480"/>
              <w:spacing w:after="0"/>
              <w:rPr>
                <w:sz w:val="20"/>
                <w:szCs w:val="20"/>
                <w:color w:val="auto"/>
              </w:rPr>
            </w:pPr>
            <w:r>
              <w:rPr>
                <w:rFonts w:ascii="Arial" w:cs="Arial" w:eastAsia="Arial" w:hAnsi="Arial"/>
                <w:sz w:val="17"/>
                <w:szCs w:val="17"/>
                <w:color w:val="auto"/>
              </w:rPr>
              <w:t>Income taxes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(27,105)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Unsettled securities purchases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Accounting Policies</w:t>
      </w:r>
    </w:p>
    <w:p>
      <w:pPr>
        <w:spacing w:after="0" w:line="1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2011.</w:t>
      </w:r>
    </w:p>
    <w:p>
      <w:pPr>
        <w:spacing w:after="0" w:line="129"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(“ASC”) 360-20, </w:t>
      </w:r>
      <w:r>
        <w:rPr>
          <w:rFonts w:ascii="Arial" w:cs="Arial" w:eastAsia="Arial" w:hAnsi="Arial"/>
          <w:sz w:val="16"/>
          <w:szCs w:val="16"/>
          <w:i w:val="1"/>
          <w:iCs w:val="1"/>
          <w:color w:val="auto"/>
        </w:rPr>
        <w:t>Real Estate Sales.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Standards Updates</w:t>
      </w:r>
    </w:p>
    <w:p>
      <w:pPr>
        <w:spacing w:after="0" w:line="10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 xml:space="preserve">In July 2012, the Financial Accounting Standards Board issued Accounting Standards Update No. 2012-02, </w:t>
      </w:r>
      <w:r>
        <w:rPr>
          <w:rFonts w:ascii="Arial" w:cs="Arial" w:eastAsia="Arial" w:hAnsi="Arial"/>
          <w:sz w:val="17"/>
          <w:szCs w:val="17"/>
          <w:i w:val="1"/>
          <w:iCs w:val="1"/>
          <w:color w:val="auto"/>
        </w:rPr>
        <w:t>Testing Indefinite-Lived Intangible Assets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(the revised standard). It allows companies to perform a “qualitative” assessment to determine whether further impairment testing of indefinite-lived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is necessary, similar in approach to the goodwill impairment test. The revised standard is effective for annual and interim impairment tests performed for fiscal years beginning after September 15, 2012, and entities can choose to early adopt the revised guidance. It is not expected to have a material impact on United’s financial position, results of operations or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Mergers and Acquisitions</w:t>
      </w:r>
    </w:p>
    <w:p>
      <w:pPr>
        <w:spacing w:after="0" w:line="10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On June 19, 2009, United Community Bank (“UCB” or the “Bank”) purchased substantially all the assets and assumed substantially all the liabilities of Southern Community Bank (“SCB”) from the Federal Deposit Insurance Corporation (“FDIC”), as Receiver of SCB.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1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Under the loss sharing agreement, the portion of the losses expected to be indemnified by the FDIC is considered an indemnification asset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four-year average life. No valuation allowance was required.</w:t>
      </w:r>
    </w:p>
    <w:p>
      <w:pPr>
        <w:spacing w:after="0" w:line="129"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color w:val="auto"/>
        </w:rPr>
        <w:t>Loans, foreclosed property and the estimated FDIC reimbursement resulting from the loss sharing agreements with the FDIC are reported as “Assets covered by loss sharing agreements with the FDIC” in the consolidated balance sheet.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table below shows the components of covered assets at June 30, 2012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80" w:type="dxa"/>
            <w:vAlign w:val="bottom"/>
            <w:gridSpan w:val="3"/>
          </w:tcPr>
          <w:p>
            <w:pPr>
              <w:ind w:left="360"/>
              <w:spacing w:after="0"/>
              <w:rPr>
                <w:sz w:val="20"/>
                <w:szCs w:val="20"/>
                <w:color w:val="auto"/>
              </w:rPr>
            </w:pPr>
            <w:r>
              <w:rPr>
                <w:rFonts w:ascii="Arial" w:cs="Arial" w:eastAsia="Arial" w:hAnsi="Arial"/>
                <w:sz w:val="13"/>
                <w:szCs w:val="13"/>
                <w:b w:val="1"/>
                <w:bCs w:val="1"/>
                <w:color w:val="auto"/>
                <w:w w:val="90"/>
              </w:rPr>
              <w:t>Purchased</w:t>
            </w:r>
          </w:p>
        </w:tc>
        <w:tc>
          <w:tcPr>
            <w:tcW w:w="46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Arial" w:cs="Arial" w:eastAsia="Arial" w:hAnsi="Arial"/>
                <w:sz w:val="13"/>
                <w:szCs w:val="13"/>
                <w:b w:val="1"/>
                <w:bCs w:val="1"/>
                <w:color w:val="auto"/>
              </w:rPr>
              <w:t>Other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0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2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Impaired</w:t>
            </w:r>
          </w:p>
        </w:tc>
        <w:tc>
          <w:tcPr>
            <w:tcW w:w="106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rPr>
              <w:t>Purchased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00" w:type="dxa"/>
            <w:vAlign w:val="bottom"/>
            <w:gridSpan w:val="2"/>
            <w:vMerge w:val="continue"/>
          </w:tcPr>
          <w:p>
            <w:pPr>
              <w:spacing w:after="0"/>
              <w:rPr>
                <w:sz w:val="13"/>
                <w:szCs w:val="13"/>
                <w:color w:val="auto"/>
              </w:rPr>
            </w:pPr>
          </w:p>
        </w:tc>
        <w:tc>
          <w:tcPr>
            <w:tcW w:w="2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3"/>
                <w:szCs w:val="13"/>
                <w:b w:val="1"/>
                <w:bCs w:val="1"/>
                <w:color w:val="auto"/>
              </w:rPr>
              <w:t>Loans</w:t>
            </w:r>
          </w:p>
        </w:tc>
        <w:tc>
          <w:tcPr>
            <w:tcW w:w="460" w:type="dxa"/>
            <w:vAlign w:val="bottom"/>
          </w:tcPr>
          <w:p>
            <w:pPr>
              <w:spacing w:after="0"/>
              <w:rPr>
                <w:sz w:val="13"/>
                <w:szCs w:val="13"/>
                <w:color w:val="auto"/>
              </w:rPr>
            </w:pPr>
          </w:p>
        </w:tc>
        <w:tc>
          <w:tcPr>
            <w:tcW w:w="600" w:type="dxa"/>
            <w:vAlign w:val="bottom"/>
          </w:tcPr>
          <w:p>
            <w:pPr>
              <w:jc w:val="right"/>
              <w:ind w:right="60"/>
              <w:spacing w:after="0"/>
              <w:rPr>
                <w:sz w:val="20"/>
                <w:szCs w:val="20"/>
                <w:color w:val="auto"/>
              </w:rPr>
            </w:pPr>
            <w:r>
              <w:rPr>
                <w:rFonts w:ascii="Arial" w:cs="Arial" w:eastAsia="Arial" w:hAnsi="Arial"/>
                <w:sz w:val="13"/>
                <w:szCs w:val="13"/>
                <w:b w:val="1"/>
                <w:bCs w:val="1"/>
                <w:color w:val="auto"/>
              </w:rPr>
              <w:t>Loans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Other</w:t>
            </w:r>
          </w:p>
        </w:tc>
        <w:tc>
          <w:tcPr>
            <w:tcW w:w="480" w:type="dxa"/>
            <w:vAlign w:val="bottom"/>
          </w:tcPr>
          <w:p>
            <w:pPr>
              <w:spacing w:after="0"/>
              <w:rPr>
                <w:sz w:val="13"/>
                <w:szCs w:val="13"/>
                <w:color w:val="auto"/>
              </w:rPr>
            </w:pPr>
          </w:p>
        </w:tc>
        <w:tc>
          <w:tcPr>
            <w:tcW w:w="6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Commercial (secured by real estate)</w:t>
            </w:r>
          </w:p>
        </w:tc>
        <w:tc>
          <w:tcPr>
            <w:tcW w:w="2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$ 28,021</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$28,021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Commercial &amp; industrial</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1,473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Construction and land development</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1"/>
              </w:rPr>
              <w:t>525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Residential mortgage</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auto"/>
                <w:w w:val="91"/>
              </w:rPr>
              <w:t>145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6,429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Consumer installment</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80" w:type="dxa"/>
            <w:vAlign w:val="bottom"/>
          </w:tcPr>
          <w:p>
            <w:pPr>
              <w:ind w:left="420"/>
              <w:spacing w:after="0"/>
              <w:rPr>
                <w:sz w:val="20"/>
                <w:szCs w:val="20"/>
                <w:color w:val="auto"/>
              </w:rPr>
            </w:pPr>
            <w:r>
              <w:rPr>
                <w:rFonts w:ascii="Arial" w:cs="Arial" w:eastAsia="Arial" w:hAnsi="Arial"/>
                <w:sz w:val="17"/>
                <w:szCs w:val="17"/>
                <w:color w:val="auto"/>
              </w:rPr>
              <w:t>Total covered loans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auto"/>
                <w:w w:val="91"/>
              </w:rPr>
              <w:t>670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40,784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41,454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Covered foreclosed property</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w w:val="88"/>
              </w:rPr>
              <w:t>14,098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Estimated loss reimbursement from the FDIC</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10,362</w:t>
            </w:r>
          </w:p>
        </w:tc>
        <w:tc>
          <w:tcPr>
            <w:tcW w:w="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covered assets</w:t>
            </w:r>
          </w:p>
        </w:tc>
        <w:tc>
          <w:tcPr>
            <w:tcW w:w="2540" w:type="dxa"/>
            <w:vAlign w:val="bottom"/>
            <w:gridSpan w:val="3"/>
            <w:shd w:val="clear" w:color="auto" w:fill="CCEEFF"/>
          </w:tcPr>
          <w:p>
            <w:pPr>
              <w:ind w:left="244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1"/>
              </w:rPr>
              <w:t>670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$ 40,784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w w:val="88"/>
              </w:rPr>
              <w:t>24,460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65,914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80" w:type="dxa"/>
            <w:vAlign w:val="bottom"/>
            <w:vMerge w:val="restart"/>
          </w:tcPr>
          <w:p>
            <w:pPr>
              <w:jc w:val="right"/>
              <w:ind w:right="893"/>
              <w:spacing w:after="0"/>
              <w:rPr>
                <w:sz w:val="20"/>
                <w:szCs w:val="20"/>
                <w:color w:val="auto"/>
              </w:rPr>
            </w:pPr>
            <w:r>
              <w:rPr>
                <w:rFonts w:ascii="Arial" w:cs="Arial" w:eastAsia="Arial" w:hAnsi="Arial"/>
                <w:sz w:val="17"/>
                <w:szCs w:val="17"/>
                <w:color w:val="auto"/>
              </w:rPr>
              <w:t>8</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7"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Reverse Repurchase Agreements</w:t>
      </w:r>
    </w:p>
    <w:p>
      <w:pPr>
        <w:spacing w:after="0" w:line="1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7"/>
          <w:szCs w:val="17"/>
          <w:i w:val="1"/>
          <w:iCs w:val="1"/>
          <w:color w:val="auto"/>
        </w:rPr>
        <w:t>Offsetting</w:t>
      </w:r>
      <w:r>
        <w:rPr>
          <w:rFonts w:ascii="Arial" w:cs="Arial" w:eastAsia="Arial" w:hAnsi="Arial"/>
          <w:sz w:val="17"/>
          <w:szCs w:val="17"/>
          <w:color w:val="auto"/>
        </w:rPr>
        <w:t xml:space="preserve">. The following table presents a summary of amounts outstanding under reverse repurchase agreements including those entered into in connection with repurchase agreements with the same counterparty under master netting agreements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w w:val="94"/>
              </w:rPr>
              <w:t>June 30, 2012</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80" w:type="dxa"/>
            <w:vAlign w:val="bottom"/>
            <w:gridSpan w:val="2"/>
          </w:tcPr>
          <w:p>
            <w:pPr>
              <w:jc w:val="center"/>
              <w:ind w:right="420"/>
              <w:spacing w:after="0" w:line="128" w:lineRule="exact"/>
              <w:rPr>
                <w:sz w:val="20"/>
                <w:szCs w:val="20"/>
                <w:color w:val="auto"/>
              </w:rPr>
            </w:pPr>
            <w:r>
              <w:rPr>
                <w:rFonts w:ascii="Arial" w:cs="Arial" w:eastAsia="Arial" w:hAnsi="Arial"/>
                <w:sz w:val="13"/>
                <w:szCs w:val="13"/>
                <w:b w:val="1"/>
                <w:bCs w:val="1"/>
                <w:color w:val="auto"/>
                <w:w w:val="90"/>
              </w:rPr>
              <w:t>Reverse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0" w:type="dxa"/>
            <w:vAlign w:val="bottom"/>
            <w:gridSpan w:val="3"/>
          </w:tcPr>
          <w:p>
            <w:pPr>
              <w:jc w:val="center"/>
              <w:ind w:left="843"/>
              <w:spacing w:after="0" w:line="148" w:lineRule="exact"/>
              <w:rPr>
                <w:sz w:val="20"/>
                <w:szCs w:val="20"/>
                <w:color w:val="auto"/>
              </w:rPr>
            </w:pPr>
            <w:r>
              <w:rPr>
                <w:rFonts w:ascii="Arial" w:cs="Arial" w:eastAsia="Arial" w:hAnsi="Arial"/>
                <w:sz w:val="13"/>
                <w:szCs w:val="13"/>
                <w:b w:val="1"/>
                <w:bCs w:val="1"/>
                <w:color w:val="auto"/>
                <w:w w:val="91"/>
              </w:rPr>
              <w:t>Repurchase</w:t>
            </w:r>
          </w:p>
        </w:tc>
        <w:tc>
          <w:tcPr>
            <w:tcW w:w="1380" w:type="dxa"/>
            <w:vAlign w:val="bottom"/>
            <w:gridSpan w:val="3"/>
          </w:tcPr>
          <w:p>
            <w:pPr>
              <w:jc w:val="right"/>
              <w:ind w:right="420"/>
              <w:spacing w:after="0" w:line="148" w:lineRule="exact"/>
              <w:rPr>
                <w:sz w:val="20"/>
                <w:szCs w:val="20"/>
                <w:color w:val="auto"/>
              </w:rPr>
            </w:pPr>
            <w:r>
              <w:rPr>
                <w:rFonts w:ascii="Arial" w:cs="Arial" w:eastAsia="Arial" w:hAnsi="Arial"/>
                <w:sz w:val="13"/>
                <w:szCs w:val="13"/>
                <w:b w:val="1"/>
                <w:bCs w:val="1"/>
                <w:color w:val="auto"/>
              </w:rPr>
              <w:t>Repurchase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0" w:type="dxa"/>
            <w:vAlign w:val="bottom"/>
            <w:gridSpan w:val="3"/>
          </w:tcPr>
          <w:p>
            <w:pPr>
              <w:jc w:val="center"/>
              <w:ind w:left="843"/>
              <w:spacing w:after="0" w:line="148" w:lineRule="exact"/>
              <w:rPr>
                <w:sz w:val="20"/>
                <w:szCs w:val="20"/>
                <w:color w:val="auto"/>
              </w:rPr>
            </w:pPr>
            <w:r>
              <w:rPr>
                <w:rFonts w:ascii="Arial" w:cs="Arial" w:eastAsia="Arial" w:hAnsi="Arial"/>
                <w:sz w:val="13"/>
                <w:szCs w:val="13"/>
                <w:b w:val="1"/>
                <w:bCs w:val="1"/>
                <w:color w:val="auto"/>
                <w:w w:val="90"/>
              </w:rPr>
              <w:t>Agreements</w:t>
            </w:r>
          </w:p>
        </w:tc>
        <w:tc>
          <w:tcPr>
            <w:tcW w:w="1380" w:type="dxa"/>
            <w:vAlign w:val="bottom"/>
            <w:gridSpan w:val="3"/>
          </w:tcPr>
          <w:p>
            <w:pPr>
              <w:jc w:val="right"/>
              <w:ind w:right="420"/>
              <w:spacing w:after="0" w:line="148" w:lineRule="exact"/>
              <w:rPr>
                <w:sz w:val="20"/>
                <w:szCs w:val="20"/>
                <w:color w:val="auto"/>
              </w:rPr>
            </w:pPr>
            <w:r>
              <w:rPr>
                <w:rFonts w:ascii="Arial" w:cs="Arial" w:eastAsia="Arial" w:hAnsi="Arial"/>
                <w:sz w:val="13"/>
                <w:szCs w:val="13"/>
                <w:b w:val="1"/>
                <w:bCs w:val="1"/>
                <w:color w:val="auto"/>
              </w:rPr>
              <w:t>Agreements</w:t>
            </w:r>
          </w:p>
        </w:tc>
        <w:tc>
          <w:tcPr>
            <w:tcW w:w="280" w:type="dxa"/>
            <w:vAlign w:val="bottom"/>
          </w:tcPr>
          <w:p>
            <w:pPr>
              <w:spacing w:after="0"/>
              <w:rPr>
                <w:sz w:val="12"/>
                <w:szCs w:val="12"/>
                <w:color w:val="auto"/>
              </w:rPr>
            </w:pPr>
          </w:p>
        </w:tc>
        <w:tc>
          <w:tcPr>
            <w:tcW w:w="960" w:type="dxa"/>
            <w:vAlign w:val="bottom"/>
            <w:gridSpan w:val="3"/>
          </w:tcPr>
          <w:p>
            <w:pPr>
              <w:ind w:left="40"/>
              <w:spacing w:after="0" w:line="148" w:lineRule="exact"/>
              <w:rPr>
                <w:sz w:val="20"/>
                <w:szCs w:val="20"/>
                <w:color w:val="auto"/>
              </w:rPr>
            </w:pPr>
            <w:r>
              <w:rPr>
                <w:rFonts w:ascii="Arial" w:cs="Arial" w:eastAsia="Arial" w:hAnsi="Arial"/>
                <w:sz w:val="13"/>
                <w:szCs w:val="13"/>
                <w:b w:val="1"/>
                <w:bCs w:val="1"/>
                <w:color w:val="auto"/>
              </w:rPr>
              <w:t>Net Reported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(Assets)</w:t>
            </w:r>
          </w:p>
        </w:tc>
        <w:tc>
          <w:tcPr>
            <w:tcW w:w="28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6"/>
              </w:rPr>
              <w:t>(Liabilities)</w:t>
            </w:r>
          </w:p>
        </w:tc>
        <w:tc>
          <w:tcPr>
            <w:tcW w:w="12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Balance (Asset)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Amounts subject to master netting agreements</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$ 200,000</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$ 200,000</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Other reverse repurchase agreements</w:t>
            </w:r>
          </w:p>
        </w:tc>
        <w:tc>
          <w:tcPr>
            <w:tcW w:w="1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120,000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$ 320,000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$ 200,000</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interest rate</w:t>
            </w:r>
          </w:p>
        </w:tc>
        <w:tc>
          <w:tcPr>
            <w:tcW w:w="1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60" w:type="dxa"/>
            <w:vAlign w:val="bottom"/>
            <w:gridSpan w:val="2"/>
            <w:vMerge w:val="continue"/>
          </w:tcPr>
          <w:p>
            <w:pPr>
              <w:spacing w:after="0"/>
              <w:rPr>
                <w:sz w:val="17"/>
                <w:szCs w:val="17"/>
                <w:color w:val="auto"/>
              </w:rPr>
            </w:pPr>
          </w:p>
        </w:tc>
        <w:tc>
          <w:tcPr>
            <w:tcW w:w="2400" w:type="dxa"/>
            <w:vAlign w:val="bottom"/>
            <w:gridSpan w:val="3"/>
          </w:tcPr>
          <w:p>
            <w:pPr>
              <w:jc w:val="right"/>
              <w:ind w:right="260"/>
              <w:spacing w:after="0"/>
              <w:rPr>
                <w:sz w:val="20"/>
                <w:szCs w:val="20"/>
                <w:color w:val="auto"/>
              </w:rPr>
            </w:pPr>
            <w:r>
              <w:rPr>
                <w:rFonts w:ascii="Arial" w:cs="Arial" w:eastAsia="Arial" w:hAnsi="Arial"/>
                <w:sz w:val="17"/>
                <w:szCs w:val="17"/>
                <w:color w:val="auto"/>
              </w:rPr>
              <w:t>1.27%</w:t>
            </w:r>
          </w:p>
        </w:tc>
        <w:tc>
          <w:tcPr>
            <w:tcW w:w="1380" w:type="dxa"/>
            <w:vAlign w:val="bottom"/>
            <w:gridSpan w:val="3"/>
          </w:tcPr>
          <w:p>
            <w:pPr>
              <w:jc w:val="right"/>
              <w:ind w:right="280"/>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color w:val="auto"/>
        </w:rPr>
        <w:t>In addition to the collateral swap transactions, United has entered into offsetting securities lending agreements with counterparties that function similar to the collateral swaps. United had $80.0 million in offsetting securities lending positions outstanding at June 30, 2012.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Securities</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 xml:space="preserve">Realized gains and losses are derived using the specific identification method for determining the cost of securities sold. The following table summarizes securities sales activity for the three and six month periods ended June 30, 2012 and 2011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4"/>
              </w:rPr>
              <w:t>Three Months 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3"/>
                <w:szCs w:val="13"/>
                <w:b w:val="1"/>
                <w:bCs w:val="1"/>
                <w:color w:val="auto"/>
                <w:w w:val="92"/>
              </w:rPr>
              <w:t>June 30,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line="141" w:lineRule="exact"/>
              <w:rPr>
                <w:sz w:val="20"/>
                <w:szCs w:val="20"/>
                <w:color w:val="auto"/>
              </w:rPr>
            </w:pPr>
            <w:r>
              <w:rPr>
                <w:rFonts w:ascii="Arial" w:cs="Arial" w:eastAsia="Arial" w:hAnsi="Arial"/>
                <w:sz w:val="13"/>
                <w:szCs w:val="13"/>
                <w:b w:val="1"/>
                <w:bCs w:val="1"/>
                <w:color w:val="auto"/>
              </w:rPr>
              <w:t>2012</w:t>
            </w: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1" w:lineRule="exact"/>
              <w:rPr>
                <w:sz w:val="20"/>
                <w:szCs w:val="20"/>
                <w:color w:val="auto"/>
              </w:rPr>
            </w:pPr>
            <w:r>
              <w:rPr>
                <w:rFonts w:ascii="Arial" w:cs="Arial" w:eastAsia="Arial" w:hAnsi="Arial"/>
                <w:sz w:val="13"/>
                <w:szCs w:val="13"/>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line="141" w:lineRule="exact"/>
              <w:rPr>
                <w:sz w:val="20"/>
                <w:szCs w:val="20"/>
                <w:color w:val="auto"/>
              </w:rPr>
            </w:pPr>
            <w:r>
              <w:rPr>
                <w:rFonts w:ascii="Arial" w:cs="Arial" w:eastAsia="Arial" w:hAnsi="Arial"/>
                <w:sz w:val="13"/>
                <w:szCs w:val="13"/>
                <w:b w:val="1"/>
                <w:bCs w:val="1"/>
                <w:color w:val="auto"/>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1"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265,992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55,363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371,103</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106,603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7"/>
                <w:szCs w:val="17"/>
                <w:color w:val="auto"/>
              </w:rPr>
              <w:t>Gross gains on sales</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20" w:type="dxa"/>
            <w:vAlign w:val="bottom"/>
            <w:gridSpan w:val="2"/>
            <w:vMerge w:val="continue"/>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6,490</w:t>
            </w:r>
          </w:p>
        </w:tc>
        <w:tc>
          <w:tcPr>
            <w:tcW w:w="3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838</w:t>
            </w:r>
          </w:p>
        </w:tc>
        <w:tc>
          <w:tcPr>
            <w:tcW w:w="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7,047</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Gross losses on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vMerge w:val="restart"/>
          </w:tcPr>
          <w:p>
            <w:pPr>
              <w:ind w:left="420"/>
              <w:spacing w:after="0"/>
              <w:rPr>
                <w:sz w:val="20"/>
                <w:szCs w:val="20"/>
                <w:color w:val="auto"/>
              </w:rPr>
            </w:pPr>
            <w:r>
              <w:rPr>
                <w:rFonts w:ascii="Arial" w:cs="Arial" w:eastAsia="Arial" w:hAnsi="Arial"/>
                <w:sz w:val="17"/>
                <w:szCs w:val="17"/>
                <w:color w:val="auto"/>
              </w:rPr>
              <w:t>Net gains on sales of securities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6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6,490</w:t>
            </w:r>
          </w:p>
        </w:tc>
        <w:tc>
          <w:tcPr>
            <w:tcW w:w="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783</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7,047</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Securities with a carrying value of $1.29 billion, $1.72 billion, and $2.11 billion were pledged to secure public deposits, FHLB advances and other secured borrowings at June 30, 2012, December 31, 2011 and June 30, 2011, respectively. Substantial borrowing capacity remains available under borrowing arrangements with the FHLB with currently pledged securities.</w:t>
      </w:r>
    </w:p>
    <w:p>
      <w:pPr>
        <w:spacing w:after="0" w:line="125"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Securities are classified as held to maturity when management has the positive intent and ability to hold them until maturity. Securities held to maturity are carried at amortized cost.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457"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 xml:space="preserve">The amortized cost, gross unrealized gains and losses and fair value of securities held to maturity at June 30, 2012, December 31, 2011 and June 30, 2011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76"/>
              <w:spacing w:after="0"/>
              <w:rPr>
                <w:sz w:val="20"/>
                <w:szCs w:val="20"/>
                <w:color w:val="auto"/>
              </w:rPr>
            </w:pPr>
            <w:r>
              <w:rPr>
                <w:rFonts w:ascii="Arial" w:cs="Arial" w:eastAsia="Arial" w:hAnsi="Arial"/>
                <w:sz w:val="13"/>
                <w:szCs w:val="13"/>
                <w:b w:val="1"/>
                <w:bCs w:val="1"/>
                <w:color w:val="auto"/>
                <w:w w:val="90"/>
              </w:rPr>
              <w:t>Gross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rPr>
              <w:t>Gross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w w:val="97"/>
              </w:rPr>
              <w:t>Amortized</w:t>
            </w:r>
          </w:p>
        </w:tc>
        <w:tc>
          <w:tcPr>
            <w:tcW w:w="1100" w:type="dxa"/>
            <w:vAlign w:val="bottom"/>
            <w:gridSpan w:val="3"/>
          </w:tcPr>
          <w:p>
            <w:pPr>
              <w:ind w:left="460"/>
              <w:spacing w:after="0" w:line="148" w:lineRule="exact"/>
              <w:rPr>
                <w:sz w:val="20"/>
                <w:szCs w:val="20"/>
                <w:color w:val="auto"/>
              </w:rPr>
            </w:pPr>
            <w:r>
              <w:rPr>
                <w:rFonts w:ascii="Arial" w:cs="Arial" w:eastAsia="Arial" w:hAnsi="Arial"/>
                <w:sz w:val="13"/>
                <w:szCs w:val="13"/>
                <w:b w:val="1"/>
                <w:bCs w:val="1"/>
                <w:color w:val="auto"/>
                <w:w w:val="94"/>
              </w:rPr>
              <w:t>Unrealized</w:t>
            </w:r>
          </w:p>
        </w:tc>
        <w:tc>
          <w:tcPr>
            <w:tcW w:w="1100" w:type="dxa"/>
            <w:vAlign w:val="bottom"/>
            <w:gridSpan w:val="3"/>
          </w:tcPr>
          <w:p>
            <w:pPr>
              <w:ind w:left="460"/>
              <w:spacing w:after="0" w:line="148" w:lineRule="exact"/>
              <w:rPr>
                <w:sz w:val="20"/>
                <w:szCs w:val="20"/>
                <w:color w:val="auto"/>
              </w:rPr>
            </w:pPr>
            <w:r>
              <w:rPr>
                <w:rFonts w:ascii="Arial" w:cs="Arial" w:eastAsia="Arial" w:hAnsi="Arial"/>
                <w:sz w:val="13"/>
                <w:szCs w:val="13"/>
                <w:b w:val="1"/>
                <w:bCs w:val="1"/>
                <w:color w:val="auto"/>
                <w:w w:val="94"/>
              </w:rPr>
              <w:t>Unrealized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5"/>
              <w:spacing w:after="0"/>
              <w:rPr>
                <w:sz w:val="20"/>
                <w:szCs w:val="20"/>
                <w:color w:val="auto"/>
              </w:rPr>
            </w:pPr>
            <w:r>
              <w:rPr>
                <w:rFonts w:ascii="Arial" w:cs="Arial" w:eastAsia="Arial" w:hAnsi="Arial"/>
                <w:sz w:val="13"/>
                <w:szCs w:val="13"/>
                <w:b w:val="1"/>
                <w:bCs w:val="1"/>
                <w:color w:val="auto"/>
              </w:rPr>
              <w:t>Cost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76"/>
              <w:spacing w:after="0"/>
              <w:rPr>
                <w:sz w:val="20"/>
                <w:szCs w:val="20"/>
                <w:color w:val="auto"/>
              </w:rPr>
            </w:pPr>
            <w:r>
              <w:rPr>
                <w:rFonts w:ascii="Arial" w:cs="Arial" w:eastAsia="Arial" w:hAnsi="Arial"/>
                <w:sz w:val="13"/>
                <w:szCs w:val="13"/>
                <w:b w:val="1"/>
                <w:bCs w:val="1"/>
                <w:color w:val="auto"/>
                <w:w w:val="93"/>
              </w:rPr>
              <w:t>Gains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Losses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8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As of June 30, 2012</w:t>
            </w: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51,801</w:t>
            </w:r>
          </w:p>
        </w:tc>
        <w:tc>
          <w:tcPr>
            <w:tcW w:w="5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5,586</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57,387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230,949</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11,635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242,584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80" w:type="dxa"/>
            <w:vAlign w:val="bottom"/>
            <w:gridSpan w:val="3"/>
          </w:tcPr>
          <w:p>
            <w:pPr>
              <w:ind w:left="840"/>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282,750</w:t>
            </w:r>
          </w:p>
        </w:tc>
        <w:tc>
          <w:tcPr>
            <w:tcW w:w="5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2"/>
              </w:rPr>
              <w:t>17,221</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299,971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380" w:type="dxa"/>
            <w:vAlign w:val="bottom"/>
            <w:gridSpan w:val="3"/>
            <w:shd w:val="clear" w:color="auto" w:fill="CCEEFF"/>
          </w:tcPr>
          <w:p>
            <w:pPr>
              <w:spacing w:after="0" w:line="168" w:lineRule="exact"/>
              <w:rPr>
                <w:sz w:val="20"/>
                <w:szCs w:val="20"/>
                <w:color w:val="auto"/>
              </w:rPr>
            </w:pPr>
            <w:r>
              <w:rPr>
                <w:rFonts w:ascii="Arial" w:cs="Arial" w:eastAsia="Arial" w:hAnsi="Arial"/>
                <w:sz w:val="17"/>
                <w:szCs w:val="17"/>
                <w:b w:val="1"/>
                <w:bCs w:val="1"/>
                <w:color w:val="auto"/>
              </w:rPr>
              <w:t>As of December 31, 2011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5,000</w:t>
            </w:r>
          </w:p>
        </w:tc>
        <w:tc>
          <w:tcPr>
            <w:tcW w:w="5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State and political subdivisions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51,903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84"/>
              </w:rPr>
              <w:t>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273,300</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9,619</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w w:val="91"/>
              </w:rPr>
              <w:t>342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282,577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330,203</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13,683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1"/>
              </w:rPr>
              <w:t>355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343,531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As of June 30,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4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State and political subdivisions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49,122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7"/>
                <w:szCs w:val="17"/>
                <w:color w:val="auto"/>
                <w:w w:val="91"/>
              </w:rPr>
              <w:t>292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317,456</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84"/>
              </w:rPr>
              <w:t>62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323,578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80" w:type="dxa"/>
            <w:vAlign w:val="bottom"/>
            <w:gridSpan w:val="3"/>
          </w:tcPr>
          <w:p>
            <w:pPr>
              <w:ind w:left="840"/>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371,578</w:t>
            </w:r>
          </w:p>
        </w:tc>
        <w:tc>
          <w:tcPr>
            <w:tcW w:w="5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8,007</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540" w:type="dxa"/>
            <w:vAlign w:val="bottom"/>
          </w:tcPr>
          <w:p>
            <w:pPr>
              <w:ind w:left="260"/>
              <w:spacing w:after="0"/>
              <w:rPr>
                <w:sz w:val="20"/>
                <w:szCs w:val="20"/>
                <w:color w:val="auto"/>
              </w:rPr>
            </w:pPr>
            <w:r>
              <w:rPr>
                <w:rFonts w:ascii="Arial" w:cs="Arial" w:eastAsia="Arial" w:hAnsi="Arial"/>
                <w:sz w:val="17"/>
                <w:szCs w:val="17"/>
                <w:color w:val="auto"/>
                <w:w w:val="91"/>
              </w:rPr>
              <w:t>354</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379,231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60" w:hanging="453"/>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All are residential type mortgage-backed securities</w:t>
      </w:r>
    </w:p>
    <w:p>
      <w:pPr>
        <w:spacing w:after="0" w:line="154"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 xml:space="preserve">The cost basis, unrealized gains and losses, and fair value of securities available for sale at June 30, 2012, December 31, 2011 and June 30, 2011 are presented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5"/>
              <w:spacing w:after="0"/>
              <w:rPr>
                <w:sz w:val="20"/>
                <w:szCs w:val="20"/>
                <w:color w:val="auto"/>
              </w:rPr>
            </w:pPr>
            <w:r>
              <w:rPr>
                <w:rFonts w:ascii="Arial" w:cs="Arial" w:eastAsia="Arial" w:hAnsi="Arial"/>
                <w:sz w:val="13"/>
                <w:szCs w:val="13"/>
                <w:b w:val="1"/>
                <w:bCs w:val="1"/>
                <w:color w:val="auto"/>
                <w:w w:val="90"/>
              </w:rPr>
              <w:t>Gross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5"/>
              <w:spacing w:after="0"/>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5"/>
              <w:spacing w:after="0" w:line="148" w:lineRule="exact"/>
              <w:rPr>
                <w:sz w:val="20"/>
                <w:szCs w:val="20"/>
                <w:color w:val="auto"/>
              </w:rPr>
            </w:pPr>
            <w:r>
              <w:rPr>
                <w:rFonts w:ascii="Arial" w:cs="Arial" w:eastAsia="Arial" w:hAnsi="Arial"/>
                <w:sz w:val="13"/>
                <w:szCs w:val="13"/>
                <w:b w:val="1"/>
                <w:bCs w:val="1"/>
                <w:color w:val="auto"/>
                <w:w w:val="94"/>
              </w:rPr>
              <w:t>Amortized</w:t>
            </w:r>
          </w:p>
        </w:tc>
        <w:tc>
          <w:tcPr>
            <w:tcW w:w="1020" w:type="dxa"/>
            <w:vAlign w:val="bottom"/>
            <w:gridSpan w:val="3"/>
          </w:tcPr>
          <w:p>
            <w:pPr>
              <w:ind w:left="380"/>
              <w:spacing w:after="0" w:line="148" w:lineRule="exact"/>
              <w:rPr>
                <w:sz w:val="20"/>
                <w:szCs w:val="20"/>
                <w:color w:val="auto"/>
              </w:rPr>
            </w:pPr>
            <w:r>
              <w:rPr>
                <w:rFonts w:ascii="Arial" w:cs="Arial" w:eastAsia="Arial" w:hAnsi="Arial"/>
                <w:sz w:val="13"/>
                <w:szCs w:val="13"/>
                <w:b w:val="1"/>
                <w:bCs w:val="1"/>
                <w:color w:val="auto"/>
                <w:w w:val="94"/>
              </w:rPr>
              <w:t>Unrealized</w:t>
            </w:r>
          </w:p>
        </w:tc>
        <w:tc>
          <w:tcPr>
            <w:tcW w:w="1020" w:type="dxa"/>
            <w:vAlign w:val="bottom"/>
            <w:gridSpan w:val="3"/>
          </w:tcPr>
          <w:p>
            <w:pPr>
              <w:ind w:left="380"/>
              <w:spacing w:after="0" w:line="148" w:lineRule="exact"/>
              <w:rPr>
                <w:sz w:val="20"/>
                <w:szCs w:val="20"/>
                <w:color w:val="auto"/>
              </w:rPr>
            </w:pPr>
            <w:r>
              <w:rPr>
                <w:rFonts w:ascii="Arial" w:cs="Arial" w:eastAsia="Arial" w:hAnsi="Arial"/>
                <w:sz w:val="13"/>
                <w:szCs w:val="13"/>
                <w:b w:val="1"/>
                <w:bCs w:val="1"/>
                <w:color w:val="auto"/>
                <w:w w:val="94"/>
              </w:rPr>
              <w:t>Unrealized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95"/>
              <w:spacing w:after="0"/>
              <w:rPr>
                <w:sz w:val="20"/>
                <w:szCs w:val="20"/>
                <w:color w:val="auto"/>
              </w:rPr>
            </w:pPr>
            <w:r>
              <w:rPr>
                <w:rFonts w:ascii="Arial" w:cs="Arial" w:eastAsia="Arial" w:hAnsi="Arial"/>
                <w:sz w:val="13"/>
                <w:szCs w:val="13"/>
                <w:b w:val="1"/>
                <w:bCs w:val="1"/>
                <w:color w:val="auto"/>
              </w:rPr>
              <w:t>Cost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75"/>
              <w:spacing w:after="0"/>
              <w:rPr>
                <w:sz w:val="20"/>
                <w:szCs w:val="20"/>
                <w:color w:val="auto"/>
              </w:rPr>
            </w:pPr>
            <w:r>
              <w:rPr>
                <w:rFonts w:ascii="Arial" w:cs="Arial" w:eastAsia="Arial" w:hAnsi="Arial"/>
                <w:sz w:val="13"/>
                <w:szCs w:val="13"/>
                <w:b w:val="1"/>
                <w:bCs w:val="1"/>
                <w:color w:val="auto"/>
                <w:w w:val="93"/>
              </w:rPr>
              <w:t>Gains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55"/>
              <w:spacing w:after="0"/>
              <w:rPr>
                <w:sz w:val="20"/>
                <w:szCs w:val="20"/>
                <w:color w:val="auto"/>
              </w:rPr>
            </w:pPr>
            <w:r>
              <w:rPr>
                <w:rFonts w:ascii="Arial" w:cs="Arial" w:eastAsia="Arial" w:hAnsi="Arial"/>
                <w:sz w:val="13"/>
                <w:szCs w:val="13"/>
                <w:b w:val="1"/>
                <w:bCs w:val="1"/>
                <w:color w:val="auto"/>
                <w:w w:val="84"/>
              </w:rPr>
              <w:t>Losses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8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As of June 30, 2012</w:t>
            </w: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43,618</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256</w:t>
            </w:r>
          </w:p>
        </w:tc>
        <w:tc>
          <w:tcPr>
            <w:tcW w:w="480" w:type="dxa"/>
            <w:vAlign w:val="bottom"/>
            <w:gridSpan w:val="2"/>
          </w:tcPr>
          <w:p>
            <w:pPr>
              <w:ind w:left="38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43,874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State and political subdivisions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1,408,047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2"/>
              </w:rPr>
              <w:t>25,723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1,433,431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Corporate bonds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119,198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Asset-backed securities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85,090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592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80" w:type="dxa"/>
            <w:vAlign w:val="bottom"/>
            <w:gridSpan w:val="3"/>
          </w:tcPr>
          <w:p>
            <w:pPr>
              <w:ind w:left="840"/>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1,684,240</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2"/>
              </w:rPr>
              <w:t>27,441</w:t>
            </w:r>
          </w:p>
        </w:tc>
        <w:tc>
          <w:tcPr>
            <w:tcW w:w="480" w:type="dxa"/>
            <w:vAlign w:val="bottom"/>
            <w:gridSpan w:val="2"/>
          </w:tcPr>
          <w:p>
            <w:pPr>
              <w:ind w:left="38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10,098</w:t>
            </w: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1,701,583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380" w:type="dxa"/>
            <w:vAlign w:val="bottom"/>
            <w:gridSpan w:val="3"/>
            <w:shd w:val="clear" w:color="auto" w:fill="CCEEFF"/>
          </w:tcPr>
          <w:p>
            <w:pPr>
              <w:spacing w:after="0" w:line="168" w:lineRule="exact"/>
              <w:rPr>
                <w:sz w:val="20"/>
                <w:szCs w:val="20"/>
                <w:color w:val="auto"/>
              </w:rPr>
            </w:pPr>
            <w:r>
              <w:rPr>
                <w:rFonts w:ascii="Arial" w:cs="Arial" w:eastAsia="Arial" w:hAnsi="Arial"/>
                <w:sz w:val="17"/>
                <w:szCs w:val="17"/>
                <w:b w:val="1"/>
                <w:bCs w:val="1"/>
                <w:color w:val="auto"/>
              </w:rPr>
              <w:t>As of December 31, 2011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43,592</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158</w:t>
            </w:r>
          </w:p>
        </w:tc>
        <w:tc>
          <w:tcPr>
            <w:tcW w:w="480" w:type="dxa"/>
            <w:vAlign w:val="bottom"/>
            <w:gridSpan w:val="2"/>
          </w:tcPr>
          <w:p>
            <w:pPr>
              <w:ind w:left="38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43,750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State and political subdivisions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1,576,064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2"/>
              </w:rPr>
              <w:t>33,988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1,609,909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Corporate bonds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11,432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1,766,134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35,491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11,578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1,790,047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As of June 30, 2011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4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U.S. Government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77,930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State and political subdivisions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25,569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1,556,910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35,991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1,592,618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tcPr>
          <w:p>
            <w:pPr>
              <w:ind w:left="420"/>
              <w:spacing w:after="0"/>
              <w:rPr>
                <w:sz w:val="20"/>
                <w:szCs w:val="20"/>
                <w:color w:val="auto"/>
              </w:rPr>
            </w:pPr>
            <w:r>
              <w:rPr>
                <w:rFonts w:ascii="Arial" w:cs="Arial" w:eastAsia="Arial" w:hAnsi="Arial"/>
                <w:sz w:val="17"/>
                <w:szCs w:val="17"/>
                <w:color w:val="auto"/>
              </w:rPr>
              <w:t>Corporate bonds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119,021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1,827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117,294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2,452</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80" w:type="dxa"/>
            <w:vAlign w:val="bottom"/>
            <w:gridSpan w:val="3"/>
          </w:tcPr>
          <w:p>
            <w:pPr>
              <w:ind w:left="840"/>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1,781,882</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2"/>
              </w:rPr>
              <w:t>37,359</w:t>
            </w:r>
          </w:p>
        </w:tc>
        <w:tc>
          <w:tcPr>
            <w:tcW w:w="480" w:type="dxa"/>
            <w:vAlign w:val="bottom"/>
            <w:gridSpan w:val="2"/>
          </w:tcPr>
          <w:p>
            <w:pPr>
              <w:ind w:left="38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2,628</w:t>
            </w: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1,816,613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00" w:type="dxa"/>
            <w:vAlign w:val="bottom"/>
            <w:vMerge w:val="restart"/>
          </w:tcPr>
          <w:p>
            <w:pPr>
              <w:jc w:val="right"/>
              <w:ind w:right="1713"/>
              <w:spacing w:after="0"/>
              <w:rPr>
                <w:sz w:val="20"/>
                <w:szCs w:val="20"/>
                <w:color w:val="auto"/>
              </w:rPr>
            </w:pPr>
            <w:r>
              <w:rPr>
                <w:rFonts w:ascii="Arial" w:cs="Arial" w:eastAsia="Arial" w:hAnsi="Arial"/>
                <w:sz w:val="17"/>
                <w:szCs w:val="17"/>
                <w:color w:val="auto"/>
                <w:w w:val="96"/>
              </w:rPr>
              <w:t>All are residential type mortgage-backed securities</w:t>
            </w: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30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ectPr>
          <w:pgSz w:w="11900" w:h="16838" w:orient="portrait"/>
          <w:cols w:equalWidth="0" w:num="1">
            <w:col w:w="11160"/>
          </w:cols>
          <w:pgMar w:left="240" w:top="457"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ind w:right="580"/>
        <w:spacing w:after="0" w:line="294" w:lineRule="auto"/>
        <w:rPr>
          <w:sz w:val="20"/>
          <w:szCs w:val="20"/>
          <w:color w:val="auto"/>
        </w:rPr>
      </w:pPr>
      <w:r>
        <w:rPr>
          <w:rFonts w:ascii="Arial" w:cs="Arial" w:eastAsia="Arial" w:hAnsi="Arial"/>
          <w:sz w:val="17"/>
          <w:szCs w:val="17"/>
          <w:color w:val="auto"/>
        </w:rPr>
        <w:t xml:space="preserve">The following table summarizes held to maturity securities in an unrealized loss position as of, December 31, 2011 and June 30, 2011 </w:t>
      </w:r>
      <w:r>
        <w:rPr>
          <w:rFonts w:ascii="Arial" w:cs="Arial" w:eastAsia="Arial" w:hAnsi="Arial"/>
          <w:sz w:val="17"/>
          <w:szCs w:val="17"/>
          <w:i w:val="1"/>
          <w:iCs w:val="1"/>
          <w:color w:val="auto"/>
        </w:rPr>
        <w:t>(in thousands)</w:t>
      </w:r>
      <w:r>
        <w:rPr>
          <w:rFonts w:ascii="Arial" w:cs="Arial" w:eastAsia="Arial" w:hAnsi="Arial"/>
          <w:sz w:val="17"/>
          <w:szCs w:val="17"/>
          <w:color w:val="auto"/>
        </w:rPr>
        <w:t>. As of June 30, 2012, there were no held to maturity securities in an unrealized loss position.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9"/>
              </w:rPr>
              <w:t>Less than 12 Months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4"/>
          </w:tcPr>
          <w:p>
            <w:pPr>
              <w:jc w:val="right"/>
              <w:ind w:right="176"/>
              <w:spacing w:after="0"/>
              <w:rPr>
                <w:sz w:val="20"/>
                <w:szCs w:val="20"/>
                <w:color w:val="auto"/>
              </w:rPr>
            </w:pPr>
            <w:r>
              <w:rPr>
                <w:rFonts w:ascii="Arial" w:cs="Arial" w:eastAsia="Arial" w:hAnsi="Arial"/>
                <w:sz w:val="13"/>
                <w:szCs w:val="13"/>
                <w:b w:val="1"/>
                <w:bCs w:val="1"/>
                <w:color w:val="auto"/>
              </w:rPr>
              <w:t>12 Months or More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8" w:lineRule="exact"/>
              <w:rPr>
                <w:sz w:val="20"/>
                <w:szCs w:val="20"/>
                <w:color w:val="auto"/>
              </w:rPr>
            </w:pPr>
            <w:r>
              <w:rPr>
                <w:rFonts w:ascii="Arial" w:cs="Arial" w:eastAsia="Arial" w:hAnsi="Arial"/>
                <w:sz w:val="13"/>
                <w:szCs w:val="13"/>
                <w:b w:val="1"/>
                <w:bCs w:val="1"/>
                <w:color w:val="auto"/>
                <w:w w:val="91"/>
              </w:rPr>
              <w:t>Unrealized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3"/>
                <w:szCs w:val="13"/>
                <w:b w:val="1"/>
                <w:bCs w:val="1"/>
                <w:color w:val="auto"/>
                <w:w w:val="91"/>
              </w:rPr>
              <w:t>Unrealized</w:t>
            </w: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8"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Fair Value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Loss</w:t>
            </w:r>
          </w:p>
        </w:tc>
        <w:tc>
          <w:tcPr>
            <w:tcW w:w="2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3"/>
              </w:rPr>
              <w:t>Fair Value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96"/>
              <w:spacing w:after="0"/>
              <w:rPr>
                <w:sz w:val="20"/>
                <w:szCs w:val="20"/>
                <w:color w:val="auto"/>
              </w:rPr>
            </w:pPr>
            <w:r>
              <w:rPr>
                <w:rFonts w:ascii="Arial" w:cs="Arial" w:eastAsia="Arial" w:hAnsi="Arial"/>
                <w:sz w:val="13"/>
                <w:szCs w:val="13"/>
                <w:b w:val="1"/>
                <w:bCs w:val="1"/>
                <w:color w:val="auto"/>
                <w:w w:val="98"/>
              </w:rPr>
              <w:t>Loss</w:t>
            </w:r>
          </w:p>
        </w:tc>
        <w:tc>
          <w:tcPr>
            <w:tcW w:w="3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9"/>
              </w:rPr>
              <w:t>Fair Value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Loss</w:t>
            </w:r>
          </w:p>
        </w:tc>
        <w:tc>
          <w:tcPr>
            <w:tcW w:w="0" w:type="dxa"/>
            <w:vAlign w:val="bottom"/>
          </w:tcPr>
          <w:p>
            <w:pPr>
              <w:spacing w:after="0"/>
              <w:rPr>
                <w:sz w:val="1"/>
                <w:szCs w:val="1"/>
                <w:color w:val="auto"/>
              </w:rPr>
            </w:pPr>
          </w:p>
        </w:tc>
      </w:tr>
      <w:tr>
        <w:trPr>
          <w:trHeight w:val="154"/>
        </w:trPr>
        <w:tc>
          <w:tcPr>
            <w:tcW w:w="568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As of December 31, 2011</w:t>
            </w: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80" w:type="dxa"/>
            <w:vAlign w:val="bottom"/>
            <w:gridSpan w:val="3"/>
          </w:tcPr>
          <w:p>
            <w:pPr>
              <w:spacing w:after="0"/>
              <w:rPr>
                <w:sz w:val="20"/>
                <w:szCs w:val="20"/>
                <w:color w:val="auto"/>
              </w:rPr>
            </w:pPr>
            <w:r>
              <w:rPr>
                <w:rFonts w:ascii="Arial" w:cs="Arial" w:eastAsia="Arial" w:hAnsi="Arial"/>
                <w:sz w:val="17"/>
                <w:szCs w:val="17"/>
                <w:color w:val="auto"/>
              </w:rPr>
              <w:t>State and political subdivisions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363</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13</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363</w:t>
            </w:r>
          </w:p>
        </w:tc>
        <w:tc>
          <w:tcPr>
            <w:tcW w:w="5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10,967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10,967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ind w:left="440"/>
              <w:spacing w:after="0"/>
              <w:rPr>
                <w:sz w:val="20"/>
                <w:szCs w:val="20"/>
                <w:color w:val="auto"/>
              </w:rPr>
            </w:pPr>
            <w:r>
              <w:rPr>
                <w:rFonts w:ascii="Arial" w:cs="Arial" w:eastAsia="Arial" w:hAnsi="Arial"/>
                <w:sz w:val="17"/>
                <w:szCs w:val="17"/>
                <w:color w:val="auto"/>
              </w:rPr>
              <w:t>Total unrealized loss position</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8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10,967</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342</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363</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13</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11,330</w:t>
            </w:r>
          </w:p>
        </w:tc>
        <w:tc>
          <w:tcPr>
            <w:tcW w:w="5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bottom w:val="single" w:sz="8" w:color="auto"/>
            </w:tcBorders>
            <w:shd w:val="clear" w:color="auto" w:fill="CCEEFF"/>
          </w:tcPr>
          <w:p>
            <w:pPr>
              <w:spacing w:after="0" w:line="168" w:lineRule="exact"/>
              <w:rPr>
                <w:sz w:val="20"/>
                <w:szCs w:val="20"/>
                <w:color w:val="auto"/>
              </w:rPr>
            </w:pPr>
            <w:r>
              <w:rPr>
                <w:rFonts w:ascii="Arial" w:cs="Arial" w:eastAsia="Arial" w:hAnsi="Arial"/>
                <w:sz w:val="17"/>
                <w:szCs w:val="17"/>
                <w:b w:val="1"/>
                <w:bCs w:val="1"/>
                <w:color w:val="auto"/>
                <w:w w:val="89"/>
              </w:rPr>
              <w:t>As of June 30, 2011</w:t>
            </w:r>
          </w:p>
        </w:tc>
        <w:tc>
          <w:tcPr>
            <w:tcW w:w="424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80" w:type="dxa"/>
            <w:vAlign w:val="bottom"/>
            <w:gridSpan w:val="3"/>
          </w:tcPr>
          <w:p>
            <w:pPr>
              <w:spacing w:after="0"/>
              <w:rPr>
                <w:sz w:val="20"/>
                <w:szCs w:val="20"/>
                <w:color w:val="auto"/>
              </w:rPr>
            </w:pPr>
            <w:r>
              <w:rPr>
                <w:rFonts w:ascii="Arial" w:cs="Arial" w:eastAsia="Arial" w:hAnsi="Arial"/>
                <w:sz w:val="17"/>
                <w:szCs w:val="17"/>
                <w:color w:val="auto"/>
              </w:rPr>
              <w:t>State and political subdivisions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10,160</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292</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10,160</w:t>
            </w:r>
          </w:p>
        </w:tc>
        <w:tc>
          <w:tcPr>
            <w:tcW w:w="5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25,160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27,097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ind w:left="440"/>
              <w:spacing w:after="0"/>
              <w:rPr>
                <w:sz w:val="20"/>
                <w:szCs w:val="20"/>
                <w:color w:val="auto"/>
              </w:rPr>
            </w:pPr>
            <w:r>
              <w:rPr>
                <w:rFonts w:ascii="Arial" w:cs="Arial" w:eastAsia="Arial" w:hAnsi="Arial"/>
                <w:sz w:val="17"/>
                <w:szCs w:val="17"/>
                <w:color w:val="auto"/>
              </w:rPr>
              <w:t>Total unrealized loss position</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8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35,320</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352</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1,937</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37,257</w:t>
            </w:r>
          </w:p>
        </w:tc>
        <w:tc>
          <w:tcPr>
            <w:tcW w:w="5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780"/>
        <w:spacing w:after="0" w:line="294" w:lineRule="auto"/>
        <w:rPr>
          <w:sz w:val="20"/>
          <w:szCs w:val="20"/>
          <w:color w:val="auto"/>
        </w:rPr>
      </w:pPr>
      <w:r>
        <w:rPr>
          <w:rFonts w:ascii="Arial" w:cs="Arial" w:eastAsia="Arial" w:hAnsi="Arial"/>
          <w:sz w:val="17"/>
          <w:szCs w:val="17"/>
          <w:color w:val="auto"/>
        </w:rPr>
        <w:t xml:space="preserve">The following table summarizes available for sale securities in an unrealized loss position as of June 30, 2012, December 31, 2011 and June 30, 2011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w:t>
      </w:r>
      <w:r>
        <w:rPr>
          <w:rFonts w:ascii="Arial" w:cs="Arial" w:eastAsia="Arial" w:hAnsi="Arial"/>
          <w:sz w:val="17"/>
          <w:szCs w:val="17"/>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9"/>
              </w:rPr>
              <w:t>Less than 12 Months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ind w:left="160"/>
              <w:spacing w:after="0"/>
              <w:rPr>
                <w:sz w:val="20"/>
                <w:szCs w:val="20"/>
                <w:color w:val="auto"/>
              </w:rPr>
            </w:pPr>
            <w:r>
              <w:rPr>
                <w:rFonts w:ascii="Arial" w:cs="Arial" w:eastAsia="Arial" w:hAnsi="Arial"/>
                <w:sz w:val="13"/>
                <w:szCs w:val="13"/>
                <w:b w:val="1"/>
                <w:bCs w:val="1"/>
                <w:color w:val="auto"/>
              </w:rPr>
              <w:t>12 Months or More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8" w:lineRule="exact"/>
              <w:rPr>
                <w:sz w:val="20"/>
                <w:szCs w:val="20"/>
                <w:color w:val="auto"/>
              </w:rPr>
            </w:pPr>
            <w:r>
              <w:rPr>
                <w:rFonts w:ascii="Arial" w:cs="Arial" w:eastAsia="Arial" w:hAnsi="Arial"/>
                <w:sz w:val="13"/>
                <w:szCs w:val="13"/>
                <w:b w:val="1"/>
                <w:bCs w:val="1"/>
                <w:color w:val="auto"/>
                <w:w w:val="91"/>
              </w:rPr>
              <w:t>Unrealized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8" w:lineRule="exact"/>
              <w:rPr>
                <w:sz w:val="20"/>
                <w:szCs w:val="20"/>
                <w:color w:val="auto"/>
              </w:rPr>
            </w:pPr>
            <w:r>
              <w:rPr>
                <w:rFonts w:ascii="Arial" w:cs="Arial" w:eastAsia="Arial" w:hAnsi="Arial"/>
                <w:sz w:val="13"/>
                <w:szCs w:val="13"/>
                <w:b w:val="1"/>
                <w:bCs w:val="1"/>
                <w:color w:val="auto"/>
                <w:w w:val="94"/>
              </w:rPr>
              <w:t>Unrealized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8"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3"/>
                <w:szCs w:val="13"/>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3"/>
                <w:szCs w:val="13"/>
                <w:b w:val="1"/>
                <w:bCs w:val="1"/>
                <w:color w:val="auto"/>
              </w:rPr>
              <w:t>Loss</w:t>
            </w:r>
          </w:p>
        </w:tc>
        <w:tc>
          <w:tcPr>
            <w:tcW w:w="0" w:type="dxa"/>
            <w:vAlign w:val="bottom"/>
          </w:tcPr>
          <w:p>
            <w:pPr>
              <w:spacing w:after="0"/>
              <w:rPr>
                <w:sz w:val="1"/>
                <w:szCs w:val="1"/>
                <w:color w:val="auto"/>
              </w:rPr>
            </w:pPr>
          </w:p>
        </w:tc>
      </w:tr>
      <w:tr>
        <w:trPr>
          <w:trHeight w:val="154"/>
        </w:trPr>
        <w:tc>
          <w:tcPr>
            <w:tcW w:w="590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As of June 30, 2012</w:t>
            </w: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00" w:type="dxa"/>
            <w:vAlign w:val="bottom"/>
            <w:gridSpan w:val="3"/>
          </w:tcPr>
          <w:p>
            <w:pPr>
              <w:spacing w:after="0"/>
              <w:rPr>
                <w:sz w:val="20"/>
                <w:szCs w:val="20"/>
                <w:color w:val="auto"/>
              </w:rPr>
            </w:pPr>
            <w:r>
              <w:rPr>
                <w:rFonts w:ascii="Arial" w:cs="Arial" w:eastAsia="Arial" w:hAnsi="Arial"/>
                <w:sz w:val="17"/>
                <w:szCs w:val="17"/>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5,696</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w:t>
            </w:r>
          </w:p>
        </w:tc>
        <w:tc>
          <w:tcPr>
            <w:tcW w:w="4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5,707</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104,644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124,080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gridSpan w:val="3"/>
          </w:tcPr>
          <w:p>
            <w:pPr>
              <w:spacing w:after="0"/>
              <w:rPr>
                <w:sz w:val="20"/>
                <w:szCs w:val="20"/>
                <w:color w:val="auto"/>
              </w:rPr>
            </w:pPr>
            <w:r>
              <w:rPr>
                <w:rFonts w:ascii="Arial" w:cs="Arial" w:eastAsia="Arial" w:hAnsi="Arial"/>
                <w:sz w:val="17"/>
                <w:szCs w:val="17"/>
                <w:color w:val="auto"/>
              </w:rPr>
              <w:t>Corporate bonds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16,500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93,488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5,660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w w:val="87"/>
              </w:rPr>
              <w:t>109,988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Asset-backed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74,097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ind w:left="440"/>
              <w:spacing w:after="0"/>
              <w:rPr>
                <w:sz w:val="20"/>
                <w:szCs w:val="20"/>
                <w:color w:val="auto"/>
              </w:rPr>
            </w:pPr>
            <w:r>
              <w:rPr>
                <w:rFonts w:ascii="Arial" w:cs="Arial" w:eastAsia="Arial" w:hAnsi="Arial"/>
                <w:sz w:val="17"/>
                <w:szCs w:val="17"/>
                <w:color w:val="auto"/>
              </w:rPr>
              <w:t>Total unrealized loss position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200,937</w:t>
            </w:r>
          </w:p>
        </w:tc>
        <w:tc>
          <w:tcPr>
            <w:tcW w:w="14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4,427</w:t>
            </w:r>
          </w:p>
        </w:tc>
        <w:tc>
          <w:tcPr>
            <w:tcW w:w="2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112,935</w:t>
            </w:r>
          </w:p>
        </w:tc>
        <w:tc>
          <w:tcPr>
            <w:tcW w:w="4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5,671</w:t>
            </w: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w w:val="87"/>
              </w:rPr>
              <w:t>313,872</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10,098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gridSpan w:val="3"/>
            <w:shd w:val="clear" w:color="auto" w:fill="CCEEFF"/>
          </w:tcPr>
          <w:p>
            <w:pPr>
              <w:spacing w:after="0" w:line="168" w:lineRule="exact"/>
              <w:rPr>
                <w:sz w:val="20"/>
                <w:szCs w:val="20"/>
                <w:color w:val="auto"/>
              </w:rPr>
            </w:pPr>
            <w:r>
              <w:rPr>
                <w:rFonts w:ascii="Arial" w:cs="Arial" w:eastAsia="Arial" w:hAnsi="Arial"/>
                <w:sz w:val="17"/>
                <w:szCs w:val="17"/>
                <w:b w:val="1"/>
                <w:bCs w:val="1"/>
                <w:color w:val="auto"/>
              </w:rPr>
              <w:t>As of December 31, 2011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00" w:type="dxa"/>
            <w:vAlign w:val="bottom"/>
            <w:gridSpan w:val="3"/>
          </w:tcPr>
          <w:p>
            <w:pPr>
              <w:spacing w:after="0"/>
              <w:rPr>
                <w:sz w:val="20"/>
                <w:szCs w:val="20"/>
                <w:color w:val="auto"/>
              </w:rPr>
            </w:pPr>
            <w:r>
              <w:rPr>
                <w:rFonts w:ascii="Arial" w:cs="Arial" w:eastAsia="Arial" w:hAnsi="Arial"/>
                <w:sz w:val="17"/>
                <w:szCs w:val="17"/>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w:t>
            </w:r>
          </w:p>
        </w:tc>
        <w:tc>
          <w:tcPr>
            <w:tcW w:w="4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11</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121,406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gridSpan w:val="3"/>
          </w:tcPr>
          <w:p>
            <w:pPr>
              <w:spacing w:after="0"/>
              <w:rPr>
                <w:sz w:val="20"/>
                <w:szCs w:val="20"/>
                <w:color w:val="auto"/>
              </w:rPr>
            </w:pPr>
            <w:r>
              <w:rPr>
                <w:rFonts w:ascii="Arial" w:cs="Arial" w:eastAsia="Arial" w:hAnsi="Arial"/>
                <w:sz w:val="17"/>
                <w:szCs w:val="17"/>
                <w:color w:val="auto"/>
              </w:rPr>
              <w:t>Corporate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42,864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5,197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64,765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6,235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w w:val="87"/>
              </w:rPr>
              <w:t>107,629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unrealized loss position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141,551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87,495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229,046</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 of June 30,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54,482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54,482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gridSpan w:val="3"/>
          </w:tcPr>
          <w:p>
            <w:pPr>
              <w:spacing w:after="0"/>
              <w:rPr>
                <w:sz w:val="20"/>
                <w:szCs w:val="20"/>
                <w:color w:val="auto"/>
              </w:rPr>
            </w:pPr>
            <w:r>
              <w:rPr>
                <w:rFonts w:ascii="Arial" w:cs="Arial" w:eastAsia="Arial" w:hAnsi="Arial"/>
                <w:sz w:val="17"/>
                <w:szCs w:val="17"/>
                <w:color w:val="auto"/>
              </w:rPr>
              <w:t>State and political subdivisions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311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169,907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169,907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gridSpan w:val="3"/>
          </w:tcPr>
          <w:p>
            <w:pPr>
              <w:spacing w:after="0"/>
              <w:rPr>
                <w:sz w:val="20"/>
                <w:szCs w:val="20"/>
                <w:color w:val="auto"/>
              </w:rPr>
            </w:pPr>
            <w:r>
              <w:rPr>
                <w:rFonts w:ascii="Arial" w:cs="Arial" w:eastAsia="Arial" w:hAnsi="Arial"/>
                <w:sz w:val="17"/>
                <w:szCs w:val="17"/>
                <w:color w:val="auto"/>
              </w:rPr>
              <w:t>Corporate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97,145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1,827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97,145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unrealized loss position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321,835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321,845</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At June 30, 2012, there were 36 available for sale securities and no held to maturity securities that were in an unrealized loss position. United does not intend to sell nor believes it will be required to sell securities in an unrealized loss position prior to the recovery of their amortized cost basis. Unrealized losses at June 30, 2012 were primarily attributable to changes in interest rates, however the unrealized losses in corporate bonds also reflect downgrades in the underlying securities ratings. The bonds remain above investment grade and United does not consider them to be impaired. Unrealized losses at June 30, 2011 were primarily attributable to changes in interest rates.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57"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second quarter or six months ended June 30, 2012 or 2011.</w:t>
      </w:r>
    </w:p>
    <w:p>
      <w:pPr>
        <w:spacing w:after="0" w:line="129"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 xml:space="preserve">The amortized cost and fair value of held to maturity and available for sale securities at June 30, 2012, by contractual maturity, are presented in the following table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4"/>
          </w:tcPr>
          <w:p>
            <w:pPr>
              <w:jc w:val="right"/>
              <w:ind w:right="494"/>
              <w:spacing w:after="0"/>
              <w:rPr>
                <w:sz w:val="20"/>
                <w:szCs w:val="20"/>
                <w:color w:val="auto"/>
              </w:rPr>
            </w:pPr>
            <w:r>
              <w:rPr>
                <w:rFonts w:ascii="Arial" w:cs="Arial" w:eastAsia="Arial" w:hAnsi="Arial"/>
                <w:sz w:val="13"/>
                <w:szCs w:val="13"/>
                <w:b w:val="1"/>
                <w:bCs w:val="1"/>
                <w:color w:val="auto"/>
              </w:rPr>
              <w:t>Available for Sale</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ind w:left="320"/>
              <w:spacing w:after="0"/>
              <w:rPr>
                <w:sz w:val="20"/>
                <w:szCs w:val="20"/>
                <w:color w:val="auto"/>
              </w:rPr>
            </w:pPr>
            <w:r>
              <w:rPr>
                <w:rFonts w:ascii="Arial" w:cs="Arial" w:eastAsia="Arial" w:hAnsi="Arial"/>
                <w:sz w:val="13"/>
                <w:szCs w:val="13"/>
                <w:b w:val="1"/>
                <w:bCs w:val="1"/>
                <w:color w:val="auto"/>
              </w:rPr>
              <w:t>Held to Maturity</w:t>
            </w:r>
          </w:p>
        </w:tc>
      </w:tr>
      <w:tr>
        <w:trPr>
          <w:trHeight w:val="141"/>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w w:val="93"/>
              </w:rPr>
              <w:t>Amortized Cost</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
              <w:spacing w:after="0" w:line="141" w:lineRule="exact"/>
              <w:rPr>
                <w:sz w:val="20"/>
                <w:szCs w:val="20"/>
                <w:color w:val="auto"/>
              </w:rPr>
            </w:pPr>
            <w:r>
              <w:rPr>
                <w:rFonts w:ascii="Arial" w:cs="Arial" w:eastAsia="Arial" w:hAnsi="Arial"/>
                <w:sz w:val="13"/>
                <w:szCs w:val="13"/>
                <w:b w:val="1"/>
                <w:bCs w:val="1"/>
                <w:color w:val="auto"/>
                <w:w w:val="93"/>
              </w:rPr>
              <w:t>Fair Value</w:t>
            </w:r>
          </w:p>
        </w:tc>
        <w:tc>
          <w:tcPr>
            <w:tcW w:w="4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w w:val="93"/>
              </w:rPr>
              <w:t>Amortized Cost</w:t>
            </w:r>
          </w:p>
        </w:tc>
        <w:tc>
          <w:tcPr>
            <w:tcW w:w="4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w w:val="99"/>
              </w:rPr>
              <w:t>Fair Value</w:t>
            </w:r>
          </w:p>
        </w:tc>
        <w:tc>
          <w:tcPr>
            <w:tcW w:w="8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U.S. Government agencies:</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7"/>
                <w:szCs w:val="17"/>
                <w:color w:val="auto"/>
              </w:rPr>
              <w:t>5 to 10 years</w:t>
            </w:r>
          </w:p>
        </w:tc>
        <w:tc>
          <w:tcPr>
            <w:tcW w:w="9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43,618</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43,874</w:t>
            </w:r>
          </w:p>
        </w:tc>
        <w:tc>
          <w:tcPr>
            <w:tcW w:w="4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43,618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43,874</w:t>
            </w: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7"/>
                <w:szCs w:val="17"/>
                <w:color w:val="auto"/>
              </w:rPr>
              <w:t>State and political subdivisions: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Within 1 year</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r>
      <w:tr>
        <w:trPr>
          <w:trHeight w:val="214"/>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7"/>
                <w:szCs w:val="17"/>
                <w:color w:val="auto"/>
              </w:rPr>
              <w:t>1 to 5 years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14,960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15,982</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6,826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7,419</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5 to 10 years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24,264</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7"/>
                <w:szCs w:val="17"/>
                <w:color w:val="auto"/>
              </w:rPr>
              <w:t>More than 10 years</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23,167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25,704</w:t>
            </w:r>
          </w:p>
        </w:tc>
        <w:tc>
          <w:tcPr>
            <w:tcW w:w="8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25,704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27,159</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51,801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57,387</w:t>
            </w:r>
          </w:p>
        </w:tc>
        <w:tc>
          <w:tcPr>
            <w:tcW w:w="80" w:type="dxa"/>
            <w:vAlign w:val="bottom"/>
            <w:shd w:val="clear" w:color="auto" w:fill="CCEEFF"/>
          </w:tcPr>
          <w:p>
            <w:pPr>
              <w:spacing w:after="0"/>
              <w:rPr>
                <w:sz w:val="18"/>
                <w:szCs w:val="18"/>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7"/>
                <w:szCs w:val="17"/>
                <w:color w:val="auto"/>
              </w:rPr>
              <w:t>Corporate bonds: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1 to 5 years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r>
      <w:tr>
        <w:trPr>
          <w:trHeight w:val="214"/>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7"/>
                <w:szCs w:val="17"/>
                <w:color w:val="auto"/>
              </w:rPr>
              <w:t>5 to 10 years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90,000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82,556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More than 10 years</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119,198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110,038</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Asset-backed securities</w:t>
            </w: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7"/>
                <w:szCs w:val="17"/>
                <w:color w:val="auto"/>
              </w:rPr>
              <w:t>5 to 10 years</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85,090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84,498</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84,498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r>
      <w:tr>
        <w:trPr>
          <w:trHeight w:val="220"/>
        </w:trPr>
        <w:tc>
          <w:tcPr>
            <w:tcW w:w="4760" w:type="dxa"/>
            <w:vAlign w:val="bottom"/>
            <w:gridSpan w:val="2"/>
          </w:tcPr>
          <w:p>
            <w:pPr>
              <w:spacing w:after="0"/>
              <w:rPr>
                <w:sz w:val="20"/>
                <w:szCs w:val="20"/>
                <w:color w:val="auto"/>
              </w:rPr>
            </w:pPr>
            <w:r>
              <w:rPr>
                <w:rFonts w:ascii="Arial" w:cs="Arial" w:eastAsia="Arial" w:hAnsi="Arial"/>
                <w:sz w:val="17"/>
                <w:szCs w:val="17"/>
                <w:color w:val="auto"/>
              </w:rPr>
              <w:t>Other:</w:t>
            </w:r>
          </w:p>
        </w:tc>
        <w:tc>
          <w:tcPr>
            <w:tcW w:w="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More than 10 years</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2,583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2,583</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Total securities other than mortgage-backed securities:</w:t>
            </w: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7"/>
                <w:szCs w:val="17"/>
                <w:color w:val="auto"/>
              </w:rPr>
              <w:t>Within 1 year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6,576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1 to 5 years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43,164</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7,419</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7"/>
                <w:szCs w:val="17"/>
                <w:color w:val="auto"/>
              </w:rPr>
              <w:t>5 to 10 years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222,037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214,604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21,808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24,264</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More than 10 years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25,704</w:t>
            </w:r>
          </w:p>
        </w:tc>
        <w:tc>
          <w:tcPr>
            <w:tcW w:w="80" w:type="dxa"/>
            <w:vAlign w:val="bottom"/>
            <w:shd w:val="clear" w:color="auto" w:fill="CCEEFF"/>
          </w:tcPr>
          <w:p>
            <w:pPr>
              <w:spacing w:after="0"/>
              <w:rPr>
                <w:sz w:val="18"/>
                <w:szCs w:val="18"/>
                <w:color w:val="auto"/>
              </w:rPr>
            </w:pPr>
          </w:p>
        </w:tc>
      </w:tr>
      <w:tr>
        <w:trPr>
          <w:trHeight w:val="328"/>
        </w:trPr>
        <w:tc>
          <w:tcPr>
            <w:tcW w:w="4760" w:type="dxa"/>
            <w:vAlign w:val="bottom"/>
            <w:gridSpan w:val="2"/>
          </w:tcPr>
          <w:p>
            <w:pPr>
              <w:spacing w:after="0"/>
              <w:rPr>
                <w:sz w:val="20"/>
                <w:szCs w:val="20"/>
                <w:color w:val="auto"/>
              </w:rPr>
            </w:pPr>
            <w:r>
              <w:rPr>
                <w:rFonts w:ascii="Arial" w:cs="Arial" w:eastAsia="Arial" w:hAnsi="Arial"/>
                <w:sz w:val="17"/>
                <w:szCs w:val="17"/>
                <w:color w:val="auto"/>
              </w:rPr>
              <w:t>Mortgage-backed securities</w:t>
            </w: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1,408,047</w:t>
            </w: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1,433,431</w:t>
            </w:r>
          </w:p>
        </w:tc>
        <w:tc>
          <w:tcPr>
            <w:tcW w:w="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230,949</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242,584</w:t>
            </w:r>
          </w:p>
        </w:tc>
        <w:tc>
          <w:tcPr>
            <w:tcW w:w="8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1,684,240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1,701,583</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282,750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299,971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Expected maturities may differ from contractual maturities because issuers and borrowers may have the right to call or prepay obligations with or without call or prepayment penalties.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457"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Loans and Allowance for Loan Losses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loans as of June 30, 2012, December 31, 2011 and June 30, 2011,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b w:val="1"/>
                <w:bCs w:val="1"/>
                <w:color w:val="auto"/>
              </w:rPr>
              <w:t>June 30,</w:t>
            </w: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w:t>
            </w:r>
          </w:p>
        </w:tc>
      </w:tr>
      <w:tr>
        <w:trPr>
          <w:trHeight w:val="160"/>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80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2012</w:t>
            </w:r>
          </w:p>
        </w:tc>
        <w:tc>
          <w:tcPr>
            <w:tcW w:w="126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2011</w:t>
            </w:r>
          </w:p>
        </w:tc>
        <w:tc>
          <w:tcPr>
            <w:tcW w:w="12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Commercial (secured by real estate)</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$1,836,477</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$1,821,414</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$1,741,754</w:t>
            </w: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Commercial &amp; industrial</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450,222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428,249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428,058</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Commercial construction</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169,338</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164,155</w:t>
            </w:r>
          </w:p>
        </w:tc>
        <w:tc>
          <w:tcPr>
            <w:tcW w:w="4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195,190</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7"/>
                <w:szCs w:val="17"/>
                <w:color w:val="auto"/>
              </w:rPr>
              <w:t>Total commercial</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2,456,037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2,413,818</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2,365,002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1,128,336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1,134,902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1,177,226</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408,966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448,391</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501,909</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Consumer installment</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125,896</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112,503</w:t>
            </w:r>
          </w:p>
        </w:tc>
        <w:tc>
          <w:tcPr>
            <w:tcW w:w="4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119,310</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7"/>
                <w:szCs w:val="17"/>
                <w:color w:val="auto"/>
              </w:rPr>
              <w:t>Total loans</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4,119,235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4,109,614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4,163,447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Less allowance for loan losses</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112,705</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114,468</w:t>
            </w:r>
          </w:p>
        </w:tc>
        <w:tc>
          <w:tcPr>
            <w:tcW w:w="4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127,638</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7"/>
                <w:szCs w:val="17"/>
                <w:color w:val="auto"/>
              </w:rPr>
              <w:t>Loans, net</w:t>
            </w:r>
          </w:p>
        </w:tc>
        <w:tc>
          <w:tcPr>
            <w:tcW w:w="8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4,006,530</w:t>
            </w:r>
          </w:p>
        </w:tc>
        <w:tc>
          <w:tcPr>
            <w:tcW w:w="1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3,995,146</w:t>
            </w:r>
          </w:p>
        </w:tc>
        <w:tc>
          <w:tcPr>
            <w:tcW w:w="12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4,035,809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Bank makes loans and extensions of credit to individuals and a variety of firms and corporations located primarily in counties in north Georgia, the Atlanta, Georgia metropolitan statistical area, the Gainesville, Georgia metropolitan statistical area,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Changes in the allowance for loan losses for the three and six months ended June 30, 2012 and 2011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700" w:type="dxa"/>
            <w:vAlign w:val="bottom"/>
            <w:gridSpan w:val="3"/>
          </w:tcPr>
          <w:p>
            <w:pPr>
              <w:jc w:val="right"/>
              <w:ind w:right="153"/>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3"/>
                <w:szCs w:val="13"/>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4"/>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700" w:type="dxa"/>
            <w:vAlign w:val="bottom"/>
            <w:gridSpan w:val="3"/>
          </w:tcPr>
          <w:p>
            <w:pPr>
              <w:jc w:val="right"/>
              <w:ind w:right="533"/>
              <w:spacing w:after="0"/>
              <w:rPr>
                <w:sz w:val="20"/>
                <w:szCs w:val="20"/>
                <w:color w:val="auto"/>
              </w:rPr>
            </w:pPr>
            <w:r>
              <w:rPr>
                <w:rFonts w:ascii="Arial" w:cs="Arial" w:eastAsia="Arial" w:hAnsi="Arial"/>
                <w:sz w:val="13"/>
                <w:szCs w:val="13"/>
                <w:b w:val="1"/>
                <w:bCs w:val="1"/>
                <w:color w:val="auto"/>
              </w:rPr>
              <w:t>June 30,</w:t>
            </w:r>
          </w:p>
        </w:tc>
        <w:tc>
          <w:tcPr>
            <w:tcW w:w="400" w:type="dxa"/>
            <w:vAlign w:val="bottom"/>
          </w:tcPr>
          <w:p>
            <w:pPr>
              <w:spacing w:after="0"/>
              <w:rPr>
                <w:sz w:val="13"/>
                <w:szCs w:val="13"/>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60" w:type="dxa"/>
            <w:vAlign w:val="bottom"/>
            <w:tcBorders>
              <w:top w:val="single" w:sz="8" w:color="auto"/>
            </w:tcBorders>
          </w:tcPr>
          <w:p>
            <w:pPr>
              <w:jc w:val="right"/>
              <w:ind w:right="140"/>
              <w:spacing w:after="0" w:line="141" w:lineRule="exact"/>
              <w:rPr>
                <w:sz w:val="20"/>
                <w:szCs w:val="20"/>
                <w:color w:val="auto"/>
              </w:rPr>
            </w:pPr>
            <w:r>
              <w:rPr>
                <w:rFonts w:ascii="Arial" w:cs="Arial" w:eastAsia="Arial" w:hAnsi="Arial"/>
                <w:sz w:val="13"/>
                <w:szCs w:val="13"/>
                <w:b w:val="1"/>
                <w:bCs w:val="1"/>
                <w:color w:val="auto"/>
              </w:rPr>
              <w:t>2012</w:t>
            </w:r>
          </w:p>
        </w:tc>
        <w:tc>
          <w:tcPr>
            <w:tcW w:w="1040" w:type="dxa"/>
            <w:vAlign w:val="bottom"/>
            <w:tcBorders>
              <w:top w:val="single" w:sz="8" w:color="auto"/>
            </w:tcBorders>
            <w:gridSpan w:val="2"/>
          </w:tcPr>
          <w:p>
            <w:pPr>
              <w:jc w:val="right"/>
              <w:ind w:right="113"/>
              <w:spacing w:after="0" w:line="141" w:lineRule="exact"/>
              <w:rPr>
                <w:sz w:val="20"/>
                <w:szCs w:val="20"/>
                <w:color w:val="auto"/>
              </w:rPr>
            </w:pPr>
            <w:r>
              <w:rPr>
                <w:rFonts w:ascii="Arial" w:cs="Arial" w:eastAsia="Arial" w:hAnsi="Arial"/>
                <w:sz w:val="13"/>
                <w:szCs w:val="13"/>
                <w:b w:val="1"/>
                <w:bCs w:val="1"/>
                <w:color w:val="auto"/>
              </w:rPr>
              <w:t>2011</w:t>
            </w:r>
          </w:p>
        </w:tc>
        <w:tc>
          <w:tcPr>
            <w:tcW w:w="40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1" w:lineRule="exact"/>
              <w:rPr>
                <w:sz w:val="20"/>
                <w:szCs w:val="20"/>
                <w:color w:val="auto"/>
              </w:rPr>
            </w:pPr>
            <w:r>
              <w:rPr>
                <w:rFonts w:ascii="Arial" w:cs="Arial" w:eastAsia="Arial" w:hAnsi="Arial"/>
                <w:sz w:val="13"/>
                <w:szCs w:val="13"/>
                <w:b w:val="1"/>
                <w:bCs w:val="1"/>
                <w:color w:val="auto"/>
              </w:rPr>
              <w:t>2012</w:t>
            </w:r>
          </w:p>
        </w:tc>
        <w:tc>
          <w:tcPr>
            <w:tcW w:w="1060" w:type="dxa"/>
            <w:vAlign w:val="bottom"/>
            <w:tcBorders>
              <w:top w:val="single" w:sz="8" w:color="auto"/>
            </w:tcBorders>
            <w:gridSpan w:val="2"/>
          </w:tcPr>
          <w:p>
            <w:pPr>
              <w:jc w:val="right"/>
              <w:ind w:right="133"/>
              <w:spacing w:after="0" w:line="141" w:lineRule="exact"/>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2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$113,601</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$133,121</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$114,468</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$174,695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7"/>
                <w:szCs w:val="17"/>
                <w:color w:val="auto"/>
              </w:rPr>
              <w:t>Provision for loan losses</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18,000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11,000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33,000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201,000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Charge-offs:</w:t>
            </w:r>
          </w:p>
        </w:tc>
        <w:tc>
          <w:tcPr>
            <w:tcW w:w="2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7"/>
                <w:szCs w:val="17"/>
                <w:color w:val="auto"/>
              </w:rPr>
              <w:t>Commercial (secured by real estate)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4,418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3,433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8,346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52,140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&amp; industrial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7"/>
                <w:szCs w:val="17"/>
                <w:color w:val="auto"/>
              </w:rPr>
              <w:t>Commercial construction</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980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452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50,695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Residential mortgage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7"/>
                <w:szCs w:val="17"/>
                <w:color w:val="auto"/>
              </w:rPr>
              <w:t>Residential construction</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9,846</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6,769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15,475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99,024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Consumer installment</w:t>
            </w:r>
          </w:p>
        </w:tc>
        <w:tc>
          <w:tcPr>
            <w:tcW w:w="2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ind w:left="840"/>
              <w:spacing w:after="0"/>
              <w:rPr>
                <w:sz w:val="20"/>
                <w:szCs w:val="20"/>
                <w:color w:val="auto"/>
              </w:rPr>
            </w:pPr>
            <w:r>
              <w:rPr>
                <w:rFonts w:ascii="Arial" w:cs="Arial" w:eastAsia="Arial" w:hAnsi="Arial"/>
                <w:sz w:val="17"/>
                <w:szCs w:val="17"/>
                <w:color w:val="auto"/>
              </w:rPr>
              <w:t>Total loans charged-off</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19,662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17,336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36,859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250,147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Recoveries:</w:t>
            </w:r>
          </w:p>
        </w:tc>
        <w:tc>
          <w:tcPr>
            <w:tcW w:w="25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7"/>
                <w:szCs w:val="17"/>
                <w:color w:val="auto"/>
              </w:rPr>
              <w:t>Commercial (secured by real estate)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174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300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&amp; industrial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7"/>
                <w:szCs w:val="17"/>
                <w:color w:val="auto"/>
              </w:rPr>
              <w:t>Commercial construction</w:t>
            </w:r>
          </w:p>
        </w:tc>
        <w:tc>
          <w:tcPr>
            <w:tcW w:w="254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Residential mortgage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7"/>
                <w:szCs w:val="17"/>
                <w:color w:val="auto"/>
              </w:rPr>
              <w:t>Residential construction</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283</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140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598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Consumer installment</w:t>
            </w:r>
          </w:p>
        </w:tc>
        <w:tc>
          <w:tcPr>
            <w:tcW w:w="2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ind w:left="840"/>
              <w:spacing w:after="0"/>
              <w:rPr>
                <w:sz w:val="20"/>
                <w:szCs w:val="20"/>
                <w:color w:val="auto"/>
              </w:rPr>
            </w:pPr>
            <w:r>
              <w:rPr>
                <w:rFonts w:ascii="Arial" w:cs="Arial" w:eastAsia="Arial" w:hAnsi="Arial"/>
                <w:sz w:val="17"/>
                <w:szCs w:val="17"/>
                <w:color w:val="auto"/>
              </w:rPr>
              <w:t>Total recoveries</w:t>
            </w:r>
          </w:p>
        </w:tc>
        <w:tc>
          <w:tcPr>
            <w:tcW w:w="25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853</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2,096</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Net charge-offs</w:t>
            </w:r>
          </w:p>
        </w:tc>
        <w:tc>
          <w:tcPr>
            <w:tcW w:w="2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18,896</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16,483</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34,763</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40" w:type="dxa"/>
            <w:vAlign w:val="bottom"/>
          </w:tcPr>
          <w:p>
            <w:pPr>
              <w:ind w:left="840"/>
              <w:spacing w:after="0"/>
              <w:rPr>
                <w:sz w:val="20"/>
                <w:szCs w:val="20"/>
                <w:color w:val="auto"/>
              </w:rPr>
            </w:pPr>
            <w:r>
              <w:rPr>
                <w:rFonts w:ascii="Arial" w:cs="Arial" w:eastAsia="Arial" w:hAnsi="Arial"/>
                <w:sz w:val="17"/>
                <w:szCs w:val="17"/>
                <w:color w:val="auto"/>
              </w:rPr>
              <w:t>Balance end of period</w:t>
            </w:r>
          </w:p>
        </w:tc>
        <w:tc>
          <w:tcPr>
            <w:tcW w:w="3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112,705</w:t>
            </w:r>
          </w:p>
        </w:tc>
        <w:tc>
          <w:tcPr>
            <w:tcW w:w="10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127,638</w:t>
            </w:r>
          </w:p>
        </w:tc>
        <w:tc>
          <w:tcPr>
            <w:tcW w:w="10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112,705</w:t>
            </w:r>
          </w:p>
        </w:tc>
        <w:tc>
          <w:tcPr>
            <w:tcW w:w="10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127,638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40" w:type="dxa"/>
            <w:vAlign w:val="bottom"/>
            <w:vMerge w:val="restart"/>
          </w:tcPr>
          <w:p>
            <w:pPr>
              <w:jc w:val="right"/>
              <w:ind w:right="1173"/>
              <w:spacing w:after="0"/>
              <w:rPr>
                <w:sz w:val="20"/>
                <w:szCs w:val="20"/>
                <w:color w:val="auto"/>
              </w:rPr>
            </w:pPr>
            <w:r>
              <w:rPr>
                <w:rFonts w:ascii="Arial" w:cs="Arial" w:eastAsia="Arial" w:hAnsi="Arial"/>
                <w:sz w:val="17"/>
                <w:szCs w:val="17"/>
                <w:color w:val="auto"/>
              </w:rPr>
              <w:t>13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7"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color w:val="auto"/>
        </w:rPr>
        <w:t>The following table presents the balance and activity in the allowance for loan losses by portfolio segment and the recorded investment in loans by portfolio segment based on the impairment method as of June 30, 2012, December 31, 2011 and June 30, 2011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(Secured by</w:t>
            </w:r>
          </w:p>
        </w:tc>
        <w:tc>
          <w:tcPr>
            <w:tcW w:w="96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Commercial &amp;</w:t>
            </w:r>
          </w:p>
        </w:tc>
        <w:tc>
          <w:tcPr>
            <w:tcW w:w="60" w:type="dxa"/>
            <w:vAlign w:val="bottom"/>
          </w:tcPr>
          <w:p>
            <w:pPr>
              <w:spacing w:after="0"/>
              <w:rPr>
                <w:sz w:val="12"/>
                <w:szCs w:val="12"/>
                <w:color w:val="auto"/>
              </w:rPr>
            </w:pPr>
          </w:p>
        </w:tc>
        <w:tc>
          <w:tcPr>
            <w:tcW w:w="940" w:type="dxa"/>
            <w:vAlign w:val="bottom"/>
            <w:gridSpan w:val="3"/>
          </w:tcPr>
          <w:p>
            <w:pPr>
              <w:ind w:left="40"/>
              <w:spacing w:after="0" w:line="148" w:lineRule="exact"/>
              <w:rPr>
                <w:sz w:val="20"/>
                <w:szCs w:val="20"/>
                <w:color w:val="auto"/>
              </w:rPr>
            </w:pPr>
            <w:r>
              <w:rPr>
                <w:rFonts w:ascii="Arial" w:cs="Arial" w:eastAsia="Arial" w:hAnsi="Arial"/>
                <w:sz w:val="13"/>
                <w:szCs w:val="13"/>
                <w:b w:val="1"/>
                <w:bCs w:val="1"/>
                <w:color w:val="auto"/>
              </w:rPr>
              <w:t>Commercial</w:t>
            </w:r>
          </w:p>
        </w:tc>
        <w:tc>
          <w:tcPr>
            <w:tcW w:w="82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Residential</w:t>
            </w:r>
          </w:p>
        </w:tc>
        <w:tc>
          <w:tcPr>
            <w:tcW w:w="880" w:type="dxa"/>
            <w:vAlign w:val="bottom"/>
            <w:gridSpan w:val="3"/>
          </w:tcPr>
          <w:p>
            <w:pPr>
              <w:jc w:val="right"/>
              <w:ind w:right="180"/>
              <w:spacing w:after="0" w:line="148" w:lineRule="exact"/>
              <w:rPr>
                <w:sz w:val="20"/>
                <w:szCs w:val="20"/>
                <w:color w:val="auto"/>
              </w:rPr>
            </w:pPr>
            <w:r>
              <w:rPr>
                <w:rFonts w:ascii="Arial" w:cs="Arial" w:eastAsia="Arial" w:hAnsi="Arial"/>
                <w:sz w:val="13"/>
                <w:szCs w:val="13"/>
                <w:b w:val="1"/>
                <w:bCs w:val="1"/>
                <w:color w:val="auto"/>
                <w:w w:val="97"/>
              </w:rPr>
              <w:t>Residential</w:t>
            </w:r>
          </w:p>
        </w:tc>
        <w:tc>
          <w:tcPr>
            <w:tcW w:w="60" w:type="dxa"/>
            <w:vAlign w:val="bottom"/>
          </w:tcPr>
          <w:p>
            <w:pPr>
              <w:spacing w:after="0"/>
              <w:rPr>
                <w:sz w:val="12"/>
                <w:szCs w:val="12"/>
                <w:color w:val="auto"/>
              </w:rPr>
            </w:pPr>
          </w:p>
        </w:tc>
        <w:tc>
          <w:tcPr>
            <w:tcW w:w="760" w:type="dxa"/>
            <w:vAlign w:val="bottom"/>
            <w:gridSpan w:val="3"/>
          </w:tcPr>
          <w:p>
            <w:pPr>
              <w:jc w:val="right"/>
              <w:ind w:right="140"/>
              <w:spacing w:after="0" w:line="148" w:lineRule="exact"/>
              <w:rPr>
                <w:sz w:val="20"/>
                <w:szCs w:val="20"/>
                <w:color w:val="auto"/>
              </w:rPr>
            </w:pPr>
            <w:r>
              <w:rPr>
                <w:rFonts w:ascii="Arial" w:cs="Arial" w:eastAsia="Arial" w:hAnsi="Arial"/>
                <w:sz w:val="13"/>
                <w:szCs w:val="13"/>
                <w:b w:val="1"/>
                <w:bCs w:val="1"/>
                <w:color w:val="auto"/>
                <w:w w:val="93"/>
              </w:rPr>
              <w:t>Consumer</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Real Estate)</w:t>
            </w:r>
          </w:p>
        </w:tc>
        <w:tc>
          <w:tcPr>
            <w:tcW w:w="1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9"/>
              </w:rPr>
              <w:t>Industrial</w:t>
            </w:r>
          </w:p>
        </w:tc>
        <w:tc>
          <w:tcPr>
            <w:tcW w:w="6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Construction</w:t>
            </w:r>
          </w:p>
        </w:tc>
        <w:tc>
          <w:tcPr>
            <w:tcW w:w="8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9"/>
              </w:rPr>
              <w:t>Mortgage</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Construction</w:t>
            </w:r>
          </w:p>
        </w:tc>
        <w:tc>
          <w:tcPr>
            <w:tcW w:w="6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Installment</w:t>
            </w:r>
          </w:p>
        </w:tc>
        <w:tc>
          <w:tcPr>
            <w:tcW w:w="6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Unallocated</w:t>
            </w:r>
          </w:p>
        </w:tc>
        <w:tc>
          <w:tcPr>
            <w:tcW w:w="12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4"/>
        </w:trPr>
        <w:tc>
          <w:tcPr>
            <w:tcW w:w="1880" w:type="dxa"/>
            <w:vAlign w:val="bottom"/>
            <w:tcBorders>
              <w:top w:val="single" w:sz="8" w:color="CCEEFF"/>
              <w:bottom w:val="single" w:sz="8" w:color="auto"/>
            </w:tcBorders>
            <w:gridSpan w:val="3"/>
            <w:shd w:val="clear" w:color="auto" w:fill="CCEEFF"/>
          </w:tcPr>
          <w:p>
            <w:pPr>
              <w:spacing w:after="0" w:line="114" w:lineRule="exact"/>
              <w:rPr>
                <w:sz w:val="20"/>
                <w:szCs w:val="20"/>
                <w:color w:val="auto"/>
              </w:rPr>
            </w:pPr>
            <w:r>
              <w:rPr>
                <w:rFonts w:ascii="Arial" w:cs="Arial" w:eastAsia="Arial" w:hAnsi="Arial"/>
                <w:sz w:val="13"/>
                <w:szCs w:val="13"/>
                <w:b w:val="1"/>
                <w:bCs w:val="1"/>
                <w:color w:val="auto"/>
                <w:w w:val="92"/>
              </w:rPr>
              <w:t>Six Months Ended June 30, 2012</w:t>
            </w:r>
          </w:p>
        </w:tc>
        <w:tc>
          <w:tcPr>
            <w:tcW w:w="25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74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420" w:type="dxa"/>
            <w:vAlign w:val="bottom"/>
            <w:gridSpan w:val="4"/>
          </w:tcPr>
          <w:p>
            <w:pPr>
              <w:spacing w:after="0" w:line="141" w:lineRule="exact"/>
              <w:rPr>
                <w:sz w:val="20"/>
                <w:szCs w:val="20"/>
                <w:color w:val="auto"/>
              </w:rPr>
            </w:pPr>
            <w:r>
              <w:rPr>
                <w:rFonts w:ascii="Arial" w:cs="Arial" w:eastAsia="Arial" w:hAnsi="Arial"/>
                <w:sz w:val="13"/>
                <w:szCs w:val="13"/>
                <w:color w:val="auto"/>
              </w:rPr>
              <w:t>Allowance for loan losses: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31,644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5,681</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6,097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29,076</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30,379</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2,124</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9,467</w:t>
            </w: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114,468</w:t>
            </w:r>
          </w:p>
        </w:tc>
        <w:tc>
          <w:tcPr>
            <w:tcW w:w="0" w:type="dxa"/>
            <w:vAlign w:val="bottom"/>
          </w:tcPr>
          <w:p>
            <w:pPr>
              <w:spacing w:after="0"/>
              <w:rPr>
                <w:sz w:val="1"/>
                <w:szCs w:val="1"/>
                <w:color w:val="auto"/>
              </w:rPr>
            </w:pPr>
          </w:p>
        </w:tc>
      </w:tr>
      <w:tr>
        <w:trPr>
          <w:trHeight w:val="147"/>
        </w:trPr>
        <w:tc>
          <w:tcPr>
            <w:tcW w:w="4420" w:type="dxa"/>
            <w:vAlign w:val="bottom"/>
            <w:gridSpan w:val="4"/>
          </w:tcPr>
          <w:p>
            <w:pPr>
              <w:ind w:left="440"/>
              <w:spacing w:after="0" w:line="148" w:lineRule="exact"/>
              <w:rPr>
                <w:sz w:val="20"/>
                <w:szCs w:val="20"/>
                <w:color w:val="auto"/>
              </w:rPr>
            </w:pPr>
            <w:r>
              <w:rPr>
                <w:rFonts w:ascii="Arial" w:cs="Arial" w:eastAsia="Arial" w:hAnsi="Arial"/>
                <w:sz w:val="13"/>
                <w:szCs w:val="13"/>
                <w:color w:val="auto"/>
              </w:rPr>
              <w:t>Charge-offs</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(8,346)</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(1,644)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(452)</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(9,781)</w:t>
            </w: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(15,475)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(1,161)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(36,859)</w:t>
            </w: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ind w:left="440"/>
              <w:spacing w:after="0" w:line="148" w:lineRule="exact"/>
              <w:rPr>
                <w:sz w:val="20"/>
                <w:szCs w:val="20"/>
                <w:color w:val="auto"/>
              </w:rPr>
            </w:pPr>
            <w:r>
              <w:rPr>
                <w:rFonts w:ascii="Arial" w:cs="Arial" w:eastAsia="Arial" w:hAnsi="Arial"/>
                <w:sz w:val="13"/>
                <w:szCs w:val="13"/>
                <w:color w:val="auto"/>
              </w:rPr>
              <w:t>Recoveries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544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598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424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tcPr>
          <w:p>
            <w:pPr>
              <w:ind w:left="440"/>
              <w:spacing w:after="0" w:line="148" w:lineRule="exact"/>
              <w:rPr>
                <w:sz w:val="20"/>
                <w:szCs w:val="20"/>
                <w:color w:val="auto"/>
              </w:rPr>
            </w:pPr>
            <w:r>
              <w:rPr>
                <w:rFonts w:ascii="Arial" w:cs="Arial" w:eastAsia="Arial" w:hAnsi="Arial"/>
                <w:sz w:val="13"/>
                <w:szCs w:val="13"/>
                <w:color w:val="auto"/>
              </w:rPr>
              <w:t>Provision</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6,288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1,061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4,662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6,471</w:t>
            </w: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13,712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1,183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(377)</w:t>
            </w: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33,000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42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29,886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5,298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10,337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26,310</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29,214</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2,570</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9,090</w:t>
            </w: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112,705</w:t>
            </w: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3"/>
                <w:szCs w:val="13"/>
                <w:color w:val="auto"/>
              </w:rPr>
              <w:t>Ending allowance attributable to 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4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ind w:left="440"/>
              <w:spacing w:after="0" w:line="148" w:lineRule="exact"/>
              <w:rPr>
                <w:sz w:val="20"/>
                <w:szCs w:val="20"/>
                <w:color w:val="auto"/>
              </w:rPr>
            </w:pPr>
            <w:r>
              <w:rPr>
                <w:rFonts w:ascii="Arial" w:cs="Arial" w:eastAsia="Arial" w:hAnsi="Arial"/>
                <w:sz w:val="13"/>
                <w:szCs w:val="13"/>
                <w:color w:val="auto"/>
              </w:rPr>
              <w:t>Individually evaluated for impairment</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8,544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753</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2,476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1,389</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4,188</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17,370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tcPr>
          <w:p>
            <w:pPr>
              <w:ind w:left="440"/>
              <w:spacing w:after="0" w:line="148" w:lineRule="exact"/>
              <w:rPr>
                <w:sz w:val="20"/>
                <w:szCs w:val="20"/>
                <w:color w:val="auto"/>
              </w:rPr>
            </w:pPr>
            <w:r>
              <w:rPr>
                <w:rFonts w:ascii="Arial" w:cs="Arial" w:eastAsia="Arial" w:hAnsi="Arial"/>
                <w:sz w:val="13"/>
                <w:szCs w:val="13"/>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21,342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4,545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7,861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24,921</w:t>
            </w: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25,026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2,550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9,090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95,335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420" w:type="dxa"/>
            <w:vAlign w:val="bottom"/>
            <w:gridSpan w:val="4"/>
            <w:shd w:val="clear" w:color="auto" w:fill="CCEEFF"/>
          </w:tcPr>
          <w:p>
            <w:pPr>
              <w:ind w:left="860"/>
              <w:spacing w:after="0" w:line="148" w:lineRule="exact"/>
              <w:rPr>
                <w:sz w:val="20"/>
                <w:szCs w:val="20"/>
                <w:color w:val="auto"/>
              </w:rPr>
            </w:pPr>
            <w:r>
              <w:rPr>
                <w:rFonts w:ascii="Arial" w:cs="Arial" w:eastAsia="Arial" w:hAnsi="Arial"/>
                <w:sz w:val="13"/>
                <w:szCs w:val="13"/>
                <w:color w:val="auto"/>
              </w:rPr>
              <w:t>Total ending allowance balance</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29,886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5,298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10,337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26,310</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29,214</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2,570</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9,090</w:t>
            </w: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112,705</w:t>
            </w: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3"/>
                <w:szCs w:val="13"/>
                <w:color w:val="auto"/>
              </w:rPr>
              <w:t>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4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ind w:left="440"/>
              <w:spacing w:after="0" w:line="148" w:lineRule="exact"/>
              <w:rPr>
                <w:sz w:val="20"/>
                <w:szCs w:val="20"/>
                <w:color w:val="auto"/>
              </w:rPr>
            </w:pPr>
            <w:r>
              <w:rPr>
                <w:rFonts w:ascii="Arial" w:cs="Arial" w:eastAsia="Arial" w:hAnsi="Arial"/>
                <w:sz w:val="13"/>
                <w:szCs w:val="13"/>
                <w:color w:val="auto"/>
              </w:rPr>
              <w:t>Individually evaluated for impairment</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130,838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57,747</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42,833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19,844</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41,906</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511</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293,679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tcPr>
          <w:p>
            <w:pPr>
              <w:ind w:left="440"/>
              <w:spacing w:after="0" w:line="148" w:lineRule="exact"/>
              <w:rPr>
                <w:sz w:val="20"/>
                <w:szCs w:val="20"/>
                <w:color w:val="auto"/>
              </w:rPr>
            </w:pPr>
            <w:r>
              <w:rPr>
                <w:rFonts w:ascii="Arial" w:cs="Arial" w:eastAsia="Arial" w:hAnsi="Arial"/>
                <w:sz w:val="13"/>
                <w:szCs w:val="13"/>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1,705,639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392,475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126,505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w w:val="93"/>
              </w:rPr>
              <w:t>1,108,492</w:t>
            </w: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367,060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125,385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w w:val="89"/>
              </w:rPr>
              <w:t>3,825,556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420" w:type="dxa"/>
            <w:vAlign w:val="bottom"/>
            <w:gridSpan w:val="4"/>
            <w:shd w:val="clear" w:color="auto" w:fill="CCEEFF"/>
          </w:tcPr>
          <w:p>
            <w:pPr>
              <w:ind w:left="860"/>
              <w:spacing w:after="0" w:line="148" w:lineRule="exact"/>
              <w:rPr>
                <w:sz w:val="20"/>
                <w:szCs w:val="20"/>
                <w:color w:val="auto"/>
              </w:rPr>
            </w:pPr>
            <w:r>
              <w:rPr>
                <w:rFonts w:ascii="Arial" w:cs="Arial" w:eastAsia="Arial" w:hAnsi="Arial"/>
                <w:sz w:val="13"/>
                <w:szCs w:val="13"/>
                <w:color w:val="auto"/>
              </w:rPr>
              <w:t>Total loans</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1,836,477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450,222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169,338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w w:val="93"/>
              </w:rPr>
              <w:t>1,128,336</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408,966</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125,896</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rPr>
              <w:t>$</w:t>
            </w: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9"/>
              </w:rPr>
              <w:t>4,119,235</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3"/>
                <w:szCs w:val="13"/>
                <w:b w:val="1"/>
                <w:bCs w:val="1"/>
                <w:color w:val="auto"/>
                <w:w w:val="90"/>
              </w:rPr>
              <w:t>December 31, 2011</w:t>
            </w:r>
          </w:p>
        </w:tc>
        <w:tc>
          <w:tcPr>
            <w:tcW w:w="3340" w:type="dxa"/>
            <w:vAlign w:val="bottom"/>
            <w:gridSpan w:val="3"/>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80" w:type="dxa"/>
            <w:vAlign w:val="bottom"/>
            <w:tcBorders>
              <w:bottom w:val="single" w:sz="8" w:color="auto"/>
            </w:tcBorders>
            <w:vMerge w:val="continue"/>
          </w:tcPr>
          <w:p>
            <w:pPr>
              <w:spacing w:after="0"/>
              <w:rPr>
                <w:sz w:val="11"/>
                <w:szCs w:val="11"/>
                <w:color w:val="auto"/>
              </w:rPr>
            </w:pPr>
          </w:p>
        </w:tc>
        <w:tc>
          <w:tcPr>
            <w:tcW w:w="33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20" w:type="dxa"/>
            <w:vAlign w:val="bottom"/>
            <w:gridSpan w:val="4"/>
            <w:shd w:val="clear" w:color="auto" w:fill="CCEEFF"/>
          </w:tcPr>
          <w:p>
            <w:pPr>
              <w:spacing w:after="0" w:line="141" w:lineRule="exact"/>
              <w:rPr>
                <w:sz w:val="20"/>
                <w:szCs w:val="20"/>
                <w:color w:val="auto"/>
              </w:rPr>
            </w:pPr>
            <w:r>
              <w:rPr>
                <w:rFonts w:ascii="Arial" w:cs="Arial" w:eastAsia="Arial" w:hAnsi="Arial"/>
                <w:sz w:val="13"/>
                <w:szCs w:val="13"/>
                <w:color w:val="auto"/>
              </w:rPr>
              <w:t>Allowance for loan losses: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tcPr>
          <w:p>
            <w:pPr>
              <w:spacing w:after="0" w:line="148" w:lineRule="exact"/>
              <w:rPr>
                <w:sz w:val="20"/>
                <w:szCs w:val="20"/>
                <w:color w:val="auto"/>
              </w:rPr>
            </w:pPr>
            <w:r>
              <w:rPr>
                <w:rFonts w:ascii="Arial" w:cs="Arial" w:eastAsia="Arial" w:hAnsi="Arial"/>
                <w:sz w:val="13"/>
                <w:szCs w:val="13"/>
                <w:color w:val="auto"/>
              </w:rPr>
              <w:t>Ending allowance attributable to 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ind w:left="440"/>
              <w:spacing w:after="0" w:line="148" w:lineRule="exact"/>
              <w:rPr>
                <w:sz w:val="20"/>
                <w:szCs w:val="20"/>
                <w:color w:val="auto"/>
              </w:rPr>
            </w:pPr>
            <w:r>
              <w:rPr>
                <w:rFonts w:ascii="Arial" w:cs="Arial" w:eastAsia="Arial" w:hAnsi="Arial"/>
                <w:sz w:val="13"/>
                <w:szCs w:val="13"/>
                <w:color w:val="auto"/>
              </w:rPr>
              <w:t>Individually evaluated for impairment</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7,491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1,117</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2,234</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3,731</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tcPr>
          <w:p>
            <w:pPr>
              <w:ind w:left="440"/>
              <w:spacing w:after="0" w:line="148" w:lineRule="exact"/>
              <w:rPr>
                <w:sz w:val="20"/>
                <w:szCs w:val="20"/>
                <w:color w:val="auto"/>
              </w:rPr>
            </w:pPr>
            <w:r>
              <w:rPr>
                <w:rFonts w:ascii="Arial" w:cs="Arial" w:eastAsia="Arial" w:hAnsi="Arial"/>
                <w:sz w:val="13"/>
                <w:szCs w:val="13"/>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24,153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4,564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5,861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26,842</w:t>
            </w: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26,648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2,108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99,643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420" w:type="dxa"/>
            <w:vAlign w:val="bottom"/>
            <w:gridSpan w:val="4"/>
            <w:shd w:val="clear" w:color="auto" w:fill="CCEEFF"/>
          </w:tcPr>
          <w:p>
            <w:pPr>
              <w:ind w:left="860"/>
              <w:spacing w:after="0" w:line="148" w:lineRule="exact"/>
              <w:rPr>
                <w:sz w:val="20"/>
                <w:szCs w:val="20"/>
                <w:color w:val="auto"/>
              </w:rPr>
            </w:pPr>
            <w:r>
              <w:rPr>
                <w:rFonts w:ascii="Arial" w:cs="Arial" w:eastAsia="Arial" w:hAnsi="Arial"/>
                <w:sz w:val="13"/>
                <w:szCs w:val="13"/>
                <w:color w:val="auto"/>
              </w:rPr>
              <w:t>Total ending allowance balance</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31,644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5,681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6,097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29,076</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30,379</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2,124</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9,467</w:t>
            </w: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114,468</w:t>
            </w: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3"/>
                <w:szCs w:val="13"/>
                <w:color w:val="auto"/>
              </w:rPr>
              <w:t>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4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ind w:left="440"/>
              <w:spacing w:after="0" w:line="148" w:lineRule="exact"/>
              <w:rPr>
                <w:sz w:val="20"/>
                <w:szCs w:val="20"/>
                <w:color w:val="auto"/>
              </w:rPr>
            </w:pPr>
            <w:r>
              <w:rPr>
                <w:rFonts w:ascii="Arial" w:cs="Arial" w:eastAsia="Arial" w:hAnsi="Arial"/>
                <w:sz w:val="13"/>
                <w:szCs w:val="13"/>
                <w:color w:val="auto"/>
              </w:rPr>
              <w:t>Individually evaluated for impairment</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107,831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57,828</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26,245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18,376</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46,687</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292</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257,259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tcPr>
          <w:p>
            <w:pPr>
              <w:ind w:left="440"/>
              <w:spacing w:after="0" w:line="148" w:lineRule="exact"/>
              <w:rPr>
                <w:sz w:val="20"/>
                <w:szCs w:val="20"/>
                <w:color w:val="auto"/>
              </w:rPr>
            </w:pPr>
            <w:r>
              <w:rPr>
                <w:rFonts w:ascii="Arial" w:cs="Arial" w:eastAsia="Arial" w:hAnsi="Arial"/>
                <w:sz w:val="13"/>
                <w:szCs w:val="13"/>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1,713,583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370,421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137,910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w w:val="93"/>
              </w:rPr>
              <w:t>1,116,526</w:t>
            </w: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401,704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112,211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w w:val="89"/>
              </w:rPr>
              <w:t>3,852,355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420" w:type="dxa"/>
            <w:vAlign w:val="bottom"/>
            <w:gridSpan w:val="4"/>
            <w:shd w:val="clear" w:color="auto" w:fill="CCEEFF"/>
          </w:tcPr>
          <w:p>
            <w:pPr>
              <w:ind w:left="860"/>
              <w:spacing w:after="0" w:line="148" w:lineRule="exact"/>
              <w:rPr>
                <w:sz w:val="20"/>
                <w:szCs w:val="20"/>
                <w:color w:val="auto"/>
              </w:rPr>
            </w:pPr>
            <w:r>
              <w:rPr>
                <w:rFonts w:ascii="Arial" w:cs="Arial" w:eastAsia="Arial" w:hAnsi="Arial"/>
                <w:sz w:val="13"/>
                <w:szCs w:val="13"/>
                <w:color w:val="auto"/>
              </w:rPr>
              <w:t>Total loans</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1,821,414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428,249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164,155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w w:val="93"/>
              </w:rPr>
              <w:t>1,134,902</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448,391</w:t>
            </w:r>
          </w:p>
        </w:tc>
        <w:tc>
          <w:tcPr>
            <w:tcW w:w="2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112,503</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4,109,614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Six Months Ended June 30, 2011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60" w:type="dxa"/>
            <w:vAlign w:val="bottom"/>
            <w:tcBorders>
              <w:top w:val="single" w:sz="8" w:color="auto"/>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Allowance for loan losses:</w:t>
            </w:r>
          </w:p>
        </w:tc>
        <w:tc>
          <w:tcPr>
            <w:tcW w:w="25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tcPr>
          <w:p>
            <w:pPr>
              <w:spacing w:after="0" w:line="148" w:lineRule="exact"/>
              <w:rPr>
                <w:sz w:val="20"/>
                <w:szCs w:val="20"/>
                <w:color w:val="auto"/>
              </w:rPr>
            </w:pPr>
            <w:r>
              <w:rPr>
                <w:rFonts w:ascii="Arial" w:cs="Arial" w:eastAsia="Arial" w:hAnsi="Arial"/>
                <w:sz w:val="13"/>
                <w:szCs w:val="13"/>
                <w:color w:val="auto"/>
              </w:rPr>
              <w:t>Beginning balance</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31,191</w:t>
            </w:r>
          </w:p>
        </w:tc>
        <w:tc>
          <w:tcPr>
            <w:tcW w:w="180" w:type="dxa"/>
            <w:vAlign w:val="bottom"/>
          </w:tcPr>
          <w:p>
            <w:pPr>
              <w:spacing w:after="0"/>
              <w:rPr>
                <w:sz w:val="12"/>
                <w:szCs w:val="12"/>
                <w:color w:val="auto"/>
              </w:rPr>
            </w:pP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7,580</w:t>
            </w:r>
          </w:p>
        </w:tc>
        <w:tc>
          <w:tcPr>
            <w:tcW w:w="120" w:type="dxa"/>
            <w:vAlign w:val="bottom"/>
          </w:tcPr>
          <w:p>
            <w:pPr>
              <w:spacing w:after="0"/>
              <w:rPr>
                <w:sz w:val="12"/>
                <w:szCs w:val="12"/>
                <w:color w:val="auto"/>
              </w:rPr>
            </w:pPr>
          </w:p>
        </w:tc>
        <w:tc>
          <w:tcPr>
            <w:tcW w:w="26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6,780</w:t>
            </w:r>
          </w:p>
        </w:tc>
        <w:tc>
          <w:tcPr>
            <w:tcW w:w="18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22,305</w:t>
            </w:r>
          </w:p>
        </w:tc>
        <w:tc>
          <w:tcPr>
            <w:tcW w:w="2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92,571</w:t>
            </w:r>
          </w:p>
        </w:tc>
        <w:tc>
          <w:tcPr>
            <w:tcW w:w="20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3,030</w:t>
            </w:r>
          </w:p>
        </w:tc>
        <w:tc>
          <w:tcPr>
            <w:tcW w:w="26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11,238</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174,695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ind w:left="440"/>
              <w:spacing w:after="0" w:line="148" w:lineRule="exact"/>
              <w:rPr>
                <w:sz w:val="20"/>
                <w:szCs w:val="20"/>
                <w:color w:val="auto"/>
              </w:rPr>
            </w:pPr>
            <w:r>
              <w:rPr>
                <w:rFonts w:ascii="Arial" w:cs="Arial" w:eastAsia="Arial" w:hAnsi="Arial"/>
                <w:sz w:val="13"/>
                <w:szCs w:val="13"/>
                <w:color w:val="auto"/>
              </w:rPr>
              <w:t>Charge-offs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(52,140)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(4,966)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(50,695)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(41,343)</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(99,024)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(1,979)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(250,147)</w:t>
            </w:r>
          </w:p>
        </w:tc>
        <w:tc>
          <w:tcPr>
            <w:tcW w:w="0" w:type="dxa"/>
            <w:vAlign w:val="bottom"/>
          </w:tcPr>
          <w:p>
            <w:pPr>
              <w:spacing w:after="0"/>
              <w:rPr>
                <w:sz w:val="1"/>
                <w:szCs w:val="1"/>
                <w:color w:val="auto"/>
              </w:rPr>
            </w:pPr>
          </w:p>
        </w:tc>
      </w:tr>
      <w:tr>
        <w:trPr>
          <w:trHeight w:val="147"/>
        </w:trPr>
        <w:tc>
          <w:tcPr>
            <w:tcW w:w="4420" w:type="dxa"/>
            <w:vAlign w:val="bottom"/>
            <w:gridSpan w:val="4"/>
          </w:tcPr>
          <w:p>
            <w:pPr>
              <w:ind w:left="440"/>
              <w:spacing w:after="0" w:line="148" w:lineRule="exact"/>
              <w:rPr>
                <w:sz w:val="20"/>
                <w:szCs w:val="20"/>
                <w:color w:val="auto"/>
              </w:rPr>
            </w:pPr>
            <w:r>
              <w:rPr>
                <w:rFonts w:ascii="Arial" w:cs="Arial" w:eastAsia="Arial" w:hAnsi="Arial"/>
                <w:sz w:val="13"/>
                <w:szCs w:val="13"/>
                <w:color w:val="auto"/>
              </w:rPr>
              <w:t>Recoveries</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403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111</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371</w:t>
            </w: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257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2,090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ind w:left="440"/>
              <w:spacing w:after="0" w:line="148" w:lineRule="exact"/>
              <w:rPr>
                <w:sz w:val="20"/>
                <w:szCs w:val="20"/>
                <w:color w:val="auto"/>
              </w:rPr>
            </w:pPr>
            <w:r>
              <w:rPr>
                <w:rFonts w:ascii="Arial" w:cs="Arial" w:eastAsia="Arial" w:hAnsi="Arial"/>
                <w:sz w:val="13"/>
                <w:szCs w:val="13"/>
                <w:color w:val="auto"/>
              </w:rPr>
              <w:t>Provision</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42,671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4,016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51,256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49,063</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55,249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498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(1,753)</w:t>
            </w: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3"/>
                <w:szCs w:val="13"/>
                <w:color w:val="auto"/>
              </w:rPr>
              <w:t>Ending balance</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420" w:type="dxa"/>
            <w:vAlign w:val="bottom"/>
            <w:gridSpan w:val="4"/>
            <w:vMerge w:val="continue"/>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21,996</w:t>
            </w:r>
          </w:p>
        </w:tc>
        <w:tc>
          <w:tcPr>
            <w:tcW w:w="1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7,033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7,452</w:t>
            </w:r>
          </w:p>
        </w:tc>
        <w:tc>
          <w:tcPr>
            <w:tcW w:w="1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30,396</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49,053</w:t>
            </w: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2,223</w:t>
            </w:r>
          </w:p>
        </w:tc>
        <w:tc>
          <w:tcPr>
            <w:tcW w:w="2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9,485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127,638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420" w:type="dxa"/>
            <w:vAlign w:val="bottom"/>
            <w:gridSpan w:val="4"/>
            <w:shd w:val="clear" w:color="auto" w:fill="CCEEFF"/>
          </w:tcPr>
          <w:p>
            <w:pPr>
              <w:spacing w:after="0" w:line="141" w:lineRule="exact"/>
              <w:rPr>
                <w:sz w:val="20"/>
                <w:szCs w:val="20"/>
                <w:color w:val="auto"/>
              </w:rPr>
            </w:pPr>
            <w:r>
              <w:rPr>
                <w:rFonts w:ascii="Arial" w:cs="Arial" w:eastAsia="Arial" w:hAnsi="Arial"/>
                <w:sz w:val="13"/>
                <w:szCs w:val="13"/>
                <w:color w:val="auto"/>
              </w:rPr>
              <w:t>Ending allowance attributable to loans: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tcPr>
          <w:p>
            <w:pPr>
              <w:ind w:left="440"/>
              <w:spacing w:after="0" w:line="148" w:lineRule="exact"/>
              <w:rPr>
                <w:sz w:val="20"/>
                <w:szCs w:val="20"/>
                <w:color w:val="auto"/>
              </w:rPr>
            </w:pPr>
            <w:r>
              <w:rPr>
                <w:rFonts w:ascii="Arial" w:cs="Arial" w:eastAsia="Arial" w:hAnsi="Arial"/>
                <w:sz w:val="13"/>
                <w:szCs w:val="13"/>
                <w:color w:val="auto"/>
              </w:rPr>
              <w:t>Individually evaluated for impairment</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78</w:t>
            </w:r>
          </w:p>
        </w:tc>
        <w:tc>
          <w:tcPr>
            <w:tcW w:w="180" w:type="dxa"/>
            <w:vAlign w:val="bottom"/>
          </w:tcPr>
          <w:p>
            <w:pPr>
              <w:spacing w:after="0"/>
              <w:rPr>
                <w:sz w:val="12"/>
                <w:szCs w:val="12"/>
                <w:color w:val="auto"/>
              </w:rPr>
            </w:pP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26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450</w:t>
            </w:r>
          </w:p>
        </w:tc>
        <w:tc>
          <w:tcPr>
            <w:tcW w:w="18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639</w:t>
            </w:r>
          </w:p>
        </w:tc>
        <w:tc>
          <w:tcPr>
            <w:tcW w:w="2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26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1,167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ind w:left="440"/>
              <w:spacing w:after="0" w:line="148" w:lineRule="exact"/>
              <w:rPr>
                <w:sz w:val="20"/>
                <w:szCs w:val="20"/>
                <w:color w:val="auto"/>
              </w:rPr>
            </w:pPr>
            <w:r>
              <w:rPr>
                <w:rFonts w:ascii="Arial" w:cs="Arial" w:eastAsia="Arial" w:hAnsi="Arial"/>
                <w:sz w:val="13"/>
                <w:szCs w:val="13"/>
                <w:color w:val="auto"/>
              </w:rPr>
              <w:t>Collectively evaluated for impairment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21,918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7,033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7,002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29,757</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49,053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2,223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9,485</w:t>
            </w: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126,471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ind w:left="860"/>
              <w:spacing w:after="0"/>
              <w:rPr>
                <w:sz w:val="20"/>
                <w:szCs w:val="20"/>
                <w:color w:val="auto"/>
              </w:rPr>
            </w:pPr>
            <w:r>
              <w:rPr>
                <w:rFonts w:ascii="Arial" w:cs="Arial" w:eastAsia="Arial" w:hAnsi="Arial"/>
                <w:sz w:val="13"/>
                <w:szCs w:val="13"/>
                <w:color w:val="auto"/>
              </w:rPr>
              <w:t>Total ending allowance balance</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420" w:type="dxa"/>
            <w:vAlign w:val="bottom"/>
            <w:gridSpan w:val="4"/>
            <w:vMerge w:val="continue"/>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21,996</w:t>
            </w:r>
          </w:p>
        </w:tc>
        <w:tc>
          <w:tcPr>
            <w:tcW w:w="1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7,033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7,452</w:t>
            </w:r>
          </w:p>
        </w:tc>
        <w:tc>
          <w:tcPr>
            <w:tcW w:w="1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30,396</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49,053</w:t>
            </w: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2,223</w:t>
            </w:r>
          </w:p>
        </w:tc>
        <w:tc>
          <w:tcPr>
            <w:tcW w:w="2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9,485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127,638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420" w:type="dxa"/>
            <w:vAlign w:val="bottom"/>
            <w:gridSpan w:val="4"/>
            <w:shd w:val="clear" w:color="auto" w:fill="CCEEFF"/>
          </w:tcPr>
          <w:p>
            <w:pPr>
              <w:spacing w:after="0" w:line="141" w:lineRule="exact"/>
              <w:rPr>
                <w:sz w:val="20"/>
                <w:szCs w:val="20"/>
                <w:color w:val="auto"/>
              </w:rPr>
            </w:pPr>
            <w:r>
              <w:rPr>
                <w:rFonts w:ascii="Arial" w:cs="Arial" w:eastAsia="Arial" w:hAnsi="Arial"/>
                <w:sz w:val="13"/>
                <w:szCs w:val="13"/>
                <w:color w:val="auto"/>
              </w:rPr>
              <w:t>Loans: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tcPr>
          <w:p>
            <w:pPr>
              <w:ind w:left="440"/>
              <w:spacing w:after="0" w:line="148" w:lineRule="exact"/>
              <w:rPr>
                <w:sz w:val="20"/>
                <w:szCs w:val="20"/>
                <w:color w:val="auto"/>
              </w:rPr>
            </w:pPr>
            <w:r>
              <w:rPr>
                <w:rFonts w:ascii="Arial" w:cs="Arial" w:eastAsia="Arial" w:hAnsi="Arial"/>
                <w:sz w:val="13"/>
                <w:szCs w:val="13"/>
                <w:color w:val="auto"/>
              </w:rPr>
              <w:t>Individually evaluated for impairment</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14,780</w:t>
            </w:r>
          </w:p>
        </w:tc>
        <w:tc>
          <w:tcPr>
            <w:tcW w:w="180" w:type="dxa"/>
            <w:vAlign w:val="bottom"/>
          </w:tcPr>
          <w:p>
            <w:pPr>
              <w:spacing w:after="0"/>
              <w:rPr>
                <w:sz w:val="12"/>
                <w:szCs w:val="12"/>
                <w:color w:val="auto"/>
              </w:rPr>
            </w:pP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26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1,015</w:t>
            </w:r>
          </w:p>
        </w:tc>
        <w:tc>
          <w:tcPr>
            <w:tcW w:w="18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7,247</w:t>
            </w:r>
          </w:p>
        </w:tc>
        <w:tc>
          <w:tcPr>
            <w:tcW w:w="2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12,611</w:t>
            </w:r>
          </w:p>
        </w:tc>
        <w:tc>
          <w:tcPr>
            <w:tcW w:w="20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26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35,653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20" w:type="dxa"/>
            <w:vAlign w:val="bottom"/>
            <w:gridSpan w:val="4"/>
            <w:shd w:val="clear" w:color="auto" w:fill="CCEEFF"/>
          </w:tcPr>
          <w:p>
            <w:pPr>
              <w:ind w:left="440"/>
              <w:spacing w:after="0" w:line="148" w:lineRule="exact"/>
              <w:rPr>
                <w:sz w:val="20"/>
                <w:szCs w:val="20"/>
                <w:color w:val="auto"/>
              </w:rPr>
            </w:pPr>
            <w:r>
              <w:rPr>
                <w:rFonts w:ascii="Arial" w:cs="Arial" w:eastAsia="Arial" w:hAnsi="Arial"/>
                <w:sz w:val="13"/>
                <w:szCs w:val="13"/>
                <w:color w:val="auto"/>
              </w:rPr>
              <w:t>Collectively evaluated for impairment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1,726,974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428,058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194,175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w w:val="93"/>
              </w:rPr>
              <w:t>1,169,979</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489,298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119,310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4,127,794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ind w:left="860"/>
              <w:spacing w:after="0"/>
              <w:rPr>
                <w:sz w:val="20"/>
                <w:szCs w:val="20"/>
                <w:color w:val="auto"/>
              </w:rPr>
            </w:pPr>
            <w:r>
              <w:rPr>
                <w:rFonts w:ascii="Arial" w:cs="Arial" w:eastAsia="Arial" w:hAnsi="Arial"/>
                <w:sz w:val="13"/>
                <w:szCs w:val="13"/>
                <w:color w:val="auto"/>
              </w:rPr>
              <w:t>Total loans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420" w:type="dxa"/>
            <w:vAlign w:val="bottom"/>
            <w:gridSpan w:val="4"/>
            <w:vMerge w:val="continue"/>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1,741,754</w:t>
            </w:r>
          </w:p>
        </w:tc>
        <w:tc>
          <w:tcPr>
            <w:tcW w:w="1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428,058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195,190</w:t>
            </w:r>
          </w:p>
        </w:tc>
        <w:tc>
          <w:tcPr>
            <w:tcW w:w="1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1,177,226</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501,909</w:t>
            </w: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119,310</w:t>
            </w:r>
          </w:p>
        </w:tc>
        <w:tc>
          <w:tcPr>
            <w:tcW w:w="2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4,163,447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calculating specific reserves, United reviews all loans that are on nonaccrual with a balance of $500,000 or greater for impairment, as well as accruing substandard relationships greater than $2 million and all troubled debt restructurings (“TDRs”). A loan is considered impaired when, based on current events and circumstances, it is probable that all amounts due, according to the contractual terms of the loan, will not be collected. All troubled debt restructurings are considered impaired regardless of accrual status. Impaired loans are measured based on the present value of expected future cash flows, discounted at the loan’s effective interest rate, at the loan’s observable market price, or the fair value of the collateral if the loan is collateral dependent. Interest payments received on impaired nonaccrual loans are applied as a reduction of the outstanding principal balance. For impaired loans not on nonaccrual status, interest is accrued according to the terms of the loan agreement. Impairment amounts are recorded quarterly and specific reserves are recorded in the allowance for loan losses.</w:t>
      </w:r>
    </w:p>
    <w:p>
      <w:pPr>
        <w:spacing w:after="0" w:line="121"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At June 30, 2012, December 31, 2011 and June 30, 2011, loans with a carrying value of $1.61 billion, $1.52 billion and $991 million were pledged as collateral to secure FHLB advances and other contingent funding sources.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7"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first quarter of 2011, United’s Board of Directors adopted an accelerated problem asset disposition plan which included the bulk sale of $267 million in classified loans. Those loans were classified as held for sale at the end of the first quarter and were written down to the expected proceeds from the sale. The charge-offs on the loans transferred to held for sale in anticipation of the bulk loan sale which closed on April 18, 2011, increased first quarter 2011 loan charge-offs by $186 million. The actual loss on the bulk loan sale at closing was less than the amount charged-off in the first quarter, resulting in a $7.27 million reduction of second quarter 2011 charge-offs.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recorded investments in individually evaluated impaired loans at June 30, 2012, December 31, 2011 and June 30, 2011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20"/>
              <w:spacing w:after="0"/>
              <w:rPr>
                <w:sz w:val="20"/>
                <w:szCs w:val="20"/>
                <w:color w:val="auto"/>
              </w:rPr>
            </w:pPr>
            <w:r>
              <w:rPr>
                <w:rFonts w:ascii="Arial" w:cs="Arial" w:eastAsia="Arial" w:hAnsi="Arial"/>
                <w:sz w:val="13"/>
                <w:szCs w:val="13"/>
                <w:b w:val="1"/>
                <w:bCs w:val="1"/>
                <w:color w:val="auto"/>
                <w:w w:val="88"/>
              </w:rPr>
              <w:t>June 30,</w:t>
            </w: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3"/>
                <w:szCs w:val="13"/>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2011</w:t>
            </w: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Period-end loans with no allocated allowance for loan losses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214,808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188,509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32,791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Period-end loans with allocated allowance for loan losses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78,871</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68,750</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293,679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257,259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35,653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7"/>
                <w:szCs w:val="17"/>
                <w:color w:val="auto"/>
              </w:rPr>
              <w:t>Amount of allowance for loan losses allocated</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00" w:type="dxa"/>
            <w:vAlign w:val="bottom"/>
            <w:gridSpan w:val="2"/>
            <w:vMerge w:val="continue"/>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17,370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14,825</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1,167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The average balances of impaired loans and income recognized on impaired loans while they were considered impaired is presented below for the three and six months ended June 30, 2012 and 2011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Three Months Ended</w:t>
            </w:r>
          </w:p>
        </w:tc>
        <w:tc>
          <w:tcPr>
            <w:tcW w:w="400" w:type="dxa"/>
            <w:vAlign w:val="bottom"/>
          </w:tcPr>
          <w:p>
            <w:pPr>
              <w:spacing w:after="0"/>
              <w:rPr>
                <w:sz w:val="13"/>
                <w:szCs w:val="13"/>
                <w:color w:val="auto"/>
              </w:rPr>
            </w:pPr>
          </w:p>
        </w:tc>
        <w:tc>
          <w:tcPr>
            <w:tcW w:w="17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4"/>
              </w:rPr>
              <w:t>Six Months Ended</w:t>
            </w:r>
          </w:p>
        </w:tc>
      </w:tr>
      <w:tr>
        <w:trPr>
          <w:trHeight w:val="160"/>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3"/>
                <w:szCs w:val="13"/>
                <w:b w:val="1"/>
                <w:bCs w:val="1"/>
                <w:color w:val="auto"/>
                <w:w w:val="92"/>
              </w:rPr>
              <w:t>June 30,</w:t>
            </w: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3"/>
                <w:szCs w:val="13"/>
                <w:b w:val="1"/>
                <w:bCs w:val="1"/>
                <w:color w:val="auto"/>
                <w:w w:val="92"/>
              </w:rPr>
              <w:t>June 30,</w:t>
            </w: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1"/>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Pr>
          <w:p>
            <w:pPr>
              <w:jc w:val="right"/>
              <w:ind w:right="128"/>
              <w:spacing w:after="0" w:line="141" w:lineRule="exact"/>
              <w:rPr>
                <w:sz w:val="20"/>
                <w:szCs w:val="20"/>
                <w:color w:val="auto"/>
              </w:rPr>
            </w:pPr>
            <w:r>
              <w:rPr>
                <w:rFonts w:ascii="Arial" w:cs="Arial" w:eastAsia="Arial" w:hAnsi="Arial"/>
                <w:sz w:val="13"/>
                <w:szCs w:val="13"/>
                <w:b w:val="1"/>
                <w:bCs w:val="1"/>
                <w:color w:val="auto"/>
              </w:rPr>
              <w:t>2012</w:t>
            </w:r>
          </w:p>
        </w:tc>
        <w:tc>
          <w:tcPr>
            <w:tcW w:w="380" w:type="dxa"/>
            <w:vAlign w:val="bottom"/>
          </w:tcPr>
          <w:p>
            <w:pPr>
              <w:spacing w:after="0"/>
              <w:rPr>
                <w:sz w:val="12"/>
                <w:szCs w:val="12"/>
                <w:color w:val="auto"/>
              </w:rPr>
            </w:pPr>
          </w:p>
        </w:tc>
        <w:tc>
          <w:tcPr>
            <w:tcW w:w="580" w:type="dxa"/>
            <w:vAlign w:val="bottom"/>
            <w:gridSpan w:val="2"/>
          </w:tcPr>
          <w:p>
            <w:pPr>
              <w:jc w:val="right"/>
              <w:ind w:right="73"/>
              <w:spacing w:after="0" w:line="141" w:lineRule="exact"/>
              <w:rPr>
                <w:sz w:val="20"/>
                <w:szCs w:val="20"/>
                <w:color w:val="auto"/>
              </w:rPr>
            </w:pPr>
            <w:r>
              <w:rPr>
                <w:rFonts w:ascii="Arial" w:cs="Arial" w:eastAsia="Arial" w:hAnsi="Arial"/>
                <w:sz w:val="13"/>
                <w:szCs w:val="13"/>
                <w:b w:val="1"/>
                <w:bCs w:val="1"/>
                <w:color w:val="auto"/>
              </w:rPr>
              <w:t>2011</w:t>
            </w:r>
          </w:p>
        </w:tc>
        <w:tc>
          <w:tcPr>
            <w:tcW w:w="400" w:type="dxa"/>
            <w:vAlign w:val="bottom"/>
          </w:tcPr>
          <w:p>
            <w:pPr>
              <w:spacing w:after="0"/>
              <w:rPr>
                <w:sz w:val="12"/>
                <w:szCs w:val="12"/>
                <w:color w:val="auto"/>
              </w:rPr>
            </w:pPr>
          </w:p>
        </w:tc>
        <w:tc>
          <w:tcPr>
            <w:tcW w:w="660" w:type="dxa"/>
            <w:vAlign w:val="bottom"/>
          </w:tcPr>
          <w:p>
            <w:pPr>
              <w:jc w:val="right"/>
              <w:ind w:right="128"/>
              <w:spacing w:after="0" w:line="141" w:lineRule="exact"/>
              <w:rPr>
                <w:sz w:val="20"/>
                <w:szCs w:val="20"/>
                <w:color w:val="auto"/>
              </w:rPr>
            </w:pPr>
            <w:r>
              <w:rPr>
                <w:rFonts w:ascii="Arial" w:cs="Arial" w:eastAsia="Arial" w:hAnsi="Arial"/>
                <w:sz w:val="13"/>
                <w:szCs w:val="13"/>
                <w:b w:val="1"/>
                <w:bCs w:val="1"/>
                <w:color w:val="auto"/>
              </w:rPr>
              <w:t>2012</w:t>
            </w:r>
          </w:p>
        </w:tc>
        <w:tc>
          <w:tcPr>
            <w:tcW w:w="380" w:type="dxa"/>
            <w:vAlign w:val="bottom"/>
          </w:tcPr>
          <w:p>
            <w:pPr>
              <w:spacing w:after="0"/>
              <w:rPr>
                <w:sz w:val="12"/>
                <w:szCs w:val="12"/>
                <w:color w:val="auto"/>
              </w:rPr>
            </w:pPr>
          </w:p>
        </w:tc>
        <w:tc>
          <w:tcPr>
            <w:tcW w:w="600" w:type="dxa"/>
            <w:vAlign w:val="bottom"/>
            <w:gridSpan w:val="2"/>
          </w:tcPr>
          <w:p>
            <w:pPr>
              <w:jc w:val="right"/>
              <w:ind w:right="93"/>
              <w:spacing w:after="0" w:line="141" w:lineRule="exact"/>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4"/>
              </w:rPr>
              <w:t>Average balance of individually evaluated impaired loans during period</w:t>
            </w:r>
          </w:p>
        </w:tc>
        <w:tc>
          <w:tcPr>
            <w:tcW w:w="1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$287,336</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$42,099</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$283,981</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$68,631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Interest income recognized during impairment</w:t>
            </w:r>
          </w:p>
        </w:tc>
        <w:tc>
          <w:tcPr>
            <w:tcW w:w="2340" w:type="dxa"/>
            <w:vAlign w:val="bottom"/>
            <w:gridSpan w:val="2"/>
          </w:tcPr>
          <w:p>
            <w:pPr>
              <w:jc w:val="right"/>
              <w:spacing w:after="0"/>
              <w:rPr>
                <w:sz w:val="20"/>
                <w:szCs w:val="20"/>
                <w:color w:val="auto"/>
              </w:rPr>
            </w:pPr>
            <w:r>
              <w:rPr>
                <w:rFonts w:ascii="Arial" w:cs="Arial" w:eastAsia="Arial" w:hAnsi="Arial"/>
                <w:sz w:val="17"/>
                <w:szCs w:val="17"/>
                <w:color w:val="auto"/>
              </w:rPr>
              <w:t>2,421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4,688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Cash-basis interest income recognized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3,216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6,408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r>
      <w:tr>
        <w:trPr>
          <w:trHeight w:val="360"/>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80" w:type="dxa"/>
            <w:vAlign w:val="bottom"/>
          </w:tcPr>
          <w:p>
            <w:pPr>
              <w:jc w:val="right"/>
              <w:ind w:right="1333"/>
              <w:spacing w:after="0"/>
              <w:rPr>
                <w:sz w:val="20"/>
                <w:szCs w:val="20"/>
                <w:color w:val="auto"/>
              </w:rPr>
            </w:pPr>
            <w:r>
              <w:rPr>
                <w:rFonts w:ascii="Arial" w:cs="Arial" w:eastAsia="Arial" w:hAnsi="Arial"/>
                <w:sz w:val="17"/>
                <w:szCs w:val="17"/>
                <w:color w:val="auto"/>
              </w:rPr>
              <w:t>15</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60"/>
          </w:cols>
          <w:pgMar w:left="240" w:top="457"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ind w:right="740"/>
        <w:spacing w:after="0" w:line="294" w:lineRule="auto"/>
        <w:rPr>
          <w:sz w:val="20"/>
          <w:szCs w:val="20"/>
          <w:color w:val="auto"/>
        </w:rPr>
      </w:pPr>
      <w:r>
        <w:rPr>
          <w:rFonts w:ascii="Arial" w:cs="Arial" w:eastAsia="Arial" w:hAnsi="Arial"/>
          <w:sz w:val="17"/>
          <w:szCs w:val="17"/>
          <w:color w:val="auto"/>
        </w:rPr>
        <w:t xml:space="preserve">The following table presents loans individually evaluated for impairment by class of loans as of June 30, 2012, December 31, 2011 and June 30, 2011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w:t>
      </w:r>
      <w:r>
        <w:rPr>
          <w:rFonts w:ascii="Arial" w:cs="Arial" w:eastAsia="Arial" w:hAnsi="Arial"/>
          <w:sz w:val="17"/>
          <w:szCs w:val="17"/>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June 30, 2012</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w w:val="90"/>
              </w:rPr>
              <w:t>December 31, 2011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June 30, 2011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w w:val="93"/>
              </w:rPr>
              <w:t>Allowance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w w:val="93"/>
              </w:rPr>
              <w:t>Allowance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w w:val="93"/>
              </w:rPr>
              <w:t>Allowance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Unpaid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6"/>
              </w:rPr>
              <w:t>for Loan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9"/>
              </w:rPr>
              <w:t>Unpaid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for Loan</w:t>
            </w:r>
          </w:p>
        </w:tc>
        <w:tc>
          <w:tcPr>
            <w:tcW w:w="100" w:type="dxa"/>
            <w:vAlign w:val="bottom"/>
          </w:tcPr>
          <w:p>
            <w:pPr>
              <w:spacing w:after="0"/>
              <w:rPr>
                <w:sz w:val="12"/>
                <w:szCs w:val="12"/>
                <w:color w:val="auto"/>
              </w:rPr>
            </w:pPr>
          </w:p>
        </w:tc>
        <w:tc>
          <w:tcPr>
            <w:tcW w:w="64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Unpaid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for Loan</w:t>
            </w:r>
          </w:p>
        </w:tc>
        <w:tc>
          <w:tcPr>
            <w:tcW w:w="0" w:type="dxa"/>
            <w:vAlign w:val="bottom"/>
          </w:tcPr>
          <w:p>
            <w:pPr>
              <w:spacing w:after="0"/>
              <w:rPr>
                <w:sz w:val="1"/>
                <w:szCs w:val="1"/>
                <w:color w:val="auto"/>
              </w:rPr>
            </w:pPr>
          </w:p>
        </w:tc>
      </w:tr>
      <w:tr>
        <w:trPr>
          <w:trHeight w:val="147"/>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860" w:type="dxa"/>
            <w:vAlign w:val="bottom"/>
            <w:gridSpan w:val="3"/>
          </w:tcPr>
          <w:p>
            <w:pPr>
              <w:ind w:left="60"/>
              <w:spacing w:after="0" w:line="148" w:lineRule="exact"/>
              <w:rPr>
                <w:sz w:val="20"/>
                <w:szCs w:val="20"/>
                <w:color w:val="auto"/>
              </w:rPr>
            </w:pPr>
            <w:r>
              <w:rPr>
                <w:rFonts w:ascii="Arial" w:cs="Arial" w:eastAsia="Arial" w:hAnsi="Arial"/>
                <w:sz w:val="13"/>
                <w:szCs w:val="13"/>
                <w:b w:val="1"/>
                <w:bCs w:val="1"/>
                <w:color w:val="auto"/>
              </w:rPr>
              <w:t>Recorded</w:t>
            </w:r>
          </w:p>
        </w:tc>
        <w:tc>
          <w:tcPr>
            <w:tcW w:w="100" w:type="dxa"/>
            <w:vAlign w:val="bottom"/>
          </w:tcPr>
          <w:p>
            <w:pPr>
              <w:spacing w:after="0"/>
              <w:rPr>
                <w:sz w:val="12"/>
                <w:szCs w:val="12"/>
                <w:color w:val="auto"/>
              </w:rPr>
            </w:pPr>
          </w:p>
        </w:tc>
        <w:tc>
          <w:tcPr>
            <w:tcW w:w="50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w w:val="80"/>
              </w:rPr>
              <w:t>Losses</w:t>
            </w:r>
          </w:p>
        </w:tc>
        <w:tc>
          <w:tcPr>
            <w:tcW w:w="180" w:type="dxa"/>
            <w:vAlign w:val="bottom"/>
          </w:tcPr>
          <w:p>
            <w:pPr>
              <w:spacing w:after="0"/>
              <w:rPr>
                <w:sz w:val="12"/>
                <w:szCs w:val="12"/>
                <w:color w:val="auto"/>
              </w:rPr>
            </w:pPr>
          </w:p>
        </w:tc>
        <w:tc>
          <w:tcPr>
            <w:tcW w:w="860" w:type="dxa"/>
            <w:vAlign w:val="bottom"/>
            <w:gridSpan w:val="3"/>
          </w:tcPr>
          <w:p>
            <w:pPr>
              <w:jc w:val="center"/>
              <w:ind w:right="180"/>
              <w:spacing w:after="0" w:line="148" w:lineRule="exact"/>
              <w:rPr>
                <w:sz w:val="20"/>
                <w:szCs w:val="20"/>
                <w:color w:val="auto"/>
              </w:rPr>
            </w:pPr>
            <w:r>
              <w:rPr>
                <w:rFonts w:ascii="Arial" w:cs="Arial" w:eastAsia="Arial" w:hAnsi="Arial"/>
                <w:sz w:val="13"/>
                <w:szCs w:val="13"/>
                <w:b w:val="1"/>
                <w:bCs w:val="1"/>
                <w:color w:val="auto"/>
                <w:w w:val="94"/>
              </w:rPr>
              <w:t>Principal</w:t>
            </w:r>
          </w:p>
        </w:tc>
        <w:tc>
          <w:tcPr>
            <w:tcW w:w="840" w:type="dxa"/>
            <w:vAlign w:val="bottom"/>
            <w:gridSpan w:val="3"/>
          </w:tcPr>
          <w:p>
            <w:pPr>
              <w:ind w:left="60"/>
              <w:spacing w:after="0" w:line="148" w:lineRule="exact"/>
              <w:rPr>
                <w:sz w:val="20"/>
                <w:szCs w:val="20"/>
                <w:color w:val="auto"/>
              </w:rPr>
            </w:pPr>
            <w:r>
              <w:rPr>
                <w:rFonts w:ascii="Arial" w:cs="Arial" w:eastAsia="Arial" w:hAnsi="Arial"/>
                <w:sz w:val="13"/>
                <w:szCs w:val="13"/>
                <w:b w:val="1"/>
                <w:bCs w:val="1"/>
                <w:color w:val="auto"/>
              </w:rPr>
              <w:t>Recorded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80"/>
              </w:rPr>
              <w:t>Losses</w:t>
            </w:r>
          </w:p>
        </w:tc>
        <w:tc>
          <w:tcPr>
            <w:tcW w:w="100" w:type="dxa"/>
            <w:vAlign w:val="bottom"/>
          </w:tcPr>
          <w:p>
            <w:pPr>
              <w:spacing w:after="0"/>
              <w:rPr>
                <w:sz w:val="12"/>
                <w:szCs w:val="12"/>
                <w:color w:val="auto"/>
              </w:rPr>
            </w:pPr>
          </w:p>
        </w:tc>
        <w:tc>
          <w:tcPr>
            <w:tcW w:w="64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4"/>
              </w:rPr>
              <w:t>Principal</w:t>
            </w: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Recorded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84"/>
              </w:rPr>
              <w:t>Losses</w:t>
            </w:r>
          </w:p>
        </w:tc>
        <w:tc>
          <w:tcPr>
            <w:tcW w:w="0" w:type="dxa"/>
            <w:vAlign w:val="bottom"/>
          </w:tcPr>
          <w:p>
            <w:pPr>
              <w:spacing w:after="0"/>
              <w:rPr>
                <w:sz w:val="1"/>
                <w:szCs w:val="1"/>
                <w:color w:val="auto"/>
              </w:rPr>
            </w:pPr>
          </w:p>
        </w:tc>
      </w:tr>
      <w:tr>
        <w:trPr>
          <w:trHeight w:val="160"/>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Balance</w:t>
            </w:r>
          </w:p>
        </w:tc>
        <w:tc>
          <w:tcPr>
            <w:tcW w:w="2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w:t>
            </w: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Allocated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Balance</w:t>
            </w: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w:t>
            </w:r>
          </w:p>
        </w:tc>
        <w:tc>
          <w:tcPr>
            <w:tcW w:w="20" w:type="dxa"/>
            <w:vAlign w:val="bottom"/>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Allocated</w:t>
            </w:r>
          </w:p>
        </w:tc>
        <w:tc>
          <w:tcPr>
            <w:tcW w:w="10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Investment</w:t>
            </w:r>
          </w:p>
        </w:tc>
        <w:tc>
          <w:tcPr>
            <w:tcW w:w="60" w:type="dxa"/>
            <w:vAlign w:val="bottom"/>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2"/>
              </w:rPr>
              <w:t>Allocated</w:t>
            </w:r>
          </w:p>
        </w:tc>
        <w:tc>
          <w:tcPr>
            <w:tcW w:w="0" w:type="dxa"/>
            <w:vAlign w:val="bottom"/>
          </w:tcPr>
          <w:p>
            <w:pPr>
              <w:spacing w:after="0"/>
              <w:rPr>
                <w:sz w:val="1"/>
                <w:szCs w:val="1"/>
                <w:color w:val="auto"/>
              </w:rPr>
            </w:pPr>
          </w:p>
        </w:tc>
      </w:tr>
      <w:tr>
        <w:trPr>
          <w:trHeight w:val="194"/>
        </w:trPr>
        <w:tc>
          <w:tcPr>
            <w:tcW w:w="39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With no related allowance recorded:</w:t>
            </w: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20" w:type="dxa"/>
            <w:vAlign w:val="bottom"/>
          </w:tcPr>
          <w:p>
            <w:pPr>
              <w:ind w:left="440"/>
              <w:spacing w:after="0"/>
              <w:rPr>
                <w:sz w:val="20"/>
                <w:szCs w:val="20"/>
                <w:color w:val="auto"/>
              </w:rPr>
            </w:pPr>
            <w:r>
              <w:rPr>
                <w:rFonts w:ascii="Arial" w:cs="Arial" w:eastAsia="Arial" w:hAnsi="Arial"/>
                <w:sz w:val="17"/>
                <w:szCs w:val="17"/>
                <w:color w:val="auto"/>
              </w:rPr>
              <w:t>Commercial (secured by real estate)</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$105,788</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95,543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82,887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76,215</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$19,653</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$ 13,572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&amp; industrial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77,628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52,628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920" w:type="dxa"/>
            <w:vAlign w:val="bottom"/>
          </w:tcPr>
          <w:p>
            <w:pPr>
              <w:ind w:left="440"/>
              <w:spacing w:after="0"/>
              <w:rPr>
                <w:sz w:val="20"/>
                <w:szCs w:val="20"/>
                <w:color w:val="auto"/>
              </w:rPr>
            </w:pPr>
            <w:r>
              <w:rPr>
                <w:rFonts w:ascii="Arial" w:cs="Arial" w:eastAsia="Arial" w:hAnsi="Arial"/>
                <w:sz w:val="17"/>
                <w:szCs w:val="17"/>
                <w:color w:val="auto"/>
              </w:rPr>
              <w:t>Commercial construction</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22,491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21,372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24,927</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23,609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commercial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209,315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172,951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185,442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152,452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19,653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20" w:type="dxa"/>
            <w:vAlign w:val="bottom"/>
          </w:tcPr>
          <w:p>
            <w:pPr>
              <w:ind w:left="440"/>
              <w:spacing w:after="0"/>
              <w:rPr>
                <w:sz w:val="20"/>
                <w:szCs w:val="20"/>
                <w:color w:val="auto"/>
              </w:rPr>
            </w:pPr>
            <w:r>
              <w:rPr>
                <w:rFonts w:ascii="Arial" w:cs="Arial" w:eastAsia="Arial" w:hAnsi="Arial"/>
                <w:sz w:val="17"/>
                <w:szCs w:val="17"/>
                <w:color w:val="auto"/>
              </w:rPr>
              <w:t>Residential mortgage</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13,994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11,578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13,845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10,804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10,006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6,608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 construction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46,589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38,955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25,190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27,441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920" w:type="dxa"/>
            <w:vAlign w:val="bottom"/>
          </w:tcPr>
          <w:p>
            <w:pPr>
              <w:ind w:left="440"/>
              <w:spacing w:after="0"/>
              <w:rPr>
                <w:sz w:val="20"/>
                <w:szCs w:val="20"/>
                <w:color w:val="auto"/>
              </w:rPr>
            </w:pPr>
            <w:r>
              <w:rPr>
                <w:rFonts w:ascii="Arial" w:cs="Arial" w:eastAsia="Arial" w:hAnsi="Arial"/>
                <w:sz w:val="17"/>
                <w:szCs w:val="17"/>
                <w:color w:val="auto"/>
              </w:rPr>
              <w:t>Consumer installment</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2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9"/>
              </w:rPr>
              <w:t>Total with no related allowance recorded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270,083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214,808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238,305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188,509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57,100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920" w:type="dxa"/>
            <w:vAlign w:val="bottom"/>
          </w:tcPr>
          <w:p>
            <w:pPr>
              <w:spacing w:after="0"/>
              <w:rPr>
                <w:sz w:val="20"/>
                <w:szCs w:val="20"/>
                <w:color w:val="auto"/>
              </w:rPr>
            </w:pPr>
            <w:r>
              <w:rPr>
                <w:rFonts w:ascii="Arial" w:cs="Arial" w:eastAsia="Arial" w:hAnsi="Arial"/>
                <w:sz w:val="17"/>
                <w:szCs w:val="17"/>
                <w:color w:val="auto"/>
              </w:rPr>
              <w:t>With an allowance recorded:</w:t>
            </w: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(secured by real estate)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35,348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31,806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31,616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7,491</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20" w:type="dxa"/>
            <w:vAlign w:val="bottom"/>
          </w:tcPr>
          <w:p>
            <w:pPr>
              <w:ind w:left="440"/>
              <w:spacing w:after="0"/>
              <w:rPr>
                <w:sz w:val="20"/>
                <w:szCs w:val="20"/>
                <w:color w:val="auto"/>
              </w:rPr>
            </w:pPr>
            <w:r>
              <w:rPr>
                <w:rFonts w:ascii="Arial" w:cs="Arial" w:eastAsia="Arial" w:hAnsi="Arial"/>
                <w:sz w:val="17"/>
                <w:szCs w:val="17"/>
                <w:color w:val="auto"/>
              </w:rPr>
              <w:t>Commercial &amp; industrial</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1,711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5,200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5,200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1,117</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construction</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7"/>
                <w:szCs w:val="17"/>
                <w:color w:val="auto"/>
                <w:w w:val="84"/>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860"/>
              <w:spacing w:after="0"/>
              <w:rPr>
                <w:sz w:val="20"/>
                <w:szCs w:val="20"/>
                <w:color w:val="auto"/>
              </w:rPr>
            </w:pPr>
            <w:r>
              <w:rPr>
                <w:rFonts w:ascii="Arial" w:cs="Arial" w:eastAsia="Arial" w:hAnsi="Arial"/>
                <w:sz w:val="17"/>
                <w:szCs w:val="17"/>
                <w:color w:val="auto"/>
              </w:rPr>
              <w:t>Total commercial</w:t>
            </w: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58,520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58,467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11,773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39,642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39,452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8,844</w:t>
            </w: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2,839</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2,223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w w:val="84"/>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 mortgage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7,642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2,234</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7"/>
                <w:szCs w:val="17"/>
                <w:color w:val="auto"/>
                <w:w w:val="84"/>
              </w:rPr>
              <w:t>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20" w:type="dxa"/>
            <w:vAlign w:val="bottom"/>
          </w:tcPr>
          <w:p>
            <w:pPr>
              <w:ind w:left="440"/>
              <w:spacing w:after="0"/>
              <w:rPr>
                <w:sz w:val="20"/>
                <w:szCs w:val="20"/>
                <w:color w:val="auto"/>
              </w:rPr>
            </w:pPr>
            <w:r>
              <w:rPr>
                <w:rFonts w:ascii="Arial" w:cs="Arial" w:eastAsia="Arial" w:hAnsi="Arial"/>
                <w:sz w:val="17"/>
                <w:szCs w:val="17"/>
                <w:color w:val="auto"/>
              </w:rPr>
              <w:t>Residential construction</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11,886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11,812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4,188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21,629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21,497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3,731</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Consumer installment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860"/>
              <w:spacing w:after="0"/>
              <w:rPr>
                <w:sz w:val="20"/>
                <w:szCs w:val="20"/>
                <w:color w:val="auto"/>
              </w:rPr>
            </w:pPr>
            <w:r>
              <w:rPr>
                <w:rFonts w:ascii="Arial" w:cs="Arial" w:eastAsia="Arial" w:hAnsi="Arial"/>
                <w:sz w:val="17"/>
                <w:szCs w:val="17"/>
                <w:color w:val="auto"/>
              </w:rPr>
              <w:t>Total with an allowance recorded</w:t>
            </w: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79,199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78,871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17,370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69,148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68,750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14,825</w:t>
            </w: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3,478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2,862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920" w:type="dxa"/>
            <w:vAlign w:val="bottom"/>
            <w:shd w:val="clear" w:color="auto" w:fill="CCEEFF"/>
          </w:tcPr>
          <w:p>
            <w:pPr>
              <w:ind w:left="1300"/>
              <w:spacing w:after="0"/>
              <w:rPr>
                <w:sz w:val="20"/>
                <w:szCs w:val="20"/>
                <w:color w:val="auto"/>
              </w:rPr>
            </w:pPr>
            <w:r>
              <w:rPr>
                <w:rFonts w:ascii="Arial" w:cs="Arial" w:eastAsia="Arial" w:hAnsi="Arial"/>
                <w:sz w:val="17"/>
                <w:szCs w:val="17"/>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349,282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293,679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17,370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307,453</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257,259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14,825</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60,578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$ 35,653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220"/>
        <w:spacing w:after="0" w:line="328" w:lineRule="auto"/>
        <w:rPr>
          <w:sz w:val="20"/>
          <w:szCs w:val="20"/>
          <w:color w:val="auto"/>
        </w:rPr>
      </w:pPr>
      <w:r>
        <w:rPr>
          <w:rFonts w:ascii="Arial" w:cs="Arial" w:eastAsia="Arial" w:hAnsi="Arial"/>
          <w:sz w:val="16"/>
          <w:szCs w:val="16"/>
          <w:color w:val="auto"/>
        </w:rPr>
        <w:t>There were no loans more than 90 days past due and still accruing interest at June 30, 2012, December 31, 2011 or June 30, 2011. Nonaccrual loans include both smaller balance homogeneous loans that are collectively evaluated for impairment and individually evaluated impaired loans with larger balances.</w:t>
      </w:r>
    </w:p>
    <w:p>
      <w:pPr>
        <w:spacing w:after="0" w:line="87" w:lineRule="exact"/>
        <w:rPr>
          <w:sz w:val="20"/>
          <w:szCs w:val="20"/>
          <w:color w:val="auto"/>
        </w:rPr>
      </w:pPr>
    </w:p>
    <w:p>
      <w:pPr>
        <w:ind w:right="1280"/>
        <w:spacing w:after="0" w:line="294" w:lineRule="auto"/>
        <w:rPr>
          <w:sz w:val="20"/>
          <w:szCs w:val="20"/>
          <w:color w:val="auto"/>
        </w:rPr>
      </w:pPr>
      <w:r>
        <w:rPr>
          <w:rFonts w:ascii="Arial" w:cs="Arial" w:eastAsia="Arial" w:hAnsi="Arial"/>
          <w:sz w:val="17"/>
          <w:szCs w:val="17"/>
          <w:color w:val="auto"/>
        </w:rPr>
        <w:t xml:space="preserve">The following table presents the recorded investment (unpaid principal less amounts charged-off) in nonaccrual loans by loan class as of June 30, 2012, December 31, 2011 and June 30, 2011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Nonaccrual Loans</w:t>
            </w: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420"/>
              <w:spacing w:after="0" w:line="128" w:lineRule="exact"/>
              <w:rPr>
                <w:sz w:val="20"/>
                <w:szCs w:val="20"/>
                <w:color w:val="auto"/>
              </w:rPr>
            </w:pPr>
            <w:r>
              <w:rPr>
                <w:rFonts w:ascii="Arial" w:cs="Arial" w:eastAsia="Arial" w:hAnsi="Arial"/>
                <w:sz w:val="13"/>
                <w:szCs w:val="13"/>
                <w:b w:val="1"/>
                <w:bCs w:val="1"/>
                <w:color w:val="auto"/>
                <w:w w:val="88"/>
              </w:rPr>
              <w:t>June 30,</w:t>
            </w:r>
          </w:p>
        </w:tc>
        <w:tc>
          <w:tcPr>
            <w:tcW w:w="1540" w:type="dxa"/>
            <w:vAlign w:val="bottom"/>
            <w:gridSpan w:val="4"/>
          </w:tcPr>
          <w:p>
            <w:pPr>
              <w:jc w:val="right"/>
              <w:ind w:right="400"/>
              <w:spacing w:after="0" w:line="128"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w w:val="96"/>
              </w:rPr>
              <w:t>June 30,</w:t>
            </w:r>
          </w:p>
        </w:tc>
        <w:tc>
          <w:tcPr>
            <w:tcW w:w="2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7"/>
              <w:spacing w:after="0"/>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5"/>
              <w:spacing w:after="0"/>
              <w:rPr>
                <w:sz w:val="20"/>
                <w:szCs w:val="20"/>
                <w:color w:val="auto"/>
              </w:rPr>
            </w:pPr>
            <w:r>
              <w:rPr>
                <w:rFonts w:ascii="Arial" w:cs="Arial" w:eastAsia="Arial" w:hAnsi="Arial"/>
                <w:sz w:val="13"/>
                <w:szCs w:val="13"/>
                <w:b w:val="1"/>
                <w:bCs w:val="1"/>
                <w:color w:val="auto"/>
              </w:rPr>
              <w:t>2011</w:t>
            </w:r>
          </w:p>
        </w:tc>
        <w:tc>
          <w:tcPr>
            <w:tcW w:w="400" w:type="dxa"/>
            <w:vAlign w:val="bottom"/>
          </w:tcPr>
          <w:p>
            <w:pPr>
              <w:spacing w:after="0"/>
              <w:rPr>
                <w:sz w:val="13"/>
                <w:szCs w:val="13"/>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Commercial (secured by real estate)</w:t>
            </w:r>
          </w:p>
        </w:tc>
        <w:tc>
          <w:tcPr>
            <w:tcW w:w="2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19,115</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27,322</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$17,764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Commercial &amp; industrial</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34,982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34,613</w:t>
            </w: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1,998</w:t>
            </w:r>
          </w:p>
        </w:tc>
        <w:tc>
          <w:tcPr>
            <w:tcW w:w="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Commercial construction</w:t>
            </w:r>
          </w:p>
        </w:tc>
        <w:tc>
          <w:tcPr>
            <w:tcW w:w="2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18,175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16,655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2,782</w:t>
            </w:r>
          </w:p>
        </w:tc>
        <w:tc>
          <w:tcPr>
            <w:tcW w:w="2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7"/>
                <w:szCs w:val="17"/>
                <w:color w:val="auto"/>
              </w:rPr>
              <w:t>Total commercial</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72,272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78,590</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22,544</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22,358</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24,809</w:t>
            </w:r>
          </w:p>
        </w:tc>
        <w:tc>
          <w:tcPr>
            <w:tcW w:w="2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25,530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25,523</w:t>
            </w: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22,643</w:t>
            </w:r>
          </w:p>
        </w:tc>
        <w:tc>
          <w:tcPr>
            <w:tcW w:w="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Consumer installment</w:t>
            </w:r>
          </w:p>
        </w:tc>
        <w:tc>
          <w:tcPr>
            <w:tcW w:w="2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2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7"/>
                <w:szCs w:val="17"/>
                <w:color w:val="auto"/>
              </w:rPr>
              <w:t>Total</w:t>
            </w:r>
          </w:p>
        </w:tc>
        <w:tc>
          <w:tcPr>
            <w:tcW w:w="2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115,340</w:t>
            </w:r>
          </w:p>
        </w:tc>
        <w:tc>
          <w:tcPr>
            <w:tcW w:w="3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127,479</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71,065</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Balance as a percentage of unpaid principal</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68.8%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71.3%</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64.5%</w:t>
            </w:r>
          </w:p>
        </w:tc>
      </w:tr>
      <w:tr>
        <w:trPr>
          <w:trHeight w:val="360"/>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40" w:type="dxa"/>
            <w:vAlign w:val="bottom"/>
          </w:tcPr>
          <w:p>
            <w:pPr>
              <w:jc w:val="right"/>
              <w:ind w:right="1053"/>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 xml:space="preserve">The following table presents the aging of the recorded investment in past due loans as of June 30, 2012, December 31, 2011 and June 30, 2011 by class of loans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w:t>
      </w:r>
      <w:r>
        <w:rPr>
          <w:rFonts w:ascii="Arial" w:cs="Arial" w:eastAsia="Arial" w:hAnsi="Arial"/>
          <w:sz w:val="17"/>
          <w:szCs w:val="17"/>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3"/>
                <w:szCs w:val="13"/>
                <w:b w:val="1"/>
                <w:bCs w:val="1"/>
                <w:color w:val="auto"/>
              </w:rPr>
              <w:t>Loans Past Due</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Loans Not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w w:val="90"/>
              </w:rPr>
              <w:t>30 - 59 Days</w:t>
            </w:r>
          </w:p>
        </w:tc>
        <w:tc>
          <w:tcPr>
            <w:tcW w:w="300" w:type="dxa"/>
            <w:vAlign w:val="bottom"/>
          </w:tcPr>
          <w:p>
            <w:pPr>
              <w:spacing w:after="0"/>
              <w:rPr>
                <w:sz w:val="12"/>
                <w:szCs w:val="12"/>
                <w:color w:val="auto"/>
              </w:rPr>
            </w:pPr>
          </w:p>
        </w:tc>
        <w:tc>
          <w:tcPr>
            <w:tcW w:w="86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60 - 89 Days</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3"/>
                <w:szCs w:val="13"/>
                <w:b w:val="1"/>
                <w:bCs w:val="1"/>
                <w:color w:val="auto"/>
                <w:w w:val="92"/>
              </w:rPr>
              <w:t>&gt; 90 Days</w:t>
            </w:r>
          </w:p>
        </w:tc>
        <w:tc>
          <w:tcPr>
            <w:tcW w:w="160" w:type="dxa"/>
            <w:vAlign w:val="bottom"/>
          </w:tcPr>
          <w:p>
            <w:pPr>
              <w:spacing w:after="0"/>
              <w:rPr>
                <w:sz w:val="12"/>
                <w:szCs w:val="12"/>
                <w:color w:val="auto"/>
              </w:rPr>
            </w:pPr>
          </w:p>
        </w:tc>
        <w:tc>
          <w:tcPr>
            <w:tcW w:w="580" w:type="dxa"/>
            <w:vAlign w:val="bottom"/>
          </w:tcPr>
          <w:p>
            <w:pPr>
              <w:jc w:val="right"/>
              <w:ind w:right="93"/>
              <w:spacing w:after="0" w:line="141" w:lineRule="exact"/>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2"/>
                <w:szCs w:val="12"/>
                <w:color w:val="auto"/>
              </w:rPr>
            </w:pPr>
          </w:p>
        </w:tc>
        <w:tc>
          <w:tcPr>
            <w:tcW w:w="940" w:type="dxa"/>
            <w:vAlign w:val="bottom"/>
            <w:gridSpan w:val="2"/>
          </w:tcPr>
          <w:p>
            <w:pPr>
              <w:jc w:val="right"/>
              <w:ind w:right="300"/>
              <w:spacing w:after="0" w:line="141" w:lineRule="exact"/>
              <w:rPr>
                <w:sz w:val="20"/>
                <w:szCs w:val="20"/>
                <w:color w:val="auto"/>
              </w:rPr>
            </w:pPr>
            <w:r>
              <w:rPr>
                <w:rFonts w:ascii="Arial" w:cs="Arial" w:eastAsia="Arial" w:hAnsi="Arial"/>
                <w:sz w:val="13"/>
                <w:szCs w:val="13"/>
                <w:b w:val="1"/>
                <w:bCs w:val="1"/>
                <w:color w:val="auto"/>
              </w:rPr>
              <w:t>Past Due</w:t>
            </w:r>
          </w:p>
        </w:tc>
        <w:tc>
          <w:tcPr>
            <w:tcW w:w="160" w:type="dxa"/>
            <w:vAlign w:val="bottom"/>
          </w:tcPr>
          <w:p>
            <w:pPr>
              <w:spacing w:after="0"/>
              <w:rPr>
                <w:sz w:val="12"/>
                <w:szCs w:val="12"/>
                <w:color w:val="auto"/>
              </w:rPr>
            </w:pP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410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As of June 30, 2012</w:t>
            </w:r>
          </w:p>
        </w:tc>
        <w:tc>
          <w:tcPr>
            <w:tcW w:w="15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Commercial (secured by real estate)</w:t>
            </w:r>
          </w:p>
        </w:tc>
        <w:tc>
          <w:tcPr>
            <w:tcW w:w="1720" w:type="dxa"/>
            <w:vAlign w:val="bottom"/>
            <w:gridSpan w:val="2"/>
          </w:tcPr>
          <w:p>
            <w:pPr>
              <w:ind w:left="15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7,053</w:t>
            </w:r>
          </w:p>
        </w:tc>
        <w:tc>
          <w:tcPr>
            <w:tcW w:w="4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1,342</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$11,996</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$20,391</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$1,816,086</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$1,836,477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&amp; industrial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1,496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447,674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Commercial construction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133</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950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4,638</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164,700</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169,338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1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commercial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11,271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2,971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13,335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27,577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2,428,460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2,456,037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Residential mortgage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12,636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2,980</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6,756</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22,372</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1,105,964</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1,128,336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1,189</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11,096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17,066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391,900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408,966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Consumer installment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325</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398</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1,694</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124,202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125,896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1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loans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29,659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7,465</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31,585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68,709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4,050,526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4,119,235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 of December 31, 2011</w:t>
            </w: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00" w:type="dxa"/>
            <w:vAlign w:val="bottom"/>
            <w:gridSpan w:val="3"/>
            <w:vMerge w:val="continue"/>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(secured by real estate)</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4,182</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$10,614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$22,832</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$1,798,582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Commercial &amp; industrial</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411</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407</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4,687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423,562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428,249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construction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162,861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164,155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ind w:left="440"/>
              <w:spacing w:after="0"/>
              <w:rPr>
                <w:sz w:val="20"/>
                <w:szCs w:val="20"/>
                <w:color w:val="auto"/>
              </w:rPr>
            </w:pPr>
            <w:r>
              <w:rPr>
                <w:rFonts w:ascii="Arial" w:cs="Arial" w:eastAsia="Arial" w:hAnsi="Arial"/>
                <w:sz w:val="17"/>
                <w:szCs w:val="17"/>
                <w:color w:val="auto"/>
              </w:rPr>
              <w:t>Total commercial</w:t>
            </w: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00" w:type="dxa"/>
            <w:vAlign w:val="bottom"/>
            <w:gridSpan w:val="3"/>
            <w:vMerge w:val="continue"/>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12,071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4,593</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12,149</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28,813</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2,385,005</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2,413,818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15,185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4,617</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9,071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28,873</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1,106,029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1,134,902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2,636</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10,270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16,846</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431,545</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448,391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Consumer installment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308</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2,272</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110,231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ind w:left="440"/>
              <w:spacing w:after="0"/>
              <w:rPr>
                <w:sz w:val="20"/>
                <w:szCs w:val="20"/>
                <w:color w:val="auto"/>
              </w:rPr>
            </w:pPr>
            <w:r>
              <w:rPr>
                <w:rFonts w:ascii="Arial" w:cs="Arial" w:eastAsia="Arial" w:hAnsi="Arial"/>
                <w:sz w:val="17"/>
                <w:szCs w:val="17"/>
                <w:color w:val="auto"/>
              </w:rPr>
              <w:t>Total loans</w:t>
            </w: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00" w:type="dxa"/>
            <w:vAlign w:val="bottom"/>
            <w:gridSpan w:val="3"/>
            <w:vMerge w:val="continue"/>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32,730</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12,154</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31,920</w:t>
            </w:r>
          </w:p>
        </w:tc>
        <w:tc>
          <w:tcPr>
            <w:tcW w:w="7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76,804</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4,032,810</w:t>
            </w:r>
          </w:p>
        </w:tc>
        <w:tc>
          <w:tcPr>
            <w:tcW w:w="9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4,109,614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bottom w:val="single" w:sz="8" w:color="auto"/>
            </w:tcBorders>
            <w:shd w:val="clear" w:color="auto" w:fill="CCEEFF"/>
          </w:tcPr>
          <w:p>
            <w:pPr>
              <w:spacing w:after="0" w:line="168" w:lineRule="exact"/>
              <w:rPr>
                <w:sz w:val="20"/>
                <w:szCs w:val="20"/>
                <w:color w:val="auto"/>
              </w:rPr>
            </w:pPr>
            <w:r>
              <w:rPr>
                <w:rFonts w:ascii="Arial" w:cs="Arial" w:eastAsia="Arial" w:hAnsi="Arial"/>
                <w:sz w:val="17"/>
                <w:szCs w:val="17"/>
                <w:b w:val="1"/>
                <w:bCs w:val="1"/>
                <w:color w:val="auto"/>
                <w:w w:val="89"/>
              </w:rPr>
              <w:t>As of June 30, 2011</w:t>
            </w:r>
          </w:p>
        </w:tc>
        <w:tc>
          <w:tcPr>
            <w:tcW w:w="2660" w:type="dxa"/>
            <w:vAlign w:val="bottom"/>
            <w:tcBorders>
              <w:bottom w:val="single" w:sz="8" w:color="CCEEFF"/>
            </w:tcBorders>
            <w:gridSpan w:val="2"/>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Commercial (secured by real estate)</w:t>
            </w:r>
          </w:p>
        </w:tc>
        <w:tc>
          <w:tcPr>
            <w:tcW w:w="1720" w:type="dxa"/>
            <w:vAlign w:val="bottom"/>
            <w:gridSpan w:val="2"/>
          </w:tcPr>
          <w:p>
            <w:pPr>
              <w:ind w:left="15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6,990</w:t>
            </w:r>
          </w:p>
        </w:tc>
        <w:tc>
          <w:tcPr>
            <w:tcW w:w="4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2,001</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$11,605</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$20,596</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$1,721,158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$1,741,754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&amp; industrial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425,129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428,058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Commercial construction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651</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1,985</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3,566</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191,624</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195,190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1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commercial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3,276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14,399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27,091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2,337,911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Residential mortgage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13,788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3,594</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12,678</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30,060</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1,147,166</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1,177,226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2,242</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15,774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20,958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480,951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501,909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3"/>
          </w:tcPr>
          <w:p>
            <w:pPr>
              <w:spacing w:after="0"/>
              <w:rPr>
                <w:sz w:val="20"/>
                <w:szCs w:val="20"/>
                <w:color w:val="auto"/>
              </w:rPr>
            </w:pPr>
            <w:r>
              <w:rPr>
                <w:rFonts w:ascii="Arial" w:cs="Arial" w:eastAsia="Arial" w:hAnsi="Arial"/>
                <w:sz w:val="17"/>
                <w:szCs w:val="17"/>
                <w:color w:val="auto"/>
              </w:rPr>
              <w:t>Consumer installment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353</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273</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1,860</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117,450</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119,310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1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loans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27,380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9,465</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43,124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79,969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4,083,478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4,163,447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June 30, 2012 and December 31, 2011, $10.3 million and $8.65 million of specific reserves were allocated to customers whose loan terms have been modified in troubled debt restructurings. There were no specific reserves established for loans considered to be troubled debt restructurings at June 30, 2011. United committed to lend additional amounts totaling up to $490,000, $1.12 million, and $396,000 as of June 30, 2012 and December 31, 2011, and June 30, 2011 respectively, to customers with outstanding loans that are classified as TDRs.</w:t>
      </w:r>
    </w:p>
    <w:p>
      <w:pPr>
        <w:spacing w:after="0" w:line="129" w:lineRule="exact"/>
        <w:rPr>
          <w:sz w:val="20"/>
          <w:szCs w:val="20"/>
          <w:color w:val="auto"/>
        </w:rPr>
      </w:pPr>
    </w:p>
    <w:p>
      <w:pPr>
        <w:jc w:val="both"/>
        <w:ind w:right="120"/>
        <w:spacing w:after="0" w:line="278" w:lineRule="auto"/>
        <w:rPr>
          <w:sz w:val="20"/>
          <w:szCs w:val="20"/>
          <w:color w:val="auto"/>
        </w:rPr>
      </w:pPr>
      <w:r>
        <w:rPr>
          <w:rFonts w:ascii="Arial" w:cs="Arial" w:eastAsia="Arial" w:hAnsi="Arial"/>
          <w:sz w:val="17"/>
          <w:szCs w:val="17"/>
          <w:color w:val="auto"/>
        </w:rPr>
        <w:t>The modification of the terms of the troubled debt restructurings included one or a combination of the following: a reduction of the stated interest rate of the loan; an extension of the maturity date or an extension of the amortization period, any of which are not available in the current market for new debt with similar risk; a permanent reduction of the principal amount; or a restructuring of the borrower’s debt into an A/B note structure.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57"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ind w:right="580"/>
        <w:spacing w:after="0" w:line="294" w:lineRule="auto"/>
        <w:rPr>
          <w:sz w:val="20"/>
          <w:szCs w:val="20"/>
          <w:color w:val="auto"/>
        </w:rPr>
      </w:pPr>
      <w:r>
        <w:rPr>
          <w:rFonts w:ascii="Arial" w:cs="Arial" w:eastAsia="Arial" w:hAnsi="Arial"/>
          <w:sz w:val="17"/>
          <w:szCs w:val="17"/>
          <w:color w:val="auto"/>
        </w:rPr>
        <w:t xml:space="preserve">The following table presents additional information on troubled debt restructurings including the number of loan contracts restructured and the pre and post modification recorded investment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June 30, 2012</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5"/>
              </w:rPr>
              <w:t>December 31, 2011</w:t>
            </w: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June 30, 2011</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ind w:left="180"/>
              <w:spacing w:after="0" w:line="128" w:lineRule="exact"/>
              <w:rPr>
                <w:sz w:val="20"/>
                <w:szCs w:val="20"/>
                <w:color w:val="auto"/>
              </w:rPr>
            </w:pPr>
            <w:r>
              <w:rPr>
                <w:rFonts w:ascii="Arial" w:cs="Arial" w:eastAsia="Arial" w:hAnsi="Arial"/>
                <w:sz w:val="13"/>
                <w:szCs w:val="13"/>
                <w:b w:val="1"/>
                <w:bCs w:val="1"/>
                <w:color w:val="auto"/>
              </w:rPr>
              <w:t>Pre-</w:t>
            </w:r>
          </w:p>
        </w:tc>
        <w:tc>
          <w:tcPr>
            <w:tcW w:w="6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6"/>
              </w:rPr>
              <w:t>Post-</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94"/>
              </w:rPr>
              <w:t>Pre-</w:t>
            </w:r>
          </w:p>
        </w:tc>
        <w:tc>
          <w:tcPr>
            <w:tcW w:w="80" w:type="dxa"/>
            <w:vAlign w:val="bottom"/>
          </w:tcPr>
          <w:p>
            <w:pPr>
              <w:spacing w:after="0"/>
              <w:rPr>
                <w:sz w:val="11"/>
                <w:szCs w:val="11"/>
                <w:color w:val="auto"/>
              </w:rPr>
            </w:pPr>
          </w:p>
        </w:tc>
        <w:tc>
          <w:tcPr>
            <w:tcW w:w="660" w:type="dxa"/>
            <w:vAlign w:val="bottom"/>
          </w:tcPr>
          <w:p>
            <w:pPr>
              <w:jc w:val="center"/>
              <w:ind w:right="13"/>
              <w:spacing w:after="0" w:line="128" w:lineRule="exact"/>
              <w:rPr>
                <w:sz w:val="20"/>
                <w:szCs w:val="20"/>
                <w:color w:val="auto"/>
              </w:rPr>
            </w:pPr>
            <w:r>
              <w:rPr>
                <w:rFonts w:ascii="Arial" w:cs="Arial" w:eastAsia="Arial" w:hAnsi="Arial"/>
                <w:sz w:val="13"/>
                <w:szCs w:val="13"/>
                <w:b w:val="1"/>
                <w:bCs w:val="1"/>
                <w:color w:val="auto"/>
                <w:w w:val="92"/>
              </w:rPr>
              <w:t>Post-</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3"/>
                <w:szCs w:val="13"/>
                <w:b w:val="1"/>
                <w:bCs w:val="1"/>
                <w:color w:val="auto"/>
                <w:w w:val="94"/>
              </w:rPr>
              <w:t>Pre-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2"/>
              </w:rPr>
              <w:t>Post-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Modification</w:t>
            </w:r>
          </w:p>
        </w:tc>
        <w:tc>
          <w:tcPr>
            <w:tcW w:w="9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Modification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40"/>
              <w:spacing w:after="0" w:line="148" w:lineRule="exact"/>
              <w:rPr>
                <w:sz w:val="20"/>
                <w:szCs w:val="20"/>
                <w:color w:val="auto"/>
              </w:rPr>
            </w:pPr>
            <w:r>
              <w:rPr>
                <w:rFonts w:ascii="Arial" w:cs="Arial" w:eastAsia="Arial" w:hAnsi="Arial"/>
                <w:sz w:val="13"/>
                <w:szCs w:val="13"/>
                <w:b w:val="1"/>
                <w:bCs w:val="1"/>
                <w:color w:val="auto"/>
                <w:w w:val="96"/>
              </w:rPr>
              <w:t>Modification</w:t>
            </w:r>
          </w:p>
        </w:tc>
        <w:tc>
          <w:tcPr>
            <w:tcW w:w="96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Modification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160"/>
              <w:spacing w:after="0" w:line="148" w:lineRule="exact"/>
              <w:rPr>
                <w:sz w:val="20"/>
                <w:szCs w:val="20"/>
                <w:color w:val="auto"/>
              </w:rPr>
            </w:pPr>
            <w:r>
              <w:rPr>
                <w:rFonts w:ascii="Arial" w:cs="Arial" w:eastAsia="Arial" w:hAnsi="Arial"/>
                <w:sz w:val="13"/>
                <w:szCs w:val="13"/>
                <w:b w:val="1"/>
                <w:bCs w:val="1"/>
                <w:color w:val="auto"/>
                <w:w w:val="96"/>
              </w:rPr>
              <w:t>Modification</w:t>
            </w:r>
          </w:p>
        </w:tc>
        <w:tc>
          <w:tcPr>
            <w:tcW w:w="86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w w:val="96"/>
              </w:rPr>
              <w:t>Modification</w:t>
            </w:r>
          </w:p>
        </w:tc>
        <w:tc>
          <w:tcPr>
            <w:tcW w:w="0" w:type="dxa"/>
            <w:vAlign w:val="bottom"/>
          </w:tcPr>
          <w:p>
            <w:pPr>
              <w:spacing w:after="0"/>
              <w:rPr>
                <w:sz w:val="1"/>
                <w:szCs w:val="1"/>
                <w:color w:val="auto"/>
              </w:rPr>
            </w:pPr>
          </w:p>
        </w:tc>
      </w:tr>
      <w:tr>
        <w:trPr>
          <w:trHeight w:val="147"/>
        </w:trPr>
        <w:tc>
          <w:tcPr>
            <w:tcW w:w="352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Number</w:t>
            </w:r>
          </w:p>
        </w:tc>
        <w:tc>
          <w:tcPr>
            <w:tcW w:w="200" w:type="dxa"/>
            <w:vAlign w:val="bottom"/>
          </w:tcPr>
          <w:p>
            <w:pPr>
              <w:spacing w:after="0"/>
              <w:rPr>
                <w:sz w:val="12"/>
                <w:szCs w:val="12"/>
                <w:color w:val="auto"/>
              </w:rPr>
            </w:pPr>
          </w:p>
        </w:tc>
        <w:tc>
          <w:tcPr>
            <w:tcW w:w="9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Outstanding</w:t>
            </w:r>
          </w:p>
        </w:tc>
        <w:tc>
          <w:tcPr>
            <w:tcW w:w="9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Outstanding</w:t>
            </w:r>
          </w:p>
        </w:tc>
        <w:tc>
          <w:tcPr>
            <w:tcW w:w="64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2"/>
                <w:szCs w:val="12"/>
                <w:color w:val="auto"/>
              </w:rPr>
            </w:pPr>
          </w:p>
        </w:tc>
        <w:tc>
          <w:tcPr>
            <w:tcW w:w="94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Outstanding</w:t>
            </w:r>
          </w:p>
        </w:tc>
        <w:tc>
          <w:tcPr>
            <w:tcW w:w="960" w:type="dxa"/>
            <w:vAlign w:val="bottom"/>
            <w:gridSpan w:val="3"/>
          </w:tcPr>
          <w:p>
            <w:pPr>
              <w:jc w:val="center"/>
              <w:ind w:right="200"/>
              <w:spacing w:after="0" w:line="148" w:lineRule="exact"/>
              <w:rPr>
                <w:sz w:val="20"/>
                <w:szCs w:val="20"/>
                <w:color w:val="auto"/>
              </w:rPr>
            </w:pPr>
            <w:r>
              <w:rPr>
                <w:rFonts w:ascii="Arial" w:cs="Arial" w:eastAsia="Arial" w:hAnsi="Arial"/>
                <w:sz w:val="13"/>
                <w:szCs w:val="13"/>
                <w:b w:val="1"/>
                <w:bCs w:val="1"/>
                <w:color w:val="auto"/>
                <w:w w:val="93"/>
              </w:rPr>
              <w:t>Outstanding</w:t>
            </w:r>
          </w:p>
        </w:tc>
        <w:tc>
          <w:tcPr>
            <w:tcW w:w="7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7"/>
              </w:rPr>
              <w:t>Number</w:t>
            </w:r>
          </w:p>
        </w:tc>
        <w:tc>
          <w:tcPr>
            <w:tcW w:w="90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93"/>
              </w:rPr>
              <w:t>Outstanding</w:t>
            </w:r>
          </w:p>
        </w:tc>
        <w:tc>
          <w:tcPr>
            <w:tcW w:w="60" w:type="dxa"/>
            <w:vAlign w:val="bottom"/>
          </w:tcPr>
          <w:p>
            <w:pPr>
              <w:spacing w:after="0"/>
              <w:rPr>
                <w:sz w:val="12"/>
                <w:szCs w:val="12"/>
                <w:color w:val="auto"/>
              </w:rPr>
            </w:pPr>
          </w:p>
        </w:tc>
        <w:tc>
          <w:tcPr>
            <w:tcW w:w="800" w:type="dxa"/>
            <w:vAlign w:val="bottom"/>
            <w:gridSpan w:val="3"/>
          </w:tcPr>
          <w:p>
            <w:pPr>
              <w:jc w:val="center"/>
              <w:ind w:right="80"/>
              <w:spacing w:after="0" w:line="148" w:lineRule="exact"/>
              <w:rPr>
                <w:sz w:val="20"/>
                <w:szCs w:val="20"/>
                <w:color w:val="auto"/>
              </w:rPr>
            </w:pPr>
            <w:r>
              <w:rPr>
                <w:rFonts w:ascii="Arial" w:cs="Arial" w:eastAsia="Arial" w:hAnsi="Arial"/>
                <w:sz w:val="13"/>
                <w:szCs w:val="13"/>
                <w:b w:val="1"/>
                <w:bCs w:val="1"/>
                <w:color w:val="auto"/>
                <w:w w:val="93"/>
              </w:rPr>
              <w:t>Outstanding</w:t>
            </w:r>
          </w:p>
        </w:tc>
        <w:tc>
          <w:tcPr>
            <w:tcW w:w="0" w:type="dxa"/>
            <w:vAlign w:val="bottom"/>
          </w:tcPr>
          <w:p>
            <w:pPr>
              <w:spacing w:after="0"/>
              <w:rPr>
                <w:sz w:val="1"/>
                <w:szCs w:val="1"/>
                <w:color w:val="auto"/>
              </w:rPr>
            </w:pPr>
          </w:p>
        </w:tc>
      </w:tr>
      <w:tr>
        <w:trPr>
          <w:trHeight w:val="147"/>
        </w:trPr>
        <w:tc>
          <w:tcPr>
            <w:tcW w:w="352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of</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Recorded</w:t>
            </w:r>
          </w:p>
        </w:tc>
        <w:tc>
          <w:tcPr>
            <w:tcW w:w="60" w:type="dxa"/>
            <w:vAlign w:val="bottom"/>
          </w:tcPr>
          <w:p>
            <w:pPr>
              <w:spacing w:after="0"/>
              <w:rPr>
                <w:sz w:val="12"/>
                <w:szCs w:val="12"/>
                <w:color w:val="auto"/>
              </w:rPr>
            </w:pPr>
          </w:p>
        </w:tc>
        <w:tc>
          <w:tcPr>
            <w:tcW w:w="88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3"/>
              </w:rPr>
              <w:t>Recorded</w:t>
            </w:r>
          </w:p>
        </w:tc>
        <w:tc>
          <w:tcPr>
            <w:tcW w:w="64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81"/>
              </w:rPr>
              <w:t>of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3"/>
              </w:rPr>
              <w:t>Recorded</w:t>
            </w:r>
          </w:p>
        </w:tc>
        <w:tc>
          <w:tcPr>
            <w:tcW w:w="80" w:type="dxa"/>
            <w:vAlign w:val="bottom"/>
          </w:tcPr>
          <w:p>
            <w:pPr>
              <w:spacing w:after="0"/>
              <w:rPr>
                <w:sz w:val="12"/>
                <w:szCs w:val="12"/>
                <w:color w:val="auto"/>
              </w:rPr>
            </w:pPr>
          </w:p>
        </w:tc>
        <w:tc>
          <w:tcPr>
            <w:tcW w:w="88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3"/>
              </w:rPr>
              <w:t>Recorded</w:t>
            </w:r>
          </w:p>
        </w:tc>
        <w:tc>
          <w:tcPr>
            <w:tcW w:w="7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7"/>
              </w:rPr>
              <w:t>of</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3"/>
              </w:rPr>
              <w:t>Recorded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89"/>
              </w:rPr>
              <w:t>Recorded</w:t>
            </w:r>
          </w:p>
        </w:tc>
        <w:tc>
          <w:tcPr>
            <w:tcW w:w="0" w:type="dxa"/>
            <w:vAlign w:val="bottom"/>
          </w:tcPr>
          <w:p>
            <w:pPr>
              <w:spacing w:after="0"/>
              <w:rPr>
                <w:sz w:val="1"/>
                <w:szCs w:val="1"/>
                <w:color w:val="auto"/>
              </w:rPr>
            </w:pPr>
          </w:p>
        </w:tc>
      </w:tr>
      <w:tr>
        <w:trPr>
          <w:trHeight w:val="160"/>
        </w:trPr>
        <w:tc>
          <w:tcPr>
            <w:tcW w:w="35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Contracts</w:t>
            </w:r>
          </w:p>
        </w:tc>
        <w:tc>
          <w:tcPr>
            <w:tcW w:w="20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Arial" w:cs="Arial" w:eastAsia="Arial" w:hAnsi="Arial"/>
                <w:sz w:val="13"/>
                <w:szCs w:val="13"/>
                <w:b w:val="1"/>
                <w:bCs w:val="1"/>
                <w:color w:val="auto"/>
              </w:rPr>
              <w:t>Investment</w:t>
            </w: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Investment</w:t>
            </w: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Contracts</w:t>
            </w:r>
          </w:p>
        </w:tc>
        <w:tc>
          <w:tcPr>
            <w:tcW w:w="160" w:type="dxa"/>
            <w:vAlign w:val="bottom"/>
          </w:tcPr>
          <w:p>
            <w:pPr>
              <w:spacing w:after="0"/>
              <w:rPr>
                <w:sz w:val="13"/>
                <w:szCs w:val="13"/>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Investment</w:t>
            </w:r>
          </w:p>
        </w:tc>
        <w:tc>
          <w:tcPr>
            <w:tcW w:w="9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Investment</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Contracts</w:t>
            </w:r>
          </w:p>
        </w:tc>
        <w:tc>
          <w:tcPr>
            <w:tcW w:w="9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Investment</w:t>
            </w:r>
          </w:p>
        </w:tc>
        <w:tc>
          <w:tcPr>
            <w:tcW w:w="60" w:type="dxa"/>
            <w:vAlign w:val="bottom"/>
          </w:tcPr>
          <w:p>
            <w:pPr>
              <w:spacing w:after="0"/>
              <w:rPr>
                <w:sz w:val="13"/>
                <w:szCs w:val="13"/>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Investment</w:t>
            </w:r>
          </w:p>
        </w:tc>
        <w:tc>
          <w:tcPr>
            <w:tcW w:w="0" w:type="dxa"/>
            <w:vAlign w:val="bottom"/>
          </w:tcPr>
          <w:p>
            <w:pPr>
              <w:spacing w:after="0"/>
              <w:rPr>
                <w:sz w:val="1"/>
                <w:szCs w:val="1"/>
                <w:color w:val="auto"/>
              </w:rPr>
            </w:pPr>
          </w:p>
        </w:tc>
      </w:tr>
      <w:tr>
        <w:trPr>
          <w:trHeight w:val="141"/>
        </w:trPr>
        <w:tc>
          <w:tcPr>
            <w:tcW w:w="35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Commercial (secured by real estate)</w:t>
            </w: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96</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87,104</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82,325</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74</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70,380</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69,054</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31</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24,946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21,998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20" w:type="dxa"/>
            <w:vAlign w:val="bottom"/>
          </w:tcPr>
          <w:p>
            <w:pPr>
              <w:spacing w:after="0" w:line="148" w:lineRule="exact"/>
              <w:rPr>
                <w:sz w:val="20"/>
                <w:szCs w:val="20"/>
                <w:color w:val="auto"/>
              </w:rPr>
            </w:pPr>
            <w:r>
              <w:rPr>
                <w:rFonts w:ascii="Arial" w:cs="Arial" w:eastAsia="Arial" w:hAnsi="Arial"/>
                <w:sz w:val="13"/>
                <w:szCs w:val="13"/>
                <w:color w:val="auto"/>
              </w:rPr>
              <w:t>Commercial &amp; industrial</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29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3,972</w:t>
            </w:r>
          </w:p>
        </w:tc>
        <w:tc>
          <w:tcPr>
            <w:tcW w:w="6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3,972</w:t>
            </w:r>
          </w:p>
        </w:tc>
        <w:tc>
          <w:tcPr>
            <w:tcW w:w="6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806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806</w:t>
            </w: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156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Commercial construction</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42,796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41,677</w:t>
            </w:r>
          </w:p>
        </w:tc>
        <w:tc>
          <w:tcPr>
            <w:tcW w:w="6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18,053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18,053</w:t>
            </w: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9,477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ind w:left="440"/>
              <w:spacing w:after="0"/>
              <w:rPr>
                <w:sz w:val="20"/>
                <w:szCs w:val="20"/>
                <w:color w:val="auto"/>
              </w:rPr>
            </w:pPr>
            <w:r>
              <w:rPr>
                <w:rFonts w:ascii="Arial" w:cs="Arial" w:eastAsia="Arial" w:hAnsi="Arial"/>
                <w:sz w:val="13"/>
                <w:szCs w:val="13"/>
                <w:color w:val="auto"/>
              </w:rPr>
              <w:t>Total commercial</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vMerge w:val="continue"/>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148</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133,872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127,974</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103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89,239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87,913</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34,579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31,631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Residential mortgage</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17,613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16,950</w:t>
            </w:r>
          </w:p>
        </w:tc>
        <w:tc>
          <w:tcPr>
            <w:tcW w:w="6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11,943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11,379</w:t>
            </w: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3,937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20" w:type="dxa"/>
            <w:vAlign w:val="bottom"/>
          </w:tcPr>
          <w:p>
            <w:pPr>
              <w:spacing w:after="0" w:line="148" w:lineRule="exact"/>
              <w:rPr>
                <w:sz w:val="20"/>
                <w:szCs w:val="20"/>
                <w:color w:val="auto"/>
              </w:rPr>
            </w:pPr>
            <w:r>
              <w:rPr>
                <w:rFonts w:ascii="Arial" w:cs="Arial" w:eastAsia="Arial" w:hAnsi="Arial"/>
                <w:sz w:val="13"/>
                <w:szCs w:val="13"/>
                <w:color w:val="auto"/>
              </w:rPr>
              <w:t>Residential construction</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72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25,123</w:t>
            </w:r>
          </w:p>
        </w:tc>
        <w:tc>
          <w:tcPr>
            <w:tcW w:w="6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22,178</w:t>
            </w:r>
          </w:p>
        </w:tc>
        <w:tc>
          <w:tcPr>
            <w:tcW w:w="6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24,921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24,145</w:t>
            </w: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46</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11,741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10,718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Consumer installment</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511</w:t>
            </w:r>
          </w:p>
        </w:tc>
        <w:tc>
          <w:tcPr>
            <w:tcW w:w="6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293</w:t>
            </w: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111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440"/>
              <w:spacing w:after="0"/>
              <w:rPr>
                <w:sz w:val="20"/>
                <w:szCs w:val="20"/>
                <w:color w:val="auto"/>
              </w:rPr>
            </w:pPr>
            <w:r>
              <w:rPr>
                <w:rFonts w:ascii="Arial" w:cs="Arial" w:eastAsia="Arial" w:hAnsi="Arial"/>
                <w:sz w:val="13"/>
                <w:szCs w:val="13"/>
                <w:color w:val="auto"/>
              </w:rPr>
              <w:t>Total loans</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vMerge w:val="continue"/>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377</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177,129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167,613</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271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126,401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123,730</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122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50,368</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46,244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 xml:space="preserve">Loans modified under the terms of a TDR during the three and six months ended June 30, 2012 are presented in the table below. In addition, the following table presents loans modified under the terms of a TDR that became 90 days or more delinquent during the three and six months ended June 30, 2012, respectively, that were initially restructured within one year prior to the three and six months ended June 30, 2012, respectively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1"/>
              </w:rPr>
              <w:t>Subsequently Defaulted</w:t>
            </w:r>
          </w:p>
        </w:tc>
        <w:tc>
          <w:tcPr>
            <w:tcW w:w="0" w:type="dxa"/>
            <w:vAlign w:val="bottom"/>
          </w:tcPr>
          <w:p>
            <w:pPr>
              <w:spacing w:after="0"/>
              <w:rPr>
                <w:sz w:val="1"/>
                <w:szCs w:val="1"/>
                <w:color w:val="auto"/>
              </w:rPr>
            </w:pPr>
          </w:p>
        </w:tc>
      </w:tr>
      <w:tr>
        <w:trPr>
          <w:trHeight w:val="160"/>
        </w:trPr>
        <w:tc>
          <w:tcPr>
            <w:tcW w:w="2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94"/>
              </w:rPr>
              <w:t>Pre-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2"/>
              </w:rPr>
              <w:t>Post-</w:t>
            </w:r>
          </w:p>
        </w:tc>
        <w:tc>
          <w:tcPr>
            <w:tcW w:w="1400" w:type="dxa"/>
            <w:vAlign w:val="bottom"/>
            <w:gridSpan w:val="4"/>
          </w:tcPr>
          <w:p>
            <w:pPr>
              <w:jc w:val="center"/>
              <w:ind w:left="321"/>
              <w:spacing w:after="0"/>
              <w:rPr>
                <w:sz w:val="20"/>
                <w:szCs w:val="20"/>
                <w:color w:val="auto"/>
              </w:rPr>
            </w:pPr>
            <w:r>
              <w:rPr>
                <w:rFonts w:ascii="Arial" w:cs="Arial" w:eastAsia="Arial" w:hAnsi="Arial"/>
                <w:sz w:val="13"/>
                <w:szCs w:val="13"/>
                <w:b w:val="1"/>
                <w:bCs w:val="1"/>
                <w:color w:val="auto"/>
                <w:w w:val="96"/>
              </w:rPr>
              <w:t>During the Three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3"/>
          </w:tcPr>
          <w:p>
            <w:pPr>
              <w:ind w:left="540"/>
              <w:spacing w:after="0" w:line="148" w:lineRule="exact"/>
              <w:rPr>
                <w:sz w:val="20"/>
                <w:szCs w:val="20"/>
                <w:color w:val="auto"/>
              </w:rPr>
            </w:pPr>
            <w:r>
              <w:rPr>
                <w:rFonts w:ascii="Arial" w:cs="Arial" w:eastAsia="Arial" w:hAnsi="Arial"/>
                <w:sz w:val="13"/>
                <w:szCs w:val="13"/>
                <w:b w:val="1"/>
                <w:bCs w:val="1"/>
                <w:color w:val="auto"/>
                <w:w w:val="93"/>
              </w:rPr>
              <w:t>Modification</w:t>
            </w:r>
          </w:p>
        </w:tc>
        <w:tc>
          <w:tcPr>
            <w:tcW w:w="520" w:type="dxa"/>
            <w:vAlign w:val="bottom"/>
          </w:tcPr>
          <w:p>
            <w:pPr>
              <w:spacing w:after="0"/>
              <w:rPr>
                <w:sz w:val="12"/>
                <w:szCs w:val="12"/>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Modification</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86"/>
              <w:spacing w:after="0" w:line="148" w:lineRule="exact"/>
              <w:rPr>
                <w:sz w:val="20"/>
                <w:szCs w:val="20"/>
                <w:color w:val="auto"/>
              </w:rPr>
            </w:pPr>
            <w:r>
              <w:rPr>
                <w:rFonts w:ascii="Arial" w:cs="Arial" w:eastAsia="Arial" w:hAnsi="Arial"/>
                <w:sz w:val="13"/>
                <w:szCs w:val="13"/>
                <w:b w:val="1"/>
                <w:bCs w:val="1"/>
                <w:color w:val="auto"/>
                <w:w w:val="95"/>
              </w:rPr>
              <w:t>Months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Troubled Debt Restructurings for the</w:t>
            </w: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w w:val="93"/>
              </w:rPr>
              <w:t>Outstanding</w:t>
            </w:r>
          </w:p>
        </w:tc>
        <w:tc>
          <w:tcPr>
            <w:tcW w:w="520" w:type="dxa"/>
            <w:vAlign w:val="bottom"/>
          </w:tcPr>
          <w:p>
            <w:pPr>
              <w:spacing w:after="0"/>
              <w:rPr>
                <w:sz w:val="12"/>
                <w:szCs w:val="12"/>
                <w:color w:val="auto"/>
              </w:rPr>
            </w:pPr>
          </w:p>
        </w:tc>
        <w:tc>
          <w:tcPr>
            <w:tcW w:w="1280" w:type="dxa"/>
            <w:vAlign w:val="bottom"/>
            <w:gridSpan w:val="3"/>
          </w:tcPr>
          <w:p>
            <w:pPr>
              <w:ind w:left="20"/>
              <w:spacing w:after="0" w:line="128" w:lineRule="exact"/>
              <w:rPr>
                <w:sz w:val="20"/>
                <w:szCs w:val="20"/>
                <w:color w:val="auto"/>
              </w:rPr>
            </w:pPr>
            <w:r>
              <w:rPr>
                <w:rFonts w:ascii="Arial" w:cs="Arial" w:eastAsia="Arial" w:hAnsi="Arial"/>
                <w:sz w:val="13"/>
                <w:szCs w:val="13"/>
                <w:b w:val="1"/>
                <w:bCs w:val="1"/>
                <w:color w:val="auto"/>
              </w:rPr>
              <w:t>Outstanding</w:t>
            </w:r>
          </w:p>
        </w:tc>
        <w:tc>
          <w:tcPr>
            <w:tcW w:w="1800" w:type="dxa"/>
            <w:vAlign w:val="bottom"/>
            <w:tcBorders>
              <w:bottom w:val="single" w:sz="8" w:color="auto"/>
            </w:tcBorders>
            <w:gridSpan w:val="5"/>
          </w:tcPr>
          <w:p>
            <w:pPr>
              <w:jc w:val="center"/>
              <w:spacing w:after="0" w:line="128" w:lineRule="exact"/>
              <w:rPr>
                <w:sz w:val="20"/>
                <w:szCs w:val="20"/>
                <w:color w:val="auto"/>
              </w:rPr>
            </w:pPr>
            <w:r>
              <w:rPr>
                <w:rFonts w:ascii="Arial" w:cs="Arial" w:eastAsia="Arial" w:hAnsi="Arial"/>
                <w:sz w:val="13"/>
                <w:szCs w:val="13"/>
                <w:b w:val="1"/>
                <w:bCs w:val="1"/>
                <w:color w:val="auto"/>
                <w:w w:val="92"/>
              </w:rPr>
              <w:t>Ended June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08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5"/>
              </w:rPr>
              <w:t>Number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28" w:lineRule="exact"/>
              <w:rPr>
                <w:sz w:val="20"/>
                <w:szCs w:val="20"/>
                <w:color w:val="auto"/>
              </w:rPr>
            </w:pPr>
            <w:r>
              <w:rPr>
                <w:rFonts w:ascii="Arial" w:cs="Arial" w:eastAsia="Arial" w:hAnsi="Arial"/>
                <w:sz w:val="13"/>
                <w:szCs w:val="13"/>
                <w:b w:val="1"/>
                <w:bCs w:val="1"/>
                <w:color w:val="auto"/>
                <w:w w:val="93"/>
              </w:rPr>
              <w:t>Recorded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640"/>
              <w:spacing w:after="0" w:line="128" w:lineRule="exact"/>
              <w:rPr>
                <w:sz w:val="20"/>
                <w:szCs w:val="20"/>
                <w:color w:val="auto"/>
              </w:rPr>
            </w:pPr>
            <w:r>
              <w:rPr>
                <w:rFonts w:ascii="Arial" w:cs="Arial" w:eastAsia="Arial" w:hAnsi="Arial"/>
                <w:sz w:val="13"/>
                <w:szCs w:val="13"/>
                <w:b w:val="1"/>
                <w:bCs w:val="1"/>
                <w:color w:val="auto"/>
                <w:w w:val="89"/>
              </w:rPr>
              <w:t>Recorded</w:t>
            </w:r>
          </w:p>
        </w:tc>
        <w:tc>
          <w:tcPr>
            <w:tcW w:w="660" w:type="dxa"/>
            <w:vAlign w:val="bottom"/>
            <w:gridSpan w:val="2"/>
          </w:tcPr>
          <w:p>
            <w:pPr>
              <w:jc w:val="center"/>
              <w:ind w:right="40"/>
              <w:spacing w:after="0" w:line="128" w:lineRule="exact"/>
              <w:rPr>
                <w:sz w:val="20"/>
                <w:szCs w:val="20"/>
                <w:color w:val="auto"/>
              </w:rPr>
            </w:pPr>
            <w:r>
              <w:rPr>
                <w:rFonts w:ascii="Arial" w:cs="Arial" w:eastAsia="Arial" w:hAnsi="Arial"/>
                <w:sz w:val="13"/>
                <w:szCs w:val="13"/>
                <w:b w:val="1"/>
                <w:bCs w:val="1"/>
                <w:color w:val="auto"/>
                <w:w w:val="95"/>
              </w:rPr>
              <w:t>Number of</w:t>
            </w:r>
          </w:p>
        </w:tc>
        <w:tc>
          <w:tcPr>
            <w:tcW w:w="50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3"/>
                <w:szCs w:val="13"/>
                <w:b w:val="1"/>
                <w:bCs w:val="1"/>
                <w:color w:val="auto"/>
              </w:rPr>
              <w:t>Recorded</w:t>
            </w:r>
          </w:p>
        </w:tc>
        <w:tc>
          <w:tcPr>
            <w:tcW w:w="0" w:type="dxa"/>
            <w:vAlign w:val="bottom"/>
          </w:tcPr>
          <w:p>
            <w:pPr>
              <w:spacing w:after="0"/>
              <w:rPr>
                <w:sz w:val="1"/>
                <w:szCs w:val="1"/>
                <w:color w:val="auto"/>
              </w:rPr>
            </w:pPr>
          </w:p>
        </w:tc>
      </w:tr>
      <w:tr>
        <w:trPr>
          <w:trHeight w:val="147"/>
        </w:trPr>
        <w:tc>
          <w:tcPr>
            <w:tcW w:w="408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rPr>
              <w:t>Three Months Ended June 30, 2012</w:t>
            </w:r>
          </w:p>
        </w:tc>
        <w:tc>
          <w:tcPr>
            <w:tcW w:w="1720" w:type="dxa"/>
            <w:vAlign w:val="bottom"/>
          </w:tcPr>
          <w:p>
            <w:pPr>
              <w:spacing w:after="0"/>
              <w:rPr>
                <w:sz w:val="12"/>
                <w:szCs w:val="12"/>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2"/>
              </w:rPr>
              <w:t>Contracts</w:t>
            </w:r>
          </w:p>
        </w:tc>
        <w:tc>
          <w:tcPr>
            <w:tcW w:w="540" w:type="dxa"/>
            <w:vAlign w:val="bottom"/>
          </w:tcPr>
          <w:p>
            <w:pPr>
              <w:spacing w:after="0"/>
              <w:rPr>
                <w:sz w:val="12"/>
                <w:szCs w:val="12"/>
                <w:color w:val="auto"/>
              </w:rPr>
            </w:pPr>
          </w:p>
        </w:tc>
        <w:tc>
          <w:tcPr>
            <w:tcW w:w="74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w w:val="93"/>
              </w:rPr>
              <w:t>Investment</w:t>
            </w:r>
          </w:p>
        </w:tc>
        <w:tc>
          <w:tcPr>
            <w:tcW w:w="520" w:type="dxa"/>
            <w:vAlign w:val="bottom"/>
          </w:tcPr>
          <w:p>
            <w:pPr>
              <w:spacing w:after="0"/>
              <w:rPr>
                <w:sz w:val="12"/>
                <w:szCs w:val="12"/>
                <w:color w:val="auto"/>
              </w:rPr>
            </w:pPr>
          </w:p>
        </w:tc>
        <w:tc>
          <w:tcPr>
            <w:tcW w:w="1280" w:type="dxa"/>
            <w:vAlign w:val="bottom"/>
            <w:gridSpan w:val="3"/>
          </w:tcPr>
          <w:p>
            <w:pPr>
              <w:jc w:val="center"/>
              <w:ind w:right="520"/>
              <w:spacing w:after="0" w:line="128" w:lineRule="exact"/>
              <w:rPr>
                <w:sz w:val="20"/>
                <w:szCs w:val="20"/>
                <w:color w:val="auto"/>
              </w:rPr>
            </w:pPr>
            <w:r>
              <w:rPr>
                <w:rFonts w:ascii="Arial" w:cs="Arial" w:eastAsia="Arial" w:hAnsi="Arial"/>
                <w:sz w:val="13"/>
                <w:szCs w:val="13"/>
                <w:b w:val="1"/>
                <w:bCs w:val="1"/>
                <w:color w:val="auto"/>
                <w:w w:val="93"/>
              </w:rPr>
              <w:t>Investment</w:t>
            </w:r>
          </w:p>
        </w:tc>
        <w:tc>
          <w:tcPr>
            <w:tcW w:w="660" w:type="dxa"/>
            <w:vAlign w:val="bottom"/>
            <w:gridSpan w:val="2"/>
          </w:tcPr>
          <w:p>
            <w:pPr>
              <w:jc w:val="center"/>
              <w:ind w:right="20"/>
              <w:spacing w:after="0" w:line="128" w:lineRule="exact"/>
              <w:rPr>
                <w:sz w:val="20"/>
                <w:szCs w:val="20"/>
                <w:color w:val="auto"/>
              </w:rPr>
            </w:pPr>
            <w:r>
              <w:rPr>
                <w:rFonts w:ascii="Arial" w:cs="Arial" w:eastAsia="Arial" w:hAnsi="Arial"/>
                <w:sz w:val="13"/>
                <w:szCs w:val="13"/>
                <w:b w:val="1"/>
                <w:bCs w:val="1"/>
                <w:color w:val="auto"/>
                <w:w w:val="92"/>
              </w:rPr>
              <w:t>Contracts</w:t>
            </w:r>
          </w:p>
        </w:tc>
        <w:tc>
          <w:tcPr>
            <w:tcW w:w="500" w:type="dxa"/>
            <w:vAlign w:val="bottom"/>
          </w:tcPr>
          <w:p>
            <w:pPr>
              <w:spacing w:after="0"/>
              <w:rPr>
                <w:sz w:val="12"/>
                <w:szCs w:val="12"/>
                <w:color w:val="auto"/>
              </w:rPr>
            </w:pPr>
          </w:p>
        </w:tc>
        <w:tc>
          <w:tcPr>
            <w:tcW w:w="740" w:type="dxa"/>
            <w:vAlign w:val="bottom"/>
            <w:gridSpan w:val="3"/>
          </w:tcPr>
          <w:p>
            <w:pPr>
              <w:spacing w:after="0" w:line="128" w:lineRule="exact"/>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20"/>
        </w:trPr>
        <w:tc>
          <w:tcPr>
            <w:tcW w:w="230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(secured by real estate)</w:t>
            </w:r>
          </w:p>
        </w:tc>
        <w:tc>
          <w:tcPr>
            <w:tcW w:w="17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7,815</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7,728</w:t>
            </w: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ind w:left="540"/>
              <w:spacing w:after="0"/>
              <w:rPr>
                <w:sz w:val="20"/>
                <w:szCs w:val="20"/>
                <w:color w:val="auto"/>
              </w:rPr>
            </w:pPr>
            <w:r>
              <w:rPr>
                <w:rFonts w:ascii="Arial" w:cs="Arial" w:eastAsia="Arial" w:hAnsi="Arial"/>
                <w:sz w:val="15"/>
                <w:szCs w:val="15"/>
                <w:color w:val="auto"/>
                <w:w w:val="71"/>
              </w:rPr>
              <w:t>3</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80" w:type="dxa"/>
            <w:vAlign w:val="bottom"/>
            <w:gridSpan w:val="2"/>
          </w:tcPr>
          <w:p>
            <w:pPr>
              <w:spacing w:after="0"/>
              <w:rPr>
                <w:sz w:val="20"/>
                <w:szCs w:val="20"/>
                <w:color w:val="auto"/>
              </w:rPr>
            </w:pPr>
            <w:r>
              <w:rPr>
                <w:rFonts w:ascii="Arial" w:cs="Arial" w:eastAsia="Arial" w:hAnsi="Arial"/>
                <w:sz w:val="17"/>
                <w:szCs w:val="17"/>
                <w:color w:val="auto"/>
              </w:rPr>
              <w:t>Commercial &amp; industrial</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598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598</w:t>
            </w:r>
          </w:p>
        </w:tc>
        <w:tc>
          <w:tcPr>
            <w:tcW w:w="54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auto"/>
              </w:rPr>
              <w:t>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construction</w:t>
            </w:r>
          </w:p>
        </w:tc>
        <w:tc>
          <w:tcPr>
            <w:tcW w:w="17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7,702</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7,702</w:t>
            </w:r>
          </w:p>
        </w:tc>
        <w:tc>
          <w:tcPr>
            <w:tcW w:w="5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80" w:type="dxa"/>
            <w:vAlign w:val="bottom"/>
            <w:gridSpan w:val="2"/>
          </w:tcPr>
          <w:p>
            <w:pPr>
              <w:ind w:left="440"/>
              <w:spacing w:after="0"/>
              <w:rPr>
                <w:sz w:val="20"/>
                <w:szCs w:val="20"/>
                <w:color w:val="auto"/>
              </w:rPr>
            </w:pPr>
            <w:r>
              <w:rPr>
                <w:rFonts w:ascii="Arial" w:cs="Arial" w:eastAsia="Arial" w:hAnsi="Arial"/>
                <w:sz w:val="17"/>
                <w:szCs w:val="17"/>
                <w:color w:val="auto"/>
              </w:rPr>
              <w:t>Total commercial</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16,115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16,028</w:t>
            </w:r>
          </w:p>
        </w:tc>
        <w:tc>
          <w:tcPr>
            <w:tcW w:w="54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auto"/>
              </w:rPr>
              <w:t>4</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5,112</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tcPr>
          <w:p>
            <w:pPr>
              <w:spacing w:after="0"/>
              <w:rPr>
                <w:sz w:val="20"/>
                <w:szCs w:val="20"/>
                <w:color w:val="auto"/>
              </w:rPr>
            </w:pPr>
            <w:r>
              <w:rPr>
                <w:rFonts w:ascii="Arial" w:cs="Arial" w:eastAsia="Arial" w:hAnsi="Arial"/>
                <w:sz w:val="17"/>
                <w:szCs w:val="17"/>
                <w:color w:val="auto"/>
              </w:rPr>
              <w:t>Residential construction</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7,638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6,361</w:t>
            </w:r>
          </w:p>
        </w:tc>
        <w:tc>
          <w:tcPr>
            <w:tcW w:w="54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auto"/>
              </w:rPr>
              <w:t>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Consumer installment</w:t>
            </w:r>
          </w:p>
        </w:tc>
        <w:tc>
          <w:tcPr>
            <w:tcW w:w="1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loans</w:t>
            </w:r>
          </w:p>
        </w:tc>
        <w:tc>
          <w:tcPr>
            <w:tcW w:w="1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8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72</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29,251</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540"/>
              <w:spacing w:after="0"/>
              <w:rPr>
                <w:sz w:val="20"/>
                <w:szCs w:val="20"/>
                <w:color w:val="auto"/>
              </w:rPr>
            </w:pPr>
            <w:r>
              <w:rPr>
                <w:rFonts w:ascii="Arial" w:cs="Arial" w:eastAsia="Arial" w:hAnsi="Arial"/>
                <w:sz w:val="17"/>
                <w:szCs w:val="17"/>
                <w:color w:val="auto"/>
              </w:rPr>
              <w:t>27,711</w:t>
            </w:r>
          </w:p>
        </w:tc>
        <w:tc>
          <w:tcPr>
            <w:tcW w:w="660" w:type="dxa"/>
            <w:vAlign w:val="bottom"/>
            <w:gridSpan w:val="2"/>
          </w:tcPr>
          <w:p>
            <w:pPr>
              <w:ind w:left="540"/>
              <w:spacing w:after="0"/>
              <w:rPr>
                <w:sz w:val="20"/>
                <w:szCs w:val="20"/>
                <w:color w:val="auto"/>
              </w:rPr>
            </w:pPr>
            <w:r>
              <w:rPr>
                <w:rFonts w:ascii="Arial" w:cs="Arial" w:eastAsia="Arial" w:hAnsi="Arial"/>
                <w:sz w:val="17"/>
                <w:szCs w:val="17"/>
                <w:color w:val="auto"/>
              </w:rPr>
              <w:t>7</w:t>
            </w:r>
          </w:p>
        </w:tc>
        <w:tc>
          <w:tcPr>
            <w:tcW w:w="7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94"/>
              </w:rPr>
              <w:t>Pre-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2"/>
              </w:rPr>
              <w:t>Post-</w:t>
            </w:r>
          </w:p>
        </w:tc>
        <w:tc>
          <w:tcPr>
            <w:tcW w:w="190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1"/>
              </w:rPr>
              <w:t>Subsequently Defaulted</w:t>
            </w: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3"/>
          </w:tcPr>
          <w:p>
            <w:pPr>
              <w:ind w:left="540"/>
              <w:spacing w:after="0" w:line="148" w:lineRule="exact"/>
              <w:rPr>
                <w:sz w:val="20"/>
                <w:szCs w:val="20"/>
                <w:color w:val="auto"/>
              </w:rPr>
            </w:pPr>
            <w:r>
              <w:rPr>
                <w:rFonts w:ascii="Arial" w:cs="Arial" w:eastAsia="Arial" w:hAnsi="Arial"/>
                <w:sz w:val="13"/>
                <w:szCs w:val="13"/>
                <w:b w:val="1"/>
                <w:bCs w:val="1"/>
                <w:color w:val="auto"/>
                <w:w w:val="93"/>
              </w:rPr>
              <w:t>Modification</w:t>
            </w:r>
          </w:p>
        </w:tc>
        <w:tc>
          <w:tcPr>
            <w:tcW w:w="520" w:type="dxa"/>
            <w:vAlign w:val="bottom"/>
          </w:tcPr>
          <w:p>
            <w:pPr>
              <w:spacing w:after="0"/>
              <w:rPr>
                <w:sz w:val="12"/>
                <w:szCs w:val="12"/>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Modification</w:t>
            </w:r>
          </w:p>
        </w:tc>
        <w:tc>
          <w:tcPr>
            <w:tcW w:w="1900" w:type="dxa"/>
            <w:vAlign w:val="bottom"/>
            <w:gridSpan w:val="6"/>
          </w:tcPr>
          <w:p>
            <w:pPr>
              <w:jc w:val="center"/>
              <w:ind w:right="100"/>
              <w:spacing w:after="0" w:line="148" w:lineRule="exact"/>
              <w:rPr>
                <w:sz w:val="20"/>
                <w:szCs w:val="20"/>
                <w:color w:val="auto"/>
              </w:rPr>
            </w:pPr>
            <w:r>
              <w:rPr>
                <w:rFonts w:ascii="Arial" w:cs="Arial" w:eastAsia="Arial" w:hAnsi="Arial"/>
                <w:sz w:val="13"/>
                <w:szCs w:val="13"/>
                <w:b w:val="1"/>
                <w:bCs w:val="1"/>
                <w:color w:val="auto"/>
                <w:w w:val="95"/>
              </w:rPr>
              <w:t>During the Six Months</w:t>
            </w:r>
          </w:p>
        </w:tc>
        <w:tc>
          <w:tcPr>
            <w:tcW w:w="0" w:type="dxa"/>
            <w:vAlign w:val="bottom"/>
          </w:tcPr>
          <w:p>
            <w:pPr>
              <w:spacing w:after="0"/>
              <w:rPr>
                <w:sz w:val="1"/>
                <w:szCs w:val="1"/>
                <w:color w:val="auto"/>
              </w:rPr>
            </w:pPr>
          </w:p>
        </w:tc>
      </w:tr>
      <w:tr>
        <w:trPr>
          <w:trHeight w:val="147"/>
        </w:trPr>
        <w:tc>
          <w:tcPr>
            <w:tcW w:w="4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Troubled Debt Restructurings for the</w:t>
            </w: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w w:val="93"/>
              </w:rPr>
              <w:t>Outstanding</w:t>
            </w:r>
          </w:p>
        </w:tc>
        <w:tc>
          <w:tcPr>
            <w:tcW w:w="520" w:type="dxa"/>
            <w:vAlign w:val="bottom"/>
          </w:tcPr>
          <w:p>
            <w:pPr>
              <w:spacing w:after="0"/>
              <w:rPr>
                <w:sz w:val="12"/>
                <w:szCs w:val="12"/>
                <w:color w:val="auto"/>
              </w:rPr>
            </w:pPr>
          </w:p>
        </w:tc>
        <w:tc>
          <w:tcPr>
            <w:tcW w:w="1280" w:type="dxa"/>
            <w:vAlign w:val="bottom"/>
            <w:gridSpan w:val="3"/>
          </w:tcPr>
          <w:p>
            <w:pPr>
              <w:ind w:left="20"/>
              <w:spacing w:after="0" w:line="128" w:lineRule="exact"/>
              <w:rPr>
                <w:sz w:val="20"/>
                <w:szCs w:val="20"/>
                <w:color w:val="auto"/>
              </w:rPr>
            </w:pPr>
            <w:r>
              <w:rPr>
                <w:rFonts w:ascii="Arial" w:cs="Arial" w:eastAsia="Arial" w:hAnsi="Arial"/>
                <w:sz w:val="13"/>
                <w:szCs w:val="13"/>
                <w:b w:val="1"/>
                <w:bCs w:val="1"/>
                <w:color w:val="auto"/>
              </w:rPr>
              <w:t>Outstanding</w:t>
            </w:r>
          </w:p>
        </w:tc>
        <w:tc>
          <w:tcPr>
            <w:tcW w:w="1800" w:type="dxa"/>
            <w:vAlign w:val="bottom"/>
            <w:tcBorders>
              <w:bottom w:val="single" w:sz="8" w:color="auto"/>
            </w:tcBorders>
            <w:gridSpan w:val="5"/>
          </w:tcPr>
          <w:p>
            <w:pPr>
              <w:jc w:val="center"/>
              <w:spacing w:after="0" w:line="128" w:lineRule="exact"/>
              <w:rPr>
                <w:sz w:val="20"/>
                <w:szCs w:val="20"/>
                <w:color w:val="auto"/>
              </w:rPr>
            </w:pPr>
            <w:r>
              <w:rPr>
                <w:rFonts w:ascii="Arial" w:cs="Arial" w:eastAsia="Arial" w:hAnsi="Arial"/>
                <w:sz w:val="13"/>
                <w:szCs w:val="13"/>
                <w:b w:val="1"/>
                <w:bCs w:val="1"/>
                <w:color w:val="auto"/>
                <w:w w:val="92"/>
              </w:rPr>
              <w:t>Ended June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08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5"/>
              </w:rPr>
              <w:t>Number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28" w:lineRule="exact"/>
              <w:rPr>
                <w:sz w:val="20"/>
                <w:szCs w:val="20"/>
                <w:color w:val="auto"/>
              </w:rPr>
            </w:pPr>
            <w:r>
              <w:rPr>
                <w:rFonts w:ascii="Arial" w:cs="Arial" w:eastAsia="Arial" w:hAnsi="Arial"/>
                <w:sz w:val="13"/>
                <w:szCs w:val="13"/>
                <w:b w:val="1"/>
                <w:bCs w:val="1"/>
                <w:color w:val="auto"/>
                <w:w w:val="93"/>
              </w:rPr>
              <w:t>Recorded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640"/>
              <w:spacing w:after="0" w:line="128" w:lineRule="exact"/>
              <w:rPr>
                <w:sz w:val="20"/>
                <w:szCs w:val="20"/>
                <w:color w:val="auto"/>
              </w:rPr>
            </w:pPr>
            <w:r>
              <w:rPr>
                <w:rFonts w:ascii="Arial" w:cs="Arial" w:eastAsia="Arial" w:hAnsi="Arial"/>
                <w:sz w:val="13"/>
                <w:szCs w:val="13"/>
                <w:b w:val="1"/>
                <w:bCs w:val="1"/>
                <w:color w:val="auto"/>
                <w:w w:val="89"/>
              </w:rPr>
              <w:t>Recorded</w:t>
            </w:r>
          </w:p>
        </w:tc>
        <w:tc>
          <w:tcPr>
            <w:tcW w:w="660" w:type="dxa"/>
            <w:vAlign w:val="bottom"/>
            <w:gridSpan w:val="2"/>
          </w:tcPr>
          <w:p>
            <w:pPr>
              <w:jc w:val="center"/>
              <w:ind w:right="40"/>
              <w:spacing w:after="0" w:line="128" w:lineRule="exact"/>
              <w:rPr>
                <w:sz w:val="20"/>
                <w:szCs w:val="20"/>
                <w:color w:val="auto"/>
              </w:rPr>
            </w:pPr>
            <w:r>
              <w:rPr>
                <w:rFonts w:ascii="Arial" w:cs="Arial" w:eastAsia="Arial" w:hAnsi="Arial"/>
                <w:sz w:val="13"/>
                <w:szCs w:val="13"/>
                <w:b w:val="1"/>
                <w:bCs w:val="1"/>
                <w:color w:val="auto"/>
                <w:w w:val="95"/>
              </w:rPr>
              <w:t>Number of</w:t>
            </w:r>
          </w:p>
        </w:tc>
        <w:tc>
          <w:tcPr>
            <w:tcW w:w="50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3"/>
                <w:szCs w:val="13"/>
                <w:b w:val="1"/>
                <w:bCs w:val="1"/>
                <w:color w:val="auto"/>
              </w:rPr>
              <w:t>Recorded</w:t>
            </w:r>
          </w:p>
        </w:tc>
        <w:tc>
          <w:tcPr>
            <w:tcW w:w="0" w:type="dxa"/>
            <w:vAlign w:val="bottom"/>
          </w:tcPr>
          <w:p>
            <w:pPr>
              <w:spacing w:after="0"/>
              <w:rPr>
                <w:sz w:val="1"/>
                <w:szCs w:val="1"/>
                <w:color w:val="auto"/>
              </w:rPr>
            </w:pPr>
          </w:p>
        </w:tc>
      </w:tr>
      <w:tr>
        <w:trPr>
          <w:trHeight w:val="147"/>
        </w:trPr>
        <w:tc>
          <w:tcPr>
            <w:tcW w:w="408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rPr>
              <w:t>Six Months Ended June 30, 2012</w:t>
            </w:r>
          </w:p>
        </w:tc>
        <w:tc>
          <w:tcPr>
            <w:tcW w:w="1720" w:type="dxa"/>
            <w:vAlign w:val="bottom"/>
          </w:tcPr>
          <w:p>
            <w:pPr>
              <w:spacing w:after="0"/>
              <w:rPr>
                <w:sz w:val="12"/>
                <w:szCs w:val="12"/>
                <w:color w:val="auto"/>
              </w:rPr>
            </w:pPr>
          </w:p>
        </w:tc>
        <w:tc>
          <w:tcPr>
            <w:tcW w:w="6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2"/>
              </w:rPr>
              <w:t>Contracts</w:t>
            </w:r>
          </w:p>
        </w:tc>
        <w:tc>
          <w:tcPr>
            <w:tcW w:w="540" w:type="dxa"/>
            <w:vAlign w:val="bottom"/>
          </w:tcPr>
          <w:p>
            <w:pPr>
              <w:spacing w:after="0"/>
              <w:rPr>
                <w:sz w:val="12"/>
                <w:szCs w:val="12"/>
                <w:color w:val="auto"/>
              </w:rPr>
            </w:pPr>
          </w:p>
        </w:tc>
        <w:tc>
          <w:tcPr>
            <w:tcW w:w="74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w w:val="93"/>
              </w:rPr>
              <w:t>Investment</w:t>
            </w:r>
          </w:p>
        </w:tc>
        <w:tc>
          <w:tcPr>
            <w:tcW w:w="520" w:type="dxa"/>
            <w:vAlign w:val="bottom"/>
          </w:tcPr>
          <w:p>
            <w:pPr>
              <w:spacing w:after="0"/>
              <w:rPr>
                <w:sz w:val="12"/>
                <w:szCs w:val="12"/>
                <w:color w:val="auto"/>
              </w:rPr>
            </w:pPr>
          </w:p>
        </w:tc>
        <w:tc>
          <w:tcPr>
            <w:tcW w:w="1280" w:type="dxa"/>
            <w:vAlign w:val="bottom"/>
            <w:gridSpan w:val="3"/>
          </w:tcPr>
          <w:p>
            <w:pPr>
              <w:jc w:val="center"/>
              <w:ind w:right="520"/>
              <w:spacing w:after="0" w:line="128" w:lineRule="exact"/>
              <w:rPr>
                <w:sz w:val="20"/>
                <w:szCs w:val="20"/>
                <w:color w:val="auto"/>
              </w:rPr>
            </w:pPr>
            <w:r>
              <w:rPr>
                <w:rFonts w:ascii="Arial" w:cs="Arial" w:eastAsia="Arial" w:hAnsi="Arial"/>
                <w:sz w:val="13"/>
                <w:szCs w:val="13"/>
                <w:b w:val="1"/>
                <w:bCs w:val="1"/>
                <w:color w:val="auto"/>
                <w:w w:val="93"/>
              </w:rPr>
              <w:t>Investment</w:t>
            </w:r>
          </w:p>
        </w:tc>
        <w:tc>
          <w:tcPr>
            <w:tcW w:w="660" w:type="dxa"/>
            <w:vAlign w:val="bottom"/>
            <w:gridSpan w:val="2"/>
          </w:tcPr>
          <w:p>
            <w:pPr>
              <w:jc w:val="center"/>
              <w:ind w:right="20"/>
              <w:spacing w:after="0" w:line="128" w:lineRule="exact"/>
              <w:rPr>
                <w:sz w:val="20"/>
                <w:szCs w:val="20"/>
                <w:color w:val="auto"/>
              </w:rPr>
            </w:pPr>
            <w:r>
              <w:rPr>
                <w:rFonts w:ascii="Arial" w:cs="Arial" w:eastAsia="Arial" w:hAnsi="Arial"/>
                <w:sz w:val="13"/>
                <w:szCs w:val="13"/>
                <w:b w:val="1"/>
                <w:bCs w:val="1"/>
                <w:color w:val="auto"/>
                <w:w w:val="92"/>
              </w:rPr>
              <w:t>Contracts</w:t>
            </w:r>
          </w:p>
        </w:tc>
        <w:tc>
          <w:tcPr>
            <w:tcW w:w="500" w:type="dxa"/>
            <w:vAlign w:val="bottom"/>
          </w:tcPr>
          <w:p>
            <w:pPr>
              <w:spacing w:after="0"/>
              <w:rPr>
                <w:sz w:val="12"/>
                <w:szCs w:val="12"/>
                <w:color w:val="auto"/>
              </w:rPr>
            </w:pPr>
          </w:p>
        </w:tc>
        <w:tc>
          <w:tcPr>
            <w:tcW w:w="740" w:type="dxa"/>
            <w:vAlign w:val="bottom"/>
            <w:gridSpan w:val="3"/>
          </w:tcPr>
          <w:p>
            <w:pPr>
              <w:spacing w:after="0" w:line="128" w:lineRule="exact"/>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20"/>
        </w:trPr>
        <w:tc>
          <w:tcPr>
            <w:tcW w:w="230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(secured by real estate)</w:t>
            </w:r>
          </w:p>
        </w:tc>
        <w:tc>
          <w:tcPr>
            <w:tcW w:w="17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22,914</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21,469</w:t>
            </w: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ind w:left="540"/>
              <w:spacing w:after="0"/>
              <w:rPr>
                <w:sz w:val="20"/>
                <w:szCs w:val="20"/>
                <w:color w:val="auto"/>
              </w:rPr>
            </w:pPr>
            <w:r>
              <w:rPr>
                <w:rFonts w:ascii="Arial" w:cs="Arial" w:eastAsia="Arial" w:hAnsi="Arial"/>
                <w:sz w:val="15"/>
                <w:szCs w:val="15"/>
                <w:color w:val="auto"/>
                <w:w w:val="71"/>
              </w:rPr>
              <w:t>3</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80" w:type="dxa"/>
            <w:vAlign w:val="bottom"/>
            <w:gridSpan w:val="2"/>
          </w:tcPr>
          <w:p>
            <w:pPr>
              <w:spacing w:after="0"/>
              <w:rPr>
                <w:sz w:val="20"/>
                <w:szCs w:val="20"/>
                <w:color w:val="auto"/>
              </w:rPr>
            </w:pPr>
            <w:r>
              <w:rPr>
                <w:rFonts w:ascii="Arial" w:cs="Arial" w:eastAsia="Arial" w:hAnsi="Arial"/>
                <w:sz w:val="17"/>
                <w:szCs w:val="17"/>
                <w:color w:val="auto"/>
              </w:rPr>
              <w:t>Commercial &amp; industrial</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3,322</w:t>
            </w:r>
          </w:p>
        </w:tc>
        <w:tc>
          <w:tcPr>
            <w:tcW w:w="54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construction</w:t>
            </w:r>
          </w:p>
        </w:tc>
        <w:tc>
          <w:tcPr>
            <w:tcW w:w="1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28,483</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commercial</w:t>
            </w:r>
          </w:p>
        </w:tc>
        <w:tc>
          <w:tcPr>
            <w:tcW w:w="1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8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54,719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53,274</w:t>
            </w:r>
          </w:p>
        </w:tc>
        <w:tc>
          <w:tcPr>
            <w:tcW w:w="54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auto"/>
              </w:rPr>
              <w:t>7</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6,529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10,385</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tcPr>
          <w:p>
            <w:pPr>
              <w:spacing w:after="0"/>
              <w:rPr>
                <w:sz w:val="20"/>
                <w:szCs w:val="20"/>
                <w:color w:val="auto"/>
              </w:rPr>
            </w:pPr>
            <w:r>
              <w:rPr>
                <w:rFonts w:ascii="Arial" w:cs="Arial" w:eastAsia="Arial" w:hAnsi="Arial"/>
                <w:sz w:val="17"/>
                <w:szCs w:val="17"/>
                <w:color w:val="auto"/>
              </w:rPr>
              <w:t>Residential construction</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11,389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9,550</w:t>
            </w:r>
          </w:p>
        </w:tc>
        <w:tc>
          <w:tcPr>
            <w:tcW w:w="54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auto"/>
              </w:rPr>
              <w:t>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Consumer installment</w:t>
            </w:r>
          </w:p>
        </w:tc>
        <w:tc>
          <w:tcPr>
            <w:tcW w:w="1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loans</w:t>
            </w:r>
          </w:p>
        </w:tc>
        <w:tc>
          <w:tcPr>
            <w:tcW w:w="1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8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158</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76,945</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73,474</w:t>
            </w:r>
          </w:p>
        </w:tc>
        <w:tc>
          <w:tcPr>
            <w:tcW w:w="540" w:type="dxa"/>
            <w:vAlign w:val="bottom"/>
          </w:tcPr>
          <w:p>
            <w:pPr>
              <w:spacing w:after="0"/>
              <w:rPr>
                <w:sz w:val="19"/>
                <w:szCs w:val="19"/>
                <w:color w:val="auto"/>
              </w:rPr>
            </w:pPr>
          </w:p>
        </w:tc>
        <w:tc>
          <w:tcPr>
            <w:tcW w:w="660" w:type="dxa"/>
            <w:vAlign w:val="bottom"/>
            <w:gridSpan w:val="2"/>
          </w:tcPr>
          <w:p>
            <w:pPr>
              <w:ind w:left="460"/>
              <w:spacing w:after="0"/>
              <w:rPr>
                <w:sz w:val="20"/>
                <w:szCs w:val="20"/>
                <w:color w:val="auto"/>
              </w:rPr>
            </w:pPr>
            <w:r>
              <w:rPr>
                <w:rFonts w:ascii="Arial" w:cs="Arial" w:eastAsia="Arial" w:hAnsi="Arial"/>
                <w:sz w:val="17"/>
                <w:szCs w:val="17"/>
                <w:color w:val="auto"/>
                <w:w w:val="94"/>
              </w:rPr>
              <w:t>16</w:t>
            </w:r>
          </w:p>
        </w:tc>
        <w:tc>
          <w:tcPr>
            <w:tcW w:w="7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8,532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7"/>
                <w:szCs w:val="17"/>
                <w:color w:val="auto"/>
              </w:rPr>
              <w:t>18</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Ratings</w:t>
      </w:r>
    </w:p>
    <w:p>
      <w:pPr>
        <w:spacing w:after="0" w:line="1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United categorizes loans into risk categories based on relevant information about the ability of borrowers to service their debt such as: current financial information, historical payment experience, credit documentation, public information,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123" w:lineRule="exact"/>
        <w:rPr>
          <w:sz w:val="20"/>
          <w:szCs w:val="20"/>
          <w:color w:val="auto"/>
        </w:rPr>
      </w:pPr>
    </w:p>
    <w:p>
      <w:pPr>
        <w:ind w:right="420"/>
        <w:spacing w:after="0" w:line="282" w:lineRule="auto"/>
        <w:rPr>
          <w:sz w:val="20"/>
          <w:szCs w:val="20"/>
          <w:color w:val="auto"/>
        </w:rPr>
      </w:pPr>
      <w:r>
        <w:rPr>
          <w:rFonts w:ascii="Arial" w:cs="Arial" w:eastAsia="Arial" w:hAnsi="Arial"/>
          <w:sz w:val="17"/>
          <w:szCs w:val="17"/>
          <w:b w:val="1"/>
          <w:bCs w:val="1"/>
          <w:color w:val="auto"/>
        </w:rPr>
        <w:t>Watch</w:t>
      </w:r>
      <w:r>
        <w:rPr>
          <w:rFonts w:ascii="Arial" w:cs="Arial" w:eastAsia="Arial" w:hAnsi="Arial"/>
          <w:sz w:val="17"/>
          <w:szCs w:val="17"/>
          <w:color w:val="auto"/>
        </w:rPr>
        <w:t>. Loans in this category are presently protected from apparent loss; however, weaknesses exist that could cause future impairment,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1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color w:val="auto"/>
        </w:rPr>
        <w:t xml:space="preserve">Substandard. </w:t>
      </w:r>
      <w:r>
        <w:rPr>
          <w:rFonts w:ascii="Arial" w:cs="Arial" w:eastAsia="Arial" w:hAnsi="Arial"/>
          <w:sz w:val="17"/>
          <w:szCs w:val="17"/>
          <w:color w:val="auto"/>
        </w:rPr>
        <w:t>These loans are inadequately protected by the current net worth and paying capacity of the obligor or by the collateral pledged. Specific and well-defined weaknesses exist that may include poor liquidity and deterioration of financial ratios. The loan may be past due and related deposit accounts experiencing overdrafts. There is the distinct possibility that the Company will sustain some loss if deficiencies are not corrected. If possible, immediate corrective action is taken.</w:t>
      </w:r>
    </w:p>
    <w:p>
      <w:pPr>
        <w:spacing w:after="0" w:line="119" w:lineRule="exact"/>
        <w:rPr>
          <w:sz w:val="20"/>
          <w:szCs w:val="20"/>
          <w:color w:val="auto"/>
        </w:rPr>
      </w:pPr>
    </w:p>
    <w:p>
      <w:pPr>
        <w:ind w:right="360"/>
        <w:spacing w:after="0" w:line="302" w:lineRule="auto"/>
        <w:rPr>
          <w:sz w:val="20"/>
          <w:szCs w:val="20"/>
          <w:color w:val="auto"/>
        </w:rPr>
      </w:pPr>
      <w:r>
        <w:rPr>
          <w:rFonts w:ascii="Arial" w:cs="Arial" w:eastAsia="Arial" w:hAnsi="Arial"/>
          <w:sz w:val="17"/>
          <w:szCs w:val="17"/>
          <w:b w:val="1"/>
          <w:bCs w:val="1"/>
          <w:color w:val="auto"/>
        </w:rPr>
        <w:t xml:space="preserve">Doubtful. </w:t>
      </w:r>
      <w:r>
        <w:rPr>
          <w:rFonts w:ascii="Arial" w:cs="Arial" w:eastAsia="Arial" w:hAnsi="Arial"/>
          <w:sz w:val="17"/>
          <w:szCs w:val="17"/>
          <w:color w:val="auto"/>
        </w:rPr>
        <w:t>Specific weaknesses characterized as Substandard that are severe enough to make collection in full highly questionable and improbable. There is no</w:t>
      </w:r>
      <w:r>
        <w:rPr>
          <w:rFonts w:ascii="Arial" w:cs="Arial" w:eastAsia="Arial" w:hAnsi="Arial"/>
          <w:sz w:val="17"/>
          <w:szCs w:val="17"/>
          <w:b w:val="1"/>
          <w:bCs w:val="1"/>
          <w:color w:val="auto"/>
        </w:rPr>
        <w:t xml:space="preserve"> </w:t>
      </w:r>
      <w:r>
        <w:rPr>
          <w:rFonts w:ascii="Arial" w:cs="Arial" w:eastAsia="Arial" w:hAnsi="Arial"/>
          <w:sz w:val="17"/>
          <w:szCs w:val="17"/>
          <w:color w:val="auto"/>
        </w:rPr>
        <w:t>reliable secondary source of full repayment.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charged-off.</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 Loans listed as not rated are generally deposit account overdrafts that have not been assigned a grade.</w:t>
      </w:r>
    </w:p>
    <w:p>
      <w:pPr>
        <w:spacing w:after="0" w:line="111"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color w:val="auto"/>
        </w:rPr>
        <w:t xml:space="preserve">As of June 30, 2012, December 31, 2011 and June 30, 2011, and based on the most recent analysis performed, the risk category of loans by class of loans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w w:val="92"/>
              </w:rPr>
              <w:t>Doubtful /</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tcPr>
          <w:p>
            <w:pPr>
              <w:jc w:val="right"/>
              <w:ind w:right="196"/>
              <w:spacing w:after="0"/>
              <w:rPr>
                <w:sz w:val="20"/>
                <w:szCs w:val="20"/>
                <w:color w:val="auto"/>
              </w:rPr>
            </w:pPr>
            <w:r>
              <w:rPr>
                <w:rFonts w:ascii="Arial" w:cs="Arial" w:eastAsia="Arial" w:hAnsi="Arial"/>
                <w:sz w:val="13"/>
                <w:szCs w:val="13"/>
                <w:b w:val="1"/>
                <w:bCs w:val="1"/>
                <w:color w:val="auto"/>
              </w:rPr>
              <w:t>Pass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Watch</w:t>
            </w:r>
          </w:p>
        </w:tc>
        <w:tc>
          <w:tcPr>
            <w:tcW w:w="1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w w:val="93"/>
              </w:rPr>
              <w:t>Substandard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40"/>
              <w:spacing w:after="0"/>
              <w:rPr>
                <w:sz w:val="20"/>
                <w:szCs w:val="20"/>
                <w:color w:val="auto"/>
              </w:rPr>
            </w:pPr>
            <w:r>
              <w:rPr>
                <w:rFonts w:ascii="Arial" w:cs="Arial" w:eastAsia="Arial" w:hAnsi="Arial"/>
                <w:sz w:val="13"/>
                <w:szCs w:val="13"/>
                <w:b w:val="1"/>
                <w:bCs w:val="1"/>
                <w:color w:val="auto"/>
              </w:rPr>
              <w:t>Loss</w:t>
            </w:r>
          </w:p>
        </w:tc>
        <w:tc>
          <w:tcPr>
            <w:tcW w:w="3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Not Rated</w:t>
            </w:r>
          </w:p>
        </w:tc>
        <w:tc>
          <w:tcPr>
            <w:tcW w:w="160" w:type="dxa"/>
            <w:vAlign w:val="bottom"/>
          </w:tcPr>
          <w:p>
            <w:pPr>
              <w:spacing w:after="0"/>
              <w:rPr>
                <w:sz w:val="13"/>
                <w:szCs w:val="13"/>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404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As of June 30, 2012</w:t>
            </w:r>
          </w:p>
        </w:tc>
        <w:tc>
          <w:tcPr>
            <w:tcW w:w="15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40" w:type="dxa"/>
            <w:vAlign w:val="bottom"/>
            <w:gridSpan w:val="3"/>
          </w:tcPr>
          <w:p>
            <w:pPr>
              <w:spacing w:after="0"/>
              <w:rPr>
                <w:sz w:val="20"/>
                <w:szCs w:val="20"/>
                <w:color w:val="auto"/>
              </w:rPr>
            </w:pPr>
            <w:r>
              <w:rPr>
                <w:rFonts w:ascii="Arial" w:cs="Arial" w:eastAsia="Arial" w:hAnsi="Arial"/>
                <w:sz w:val="17"/>
                <w:szCs w:val="17"/>
                <w:color w:val="auto"/>
              </w:rPr>
              <w:t>Commercial (secured by real estate)</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$1,596,879</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72,067</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167,531</w:t>
            </w:r>
          </w:p>
        </w:tc>
        <w:tc>
          <w:tcPr>
            <w:tcW w:w="4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ind w:left="200"/>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$1,836,477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&amp; industrial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393,893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50,899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778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40" w:type="dxa"/>
            <w:vAlign w:val="bottom"/>
            <w:gridSpan w:val="3"/>
          </w:tcPr>
          <w:p>
            <w:pPr>
              <w:spacing w:after="0"/>
              <w:rPr>
                <w:sz w:val="20"/>
                <w:szCs w:val="20"/>
                <w:color w:val="auto"/>
              </w:rPr>
            </w:pPr>
            <w:r>
              <w:rPr>
                <w:rFonts w:ascii="Arial" w:cs="Arial" w:eastAsia="Arial" w:hAnsi="Arial"/>
                <w:sz w:val="17"/>
                <w:szCs w:val="17"/>
                <w:color w:val="auto"/>
              </w:rPr>
              <w:t>Commercial construction</w:t>
            </w:r>
          </w:p>
        </w:tc>
        <w:tc>
          <w:tcPr>
            <w:tcW w:w="1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107,201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56,049</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commercial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2,097,973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82,807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274,479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778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2,456,037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tcPr>
          <w:p>
            <w:pPr>
              <w:spacing w:after="0"/>
              <w:rPr>
                <w:sz w:val="20"/>
                <w:szCs w:val="20"/>
                <w:color w:val="auto"/>
              </w:rPr>
            </w:pPr>
            <w:r>
              <w:rPr>
                <w:rFonts w:ascii="Arial" w:cs="Arial" w:eastAsia="Arial" w:hAnsi="Arial"/>
                <w:sz w:val="17"/>
                <w:szCs w:val="17"/>
                <w:color w:val="auto"/>
              </w:rPr>
              <w:t>Residential mortgage</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999,328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39,105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89,903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1,128,336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290,808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408,966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40" w:type="dxa"/>
            <w:vAlign w:val="bottom"/>
            <w:gridSpan w:val="3"/>
          </w:tcPr>
          <w:p>
            <w:pPr>
              <w:spacing w:after="0"/>
              <w:rPr>
                <w:sz w:val="20"/>
                <w:szCs w:val="20"/>
                <w:color w:val="auto"/>
              </w:rPr>
            </w:pPr>
            <w:r>
              <w:rPr>
                <w:rFonts w:ascii="Arial" w:cs="Arial" w:eastAsia="Arial" w:hAnsi="Arial"/>
                <w:sz w:val="17"/>
                <w:szCs w:val="17"/>
                <w:color w:val="auto"/>
              </w:rPr>
              <w:t>Consumer installment</w:t>
            </w:r>
          </w:p>
        </w:tc>
        <w:tc>
          <w:tcPr>
            <w:tcW w:w="1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121,153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3,626</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loans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3,509,262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170,211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438,984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778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4,119,235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 of December 31, 2011</w:t>
            </w:r>
          </w:p>
        </w:tc>
        <w:tc>
          <w:tcPr>
            <w:tcW w:w="1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40" w:type="dxa"/>
            <w:vAlign w:val="bottom"/>
            <w:gridSpan w:val="3"/>
            <w:vMerge w:val="continue"/>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(secured by real estate)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$1,561,204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89,830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170,380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tcPr>
          <w:p>
            <w:pPr>
              <w:spacing w:after="0"/>
              <w:rPr>
                <w:sz w:val="20"/>
                <w:szCs w:val="20"/>
                <w:color w:val="auto"/>
              </w:rPr>
            </w:pPr>
            <w:r>
              <w:rPr>
                <w:rFonts w:ascii="Arial" w:cs="Arial" w:eastAsia="Arial" w:hAnsi="Arial"/>
                <w:sz w:val="17"/>
                <w:szCs w:val="17"/>
                <w:color w:val="auto"/>
              </w:rPr>
              <w:t>Commercial &amp; industrial</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369,343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7,630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50,366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7"/>
                <w:szCs w:val="17"/>
                <w:color w:val="auto"/>
              </w:rPr>
              <w:t>910</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428,249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construction</w:t>
            </w:r>
          </w:p>
        </w:tc>
        <w:tc>
          <w:tcPr>
            <w:tcW w:w="15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114,817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35,165</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40" w:type="dxa"/>
            <w:vAlign w:val="bottom"/>
            <w:gridSpan w:val="3"/>
          </w:tcPr>
          <w:p>
            <w:pPr>
              <w:ind w:left="440"/>
              <w:spacing w:after="0"/>
              <w:rPr>
                <w:sz w:val="20"/>
                <w:szCs w:val="20"/>
                <w:color w:val="auto"/>
              </w:rPr>
            </w:pPr>
            <w:r>
              <w:rPr>
                <w:rFonts w:ascii="Arial" w:cs="Arial" w:eastAsia="Arial" w:hAnsi="Arial"/>
                <w:sz w:val="17"/>
                <w:szCs w:val="17"/>
                <w:color w:val="auto"/>
              </w:rPr>
              <w:t>Total commercial</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2,045,364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111,633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255,911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ind w:left="200"/>
              <w:spacing w:after="0"/>
              <w:rPr>
                <w:sz w:val="20"/>
                <w:szCs w:val="20"/>
                <w:color w:val="auto"/>
              </w:rPr>
            </w:pPr>
            <w:r>
              <w:rPr>
                <w:rFonts w:ascii="Arial" w:cs="Arial" w:eastAsia="Arial" w:hAnsi="Arial"/>
                <w:sz w:val="17"/>
                <w:szCs w:val="17"/>
                <w:color w:val="auto"/>
              </w:rPr>
              <w:t>910</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2,413,818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993,779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1,134,902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312,527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38,386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97,478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448,391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Consumer installment</w:t>
            </w:r>
          </w:p>
        </w:tc>
        <w:tc>
          <w:tcPr>
            <w:tcW w:w="15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107,333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3,759</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40" w:type="dxa"/>
            <w:vAlign w:val="bottom"/>
            <w:gridSpan w:val="3"/>
          </w:tcPr>
          <w:p>
            <w:pPr>
              <w:ind w:left="440"/>
              <w:spacing w:after="0"/>
              <w:rPr>
                <w:sz w:val="20"/>
                <w:szCs w:val="20"/>
                <w:color w:val="auto"/>
              </w:rPr>
            </w:pPr>
            <w:r>
              <w:rPr>
                <w:rFonts w:ascii="Arial" w:cs="Arial" w:eastAsia="Arial" w:hAnsi="Arial"/>
                <w:sz w:val="17"/>
                <w:szCs w:val="17"/>
                <w:color w:val="auto"/>
              </w:rPr>
              <w:t>Total loans</w:t>
            </w:r>
          </w:p>
        </w:tc>
        <w:tc>
          <w:tcPr>
            <w:tcW w:w="2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3,459,003</w:t>
            </w:r>
          </w:p>
        </w:tc>
        <w:tc>
          <w:tcPr>
            <w:tcW w:w="4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193,753</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455,948</w:t>
            </w:r>
          </w:p>
        </w:tc>
        <w:tc>
          <w:tcPr>
            <w:tcW w:w="4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ind w:left="200"/>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rPr>
              <w:t>910</w:t>
            </w:r>
          </w:p>
        </w:tc>
        <w:tc>
          <w:tcPr>
            <w:tcW w:w="9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4,109,614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bottom w:val="single" w:sz="8" w:color="auto"/>
            </w:tcBorders>
            <w:shd w:val="clear" w:color="auto" w:fill="CCEEFF"/>
          </w:tcPr>
          <w:p>
            <w:pPr>
              <w:spacing w:after="0" w:line="168" w:lineRule="exact"/>
              <w:rPr>
                <w:sz w:val="20"/>
                <w:szCs w:val="20"/>
                <w:color w:val="auto"/>
              </w:rPr>
            </w:pPr>
            <w:r>
              <w:rPr>
                <w:rFonts w:ascii="Arial" w:cs="Arial" w:eastAsia="Arial" w:hAnsi="Arial"/>
                <w:sz w:val="17"/>
                <w:szCs w:val="17"/>
                <w:b w:val="1"/>
                <w:bCs w:val="1"/>
                <w:color w:val="auto"/>
                <w:w w:val="89"/>
              </w:rPr>
              <w:t>As of June 30, 2011</w:t>
            </w:r>
          </w:p>
        </w:tc>
        <w:tc>
          <w:tcPr>
            <w:tcW w:w="2600" w:type="dxa"/>
            <w:vAlign w:val="bottom"/>
            <w:tcBorders>
              <w:bottom w:val="single" w:sz="8" w:color="CCEEFF"/>
            </w:tcBorders>
            <w:gridSpan w:val="2"/>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40" w:type="dxa"/>
            <w:vAlign w:val="bottom"/>
            <w:gridSpan w:val="3"/>
          </w:tcPr>
          <w:p>
            <w:pPr>
              <w:spacing w:after="0"/>
              <w:rPr>
                <w:sz w:val="20"/>
                <w:szCs w:val="20"/>
                <w:color w:val="auto"/>
              </w:rPr>
            </w:pPr>
            <w:r>
              <w:rPr>
                <w:rFonts w:ascii="Arial" w:cs="Arial" w:eastAsia="Arial" w:hAnsi="Arial"/>
                <w:sz w:val="17"/>
                <w:szCs w:val="17"/>
                <w:color w:val="auto"/>
              </w:rPr>
              <w:t>Commercial (secured by real estate)</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$1,508,284</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98,175</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135,295</w:t>
            </w:r>
          </w:p>
        </w:tc>
        <w:tc>
          <w:tcPr>
            <w:tcW w:w="4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ind w:left="200"/>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$1,741,754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&amp; industrial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404,704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1,025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428,058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40" w:type="dxa"/>
            <w:vAlign w:val="bottom"/>
            <w:gridSpan w:val="3"/>
          </w:tcPr>
          <w:p>
            <w:pPr>
              <w:spacing w:after="0"/>
              <w:rPr>
                <w:sz w:val="20"/>
                <w:szCs w:val="20"/>
                <w:color w:val="auto"/>
              </w:rPr>
            </w:pPr>
            <w:r>
              <w:rPr>
                <w:rFonts w:ascii="Arial" w:cs="Arial" w:eastAsia="Arial" w:hAnsi="Arial"/>
                <w:sz w:val="17"/>
                <w:szCs w:val="17"/>
                <w:color w:val="auto"/>
              </w:rPr>
              <w:t>Commercial construction</w:t>
            </w:r>
          </w:p>
        </w:tc>
        <w:tc>
          <w:tcPr>
            <w:tcW w:w="1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143,609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34,129</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commercial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2,056,597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119,309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188,071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1,025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tcPr>
          <w:p>
            <w:pPr>
              <w:spacing w:after="0"/>
              <w:rPr>
                <w:sz w:val="20"/>
                <w:szCs w:val="20"/>
                <w:color w:val="auto"/>
              </w:rPr>
            </w:pPr>
            <w:r>
              <w:rPr>
                <w:rFonts w:ascii="Arial" w:cs="Arial" w:eastAsia="Arial" w:hAnsi="Arial"/>
                <w:sz w:val="17"/>
                <w:szCs w:val="17"/>
                <w:color w:val="auto"/>
              </w:rPr>
              <w:t>Residential mortgage</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1,046,255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35,775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95,196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1,177,226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353,769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51,223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501,909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40" w:type="dxa"/>
            <w:vAlign w:val="bottom"/>
            <w:gridSpan w:val="3"/>
          </w:tcPr>
          <w:p>
            <w:pPr>
              <w:spacing w:after="0"/>
              <w:rPr>
                <w:sz w:val="20"/>
                <w:szCs w:val="20"/>
                <w:color w:val="auto"/>
              </w:rPr>
            </w:pPr>
            <w:r>
              <w:rPr>
                <w:rFonts w:ascii="Arial" w:cs="Arial" w:eastAsia="Arial" w:hAnsi="Arial"/>
                <w:sz w:val="17"/>
                <w:szCs w:val="17"/>
                <w:color w:val="auto"/>
              </w:rPr>
              <w:t>Consumer installment</w:t>
            </w:r>
          </w:p>
        </w:tc>
        <w:tc>
          <w:tcPr>
            <w:tcW w:w="1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114,718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3,984</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loans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3,571,339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206,915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384,168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1,025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4,163,447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ectPr>
          <w:pgSz w:w="11900" w:h="16838" w:orient="portrait"/>
          <w:cols w:equalWidth="0" w:num="1">
            <w:col w:w="11420"/>
          </w:cols>
          <w:pgMar w:left="240" w:top="457" w:right="239" w:bottom="1440" w:gutter="0" w:footer="0" w:header="0"/>
        </w:sect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7"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Foreclosed Property</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foreclosed properties at June 30, 2012, December 31, 2011 and June 30, 2011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6"/>
              </w:rPr>
              <w:t>June 30,</w:t>
            </w:r>
          </w:p>
        </w:tc>
        <w:tc>
          <w:tcPr>
            <w:tcW w:w="146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June 30,</w:t>
            </w:r>
          </w:p>
        </w:tc>
      </w:tr>
      <w:tr>
        <w:trPr>
          <w:trHeight w:val="160"/>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6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5"/>
              <w:spacing w:after="0"/>
              <w:rPr>
                <w:sz w:val="20"/>
                <w:szCs w:val="20"/>
                <w:color w:val="auto"/>
              </w:rPr>
            </w:pPr>
            <w:r>
              <w:rPr>
                <w:rFonts w:ascii="Arial" w:cs="Arial" w:eastAsia="Arial" w:hAnsi="Arial"/>
                <w:sz w:val="13"/>
                <w:szCs w:val="13"/>
                <w:b w:val="1"/>
                <w:bCs w:val="1"/>
                <w:color w:val="auto"/>
              </w:rPr>
              <w:t>2011</w:t>
            </w:r>
          </w:p>
        </w:tc>
        <w:tc>
          <w:tcPr>
            <w:tcW w:w="400" w:type="dxa"/>
            <w:vAlign w:val="bottom"/>
          </w:tcPr>
          <w:p>
            <w:pPr>
              <w:spacing w:after="0"/>
              <w:rPr>
                <w:sz w:val="13"/>
                <w:szCs w:val="13"/>
                <w:color w:val="auto"/>
              </w:rPr>
            </w:pPr>
          </w:p>
        </w:tc>
        <w:tc>
          <w:tcPr>
            <w:tcW w:w="8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$11,639</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10,866</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$11,944</w:t>
            </w:r>
          </w:p>
        </w:tc>
        <w:tc>
          <w:tcPr>
            <w:tcW w:w="20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10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2,732</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6,764</w:t>
            </w:r>
          </w:p>
        </w:tc>
        <w:tc>
          <w:tcPr>
            <w:tcW w:w="2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commercial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14,371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14,202</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18,708</w:t>
            </w:r>
          </w:p>
        </w:tc>
        <w:tc>
          <w:tcPr>
            <w:tcW w:w="2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Residential mortgage</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5,868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7,840</w:t>
            </w: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11,346</w:t>
            </w:r>
          </w:p>
        </w:tc>
        <w:tc>
          <w:tcPr>
            <w:tcW w:w="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10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22,054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29,799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47,916</w:t>
            </w:r>
          </w:p>
        </w:tc>
        <w:tc>
          <w:tcPr>
            <w:tcW w:w="2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7"/>
                <w:szCs w:val="17"/>
                <w:color w:val="auto"/>
              </w:rPr>
              <w:t>Total foreclosed property</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42,293</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51,841</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77,970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10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18,982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30,386</w:t>
            </w:r>
          </w:p>
        </w:tc>
        <w:tc>
          <w:tcPr>
            <w:tcW w:w="2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7"/>
                <w:szCs w:val="17"/>
                <w:color w:val="auto"/>
              </w:rPr>
              <w:t>Foreclosed property, net</w:t>
            </w:r>
          </w:p>
        </w:tc>
        <w:tc>
          <w:tcPr>
            <w:tcW w:w="16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30,421</w:t>
            </w:r>
          </w:p>
        </w:tc>
        <w:tc>
          <w:tcPr>
            <w:tcW w:w="400" w:type="dxa"/>
            <w:vAlign w:val="bottom"/>
          </w:tcPr>
          <w:p>
            <w:pPr>
              <w:spacing w:after="0"/>
              <w:rPr>
                <w:sz w:val="19"/>
                <w:szCs w:val="19"/>
                <w:color w:val="auto"/>
              </w:rPr>
            </w:pPr>
          </w:p>
        </w:tc>
        <w:tc>
          <w:tcPr>
            <w:tcW w:w="44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32,859</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47,584</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Balance as a percentage of original loan unpaid principal</w:t>
            </w:r>
          </w:p>
        </w:tc>
        <w:tc>
          <w:tcPr>
            <w:tcW w:w="2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35.9%</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32.6%</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Activity in the valuation allowance for foreclosed property is presented in the following table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60" w:type="dxa"/>
            <w:vAlign w:val="bottom"/>
            <w:gridSpan w:val="9"/>
          </w:tcPr>
          <w:p>
            <w:pPr>
              <w:jc w:val="center"/>
              <w:ind w:right="460"/>
              <w:spacing w:after="0"/>
              <w:rPr>
                <w:sz w:val="20"/>
                <w:szCs w:val="20"/>
                <w:color w:val="auto"/>
              </w:rPr>
            </w:pPr>
            <w:r>
              <w:rPr>
                <w:rFonts w:ascii="Arial" w:cs="Arial" w:eastAsia="Arial" w:hAnsi="Arial"/>
                <w:sz w:val="13"/>
                <w:szCs w:val="13"/>
                <w:b w:val="1"/>
                <w:bCs w:val="1"/>
                <w:color w:val="auto"/>
                <w:w w:val="94"/>
              </w:rPr>
              <w:t>Three Months Ended</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8"/>
          </w:tcPr>
          <w:p>
            <w:pPr>
              <w:jc w:val="center"/>
              <w:ind w:right="420"/>
              <w:spacing w:after="0"/>
              <w:rPr>
                <w:sz w:val="20"/>
                <w:szCs w:val="20"/>
                <w:color w:val="auto"/>
              </w:rPr>
            </w:pPr>
            <w:r>
              <w:rPr>
                <w:rFonts w:ascii="Arial" w:cs="Arial" w:eastAsia="Arial" w:hAnsi="Arial"/>
                <w:sz w:val="13"/>
                <w:szCs w:val="13"/>
                <w:b w:val="1"/>
                <w:bCs w:val="1"/>
                <w:color w:val="auto"/>
                <w:w w:val="94"/>
              </w:rPr>
              <w:t>Six Months Ended</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88"/>
              </w:rPr>
              <w:t>June 30,</w:t>
            </w: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left="246"/>
              <w:spacing w:after="0"/>
              <w:rPr>
                <w:sz w:val="20"/>
                <w:szCs w:val="20"/>
                <w:color w:val="auto"/>
              </w:rPr>
            </w:pPr>
            <w:r>
              <w:rPr>
                <w:rFonts w:ascii="Arial" w:cs="Arial" w:eastAsia="Arial" w:hAnsi="Arial"/>
                <w:sz w:val="13"/>
                <w:szCs w:val="13"/>
                <w:b w:val="1"/>
                <w:bCs w:val="1"/>
                <w:color w:val="auto"/>
                <w:w w:val="92"/>
              </w:rPr>
              <w:t>June 30,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jc w:val="right"/>
              <w:ind w:right="83"/>
              <w:spacing w:after="0" w:line="141" w:lineRule="exact"/>
              <w:rPr>
                <w:sz w:val="20"/>
                <w:szCs w:val="20"/>
                <w:color w:val="auto"/>
              </w:rPr>
            </w:pPr>
            <w:r>
              <w:rPr>
                <w:rFonts w:ascii="Arial" w:cs="Arial" w:eastAsia="Arial" w:hAnsi="Arial"/>
                <w:sz w:val="13"/>
                <w:szCs w:val="13"/>
                <w:b w:val="1"/>
                <w:bCs w:val="1"/>
                <w:color w:val="auto"/>
              </w:rPr>
              <w:t>2012</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26"/>
              <w:spacing w:after="0" w:line="141"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3"/>
          </w:tcPr>
          <w:p>
            <w:pPr>
              <w:jc w:val="right"/>
              <w:ind w:right="113"/>
              <w:spacing w:after="0" w:line="141" w:lineRule="exact"/>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9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$17,746</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3"/>
              </w:rPr>
              <w:t>$ 53,023</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$ 18,982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$ 16,565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Additions charged to expense</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1,008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3,118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3,119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51,703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Direct write downs</w:t>
            </w:r>
          </w:p>
        </w:tc>
        <w:tc>
          <w:tcPr>
            <w:tcW w:w="1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(6,882)</w:t>
            </w:r>
          </w:p>
        </w:tc>
        <w:tc>
          <w:tcPr>
            <w:tcW w:w="1460" w:type="dxa"/>
            <w:vAlign w:val="bottom"/>
            <w:gridSpan w:val="6"/>
            <w:shd w:val="clear" w:color="auto" w:fill="CCEEFF"/>
          </w:tcPr>
          <w:p>
            <w:pPr>
              <w:jc w:val="right"/>
              <w:ind w:right="340"/>
              <w:spacing w:after="0"/>
              <w:rPr>
                <w:sz w:val="20"/>
                <w:szCs w:val="20"/>
                <w:color w:val="auto"/>
              </w:rPr>
            </w:pPr>
            <w:r>
              <w:rPr>
                <w:rFonts w:ascii="Arial" w:cs="Arial" w:eastAsia="Arial" w:hAnsi="Arial"/>
                <w:sz w:val="17"/>
                <w:szCs w:val="17"/>
                <w:color w:val="auto"/>
              </w:rPr>
              <w:t>(25,755)</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3"/>
              <w:spacing w:after="0"/>
              <w:rPr>
                <w:sz w:val="20"/>
                <w:szCs w:val="20"/>
                <w:color w:val="auto"/>
              </w:rPr>
            </w:pPr>
            <w:r>
              <w:rPr>
                <w:rFonts w:ascii="Arial" w:cs="Arial" w:eastAsia="Arial" w:hAnsi="Arial"/>
                <w:sz w:val="17"/>
                <w:szCs w:val="17"/>
                <w:color w:val="auto"/>
              </w:rPr>
              <w:t>(10,229)</w:t>
            </w:r>
          </w:p>
        </w:tc>
        <w:tc>
          <w:tcPr>
            <w:tcW w:w="3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(37,882)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440" w:type="dxa"/>
            <w:vAlign w:val="bottom"/>
            <w:vMerge w:val="restart"/>
          </w:tcPr>
          <w:p>
            <w:pPr>
              <w:ind w:left="420"/>
              <w:spacing w:after="0"/>
              <w:rPr>
                <w:sz w:val="20"/>
                <w:szCs w:val="20"/>
                <w:color w:val="auto"/>
              </w:rPr>
            </w:pPr>
            <w:r>
              <w:rPr>
                <w:rFonts w:ascii="Arial" w:cs="Arial" w:eastAsia="Arial" w:hAnsi="Arial"/>
                <w:sz w:val="17"/>
                <w:szCs w:val="17"/>
                <w:color w:val="auto"/>
              </w:rPr>
              <w:t>Balance at end of period</w:t>
            </w:r>
          </w:p>
        </w:tc>
        <w:tc>
          <w:tcPr>
            <w:tcW w:w="1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5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11,872</w:t>
            </w:r>
          </w:p>
        </w:tc>
        <w:tc>
          <w:tcPr>
            <w:tcW w:w="60" w:type="dxa"/>
            <w:vAlign w:val="bottom"/>
          </w:tcPr>
          <w:p>
            <w:pPr>
              <w:spacing w:after="0"/>
              <w:rPr>
                <w:sz w:val="19"/>
                <w:szCs w:val="19"/>
                <w:color w:val="auto"/>
              </w:rPr>
            </w:pPr>
          </w:p>
        </w:tc>
        <w:tc>
          <w:tcPr>
            <w:tcW w:w="1060" w:type="dxa"/>
            <w:vAlign w:val="bottom"/>
            <w:gridSpan w:val="5"/>
          </w:tcPr>
          <w:p>
            <w:pPr>
              <w:jc w:val="right"/>
              <w:spacing w:after="0"/>
              <w:rPr>
                <w:sz w:val="20"/>
                <w:szCs w:val="20"/>
                <w:color w:val="auto"/>
              </w:rPr>
            </w:pPr>
            <w:r>
              <w:rPr>
                <w:rFonts w:ascii="Arial" w:cs="Arial" w:eastAsia="Arial" w:hAnsi="Arial"/>
                <w:sz w:val="17"/>
                <w:szCs w:val="17"/>
                <w:color w:val="auto"/>
              </w:rPr>
              <w:t>$ 30,386</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w w:val="96"/>
              </w:rPr>
              <w:t>$ 11,872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w w:val="96"/>
              </w:rPr>
              <w:t>$ 30,386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Expenses related to foreclosed assets include </w:t>
            </w:r>
            <w:r>
              <w:rPr>
                <w:rFonts w:ascii="Arial" w:cs="Arial" w:eastAsia="Arial" w:hAnsi="Arial"/>
                <w:sz w:val="17"/>
                <w:szCs w:val="17"/>
                <w:i w:val="1"/>
                <w:iCs w:val="1"/>
                <w:color w:val="auto"/>
              </w:rPr>
              <w:t>(in thousands)</w:t>
            </w:r>
            <w:r>
              <w:rPr>
                <w:rFonts w:ascii="Arial" w:cs="Arial" w:eastAsia="Arial" w:hAnsi="Arial"/>
                <w:sz w:val="17"/>
                <w:szCs w:val="17"/>
                <w:color w:val="auto"/>
              </w:rPr>
              <w:t>.</w:t>
            </w:r>
          </w:p>
        </w:tc>
        <w:tc>
          <w:tcPr>
            <w:tcW w:w="1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92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7"/>
          </w:tcPr>
          <w:p>
            <w:pPr>
              <w:jc w:val="center"/>
              <w:ind w:right="60"/>
              <w:spacing w:after="0"/>
              <w:rPr>
                <w:sz w:val="20"/>
                <w:szCs w:val="20"/>
                <w:color w:val="auto"/>
              </w:rPr>
            </w:pPr>
            <w:r>
              <w:rPr>
                <w:rFonts w:ascii="Arial" w:cs="Arial" w:eastAsia="Arial" w:hAnsi="Arial"/>
                <w:sz w:val="13"/>
                <w:szCs w:val="13"/>
                <w:b w:val="1"/>
                <w:bCs w:val="1"/>
                <w:color w:val="auto"/>
                <w:w w:val="94"/>
              </w:rPr>
              <w:t>Three Months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8"/>
          </w:tcPr>
          <w:p>
            <w:pPr>
              <w:jc w:val="right"/>
              <w:ind w:right="3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6"/>
          </w:tcPr>
          <w:p>
            <w:pPr>
              <w:jc w:val="center"/>
              <w:ind w:right="500"/>
              <w:spacing w:after="0"/>
              <w:rPr>
                <w:sz w:val="20"/>
                <w:szCs w:val="20"/>
                <w:color w:val="auto"/>
              </w:rPr>
            </w:pPr>
            <w:r>
              <w:rPr>
                <w:rFonts w:ascii="Arial" w:cs="Arial" w:eastAsia="Arial" w:hAnsi="Arial"/>
                <w:sz w:val="13"/>
                <w:szCs w:val="13"/>
                <w:b w:val="1"/>
                <w:bCs w:val="1"/>
                <w:color w:val="auto"/>
                <w:w w:val="92"/>
              </w:rPr>
              <w:t>June 30,</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7"/>
          </w:tcPr>
          <w:p>
            <w:pPr>
              <w:jc w:val="right"/>
              <w:ind w:right="6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41"/>
        </w:trPr>
        <w:tc>
          <w:tcPr>
            <w:tcW w:w="4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2012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160"/>
              <w:spacing w:after="0" w:line="141" w:lineRule="exact"/>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500" w:type="dxa"/>
            <w:vAlign w:val="bottom"/>
            <w:tcBorders>
              <w:top w:val="single" w:sz="8" w:color="auto"/>
            </w:tcBorders>
            <w:gridSpan w:val="2"/>
          </w:tcPr>
          <w:p>
            <w:pPr>
              <w:jc w:val="right"/>
              <w:ind w:right="53"/>
              <w:spacing w:after="0" w:line="141"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73"/>
              <w:spacing w:after="0" w:line="141" w:lineRule="exact"/>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(gain) loss on sales</w:t>
            </w:r>
          </w:p>
        </w:tc>
        <w:tc>
          <w:tcPr>
            <w:tcW w:w="19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(269)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5"/>
              </w:rPr>
              <w:t>$(3,218)</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(176)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$ 8,802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Provision for unrealized losses</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1,008</w:t>
            </w:r>
          </w:p>
        </w:tc>
        <w:tc>
          <w:tcPr>
            <w:tcW w:w="8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3,118</w:t>
            </w:r>
          </w:p>
        </w:tc>
        <w:tc>
          <w:tcPr>
            <w:tcW w:w="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7"/>
                <w:szCs w:val="17"/>
                <w:color w:val="auto"/>
              </w:rPr>
              <w:t>3,119</w:t>
            </w:r>
          </w:p>
        </w:tc>
        <w:tc>
          <w:tcPr>
            <w:tcW w:w="30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7"/>
                <w:szCs w:val="17"/>
                <w:color w:val="auto"/>
              </w:rPr>
              <w:t>51,703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1,991</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2,733</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7"/>
                <w:szCs w:val="17"/>
                <w:color w:val="auto"/>
              </w:rPr>
              <w:t>Total foreclosed property expense</w:t>
            </w:r>
          </w:p>
        </w:tc>
        <w:tc>
          <w:tcPr>
            <w:tcW w:w="1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1,851</w:t>
            </w:r>
          </w:p>
        </w:tc>
        <w:tc>
          <w:tcPr>
            <w:tcW w:w="8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$ 1,891</w:t>
            </w:r>
          </w:p>
        </w:tc>
        <w:tc>
          <w:tcPr>
            <w:tcW w:w="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5,676</w:t>
            </w:r>
          </w:p>
        </w:tc>
        <w:tc>
          <w:tcPr>
            <w:tcW w:w="30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66,790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80" w:type="dxa"/>
            <w:vAlign w:val="bottom"/>
            <w:vMerge w:val="restart"/>
          </w:tcPr>
          <w:p>
            <w:pPr>
              <w:jc w:val="right"/>
              <w:ind w:right="1013"/>
              <w:spacing w:after="0"/>
              <w:rPr>
                <w:sz w:val="20"/>
                <w:szCs w:val="20"/>
                <w:color w:val="auto"/>
              </w:rPr>
            </w:pPr>
            <w:r>
              <w:rPr>
                <w:rFonts w:ascii="Arial" w:cs="Arial" w:eastAsia="Arial" w:hAnsi="Arial"/>
                <w:sz w:val="17"/>
                <w:szCs w:val="17"/>
                <w:color w:val="auto"/>
              </w:rPr>
              <w:t>20</w:t>
            </w: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7"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Earnings Per Share</w:t>
      </w:r>
    </w:p>
    <w:p>
      <w:pPr>
        <w:spacing w:after="0" w:line="1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United is required to report on the face of the consolidated statement of operations, earnings (loss) per common share with and without the dilutive effects of potential common stock issuances from instruments such as options, convertible securities and warrants. Basic earnings (loss) per common share is based on the weighted average number of common shares outstanding during the period while the effects of potential common shares outstanding during the period are included in diluted earnings per common share. During the three and six months ended June 30, 2012 and 2011, United accrued dividends on preferred stock, including accretion of discounts, as shown in the following table </w:t>
      </w:r>
      <w:r>
        <w:rPr>
          <w:rFonts w:ascii="Arial" w:cs="Arial" w:eastAsia="Arial" w:hAnsi="Arial"/>
          <w:sz w:val="17"/>
          <w:szCs w:val="17"/>
          <w:i w:val="1"/>
          <w:iCs w:val="1"/>
          <w:color w:val="auto"/>
        </w:rPr>
        <w:t>(in thousands).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5"/>
          </w:tcPr>
          <w:p>
            <w:pPr>
              <w:ind w:left="60"/>
              <w:spacing w:after="0"/>
              <w:rPr>
                <w:sz w:val="20"/>
                <w:szCs w:val="20"/>
                <w:color w:val="auto"/>
              </w:rPr>
            </w:pPr>
            <w:r>
              <w:rPr>
                <w:rFonts w:ascii="Arial" w:cs="Arial" w:eastAsia="Arial" w:hAnsi="Arial"/>
                <w:sz w:val="13"/>
                <w:szCs w:val="13"/>
                <w:b w:val="1"/>
                <w:bCs w:val="1"/>
                <w:color w:val="auto"/>
              </w:rPr>
              <w:t>Six Months Ended</w:t>
            </w:r>
          </w:p>
        </w:tc>
      </w:tr>
      <w:tr>
        <w:trPr>
          <w:trHeight w:val="160"/>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w w:val="96"/>
              </w:rPr>
              <w:t>June 30,</w:t>
            </w:r>
          </w:p>
        </w:tc>
        <w:tc>
          <w:tcPr>
            <w:tcW w:w="4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1"/>
        </w:trPr>
        <w:tc>
          <w:tcPr>
            <w:tcW w:w="20" w:type="dxa"/>
            <w:vAlign w:val="bottom"/>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1" w:lineRule="exact"/>
              <w:rPr>
                <w:sz w:val="20"/>
                <w:szCs w:val="20"/>
                <w:color w:val="auto"/>
              </w:rPr>
            </w:pPr>
            <w:r>
              <w:rPr>
                <w:rFonts w:ascii="Arial" w:cs="Arial" w:eastAsia="Arial" w:hAnsi="Arial"/>
                <w:sz w:val="13"/>
                <w:szCs w:val="13"/>
                <w:b w:val="1"/>
                <w:bCs w:val="1"/>
                <w:color w:val="auto"/>
                <w:w w:val="96"/>
              </w:rPr>
              <w:t>2011</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1" w:lineRule="exact"/>
              <w:rPr>
                <w:sz w:val="20"/>
                <w:szCs w:val="20"/>
                <w:color w:val="auto"/>
              </w:rPr>
            </w:pPr>
            <w:r>
              <w:rPr>
                <w:rFonts w:ascii="Arial" w:cs="Arial" w:eastAsia="Arial" w:hAnsi="Arial"/>
                <w:sz w:val="13"/>
                <w:szCs w:val="13"/>
                <w:b w:val="1"/>
                <w:bCs w:val="1"/>
                <w:color w:val="auto"/>
                <w:w w:val="89"/>
              </w:rPr>
              <w:t>2012</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1" w:lineRule="exact"/>
              <w:rPr>
                <w:sz w:val="20"/>
                <w:szCs w:val="20"/>
                <w:color w:val="auto"/>
              </w:rPr>
            </w:pPr>
            <w:r>
              <w:rPr>
                <w:rFonts w:ascii="Arial" w:cs="Arial" w:eastAsia="Arial" w:hAnsi="Arial"/>
                <w:sz w:val="13"/>
                <w:szCs w:val="13"/>
                <w:b w:val="1"/>
                <w:bCs w:val="1"/>
                <w:color w:val="auto"/>
                <w:w w:val="89"/>
              </w:rPr>
              <w:t>2011</w:t>
            </w:r>
          </w:p>
        </w:tc>
        <w:tc>
          <w:tcPr>
            <w:tcW w:w="80" w:type="dxa"/>
            <w:vAlign w:val="bottom"/>
            <w:tcBorders>
              <w:bottom w:val="single" w:sz="8" w:color="CCEEFF"/>
            </w:tcBorders>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Series A - 6% fixed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7"/>
                <w:szCs w:val="17"/>
                <w:color w:val="auto"/>
              </w:rPr>
              <w:t>Series B - 5% fixed until December 6, 2013, 9% thereafter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2,614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2,598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5,222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5,200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Series D - LIBOR plus 9.6875%, resets quarterly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7"/>
                <w:szCs w:val="17"/>
                <w:color w:val="auto"/>
              </w:rPr>
              <w:t>Total preferred stock dividends</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3,032</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3,016</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6,062</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9"/>
              </w:rPr>
              <w:t>5,794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 preferred stock dividends are payable quarterly.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B preferred stock was issued at a discount. Dividend amounts shown include discount accretion for each period.</w:t>
      </w:r>
    </w:p>
    <w:p>
      <w:pPr>
        <w:spacing w:after="0" w:line="92"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The preferred stock dividends were subtracted from net income (loss) in order to arrive at net income (loss) available to common shareholders. There is no dilution from potentially dilutive securities for the six months ended June 30, 2011, due to the anti-dilutive effect of the net loss for that period.</w:t>
      </w:r>
    </w:p>
    <w:p>
      <w:pPr>
        <w:spacing w:after="0" w:line="111"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 xml:space="preserve">The following table sets forth the computation of basic and diluted loss per share for the three and six months ended June 30, 2012 and 2011 </w:t>
      </w:r>
      <w:r>
        <w:rPr>
          <w:rFonts w:ascii="Arial" w:cs="Arial" w:eastAsia="Arial" w:hAnsi="Arial"/>
          <w:sz w:val="17"/>
          <w:szCs w:val="17"/>
          <w:i w:val="1"/>
          <w:iCs w:val="1"/>
          <w:color w:val="auto"/>
        </w:rPr>
        <w:t>(in thousands, except</w:t>
      </w:r>
      <w:r>
        <w:rPr>
          <w:rFonts w:ascii="Arial" w:cs="Arial" w:eastAsia="Arial" w:hAnsi="Arial"/>
          <w:sz w:val="17"/>
          <w:szCs w:val="17"/>
          <w:color w:val="auto"/>
        </w:rPr>
        <w:t xml:space="preserve"> </w:t>
      </w:r>
      <w:r>
        <w:rPr>
          <w:rFonts w:ascii="Arial" w:cs="Arial" w:eastAsia="Arial" w:hAnsi="Arial"/>
          <w:sz w:val="17"/>
          <w:szCs w:val="17"/>
          <w:i w:val="1"/>
          <w:iCs w:val="1"/>
          <w:color w:val="auto"/>
        </w:rPr>
        <w:t>per share data)</w:t>
      </w:r>
      <w:r>
        <w:rPr>
          <w:rFonts w:ascii="Arial" w:cs="Arial" w:eastAsia="Arial" w:hAnsi="Arial"/>
          <w:sz w:val="17"/>
          <w:szCs w:val="17"/>
          <w:color w:val="auto"/>
        </w:rPr>
        <w: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4"/>
          </w:tcPr>
          <w:p>
            <w:pPr>
              <w:jc w:val="right"/>
              <w:ind w:right="115"/>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jc w:val="right"/>
              <w:ind w:right="422"/>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3"/>
                <w:szCs w:val="13"/>
                <w:b w:val="1"/>
                <w:bCs w:val="1"/>
                <w:color w:val="auto"/>
              </w:rPr>
              <w:t>June 30,</w:t>
            </w:r>
          </w:p>
        </w:tc>
        <w:tc>
          <w:tcPr>
            <w:tcW w:w="4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June 30,</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1" w:lineRule="exact"/>
              <w:rPr>
                <w:sz w:val="20"/>
                <w:szCs w:val="20"/>
                <w:color w:val="auto"/>
              </w:rPr>
            </w:pPr>
            <w:r>
              <w:rPr>
                <w:rFonts w:ascii="Arial" w:cs="Arial" w:eastAsia="Arial" w:hAnsi="Arial"/>
                <w:sz w:val="13"/>
                <w:szCs w:val="13"/>
                <w:b w:val="1"/>
                <w:bCs w:val="1"/>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1" w:lineRule="exact"/>
              <w:rPr>
                <w:sz w:val="20"/>
                <w:szCs w:val="20"/>
                <w:color w:val="auto"/>
              </w:rPr>
            </w:pPr>
            <w:r>
              <w:rPr>
                <w:rFonts w:ascii="Arial" w:cs="Arial" w:eastAsia="Arial" w:hAnsi="Arial"/>
                <w:sz w:val="13"/>
                <w:szCs w:val="13"/>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1" w:lineRule="exact"/>
              <w:rPr>
                <w:sz w:val="20"/>
                <w:szCs w:val="20"/>
                <w:color w:val="auto"/>
              </w:rPr>
            </w:pPr>
            <w:r>
              <w:rPr>
                <w:rFonts w:ascii="Arial" w:cs="Arial" w:eastAsia="Arial" w:hAnsi="Arial"/>
                <w:sz w:val="13"/>
                <w:szCs w:val="13"/>
                <w:b w:val="1"/>
                <w:bCs w:val="1"/>
                <w:color w:val="auto"/>
              </w:rPr>
              <w:t>2012</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1"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available to common shareholders</w:t>
            </w:r>
          </w:p>
        </w:tc>
        <w:tc>
          <w:tcPr>
            <w:tcW w:w="1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11,965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(231,102</w:t>
            </w:r>
          </w:p>
        </w:tc>
        <w:tc>
          <w:tcPr>
            <w:tcW w:w="100" w:type="dxa"/>
            <w:vAlign w:val="bottom"/>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0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Basic</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57,840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25,427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57,803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7"/>
                <w:szCs w:val="17"/>
                <w:color w:val="auto"/>
              </w:rPr>
              <w:t>Effect of dilutive securities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Convertible securities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32,116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ind w:left="840"/>
              <w:spacing w:after="0"/>
              <w:rPr>
                <w:sz w:val="20"/>
                <w:szCs w:val="20"/>
                <w:color w:val="auto"/>
              </w:rPr>
            </w:pPr>
            <w:r>
              <w:rPr>
                <w:rFonts w:ascii="Arial" w:cs="Arial" w:eastAsia="Arial" w:hAnsi="Arial"/>
                <w:sz w:val="17"/>
                <w:szCs w:val="17"/>
                <w:color w:val="auto"/>
              </w:rPr>
              <w:t>Stock options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Warrants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7"/>
                <w:szCs w:val="17"/>
                <w:color w:val="auto"/>
              </w:rPr>
              <w:t>Diluted</w:t>
            </w:r>
          </w:p>
        </w:tc>
        <w:tc>
          <w:tcPr>
            <w:tcW w:w="1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57,840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57,543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57,803</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(loss) per common share: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7"/>
                <w:szCs w:val="17"/>
                <w:color w:val="auto"/>
              </w:rPr>
              <w:t>Basic</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.06</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.21</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2"/>
              <w:spacing w:after="0"/>
              <w:rPr>
                <w:sz w:val="20"/>
                <w:szCs w:val="20"/>
                <w:color w:val="auto"/>
              </w:rPr>
            </w:pPr>
            <w:r>
              <w:rPr>
                <w:rFonts w:ascii="Arial" w:cs="Arial" w:eastAsia="Arial" w:hAnsi="Arial"/>
                <w:sz w:val="17"/>
                <w:szCs w:val="17"/>
                <w:color w:val="auto"/>
              </w:rPr>
              <w:t>(10.52)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(10.52)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At June 30, 2012, United had the following potentially dilutive stock options and warrants outstanding: a warrant to purchase 219,908.49 common shares at $61.39 per share issued to the U.S. Treasury in conjunction with the issuance of United’s fixed rate cumulative preferred perpetual stock, Series B; 129,670 common shares issuable upon exercise of warrants attached to trust preferred securities with an exercise price of $100 per share; 502,743 common shares issuable upon exercise of stock options granted to employees with a weighted average exercise price of $97.92; 414,045 shares issuable upon completion of vesting of restricted stock awards; 1,411,765 common shares issuable upon exercise of warrants exercisable at a price equivalent to $21.25 per share granted to Fletcher International Ltd. (“Fletcher”) in connection with a 2010 asset purchase and sale agreement; 2,476,191 common shares issuable upon conversion of preferred stock if Fletcher or its purported assignee exercises its option to purchase $65 million in convertible preferred stock, convertible at $26.25 per share; 1,162,791 common shares issuable upon exercise of warrants, exercisable at a price equivalent to $30.10 per share to be granted to Fletcher or its purported assignee upon exercise of its option to acquire preferred stock; and 1,551,126 common shares issuable upon exercise of warrants owned by Elm Ridge Off Shore Master Fund, Ltd. and Elm Ridge Value Partners, L.P. (collectively, the “Elm Ridge Parties”), exercisable at $12.50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57"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Derivatives and Hedging Activities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Objective of Using Derivatives</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wholesale borrowings and deposits.</w:t>
      </w:r>
    </w:p>
    <w:p>
      <w:pPr>
        <w:spacing w:after="0" w:line="133"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In conjunction with the FASB’s fair value measurement guidance, United made an accounting policy election to measure the credit risk of its derivative financial instruments that are subject to master netting agreements on a net basis by counterparty portfolio.</w:t>
      </w:r>
    </w:p>
    <w:p>
      <w:pPr>
        <w:spacing w:after="0" w:line="111"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 xml:space="preserve">The table below presents the fair value of United’s derivative financial instruments as well as their classification on the consolidated balance sheet as of June 30, 2012, December 31, 2011 and June 30, 2011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 accounted for as hedges under ASC 815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0" w:type="dxa"/>
            <w:vAlign w:val="bottom"/>
          </w:tcPr>
          <w:p>
            <w:pPr>
              <w:spacing w:after="0"/>
              <w:rPr>
                <w:sz w:val="13"/>
                <w:szCs w:val="13"/>
                <w:color w:val="auto"/>
              </w:rPr>
            </w:pPr>
          </w:p>
        </w:tc>
        <w:tc>
          <w:tcPr>
            <w:tcW w:w="3660" w:type="dxa"/>
            <w:vAlign w:val="bottom"/>
            <w:gridSpan w:val="2"/>
            <w:vMerge w:val="restart"/>
          </w:tcPr>
          <w:p>
            <w:pPr>
              <w:ind w:left="1440"/>
              <w:spacing w:after="0"/>
              <w:rPr>
                <w:sz w:val="20"/>
                <w:szCs w:val="20"/>
                <w:color w:val="auto"/>
              </w:rPr>
            </w:pPr>
            <w:r>
              <w:rPr>
                <w:rFonts w:ascii="Arial" w:cs="Arial" w:eastAsia="Arial" w:hAnsi="Arial"/>
                <w:sz w:val="13"/>
                <w:szCs w:val="13"/>
                <w:b w:val="1"/>
                <w:bCs w:val="1"/>
                <w:color w:val="auto"/>
              </w:rPr>
              <w:t>Interest Rate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89"/>
              </w:rPr>
              <w:t>Balance Sheet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Fair Value</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80" w:type="dxa"/>
            <w:vAlign w:val="bottom"/>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spacing w:after="0" w:line="114" w:lineRule="exact"/>
              <w:rPr>
                <w:sz w:val="20"/>
                <w:szCs w:val="20"/>
                <w:color w:val="auto"/>
              </w:rPr>
            </w:pPr>
            <w:r>
              <w:rPr>
                <w:rFonts w:ascii="Arial" w:cs="Arial" w:eastAsia="Arial" w:hAnsi="Arial"/>
                <w:sz w:val="13"/>
                <w:szCs w:val="13"/>
                <w:b w:val="1"/>
                <w:bCs w:val="1"/>
                <w:color w:val="auto"/>
                <w:w w:val="92"/>
              </w:rPr>
              <w:t>June 30,</w:t>
            </w:r>
          </w:p>
        </w:tc>
        <w:tc>
          <w:tcPr>
            <w:tcW w:w="380" w:type="dxa"/>
            <w:vAlign w:val="bottom"/>
          </w:tcPr>
          <w:p>
            <w:pPr>
              <w:spacing w:after="0"/>
              <w:rPr>
                <w:sz w:val="9"/>
                <w:szCs w:val="9"/>
                <w:color w:val="auto"/>
              </w:rPr>
            </w:pPr>
          </w:p>
        </w:tc>
        <w:tc>
          <w:tcPr>
            <w:tcW w:w="880" w:type="dxa"/>
            <w:vAlign w:val="bottom"/>
            <w:gridSpan w:val="4"/>
          </w:tcPr>
          <w:p>
            <w:pPr>
              <w:jc w:val="center"/>
              <w:spacing w:after="0" w:line="114" w:lineRule="exact"/>
              <w:rPr>
                <w:sz w:val="20"/>
                <w:szCs w:val="20"/>
                <w:color w:val="auto"/>
              </w:rPr>
            </w:pPr>
            <w:r>
              <w:rPr>
                <w:rFonts w:ascii="Arial" w:cs="Arial" w:eastAsia="Arial" w:hAnsi="Arial"/>
                <w:sz w:val="13"/>
                <w:szCs w:val="13"/>
                <w:b w:val="1"/>
                <w:bCs w:val="1"/>
                <w:color w:val="auto"/>
                <w:w w:val="92"/>
              </w:rPr>
              <w:t>December 31,</w:t>
            </w:r>
          </w:p>
        </w:tc>
        <w:tc>
          <w:tcPr>
            <w:tcW w:w="960" w:type="dxa"/>
            <w:vAlign w:val="bottom"/>
            <w:gridSpan w:val="3"/>
          </w:tcPr>
          <w:p>
            <w:pPr>
              <w:ind w:left="460"/>
              <w:spacing w:after="0" w:line="114" w:lineRule="exact"/>
              <w:rPr>
                <w:sz w:val="20"/>
                <w:szCs w:val="20"/>
                <w:color w:val="auto"/>
              </w:rPr>
            </w:pPr>
            <w:r>
              <w:rPr>
                <w:rFonts w:ascii="Arial" w:cs="Arial" w:eastAsia="Arial" w:hAnsi="Arial"/>
                <w:sz w:val="13"/>
                <w:szCs w:val="13"/>
                <w:b w:val="1"/>
                <w:bCs w:val="1"/>
                <w:color w:val="auto"/>
                <w:w w:val="92"/>
              </w:rPr>
              <w:t>June 30,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80" w:type="dxa"/>
            <w:vAlign w:val="bottom"/>
          </w:tcPr>
          <w:p>
            <w:pPr>
              <w:spacing w:after="0"/>
              <w:rPr>
                <w:sz w:val="15"/>
                <w:szCs w:val="15"/>
                <w:color w:val="auto"/>
              </w:rPr>
            </w:pPr>
          </w:p>
        </w:tc>
        <w:tc>
          <w:tcPr>
            <w:tcW w:w="3660" w:type="dxa"/>
            <w:vAlign w:val="bottom"/>
            <w:gridSpan w:val="2"/>
          </w:tcPr>
          <w:p>
            <w:pPr>
              <w:ind w:left="1560"/>
              <w:spacing w:after="0"/>
              <w:rPr>
                <w:sz w:val="20"/>
                <w:szCs w:val="20"/>
                <w:color w:val="auto"/>
              </w:rPr>
            </w:pPr>
            <w:r>
              <w:rPr>
                <w:rFonts w:ascii="Arial" w:cs="Arial" w:eastAsia="Arial" w:hAnsi="Arial"/>
                <w:sz w:val="13"/>
                <w:szCs w:val="13"/>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Location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jc w:val="center"/>
              <w:ind w:left="1"/>
              <w:spacing w:after="0"/>
              <w:rPr>
                <w:sz w:val="20"/>
                <w:szCs w:val="20"/>
                <w:color w:val="auto"/>
              </w:rPr>
            </w:pPr>
            <w:r>
              <w:rPr>
                <w:rFonts w:ascii="Arial" w:cs="Arial" w:eastAsia="Arial" w:hAnsi="Arial"/>
                <w:sz w:val="13"/>
                <w:szCs w:val="13"/>
                <w:b w:val="1"/>
                <w:bCs w:val="1"/>
                <w:color w:val="auto"/>
                <w:w w:val="89"/>
              </w:rPr>
              <w:t>2012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2011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Asset derivatives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   68</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ind w:left="460"/>
              <w:spacing w:after="0"/>
              <w:rPr>
                <w:sz w:val="20"/>
                <w:szCs w:val="20"/>
                <w:color w:val="auto"/>
              </w:rPr>
            </w:pPr>
            <w:r>
              <w:rPr>
                <w:rFonts w:ascii="Arial" w:cs="Arial" w:eastAsia="Arial" w:hAnsi="Arial"/>
                <w:sz w:val="17"/>
                <w:szCs w:val="17"/>
                <w:color w:val="auto"/>
              </w:rPr>
              <w:t>Liability derivatives</w:t>
            </w:r>
          </w:p>
        </w:tc>
        <w:tc>
          <w:tcPr>
            <w:tcW w:w="240" w:type="dxa"/>
            <w:vAlign w:val="bottom"/>
          </w:tcPr>
          <w:p>
            <w:pPr>
              <w:spacing w:after="0" w:line="20" w:lineRule="exact"/>
              <w:rPr>
                <w:sz w:val="1"/>
                <w:szCs w:val="1"/>
                <w:color w:val="auto"/>
              </w:rPr>
            </w:pPr>
          </w:p>
        </w:tc>
        <w:tc>
          <w:tcPr>
            <w:tcW w:w="3420" w:type="dxa"/>
            <w:vAlign w:val="bottom"/>
            <w:gridSpan w:val="3"/>
            <w:vMerge w:val="restart"/>
          </w:tcPr>
          <w:p>
            <w:pPr>
              <w:ind w:left="120"/>
              <w:spacing w:after="0"/>
              <w:rPr>
                <w:sz w:val="20"/>
                <w:szCs w:val="20"/>
                <w:color w:val="auto"/>
              </w:rPr>
            </w:pPr>
            <w:r>
              <w:rPr>
                <w:rFonts w:ascii="Arial" w:cs="Arial" w:eastAsia="Arial" w:hAnsi="Arial"/>
                <w:sz w:val="17"/>
                <w:szCs w:val="17"/>
                <w:color w:val="auto"/>
              </w:rPr>
              <w:t>Other liabilities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center"/>
              <w:ind w:left="1"/>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5,987</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440"/>
              <w:spacing w:after="0"/>
              <w:rPr>
                <w:sz w:val="20"/>
                <w:szCs w:val="20"/>
                <w:color w:val="auto"/>
              </w:rPr>
            </w:pPr>
            <w:r>
              <w:rPr>
                <w:rFonts w:ascii="Arial" w:cs="Arial" w:eastAsia="Arial" w:hAnsi="Arial"/>
                <w:sz w:val="17"/>
                <w:szCs w:val="17"/>
                <w:color w:val="auto"/>
                <w:w w:val="84"/>
              </w:rPr>
              <w:t>422</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91"/>
              </w:rPr>
              <w:t>Derivatives not accounted for as hedges under ASC 815</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1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80" w:type="dxa"/>
            <w:vAlign w:val="bottom"/>
          </w:tcPr>
          <w:p>
            <w:pPr>
              <w:spacing w:after="0"/>
              <w:rPr>
                <w:sz w:val="24"/>
                <w:szCs w:val="24"/>
                <w:color w:val="auto"/>
              </w:rPr>
            </w:pPr>
          </w:p>
        </w:tc>
        <w:tc>
          <w:tcPr>
            <w:tcW w:w="3660" w:type="dxa"/>
            <w:vAlign w:val="bottom"/>
            <w:gridSpan w:val="2"/>
            <w:vMerge w:val="restart"/>
          </w:tcPr>
          <w:p>
            <w:pPr>
              <w:ind w:left="1340"/>
              <w:spacing w:after="0"/>
              <w:rPr>
                <w:sz w:val="20"/>
                <w:szCs w:val="20"/>
                <w:color w:val="auto"/>
              </w:rPr>
            </w:pPr>
            <w:r>
              <w:rPr>
                <w:rFonts w:ascii="Arial" w:cs="Arial" w:eastAsia="Arial" w:hAnsi="Arial"/>
                <w:sz w:val="13"/>
                <w:szCs w:val="13"/>
                <w:b w:val="1"/>
                <w:bCs w:val="1"/>
                <w:color w:val="auto"/>
              </w:rPr>
              <w:t>Interest Rate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89"/>
              </w:rPr>
              <w:t>Balance Sheet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6"/>
              </w:rPr>
              <w:t>Fair Value</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4"/>
          </w:tcPr>
          <w:p>
            <w:pPr>
              <w:jc w:val="right"/>
              <w:ind w:right="200"/>
              <w:spacing w:after="0" w:line="114" w:lineRule="exact"/>
              <w:rPr>
                <w:sz w:val="20"/>
                <w:szCs w:val="20"/>
                <w:color w:val="auto"/>
              </w:rPr>
            </w:pPr>
            <w:r>
              <w:rPr>
                <w:rFonts w:ascii="Arial" w:cs="Arial" w:eastAsia="Arial" w:hAnsi="Arial"/>
                <w:sz w:val="13"/>
                <w:szCs w:val="13"/>
                <w:b w:val="1"/>
                <w:bCs w:val="1"/>
                <w:color w:val="auto"/>
                <w:w w:val="84"/>
              </w:rPr>
              <w:t>June 30,</w:t>
            </w:r>
          </w:p>
        </w:tc>
        <w:tc>
          <w:tcPr>
            <w:tcW w:w="1260" w:type="dxa"/>
            <w:vAlign w:val="bottom"/>
            <w:gridSpan w:val="5"/>
          </w:tcPr>
          <w:p>
            <w:pPr>
              <w:jc w:val="center"/>
              <w:ind w:left="200"/>
              <w:spacing w:after="0" w:line="114" w:lineRule="exact"/>
              <w:rPr>
                <w:sz w:val="20"/>
                <w:szCs w:val="20"/>
                <w:color w:val="auto"/>
              </w:rPr>
            </w:pPr>
            <w:r>
              <w:rPr>
                <w:rFonts w:ascii="Arial" w:cs="Arial" w:eastAsia="Arial" w:hAnsi="Arial"/>
                <w:sz w:val="13"/>
                <w:szCs w:val="13"/>
                <w:b w:val="1"/>
                <w:bCs w:val="1"/>
                <w:color w:val="auto"/>
                <w:w w:val="92"/>
              </w:rPr>
              <w:t>December 31,</w:t>
            </w:r>
          </w:p>
        </w:tc>
        <w:tc>
          <w:tcPr>
            <w:tcW w:w="960" w:type="dxa"/>
            <w:vAlign w:val="bottom"/>
            <w:gridSpan w:val="3"/>
          </w:tcPr>
          <w:p>
            <w:pPr>
              <w:ind w:left="460"/>
              <w:spacing w:after="0" w:line="114" w:lineRule="exact"/>
              <w:rPr>
                <w:sz w:val="20"/>
                <w:szCs w:val="20"/>
                <w:color w:val="auto"/>
              </w:rPr>
            </w:pPr>
            <w:r>
              <w:rPr>
                <w:rFonts w:ascii="Arial" w:cs="Arial" w:eastAsia="Arial" w:hAnsi="Arial"/>
                <w:sz w:val="13"/>
                <w:szCs w:val="13"/>
                <w:b w:val="1"/>
                <w:bCs w:val="1"/>
                <w:color w:val="auto"/>
                <w:w w:val="92"/>
              </w:rPr>
              <w:t>June 30,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80" w:type="dxa"/>
            <w:vAlign w:val="bottom"/>
          </w:tcPr>
          <w:p>
            <w:pPr>
              <w:spacing w:after="0"/>
              <w:rPr>
                <w:sz w:val="15"/>
                <w:szCs w:val="15"/>
                <w:color w:val="auto"/>
              </w:rPr>
            </w:pPr>
          </w:p>
        </w:tc>
        <w:tc>
          <w:tcPr>
            <w:tcW w:w="3660" w:type="dxa"/>
            <w:vAlign w:val="bottom"/>
            <w:gridSpan w:val="2"/>
          </w:tcPr>
          <w:p>
            <w:pPr>
              <w:ind w:left="1460"/>
              <w:spacing w:after="0"/>
              <w:rPr>
                <w:sz w:val="20"/>
                <w:szCs w:val="20"/>
                <w:color w:val="auto"/>
              </w:rPr>
            </w:pPr>
            <w:r>
              <w:rPr>
                <w:rFonts w:ascii="Arial" w:cs="Arial" w:eastAsia="Arial" w:hAnsi="Arial"/>
                <w:sz w:val="13"/>
                <w:szCs w:val="13"/>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Location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ind w:right="43"/>
              <w:spacing w:after="0"/>
              <w:rPr>
                <w:sz w:val="20"/>
                <w:szCs w:val="20"/>
                <w:color w:val="auto"/>
              </w:rPr>
            </w:pPr>
            <w:r>
              <w:rPr>
                <w:rFonts w:ascii="Arial" w:cs="Arial" w:eastAsia="Arial" w:hAnsi="Arial"/>
                <w:sz w:val="13"/>
                <w:szCs w:val="13"/>
                <w:b w:val="1"/>
                <w:bCs w:val="1"/>
                <w:color w:val="auto"/>
                <w:w w:val="89"/>
              </w:rPr>
              <w:t>2012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02"/>
              <w:spacing w:after="0"/>
              <w:rPr>
                <w:sz w:val="20"/>
                <w:szCs w:val="20"/>
                <w:color w:val="auto"/>
              </w:rPr>
            </w:pPr>
            <w:r>
              <w:rPr>
                <w:rFonts w:ascii="Arial" w:cs="Arial" w:eastAsia="Arial" w:hAnsi="Arial"/>
                <w:sz w:val="13"/>
                <w:szCs w:val="13"/>
                <w:b w:val="1"/>
                <w:bCs w:val="1"/>
                <w:color w:val="auto"/>
                <w:w w:val="89"/>
              </w:rPr>
              <w:t>2011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Asset derivatives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ind w:left="460"/>
              <w:spacing w:after="0"/>
              <w:rPr>
                <w:sz w:val="20"/>
                <w:szCs w:val="20"/>
                <w:color w:val="auto"/>
              </w:rPr>
            </w:pPr>
            <w:r>
              <w:rPr>
                <w:rFonts w:ascii="Arial" w:cs="Arial" w:eastAsia="Arial" w:hAnsi="Arial"/>
                <w:sz w:val="17"/>
                <w:szCs w:val="17"/>
                <w:color w:val="auto"/>
              </w:rPr>
              <w:t>Liability derivatives</w:t>
            </w:r>
          </w:p>
        </w:tc>
        <w:tc>
          <w:tcPr>
            <w:tcW w:w="3660" w:type="dxa"/>
            <w:vAlign w:val="bottom"/>
            <w:gridSpan w:val="4"/>
            <w:vMerge w:val="restart"/>
          </w:tcPr>
          <w:p>
            <w:pPr>
              <w:ind w:left="220"/>
              <w:spacing w:after="0"/>
              <w:rPr>
                <w:sz w:val="20"/>
                <w:szCs w:val="20"/>
                <w:color w:val="auto"/>
              </w:rPr>
            </w:pPr>
            <w:r>
              <w:rPr>
                <w:rFonts w:ascii="Arial" w:cs="Arial" w:eastAsia="Arial" w:hAnsi="Arial"/>
                <w:sz w:val="17"/>
                <w:szCs w:val="17"/>
                <w:color w:val="auto"/>
              </w:rPr>
              <w:t>Other liabilities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40" w:type="dxa"/>
            <w:vAlign w:val="bottom"/>
            <w:gridSpan w:val="3"/>
            <w:vMerge w:val="continue"/>
          </w:tcPr>
          <w:p>
            <w:pPr>
              <w:spacing w:after="0"/>
              <w:rPr>
                <w:sz w:val="18"/>
                <w:szCs w:val="18"/>
                <w:color w:val="auto"/>
              </w:rPr>
            </w:pPr>
          </w:p>
        </w:tc>
        <w:tc>
          <w:tcPr>
            <w:tcW w:w="3660" w:type="dxa"/>
            <w:vAlign w:val="bottom"/>
            <w:gridSpan w:val="4"/>
            <w:vMerge w:val="continue"/>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155</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Derivative contracts that are not accounted for as hedges under ASC 815 are between United and certain commercial loan customers with offsetting positions to dealers under a back-to-back swap program.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Hedges of Interest Rate Risk</w:t>
      </w:r>
    </w:p>
    <w:p>
      <w:pPr>
        <w:spacing w:after="0" w:line="105"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June 30, 2012, United’s interest rate swaps designated as cash flow hedges involve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the company in a rising rate environment. The swaps are forward starting and do not become effective until 2014. At June 30, 2012, United had five swap contracts outstanding with a total notional amount of $400 million that were designated as cash flow hedges. United had no active derivative contracts outstanding at December 31, 2011 or June 30, 2011 that were designated as cash flow hedges of interest rate risk.</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40"/>
          </w:cols>
          <w:pgMar w:left="240" w:top="457"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in 2014 as interest payments are made on United’s LIBOR based variable-rate wholesale borrowings and indexed deposit accounts. At June 30, 2012, a portion of the amount included in other comprehensive income represents deferred gains from terminated cash flow hedges where the forecasted hedging transaction is expected to remain effective over the remaining unexpired term of the original contract. Such gains are being deferred and recognized over the remaining life of the contract on a straight line basis. During the three and six months ended June 30, 2012, United accelerated the reclassification of $43,000 and $124,000, respectively, in gains from terminated positions as a result of the forecasted transactions becoming probable not to occur. During the next twelve months, United estimates that an additional $2.23 million of the deferred gains on terminated cash flow hedging positions will be reclassified as an increase to interest revenue.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Hedges of Interest Rate Risk</w:t>
      </w:r>
    </w:p>
    <w:p>
      <w:pPr>
        <w:spacing w:after="0" w:line="1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At June 30, 2012, United had seven interest rate swaps with an aggregate notional amount of $104 million that were designated as fair value hedges of interest rate risk. As of June 30, 2011, United had no active derivatives designated as fair value hedges of interest rate risk.</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and six months ended June 30, 2012, United recognized net losses of $223,000 and $189,000, respectively, related to ineffectiveness of the fair value hedging relationships. United also recognized a net reduction of interest expense of $550,000 and $828,000 for the three and six months ended June 30, 2012, related to United’s fair value hedges, which includes net settlements on the derivatives. There were no active fair value hedges during the first six months of 2011.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Tabular Disclosure of the Effect of Derivative Instruments on the Income Statement</w:t>
      </w:r>
    </w:p>
    <w:p>
      <w:pPr>
        <w:spacing w:after="0" w:line="105"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color w:val="auto"/>
        </w:rPr>
        <w:t>The tables below present the effect of United’s derivative financial instruments on the consolidated statement of operations for the three and six months ended June 30, 2012 and 2011.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Derivatives in Fair Value Hedging Relationships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60" w:type="dxa"/>
            <w:vAlign w:val="bottom"/>
          </w:tcPr>
          <w:p>
            <w:pPr>
              <w:jc w:val="center"/>
              <w:spacing w:after="0"/>
              <w:rPr>
                <w:sz w:val="20"/>
                <w:szCs w:val="20"/>
                <w:color w:val="auto"/>
              </w:rPr>
            </w:pPr>
            <w:r>
              <w:rPr>
                <w:rFonts w:ascii="Arial" w:cs="Arial" w:eastAsia="Arial" w:hAnsi="Arial"/>
                <w:sz w:val="13"/>
                <w:szCs w:val="13"/>
                <w:b w:val="1"/>
                <w:bCs w:val="1"/>
                <w:color w:val="auto"/>
                <w:w w:val="92"/>
              </w:rPr>
              <w:t>Location of Gain (Loss)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4"/>
              </w:rPr>
              <w:t>Amount of Gain (Loss) Recognized in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w w:val="94"/>
              </w:rPr>
              <w:t>Amount of Gain (Loss) Recognized in</w:t>
            </w:r>
          </w:p>
        </w:tc>
      </w:tr>
      <w:tr>
        <w:trPr>
          <w:trHeight w:val="160"/>
        </w:trPr>
        <w:tc>
          <w:tcPr>
            <w:tcW w:w="20" w:type="dxa"/>
            <w:vAlign w:val="bottom"/>
          </w:tcPr>
          <w:p>
            <w:pPr>
              <w:spacing w:after="0"/>
              <w:rPr>
                <w:sz w:val="13"/>
                <w:szCs w:val="13"/>
                <w:color w:val="auto"/>
              </w:rPr>
            </w:pPr>
          </w:p>
        </w:tc>
        <w:tc>
          <w:tcPr>
            <w:tcW w:w="3960" w:type="dxa"/>
            <w:vAlign w:val="bottom"/>
          </w:tcPr>
          <w:p>
            <w:pPr>
              <w:jc w:val="center"/>
              <w:spacing w:after="0"/>
              <w:rPr>
                <w:sz w:val="20"/>
                <w:szCs w:val="20"/>
                <w:color w:val="auto"/>
              </w:rPr>
            </w:pPr>
            <w:r>
              <w:rPr>
                <w:rFonts w:ascii="Arial" w:cs="Arial" w:eastAsia="Arial" w:hAnsi="Arial"/>
                <w:sz w:val="13"/>
                <w:szCs w:val="13"/>
                <w:b w:val="1"/>
                <w:bCs w:val="1"/>
                <w:color w:val="auto"/>
                <w:w w:val="91"/>
              </w:rPr>
              <w:t>Recognized in Income</w:t>
            </w: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Income on Derivative</w:t>
            </w:r>
          </w:p>
        </w:tc>
        <w:tc>
          <w:tcPr>
            <w:tcW w:w="6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Income on Hedged Item</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1"/>
        </w:trPr>
        <w:tc>
          <w:tcPr>
            <w:tcW w:w="20" w:type="dxa"/>
            <w:vAlign w:val="bottom"/>
          </w:tcPr>
          <w:p>
            <w:pPr>
              <w:spacing w:after="0"/>
              <w:rPr>
                <w:sz w:val="12"/>
                <w:szCs w:val="12"/>
                <w:color w:val="auto"/>
              </w:rPr>
            </w:pPr>
          </w:p>
        </w:tc>
        <w:tc>
          <w:tcPr>
            <w:tcW w:w="39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5"/>
              </w:rPr>
              <w:t>on Derivative</w:t>
            </w: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3"/>
              <w:spacing w:after="0" w:line="141" w:lineRule="exact"/>
              <w:rPr>
                <w:sz w:val="20"/>
                <w:szCs w:val="20"/>
                <w:color w:val="auto"/>
              </w:rPr>
            </w:pPr>
            <w:r>
              <w:rPr>
                <w:rFonts w:ascii="Arial" w:cs="Arial" w:eastAsia="Arial" w:hAnsi="Arial"/>
                <w:sz w:val="13"/>
                <w:szCs w:val="13"/>
                <w:b w:val="1"/>
                <w:bCs w:val="1"/>
                <w:color w:val="auto"/>
              </w:rPr>
              <w:t>2012</w:t>
            </w: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0"/>
              <w:spacing w:after="0" w:line="141" w:lineRule="exact"/>
              <w:rPr>
                <w:sz w:val="20"/>
                <w:szCs w:val="20"/>
                <w:color w:val="auto"/>
              </w:rPr>
            </w:pPr>
            <w:r>
              <w:rPr>
                <w:rFonts w:ascii="Arial" w:cs="Arial" w:eastAsia="Arial" w:hAnsi="Arial"/>
                <w:sz w:val="13"/>
                <w:szCs w:val="13"/>
                <w:b w:val="1"/>
                <w:bCs w:val="1"/>
                <w:color w:val="auto"/>
              </w:rPr>
              <w:t>2011</w:t>
            </w:r>
          </w:p>
        </w:tc>
        <w:tc>
          <w:tcPr>
            <w:tcW w:w="6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5"/>
              <w:spacing w:after="0" w:line="141" w:lineRule="exact"/>
              <w:rPr>
                <w:sz w:val="20"/>
                <w:szCs w:val="20"/>
                <w:color w:val="auto"/>
              </w:rPr>
            </w:pPr>
            <w:r>
              <w:rPr>
                <w:rFonts w:ascii="Arial" w:cs="Arial" w:eastAsia="Arial" w:hAnsi="Arial"/>
                <w:sz w:val="13"/>
                <w:szCs w:val="13"/>
                <w:b w:val="1"/>
                <w:bCs w:val="1"/>
                <w:color w:val="auto"/>
              </w:rPr>
              <w:t>2012</w:t>
            </w:r>
          </w:p>
        </w:tc>
        <w:tc>
          <w:tcPr>
            <w:tcW w:w="4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0"/>
              <w:spacing w:after="0" w:line="141" w:lineRule="exact"/>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CCEEFF"/>
            </w:tcBorders>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Three Months Ended June 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Other fee revenue</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2,087</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tcPr>
          <w:p>
            <w:pPr>
              <w:ind w:left="3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(2,310)</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Six Months Ended June 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Other fee revenue</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823</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tcPr>
          <w:p>
            <w:pPr>
              <w:ind w:left="3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(1,012)</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43"/>
              <w:spacing w:after="0"/>
              <w:rPr>
                <w:sz w:val="20"/>
                <w:szCs w:val="20"/>
                <w:color w:val="auto"/>
              </w:rPr>
            </w:pPr>
            <w:r>
              <w:rPr>
                <w:rFonts w:ascii="Arial" w:cs="Arial" w:eastAsia="Arial" w:hAnsi="Arial"/>
                <w:sz w:val="17"/>
                <w:szCs w:val="17"/>
                <w:color w:val="auto"/>
              </w:rPr>
              <w:t>23</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7"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Derivatives in Cash Flow Hedging Relationships </w:t>
      </w:r>
      <w:r>
        <w:rPr>
          <w:rFonts w:ascii="Arial" w:cs="Arial" w:eastAsia="Arial" w:hAnsi="Arial"/>
          <w:sz w:val="17"/>
          <w:szCs w:val="17"/>
          <w:i w:val="1"/>
          <w:i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jc w:val="center"/>
              <w:ind w:left="87"/>
              <w:spacing w:after="0"/>
              <w:rPr>
                <w:sz w:val="20"/>
                <w:szCs w:val="20"/>
                <w:color w:val="auto"/>
              </w:rPr>
            </w:pPr>
            <w:r>
              <w:rPr>
                <w:rFonts w:ascii="Arial" w:cs="Arial" w:eastAsia="Arial" w:hAnsi="Arial"/>
                <w:sz w:val="13"/>
                <w:szCs w:val="13"/>
                <w:b w:val="1"/>
                <w:bCs w:val="1"/>
                <w:color w:val="auto"/>
                <w:w w:val="92"/>
              </w:rPr>
              <w:t>Amount of Gain (Loss)</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left="87"/>
              <w:spacing w:after="0" w:line="148" w:lineRule="exact"/>
              <w:rPr>
                <w:sz w:val="20"/>
                <w:szCs w:val="20"/>
                <w:color w:val="auto"/>
              </w:rPr>
            </w:pPr>
            <w:r>
              <w:rPr>
                <w:rFonts w:ascii="Arial" w:cs="Arial" w:eastAsia="Arial" w:hAnsi="Arial"/>
                <w:sz w:val="13"/>
                <w:szCs w:val="13"/>
                <w:b w:val="1"/>
                <w:bCs w:val="1"/>
                <w:color w:val="auto"/>
                <w:w w:val="93"/>
              </w:rPr>
              <w:t>Recognized in Other</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tcPr>
          <w:p>
            <w:pPr>
              <w:jc w:val="center"/>
              <w:ind w:right="13"/>
              <w:spacing w:after="0" w:line="148" w:lineRule="exact"/>
              <w:rPr>
                <w:sz w:val="20"/>
                <w:szCs w:val="20"/>
                <w:color w:val="auto"/>
              </w:rPr>
            </w:pPr>
            <w:r>
              <w:rPr>
                <w:rFonts w:ascii="Arial" w:cs="Arial" w:eastAsia="Arial" w:hAnsi="Arial"/>
                <w:sz w:val="13"/>
                <w:szCs w:val="13"/>
                <w:b w:val="1"/>
                <w:bCs w:val="1"/>
                <w:color w:val="auto"/>
                <w:w w:val="93"/>
              </w:rPr>
              <w:t>Comprehensive Income on</w:t>
            </w:r>
          </w:p>
        </w:tc>
        <w:tc>
          <w:tcPr>
            <w:tcW w:w="380" w:type="dxa"/>
            <w:vAlign w:val="bottom"/>
          </w:tcPr>
          <w:p>
            <w:pPr>
              <w:spacing w:after="0"/>
              <w:rPr>
                <w:sz w:val="12"/>
                <w:szCs w:val="12"/>
                <w:color w:val="auto"/>
              </w:rPr>
            </w:pPr>
          </w:p>
        </w:tc>
        <w:tc>
          <w:tcPr>
            <w:tcW w:w="3340" w:type="dxa"/>
            <w:vAlign w:val="bottom"/>
            <w:gridSpan w:val="9"/>
          </w:tcPr>
          <w:p>
            <w:pPr>
              <w:ind w:left="200"/>
              <w:spacing w:after="0" w:line="148" w:lineRule="exact"/>
              <w:rPr>
                <w:sz w:val="20"/>
                <w:szCs w:val="20"/>
                <w:color w:val="auto"/>
              </w:rPr>
            </w:pPr>
            <w:r>
              <w:rPr>
                <w:rFonts w:ascii="Arial" w:cs="Arial" w:eastAsia="Arial" w:hAnsi="Arial"/>
                <w:sz w:val="13"/>
                <w:szCs w:val="13"/>
                <w:b w:val="1"/>
                <w:bCs w:val="1"/>
                <w:color w:val="auto"/>
              </w:rPr>
              <w:t>Gain (Loss) Reclassified from Accumulated Other</w:t>
            </w:r>
          </w:p>
        </w:tc>
        <w:tc>
          <w:tcPr>
            <w:tcW w:w="0" w:type="dxa"/>
            <w:vAlign w:val="bottom"/>
          </w:tcPr>
          <w:p>
            <w:pPr>
              <w:spacing w:after="0"/>
              <w:rPr>
                <w:sz w:val="1"/>
                <w:szCs w:val="1"/>
                <w:color w:val="auto"/>
              </w:rPr>
            </w:pPr>
          </w:p>
        </w:tc>
      </w:tr>
      <w:tr>
        <w:trPr>
          <w:trHeight w:val="160"/>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center"/>
              <w:ind w:right="33"/>
              <w:spacing w:after="0"/>
              <w:rPr>
                <w:sz w:val="20"/>
                <w:szCs w:val="20"/>
                <w:color w:val="auto"/>
              </w:rPr>
            </w:pPr>
            <w:r>
              <w:rPr>
                <w:rFonts w:ascii="Arial" w:cs="Arial" w:eastAsia="Arial" w:hAnsi="Arial"/>
                <w:sz w:val="13"/>
                <w:szCs w:val="13"/>
                <w:b w:val="1"/>
                <w:bCs w:val="1"/>
                <w:color w:val="auto"/>
                <w:w w:val="95"/>
              </w:rPr>
              <w:t>Derivative (Effective Portion)</w:t>
            </w:r>
          </w:p>
        </w:tc>
        <w:tc>
          <w:tcPr>
            <w:tcW w:w="380" w:type="dxa"/>
            <w:vAlign w:val="bottom"/>
          </w:tcPr>
          <w:p>
            <w:pPr>
              <w:spacing w:after="0"/>
              <w:rPr>
                <w:sz w:val="13"/>
                <w:szCs w:val="13"/>
                <w:color w:val="auto"/>
              </w:rPr>
            </w:pPr>
          </w:p>
        </w:tc>
        <w:tc>
          <w:tcPr>
            <w:tcW w:w="3340" w:type="dxa"/>
            <w:vAlign w:val="bottom"/>
            <w:gridSpan w:val="9"/>
          </w:tcPr>
          <w:p>
            <w:pPr>
              <w:ind w:left="20"/>
              <w:spacing w:after="0"/>
              <w:rPr>
                <w:sz w:val="20"/>
                <w:szCs w:val="20"/>
                <w:color w:val="auto"/>
              </w:rPr>
            </w:pPr>
            <w:r>
              <w:rPr>
                <w:rFonts w:ascii="Arial" w:cs="Arial" w:eastAsia="Arial" w:hAnsi="Arial"/>
                <w:sz w:val="13"/>
                <w:szCs w:val="13"/>
                <w:b w:val="1"/>
                <w:bCs w:val="1"/>
                <w:color w:val="auto"/>
                <w:w w:val="97"/>
              </w:rPr>
              <w:t>Comprehensive Income into Income (Effective Portion)</w:t>
            </w:r>
          </w:p>
        </w:tc>
        <w:tc>
          <w:tcPr>
            <w:tcW w:w="0" w:type="dxa"/>
            <w:vAlign w:val="bottom"/>
          </w:tcPr>
          <w:p>
            <w:pPr>
              <w:spacing w:after="0"/>
              <w:rPr>
                <w:sz w:val="1"/>
                <w:szCs w:val="1"/>
                <w:color w:val="auto"/>
              </w:rPr>
            </w:pPr>
          </w:p>
        </w:tc>
      </w:tr>
      <w:tr>
        <w:trPr>
          <w:trHeight w:val="141"/>
        </w:trPr>
        <w:tc>
          <w:tcPr>
            <w:tcW w:w="5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87"/>
              <w:spacing w:after="0" w:line="141"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53"/>
              <w:spacing w:after="0" w:line="141" w:lineRule="exact"/>
              <w:rPr>
                <w:sz w:val="20"/>
                <w:szCs w:val="20"/>
                <w:color w:val="auto"/>
              </w:rPr>
            </w:pPr>
            <w:r>
              <w:rPr>
                <w:rFonts w:ascii="Arial" w:cs="Arial" w:eastAsia="Arial" w:hAnsi="Arial"/>
                <w:sz w:val="13"/>
                <w:szCs w:val="13"/>
                <w:b w:val="1"/>
                <w:bCs w:val="1"/>
                <w:color w:val="auto"/>
              </w:rPr>
              <w:t>2011</w:t>
            </w:r>
          </w:p>
        </w:tc>
        <w:tc>
          <w:tcPr>
            <w:tcW w:w="380" w:type="dxa"/>
            <w:vAlign w:val="bottom"/>
          </w:tcPr>
          <w:p>
            <w:pPr>
              <w:spacing w:after="0"/>
              <w:rPr>
                <w:sz w:val="12"/>
                <w:szCs w:val="12"/>
                <w:color w:val="auto"/>
              </w:rPr>
            </w:pPr>
          </w:p>
        </w:tc>
        <w:tc>
          <w:tcPr>
            <w:tcW w:w="1360" w:type="dxa"/>
            <w:vAlign w:val="bottom"/>
            <w:tcBorders>
              <w:top w:val="single" w:sz="8" w:color="auto"/>
            </w:tcBorders>
          </w:tcPr>
          <w:p>
            <w:pPr>
              <w:ind w:left="420"/>
              <w:spacing w:after="0" w:line="141" w:lineRule="exact"/>
              <w:rPr>
                <w:sz w:val="20"/>
                <w:szCs w:val="20"/>
                <w:color w:val="auto"/>
              </w:rPr>
            </w:pPr>
            <w:r>
              <w:rPr>
                <w:rFonts w:ascii="Arial" w:cs="Arial" w:eastAsia="Arial" w:hAnsi="Arial"/>
                <w:sz w:val="13"/>
                <w:szCs w:val="13"/>
                <w:b w:val="1"/>
                <w:bCs w:val="1"/>
                <w:color w:val="auto"/>
              </w:rPr>
              <w:t>Location</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41" w:lineRule="exact"/>
              <w:rPr>
                <w:sz w:val="20"/>
                <w:szCs w:val="20"/>
                <w:color w:val="auto"/>
              </w:rPr>
            </w:pPr>
            <w:r>
              <w:rPr>
                <w:rFonts w:ascii="Arial" w:cs="Arial" w:eastAsia="Arial" w:hAnsi="Arial"/>
                <w:sz w:val="13"/>
                <w:szCs w:val="13"/>
                <w:b w:val="1"/>
                <w:bCs w:val="1"/>
                <w:color w:val="auto"/>
                <w:w w:val="96"/>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1" w:lineRule="exact"/>
              <w:rPr>
                <w:sz w:val="20"/>
                <w:szCs w:val="20"/>
                <w:color w:val="auto"/>
              </w:rPr>
            </w:pPr>
            <w:r>
              <w:rPr>
                <w:rFonts w:ascii="Arial" w:cs="Arial" w:eastAsia="Arial" w:hAnsi="Arial"/>
                <w:sz w:val="13"/>
                <w:szCs w:val="13"/>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7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Three Months Ended June 30,</w:t>
            </w: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Interest revenue</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671</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7"/>
                <w:szCs w:val="17"/>
                <w:color w:val="auto"/>
              </w:rPr>
              <w:t>Interest rate products</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(4,855)</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line="20" w:lineRule="exact"/>
              <w:rPr>
                <w:sz w:val="1"/>
                <w:szCs w:val="1"/>
                <w:color w:val="auto"/>
              </w:rPr>
            </w:pPr>
          </w:p>
        </w:tc>
        <w:tc>
          <w:tcPr>
            <w:tcW w:w="13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714</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Six Months Ended June 30,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Interest revenue</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2,190</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7"/>
                <w:szCs w:val="17"/>
                <w:color w:val="auto"/>
              </w:rPr>
              <w:t>Interest rate products</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(4,855)</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line="20" w:lineRule="exact"/>
              <w:rPr>
                <w:sz w:val="1"/>
                <w:szCs w:val="1"/>
                <w:color w:val="auto"/>
              </w:rPr>
            </w:pPr>
          </w:p>
        </w:tc>
        <w:tc>
          <w:tcPr>
            <w:tcW w:w="13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2,314</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9,624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Credit-risk-related Contingent Features</w:t>
      </w:r>
    </w:p>
    <w:p>
      <w:pPr>
        <w:spacing w:after="0" w:line="105"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w:t>
      </w:r>
    </w:p>
    <w:p>
      <w:pPr>
        <w:spacing w:after="0" w:line="1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Stock-Based Compensation</w:t>
      </w:r>
    </w:p>
    <w:p>
      <w:pPr>
        <w:spacing w:after="0" w:line="10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June 30, 2012, 1,351,000 additional awards could be granted under the plan. Through June 30, 2012, incentive stock options, nonqualified stock options, restricted stock awards and units and base salary stock grants had been granted under the plan.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stock option activity for the first six months of 2012.</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800"/>
              <w:spacing w:after="0" w:line="148" w:lineRule="exact"/>
              <w:rPr>
                <w:sz w:val="20"/>
                <w:szCs w:val="20"/>
                <w:color w:val="auto"/>
              </w:rPr>
            </w:pPr>
            <w:r>
              <w:rPr>
                <w:rFonts w:ascii="Arial" w:cs="Arial" w:eastAsia="Arial" w:hAnsi="Arial"/>
                <w:sz w:val="13"/>
                <w:szCs w:val="13"/>
                <w:b w:val="1"/>
                <w:bCs w:val="1"/>
                <w:color w:val="auto"/>
                <w:w w:val="92"/>
              </w:rPr>
              <w:t>Weighted-</w:t>
            </w:r>
          </w:p>
        </w:tc>
        <w:tc>
          <w:tcPr>
            <w:tcW w:w="7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Remaining</w:t>
            </w:r>
          </w:p>
        </w:tc>
        <w:tc>
          <w:tcPr>
            <w:tcW w:w="640" w:type="dxa"/>
            <w:vAlign w:val="bottom"/>
          </w:tcPr>
          <w:p>
            <w:pPr>
              <w:spacing w:after="0"/>
              <w:rPr>
                <w:sz w:val="12"/>
                <w:szCs w:val="12"/>
                <w:color w:val="auto"/>
              </w:rPr>
            </w:pPr>
          </w:p>
        </w:tc>
        <w:tc>
          <w:tcPr>
            <w:tcW w:w="820" w:type="dxa"/>
            <w:vAlign w:val="bottom"/>
            <w:gridSpan w:val="3"/>
          </w:tcPr>
          <w:p>
            <w:pPr>
              <w:jc w:val="center"/>
              <w:ind w:right="80"/>
              <w:spacing w:after="0" w:line="148"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vMerge w:val="restart"/>
          </w:tcPr>
          <w:p>
            <w:pPr>
              <w:ind w:left="2140"/>
              <w:spacing w:after="0"/>
              <w:rPr>
                <w:sz w:val="20"/>
                <w:szCs w:val="20"/>
                <w:color w:val="auto"/>
              </w:rPr>
            </w:pPr>
            <w:r>
              <w:rPr>
                <w:rFonts w:ascii="Arial" w:cs="Arial" w:eastAsia="Arial" w:hAnsi="Arial"/>
                <w:sz w:val="13"/>
                <w:szCs w:val="13"/>
                <w:b w:val="1"/>
                <w:bCs w:val="1"/>
                <w:color w:val="auto"/>
              </w:rPr>
              <w:t>Options</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gridSpan w:val="4"/>
          </w:tcPr>
          <w:p>
            <w:pPr>
              <w:jc w:val="center"/>
              <w:ind w:right="340"/>
              <w:spacing w:after="0" w:line="148" w:lineRule="exact"/>
              <w:rPr>
                <w:sz w:val="20"/>
                <w:szCs w:val="20"/>
                <w:color w:val="auto"/>
              </w:rPr>
            </w:pPr>
            <w:r>
              <w:rPr>
                <w:rFonts w:ascii="Arial" w:cs="Arial" w:eastAsia="Arial" w:hAnsi="Arial"/>
                <w:sz w:val="13"/>
                <w:szCs w:val="13"/>
                <w:b w:val="1"/>
                <w:bCs w:val="1"/>
                <w:color w:val="auto"/>
                <w:w w:val="90"/>
              </w:rPr>
              <w:t>Average Exercise</w:t>
            </w:r>
          </w:p>
        </w:tc>
        <w:tc>
          <w:tcPr>
            <w:tcW w:w="7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Contractual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5"/>
              </w:rPr>
              <w:t>Intrinisic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4"/>
              </w:rPr>
              <w:t>Price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Term (Years)</w:t>
            </w:r>
          </w:p>
        </w:tc>
        <w:tc>
          <w:tcPr>
            <w:tcW w:w="1460" w:type="dxa"/>
            <w:vAlign w:val="bottom"/>
            <w:gridSpan w:val="4"/>
          </w:tcPr>
          <w:p>
            <w:pPr>
              <w:jc w:val="center"/>
              <w:ind w:left="463"/>
              <w:spacing w:after="0"/>
              <w:rPr>
                <w:sz w:val="20"/>
                <w:szCs w:val="20"/>
                <w:color w:val="auto"/>
              </w:rPr>
            </w:pPr>
            <w:r>
              <w:rPr>
                <w:rFonts w:ascii="Arial" w:cs="Arial" w:eastAsia="Arial" w:hAnsi="Arial"/>
                <w:sz w:val="13"/>
                <w:szCs w:val="13"/>
                <w:b w:val="1"/>
                <w:bCs w:val="1"/>
                <w:color w:val="auto"/>
                <w:w w:val="94"/>
              </w:rPr>
              <w:t xml:space="preserve">Value </w:t>
            </w:r>
            <w:r>
              <w:rPr>
                <w:rFonts w:ascii="Arial" w:cs="Arial" w:eastAsia="Arial" w:hAnsi="Arial"/>
                <w:sz w:val="13"/>
                <w:szCs w:val="13"/>
                <w:b w:val="1"/>
                <w:bCs w:val="1"/>
                <w:u w:val="single" w:color="auto"/>
                <w:color w:val="auto"/>
                <w:w w:val="94"/>
              </w:rPr>
              <w:t>($</w:t>
            </w:r>
            <w:r>
              <w:rPr>
                <w:rFonts w:ascii="Arial" w:cs="Arial" w:eastAsia="Arial" w:hAnsi="Arial"/>
                <w:sz w:val="13"/>
                <w:szCs w:val="13"/>
                <w:b w:val="1"/>
                <w:bCs w:val="1"/>
                <w:color w:val="auto"/>
                <w:w w:val="94"/>
              </w:rPr>
              <w:t>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Outstanding at December 31, 2011</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583,647</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94.48</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Forfeited</w:t>
            </w:r>
          </w:p>
        </w:tc>
        <w:tc>
          <w:tcPr>
            <w:tcW w:w="1540" w:type="dxa"/>
            <w:vAlign w:val="bottom"/>
            <w:gridSpan w:val="3"/>
          </w:tcPr>
          <w:p>
            <w:pPr>
              <w:jc w:val="right"/>
              <w:ind w:right="300"/>
              <w:spacing w:after="0"/>
              <w:rPr>
                <w:sz w:val="20"/>
                <w:szCs w:val="20"/>
                <w:color w:val="auto"/>
              </w:rPr>
            </w:pPr>
            <w:r>
              <w:rPr>
                <w:rFonts w:ascii="Arial" w:cs="Arial" w:eastAsia="Arial" w:hAnsi="Arial"/>
                <w:sz w:val="17"/>
                <w:szCs w:val="17"/>
                <w:color w:val="auto"/>
              </w:rPr>
              <w:t>(2,472)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48.22</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(78,432)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73.89</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7"/>
                <w:szCs w:val="17"/>
                <w:color w:val="auto"/>
              </w:rPr>
              <w:t>Outstanding at June 30, 2012</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502,743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97.92</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June 30, 2012</w:t>
            </w:r>
          </w:p>
        </w:tc>
        <w:tc>
          <w:tcPr>
            <w:tcW w:w="5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478,452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101.71</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0" w:type="dxa"/>
            <w:vAlign w:val="bottom"/>
            <w:gridSpan w:val="2"/>
          </w:tcPr>
          <w:p>
            <w:pPr>
              <w:jc w:val="right"/>
              <w:ind w:right="537"/>
              <w:spacing w:after="0"/>
              <w:rPr>
                <w:sz w:val="20"/>
                <w:szCs w:val="20"/>
                <w:color w:val="auto"/>
              </w:rPr>
            </w:pPr>
            <w:r>
              <w:rPr>
                <w:rFonts w:ascii="Arial" w:cs="Arial" w:eastAsia="Arial" w:hAnsi="Arial"/>
                <w:sz w:val="17"/>
                <w:szCs w:val="17"/>
                <w:color w:val="auto"/>
              </w:rPr>
              <w:t>24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The fair value of each option is estimated on the date of grant using the Black-Scholes model. No stock options were granted during the six month periods ended June 30, 2012 or 2011.</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Compensation expense relating to stock options of $131,000 and $465,000 was included in earnings for the six months ended June 30, 2012 and 2011, respectively. Deferred tax benefits of $50,000 and $181,000, respectively, were included in the determination of income tax expense for the six month periods ended June 30, 2012 and 2011. The amount of compensation expense for both periods was determined based on the fair value of the options at the time of grant, multiplied by the number of options granted that are expected to vest, which was then amortized over the vesting period. The forfeiture rate for options is estimated to be approximately 3% per year. No options were exercised during the first six months of 2012 or 2011.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activity in restricted stock awards for the first six months of 2012.</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7"/>
        </w:trPr>
        <w:tc>
          <w:tcPr>
            <w:tcW w:w="63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Restricted Stock</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Average Grant-</w:t>
            </w:r>
          </w:p>
        </w:tc>
        <w:tc>
          <w:tcPr>
            <w:tcW w:w="0" w:type="dxa"/>
            <w:vAlign w:val="bottom"/>
          </w:tcPr>
          <w:p>
            <w:pPr>
              <w:spacing w:after="0"/>
              <w:rPr>
                <w:sz w:val="1"/>
                <w:szCs w:val="1"/>
                <w:color w:val="auto"/>
              </w:rPr>
            </w:pPr>
          </w:p>
        </w:tc>
      </w:tr>
      <w:tr>
        <w:trPr>
          <w:trHeight w:val="147"/>
        </w:trPr>
        <w:tc>
          <w:tcPr>
            <w:tcW w:w="6380" w:type="dxa"/>
            <w:vAlign w:val="bottom"/>
            <w:gridSpan w:val="3"/>
            <w:vMerge w:val="continue"/>
          </w:tcPr>
          <w:p>
            <w:pPr>
              <w:spacing w:after="0"/>
              <w:rPr>
                <w:sz w:val="12"/>
                <w:szCs w:val="12"/>
                <w:color w:val="auto"/>
              </w:rPr>
            </w:pPr>
          </w:p>
        </w:tc>
        <w:tc>
          <w:tcPr>
            <w:tcW w:w="980" w:type="dxa"/>
            <w:vAlign w:val="bottom"/>
            <w:gridSpan w:val="2"/>
          </w:tcPr>
          <w:p>
            <w:pPr>
              <w:jc w:val="right"/>
              <w:ind w:right="480"/>
              <w:spacing w:after="0" w:line="147" w:lineRule="exact"/>
              <w:rPr>
                <w:sz w:val="20"/>
                <w:szCs w:val="20"/>
                <w:color w:val="auto"/>
              </w:rPr>
            </w:pPr>
            <w:r>
              <w:rPr>
                <w:rFonts w:ascii="Arial" w:cs="Arial" w:eastAsia="Arial" w:hAnsi="Arial"/>
                <w:sz w:val="13"/>
                <w:szCs w:val="13"/>
                <w:b w:val="1"/>
                <w:bCs w:val="1"/>
                <w:color w:val="auto"/>
              </w:rPr>
              <w:t>Shares</w:t>
            </w:r>
          </w:p>
        </w:tc>
        <w:tc>
          <w:tcPr>
            <w:tcW w:w="1320" w:type="dxa"/>
            <w:vAlign w:val="bottom"/>
            <w:gridSpan w:val="4"/>
          </w:tcPr>
          <w:p>
            <w:pPr>
              <w:ind w:left="300"/>
              <w:spacing w:after="0" w:line="147" w:lineRule="exact"/>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December 31, 2011</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414,644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640" w:type="dxa"/>
            <w:vAlign w:val="bottom"/>
          </w:tcPr>
          <w:p>
            <w:pPr>
              <w:jc w:val="right"/>
              <w:spacing w:after="0"/>
              <w:rPr>
                <w:sz w:val="20"/>
                <w:szCs w:val="20"/>
                <w:color w:val="auto"/>
              </w:rPr>
            </w:pPr>
            <w:r>
              <w:rPr>
                <w:rFonts w:ascii="Arial" w:cs="Arial" w:eastAsia="Arial" w:hAnsi="Arial"/>
                <w:sz w:val="17"/>
                <w:szCs w:val="17"/>
                <w:color w:val="auto"/>
              </w:rPr>
              <w:t>29,491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Excercised</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(18,690)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7"/>
                <w:szCs w:val="17"/>
                <w:color w:val="auto"/>
              </w:rPr>
              <w:t>Cancelled</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(11,400)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June 30, 2012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414,045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7"/>
                <w:szCs w:val="17"/>
                <w:color w:val="auto"/>
              </w:rPr>
              <w:t>Vested at June 30, 2012</w:t>
            </w: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35.62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gridSpan w:val="3"/>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six months ended June 30, 2012 and 2011, compensation expense of $815,000 and $293,000, respectively, was recognized related to restricted stock awards. The total intrinsic value of the restricted stock was $3.55 million at June 30, 2012.</w:t>
      </w:r>
    </w:p>
    <w:p>
      <w:pPr>
        <w:spacing w:after="0" w:line="12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As of June 30, 2012, there was $3.10 million of unrecognized compensation cost related to non-vested stock options and restricted stock awards granted under the plan. That cost is expected to be recognized over a weighted-average period of 1.93 years. The aggregate grant date fair value of options and restricted stock awards that vested during the six months ended June 30, 2012, was $1.54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Common and Preferred Stock Issued / Common Stock Issuable</w:t>
      </w:r>
    </w:p>
    <w:p>
      <w:pPr>
        <w:spacing w:after="0" w:line="1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The DRIP is currently suspended.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six months ended June 30, 2012 and 2011, United issued 60,982 and 78,584 shares, respectively, and increased capital by $501,000 and $744,000, respectively, through these programs.</w:t>
      </w:r>
    </w:p>
    <w:p>
      <w:pPr>
        <w:spacing w:after="0" w:line="13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 stock and settlement must be accomplished in shares at the time the deferral period is completed. At June 30, 2012 and 2011, 94,657 and 83,575 shares, respectively, were issuable under the deferred compensation plan.</w:t>
      </w:r>
    </w:p>
    <w:p>
      <w:pPr>
        <w:spacing w:after="0" w:line="1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February 22, 2011, United entered into a Share Exchange Agreement with the Elm Ridge Parties. Under the Share Exchange Agreement, the Elm Ridge Parties agreed to transfer to United 1,551,126 shares of United’s common stock in exchange for 16,613 shares of United’s cumulative perpetual preferred stock, Series D, and warrants to purchase 1,551,126 common shares with an exercise price of $12.50 per share that expires on August 22, 2013. This exchange transaction did not result in a net increase or decrease to total shareholder’s equity for the year ended December 31, 2011.</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457"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Assets and Liabilities Measured at Fair Value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 on a Recurring Basis</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 xml:space="preserve">The table below presents United’s assets and liabilities measured at fair value on a recurring basis as of June 30, 2012, December 31, 2011 and June 30, 2011, aggregated by the level in the fair value hierarchy within which those measurements fall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Level 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95"/>
              <w:spacing w:after="0"/>
              <w:rPr>
                <w:sz w:val="20"/>
                <w:szCs w:val="20"/>
                <w:color w:val="auto"/>
              </w:rPr>
            </w:pPr>
            <w:r>
              <w:rPr>
                <w:rFonts w:ascii="Arial" w:cs="Arial" w:eastAsia="Arial" w:hAnsi="Arial"/>
                <w:sz w:val="13"/>
                <w:szCs w:val="13"/>
                <w:b w:val="1"/>
                <w:bCs w:val="1"/>
                <w:color w:val="auto"/>
              </w:rPr>
              <w:t>Level 2</w:t>
            </w:r>
          </w:p>
        </w:tc>
        <w:tc>
          <w:tcPr>
            <w:tcW w:w="400" w:type="dxa"/>
            <w:vAlign w:val="bottom"/>
          </w:tcPr>
          <w:p>
            <w:pPr>
              <w:spacing w:after="0"/>
              <w:rPr>
                <w:sz w:val="13"/>
                <w:szCs w:val="13"/>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w w:val="99"/>
              </w:rPr>
              <w:t>Level 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June 30, 2012</w:t>
            </w:r>
          </w:p>
        </w:tc>
        <w:tc>
          <w:tcPr>
            <w:tcW w:w="1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Assets</w:t>
            </w:r>
          </w:p>
        </w:tc>
        <w:tc>
          <w:tcPr>
            <w:tcW w:w="3840" w:type="dxa"/>
            <w:vAlign w:val="bottom"/>
            <w:tcBorders>
              <w:top w:val="single" w:sz="8" w:color="CCEEFF"/>
            </w:tcBorders>
            <w:gridSpan w:val="2"/>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Securities available for sale: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840"/>
              <w:spacing w:after="0"/>
              <w:rPr>
                <w:sz w:val="20"/>
                <w:szCs w:val="20"/>
                <w:color w:val="auto"/>
              </w:rPr>
            </w:pPr>
            <w:r>
              <w:rPr>
                <w:rFonts w:ascii="Arial" w:cs="Arial" w:eastAsia="Arial" w:hAnsi="Arial"/>
                <w:sz w:val="17"/>
                <w:szCs w:val="17"/>
                <w:color w:val="auto"/>
              </w:rPr>
              <w:t>U.S. Government agencies</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43,874</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43,874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State and political subdivisions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840"/>
              <w:spacing w:after="0"/>
              <w:rPr>
                <w:sz w:val="20"/>
                <w:szCs w:val="20"/>
                <w:color w:val="auto"/>
              </w:rPr>
            </w:pPr>
            <w:r>
              <w:rPr>
                <w:rFonts w:ascii="Arial" w:cs="Arial" w:eastAsia="Arial" w:hAnsi="Arial"/>
                <w:sz w:val="17"/>
                <w:szCs w:val="17"/>
                <w:color w:val="auto"/>
              </w:rPr>
              <w:t>Mortgage-backed securities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1,433,431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1,433,431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Corporate bonds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109,688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1"/>
              </w:rPr>
              <w:t>350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840"/>
              <w:spacing w:after="0"/>
              <w:rPr>
                <w:sz w:val="20"/>
                <w:szCs w:val="20"/>
                <w:color w:val="auto"/>
              </w:rPr>
            </w:pPr>
            <w:r>
              <w:rPr>
                <w:rFonts w:ascii="Arial" w:cs="Arial" w:eastAsia="Arial" w:hAnsi="Arial"/>
                <w:sz w:val="17"/>
                <w:szCs w:val="17"/>
                <w:color w:val="auto"/>
              </w:rPr>
              <w:t>Asset-backed securities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84,498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Other</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420"/>
              <w:spacing w:after="0"/>
              <w:rPr>
                <w:sz w:val="20"/>
                <w:szCs w:val="20"/>
                <w:color w:val="auto"/>
              </w:rPr>
            </w:pPr>
            <w:r>
              <w:rPr>
                <w:rFonts w:ascii="Arial" w:cs="Arial" w:eastAsia="Arial" w:hAnsi="Arial"/>
                <w:sz w:val="17"/>
                <w:szCs w:val="17"/>
                <w:color w:val="auto"/>
              </w:rPr>
              <w:t>Deferred compensation plan assets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2,895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Derivative financial instruments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gridSpan w:val="4"/>
          </w:tcPr>
          <w:p>
            <w:pPr>
              <w:spacing w:after="0"/>
              <w:rPr>
                <w:sz w:val="20"/>
                <w:szCs w:val="20"/>
                <w:color w:val="auto"/>
              </w:rPr>
            </w:pPr>
            <w:r>
              <w:rPr>
                <w:rFonts w:ascii="Arial" w:cs="Arial" w:eastAsia="Arial" w:hAnsi="Arial"/>
                <w:sz w:val="17"/>
                <w:szCs w:val="17"/>
                <w:color w:val="auto"/>
              </w:rPr>
              <w:t>Total</w:t>
            </w:r>
          </w:p>
        </w:tc>
        <w:tc>
          <w:tcPr>
            <w:tcW w:w="230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2,895</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1,701,456</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40"/>
              <w:spacing w:after="0"/>
              <w:rPr>
                <w:sz w:val="20"/>
                <w:szCs w:val="20"/>
                <w:color w:val="auto"/>
              </w:rPr>
            </w:pPr>
            <w:r>
              <w:rPr>
                <w:rFonts w:ascii="Arial" w:cs="Arial" w:eastAsia="Arial" w:hAnsi="Arial"/>
                <w:sz w:val="17"/>
                <w:szCs w:val="17"/>
                <w:color w:val="auto"/>
                <w:w w:val="91"/>
              </w:rPr>
              <w:t>350</w:t>
            </w: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1,704,701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420"/>
              <w:spacing w:after="0"/>
              <w:rPr>
                <w:sz w:val="20"/>
                <w:szCs w:val="20"/>
                <w:color w:val="auto"/>
              </w:rPr>
            </w:pPr>
            <w:r>
              <w:rPr>
                <w:rFonts w:ascii="Arial" w:cs="Arial" w:eastAsia="Arial" w:hAnsi="Arial"/>
                <w:sz w:val="17"/>
                <w:szCs w:val="17"/>
                <w:color w:val="auto"/>
              </w:rPr>
              <w:t>Deferred compensation plan liability</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$2,895</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Brokered certificates of deposit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102,879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gridSpan w:val="3"/>
          </w:tcPr>
          <w:p>
            <w:pPr>
              <w:ind w:left="420"/>
              <w:spacing w:after="0"/>
              <w:rPr>
                <w:sz w:val="20"/>
                <w:szCs w:val="20"/>
                <w:color w:val="auto"/>
              </w:rPr>
            </w:pPr>
            <w:r>
              <w:rPr>
                <w:rFonts w:ascii="Arial" w:cs="Arial" w:eastAsia="Arial" w:hAnsi="Arial"/>
                <w:sz w:val="17"/>
                <w:szCs w:val="17"/>
                <w:color w:val="auto"/>
              </w:rPr>
              <w:t>Derivative financial instruments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6,142</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109,021</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Level 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95"/>
              <w:spacing w:after="0"/>
              <w:rPr>
                <w:sz w:val="20"/>
                <w:szCs w:val="20"/>
                <w:color w:val="auto"/>
              </w:rPr>
            </w:pPr>
            <w:r>
              <w:rPr>
                <w:rFonts w:ascii="Arial" w:cs="Arial" w:eastAsia="Arial" w:hAnsi="Arial"/>
                <w:sz w:val="13"/>
                <w:szCs w:val="13"/>
                <w:b w:val="1"/>
                <w:bCs w:val="1"/>
                <w:color w:val="auto"/>
              </w:rPr>
              <w:t>Level 2</w:t>
            </w:r>
          </w:p>
        </w:tc>
        <w:tc>
          <w:tcPr>
            <w:tcW w:w="400" w:type="dxa"/>
            <w:vAlign w:val="bottom"/>
          </w:tcPr>
          <w:p>
            <w:pPr>
              <w:spacing w:after="0"/>
              <w:rPr>
                <w:sz w:val="24"/>
                <w:szCs w:val="24"/>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w w:val="99"/>
              </w:rPr>
              <w:t>Level 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December 31, 2011</w:t>
            </w:r>
          </w:p>
        </w:tc>
        <w:tc>
          <w:tcPr>
            <w:tcW w:w="1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Assets</w:t>
            </w:r>
          </w:p>
        </w:tc>
        <w:tc>
          <w:tcPr>
            <w:tcW w:w="34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Securities available for sale: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840"/>
              <w:spacing w:after="0"/>
              <w:rPr>
                <w:sz w:val="20"/>
                <w:szCs w:val="20"/>
                <w:color w:val="auto"/>
              </w:rPr>
            </w:pPr>
            <w:r>
              <w:rPr>
                <w:rFonts w:ascii="Arial" w:cs="Arial" w:eastAsia="Arial" w:hAnsi="Arial"/>
                <w:sz w:val="17"/>
                <w:szCs w:val="17"/>
                <w:color w:val="auto"/>
              </w:rPr>
              <w:t>U.S. Government agencies</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43,750</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43,750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State and political subdivisions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840"/>
              <w:spacing w:after="0"/>
              <w:rPr>
                <w:sz w:val="20"/>
                <w:szCs w:val="20"/>
                <w:color w:val="auto"/>
              </w:rPr>
            </w:pPr>
            <w:r>
              <w:rPr>
                <w:rFonts w:ascii="Arial" w:cs="Arial" w:eastAsia="Arial" w:hAnsi="Arial"/>
                <w:sz w:val="17"/>
                <w:szCs w:val="17"/>
                <w:color w:val="auto"/>
              </w:rPr>
              <w:t>Mortgage-backed securities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1,609,909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1,609,909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Corporate bonds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107,328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1"/>
              </w:rPr>
              <w:t>350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840"/>
              <w:spacing w:after="0"/>
              <w:rPr>
                <w:sz w:val="20"/>
                <w:szCs w:val="20"/>
                <w:color w:val="auto"/>
              </w:rPr>
            </w:pPr>
            <w:r>
              <w:rPr>
                <w:rFonts w:ascii="Arial" w:cs="Arial" w:eastAsia="Arial" w:hAnsi="Arial"/>
                <w:sz w:val="17"/>
                <w:szCs w:val="17"/>
                <w:color w:val="auto"/>
              </w:rPr>
              <w:t>Other</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2,371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Deferred compensation plan assets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2,859</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gridSpan w:val="4"/>
          </w:tcPr>
          <w:p>
            <w:pPr>
              <w:spacing w:after="0"/>
              <w:rPr>
                <w:sz w:val="20"/>
                <w:szCs w:val="20"/>
                <w:color w:val="auto"/>
              </w:rPr>
            </w:pPr>
            <w:r>
              <w:rPr>
                <w:rFonts w:ascii="Arial" w:cs="Arial" w:eastAsia="Arial" w:hAnsi="Arial"/>
                <w:sz w:val="17"/>
                <w:szCs w:val="17"/>
                <w:color w:val="auto"/>
              </w:rPr>
              <w:t>Total</w:t>
            </w:r>
          </w:p>
        </w:tc>
        <w:tc>
          <w:tcPr>
            <w:tcW w:w="230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2,859</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1,789,697</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40"/>
              <w:spacing w:after="0"/>
              <w:rPr>
                <w:sz w:val="20"/>
                <w:szCs w:val="20"/>
                <w:color w:val="auto"/>
              </w:rPr>
            </w:pPr>
            <w:r>
              <w:rPr>
                <w:rFonts w:ascii="Arial" w:cs="Arial" w:eastAsia="Arial" w:hAnsi="Arial"/>
                <w:sz w:val="17"/>
                <w:szCs w:val="17"/>
                <w:color w:val="auto"/>
                <w:w w:val="91"/>
              </w:rPr>
              <w:t>350</w:t>
            </w: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1,792,906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420"/>
              <w:spacing w:after="0"/>
              <w:rPr>
                <w:sz w:val="20"/>
                <w:szCs w:val="20"/>
                <w:color w:val="auto"/>
              </w:rPr>
            </w:pPr>
            <w:r>
              <w:rPr>
                <w:rFonts w:ascii="Arial" w:cs="Arial" w:eastAsia="Arial" w:hAnsi="Arial"/>
                <w:sz w:val="17"/>
                <w:szCs w:val="17"/>
                <w:color w:val="auto"/>
              </w:rPr>
              <w:t>Deferred compensation plan liability</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$2,859</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Brokered certificates of deposit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gridSpan w:val="3"/>
          </w:tcPr>
          <w:p>
            <w:pPr>
              <w:ind w:left="420"/>
              <w:spacing w:after="0"/>
              <w:rPr>
                <w:sz w:val="20"/>
                <w:szCs w:val="20"/>
                <w:color w:val="auto"/>
              </w:rPr>
            </w:pPr>
            <w:r>
              <w:rPr>
                <w:rFonts w:ascii="Arial" w:cs="Arial" w:eastAsia="Arial" w:hAnsi="Arial"/>
                <w:sz w:val="17"/>
                <w:szCs w:val="17"/>
                <w:color w:val="auto"/>
              </w:rPr>
              <w:t>Derivative financial instruments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13,529</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Level 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95"/>
              <w:spacing w:after="0"/>
              <w:rPr>
                <w:sz w:val="20"/>
                <w:szCs w:val="20"/>
                <w:color w:val="auto"/>
              </w:rPr>
            </w:pPr>
            <w:r>
              <w:rPr>
                <w:rFonts w:ascii="Arial" w:cs="Arial" w:eastAsia="Arial" w:hAnsi="Arial"/>
                <w:sz w:val="13"/>
                <w:szCs w:val="13"/>
                <w:b w:val="1"/>
                <w:bCs w:val="1"/>
                <w:color w:val="auto"/>
              </w:rPr>
              <w:t>Level 2</w:t>
            </w:r>
          </w:p>
        </w:tc>
        <w:tc>
          <w:tcPr>
            <w:tcW w:w="400" w:type="dxa"/>
            <w:vAlign w:val="bottom"/>
          </w:tcPr>
          <w:p>
            <w:pPr>
              <w:spacing w:after="0"/>
              <w:rPr>
                <w:sz w:val="24"/>
                <w:szCs w:val="24"/>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w w:val="99"/>
              </w:rPr>
              <w:t>Level 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Arial" w:cs="Arial" w:eastAsia="Arial" w:hAnsi="Arial"/>
                <w:sz w:val="17"/>
                <w:szCs w:val="17"/>
                <w:b w:val="1"/>
                <w:bCs w:val="1"/>
                <w:color w:val="auto"/>
                <w:w w:val="88"/>
              </w:rPr>
              <w:t>June 30, 2011</w:t>
            </w:r>
          </w:p>
        </w:tc>
        <w:tc>
          <w:tcPr>
            <w:tcW w:w="38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7"/>
                <w:szCs w:val="17"/>
                <w:b w:val="1"/>
                <w:bCs w:val="1"/>
                <w:color w:val="auto"/>
              </w:rPr>
              <w:t>Assets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Securities available for sale: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840"/>
              <w:spacing w:after="0"/>
              <w:rPr>
                <w:sz w:val="20"/>
                <w:szCs w:val="20"/>
                <w:color w:val="auto"/>
              </w:rPr>
            </w:pPr>
            <w:r>
              <w:rPr>
                <w:rFonts w:ascii="Arial" w:cs="Arial" w:eastAsia="Arial" w:hAnsi="Arial"/>
                <w:sz w:val="17"/>
                <w:szCs w:val="17"/>
                <w:color w:val="auto"/>
              </w:rPr>
              <w:t>U.S. Government agencies</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77,477</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77,477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State and political subdivisions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840"/>
              <w:spacing w:after="0"/>
              <w:rPr>
                <w:sz w:val="20"/>
                <w:szCs w:val="20"/>
                <w:color w:val="auto"/>
              </w:rPr>
            </w:pPr>
            <w:r>
              <w:rPr>
                <w:rFonts w:ascii="Arial" w:cs="Arial" w:eastAsia="Arial" w:hAnsi="Arial"/>
                <w:sz w:val="17"/>
                <w:szCs w:val="17"/>
                <w:color w:val="auto"/>
              </w:rPr>
              <w:t>Mortgage-backed securities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1,588,489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w w:val="89"/>
              </w:rPr>
              <w:t>4,129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1,592,618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Corporate bonds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116,944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1"/>
              </w:rPr>
              <w:t>350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840"/>
              <w:spacing w:after="0"/>
              <w:rPr>
                <w:sz w:val="20"/>
                <w:szCs w:val="20"/>
                <w:color w:val="auto"/>
              </w:rPr>
            </w:pPr>
            <w:r>
              <w:rPr>
                <w:rFonts w:ascii="Arial" w:cs="Arial" w:eastAsia="Arial" w:hAnsi="Arial"/>
                <w:sz w:val="17"/>
                <w:szCs w:val="17"/>
                <w:color w:val="auto"/>
              </w:rPr>
              <w:t>Other</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Deferred compensation plan assets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3,025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gridSpan w:val="4"/>
          </w:tcPr>
          <w:p>
            <w:pPr>
              <w:spacing w:after="0"/>
              <w:rPr>
                <w:sz w:val="20"/>
                <w:szCs w:val="20"/>
                <w:color w:val="auto"/>
              </w:rPr>
            </w:pPr>
            <w:r>
              <w:rPr>
                <w:rFonts w:ascii="Arial" w:cs="Arial" w:eastAsia="Arial" w:hAnsi="Arial"/>
                <w:sz w:val="17"/>
                <w:szCs w:val="17"/>
                <w:color w:val="auto"/>
              </w:rPr>
              <w:t>Total</w:t>
            </w:r>
          </w:p>
        </w:tc>
        <w:tc>
          <w:tcPr>
            <w:tcW w:w="230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3,025</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1,812,134</w:t>
            </w:r>
          </w:p>
        </w:tc>
        <w:tc>
          <w:tcPr>
            <w:tcW w:w="900" w:type="dxa"/>
            <w:vAlign w:val="bottom"/>
            <w:gridSpan w:val="3"/>
          </w:tcPr>
          <w:p>
            <w:pPr>
              <w:ind w:left="40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4,479</w:t>
            </w: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1,819,638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3"/>
          </w:tcPr>
          <w:p>
            <w:pPr>
              <w:ind w:left="420"/>
              <w:spacing w:after="0"/>
              <w:rPr>
                <w:sz w:val="20"/>
                <w:szCs w:val="20"/>
                <w:color w:val="auto"/>
              </w:rPr>
            </w:pPr>
            <w:r>
              <w:rPr>
                <w:rFonts w:ascii="Arial" w:cs="Arial" w:eastAsia="Arial" w:hAnsi="Arial"/>
                <w:sz w:val="17"/>
                <w:szCs w:val="17"/>
                <w:color w:val="auto"/>
              </w:rPr>
              <w:t>Deferred compensation plan liability</w:t>
            </w:r>
          </w:p>
        </w:tc>
        <w:tc>
          <w:tcPr>
            <w:tcW w:w="230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3,025</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ectPr>
          <w:pgSz w:w="11900" w:h="16838" w:orient="portrait"/>
          <w:cols w:equalWidth="0" w:num="1">
            <w:col w:w="11000"/>
          </w:cols>
          <w:pgMar w:left="240" w:top="457" w:right="659" w:bottom="1440" w:gutter="0" w:footer="0" w:header="0"/>
        </w:sectPr>
      </w:pPr>
    </w:p>
    <w:p>
      <w:pPr>
        <w:jc w:val="center"/>
        <w:ind w:right="-4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00"/>
          </w:cols>
          <w:pgMar w:left="240" w:top="457" w:right="6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ind w:right="820"/>
        <w:spacing w:after="0" w:line="294" w:lineRule="auto"/>
        <w:rPr>
          <w:sz w:val="20"/>
          <w:szCs w:val="20"/>
          <w:color w:val="auto"/>
        </w:rPr>
      </w:pPr>
      <w:r>
        <w:rPr>
          <w:rFonts w:ascii="Arial" w:cs="Arial" w:eastAsia="Arial" w:hAnsi="Arial"/>
          <w:sz w:val="17"/>
          <w:szCs w:val="17"/>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1"/>
              </w:rPr>
              <w:t>Securities Available for Sale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0"/>
              </w:rPr>
              <w:t>Securities Available for Sale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ind w:right="37"/>
              <w:spacing w:after="0" w:line="128" w:lineRule="exact"/>
              <w:rPr>
                <w:sz w:val="20"/>
                <w:szCs w:val="20"/>
                <w:color w:val="auto"/>
              </w:rPr>
            </w:pPr>
            <w:r>
              <w:rPr>
                <w:rFonts w:ascii="Arial" w:cs="Arial" w:eastAsia="Arial" w:hAnsi="Arial"/>
                <w:sz w:val="13"/>
                <w:szCs w:val="13"/>
                <w:b w:val="1"/>
                <w:bCs w:val="1"/>
                <w:color w:val="auto"/>
                <w:w w:val="94"/>
              </w:rPr>
              <w:t>Three Months Ended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ind w:right="37"/>
              <w:spacing w:after="0" w:line="128" w:lineRule="exact"/>
              <w:rPr>
                <w:sz w:val="20"/>
                <w:szCs w:val="20"/>
                <w:color w:val="auto"/>
              </w:rPr>
            </w:pPr>
            <w:r>
              <w:rPr>
                <w:rFonts w:ascii="Arial" w:cs="Arial" w:eastAsia="Arial" w:hAnsi="Arial"/>
                <w:sz w:val="13"/>
                <w:szCs w:val="13"/>
                <w:b w:val="1"/>
                <w:bCs w:val="1"/>
                <w:color w:val="auto"/>
                <w:w w:val="94"/>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June 30,</w:t>
            </w: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left="3"/>
              <w:spacing w:after="0"/>
              <w:rPr>
                <w:sz w:val="20"/>
                <w:szCs w:val="20"/>
                <w:color w:val="auto"/>
              </w:rPr>
            </w:pPr>
            <w:r>
              <w:rPr>
                <w:rFonts w:ascii="Arial" w:cs="Arial" w:eastAsia="Arial" w:hAnsi="Arial"/>
                <w:sz w:val="13"/>
                <w:szCs w:val="13"/>
                <w:b w:val="1"/>
                <w:bCs w:val="1"/>
                <w:color w:val="auto"/>
                <w:w w:val="92"/>
              </w:rPr>
              <w:t>June 30,</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2012</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1" w:lineRule="exact"/>
              <w:rPr>
                <w:sz w:val="20"/>
                <w:szCs w:val="20"/>
                <w:color w:val="auto"/>
              </w:rPr>
            </w:pPr>
            <w:r>
              <w:rPr>
                <w:rFonts w:ascii="Arial" w:cs="Arial" w:eastAsia="Arial" w:hAnsi="Arial"/>
                <w:sz w:val="13"/>
                <w:szCs w:val="13"/>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2012</w:t>
            </w:r>
          </w:p>
        </w:tc>
        <w:tc>
          <w:tcPr>
            <w:tcW w:w="5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7"/>
              <w:spacing w:after="0" w:line="141"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350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350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Amounts included in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Paydowns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0" w:type="dxa"/>
            <w:vAlign w:val="bottom"/>
            <w:gridSpan w:val="2"/>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ind w:left="160"/>
              <w:spacing w:after="0"/>
              <w:rPr>
                <w:sz w:val="20"/>
                <w:szCs w:val="20"/>
                <w:color w:val="auto"/>
              </w:rPr>
            </w:pPr>
            <w:r>
              <w:rPr>
                <w:rFonts w:ascii="Arial" w:cs="Arial" w:eastAsia="Arial" w:hAnsi="Arial"/>
                <w:sz w:val="17"/>
                <w:szCs w:val="17"/>
                <w:color w:val="auto"/>
                <w:w w:val="91"/>
              </w:rPr>
              <w:t>350</w:t>
            </w:r>
          </w:p>
        </w:tc>
        <w:tc>
          <w:tcPr>
            <w:tcW w:w="74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4,479</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ind w:left="160"/>
              <w:spacing w:after="0"/>
              <w:rPr>
                <w:sz w:val="20"/>
                <w:szCs w:val="20"/>
                <w:color w:val="auto"/>
              </w:rPr>
            </w:pPr>
            <w:r>
              <w:rPr>
                <w:rFonts w:ascii="Arial" w:cs="Arial" w:eastAsia="Arial" w:hAnsi="Arial"/>
                <w:sz w:val="17"/>
                <w:szCs w:val="17"/>
                <w:color w:val="auto"/>
                <w:w w:val="84"/>
              </w:rPr>
              <w:t>350</w:t>
            </w:r>
          </w:p>
        </w:tc>
        <w:tc>
          <w:tcPr>
            <w:tcW w:w="760" w:type="dxa"/>
            <w:vAlign w:val="bottom"/>
            <w:gridSpan w:val="2"/>
          </w:tcPr>
          <w:p>
            <w:pPr>
              <w:jc w:val="right"/>
              <w:ind w:right="4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 on a Nonrecurring Basis</w:t>
      </w:r>
    </w:p>
    <w:p>
      <w:pPr>
        <w:spacing w:after="0" w:line="1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June 30, 2012, December 31, 2011 and June 30, 2011, aggregated by the level in the fair value hierarchy within which those measurements fall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00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1</w:t>
            </w: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b w:val="1"/>
                <w:bCs w:val="1"/>
                <w:color w:val="auto"/>
                <w:w w:val="95"/>
              </w:rPr>
              <w:t>Level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June 30, 2012</w:t>
            </w:r>
          </w:p>
        </w:tc>
        <w:tc>
          <w:tcPr>
            <w:tcW w:w="25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Assets</w:t>
            </w:r>
          </w:p>
        </w:tc>
        <w:tc>
          <w:tcPr>
            <w:tcW w:w="3480" w:type="dxa"/>
            <w:vAlign w:val="bottom"/>
            <w:tcBorders>
              <w:top w:val="single" w:sz="8" w:color="CCEEFF"/>
            </w:tcBorders>
            <w:gridSpan w:val="2"/>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Loans</w:t>
            </w:r>
          </w:p>
        </w:tc>
        <w:tc>
          <w:tcPr>
            <w:tcW w:w="30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 —</w:t>
            </w: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 —</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160,266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160,266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gridSpan w:val="3"/>
          </w:tcPr>
          <w:p>
            <w:pPr>
              <w:ind w:left="420"/>
              <w:spacing w:after="0"/>
              <w:rPr>
                <w:sz w:val="20"/>
                <w:szCs w:val="20"/>
                <w:color w:val="auto"/>
              </w:rPr>
            </w:pPr>
            <w:r>
              <w:rPr>
                <w:rFonts w:ascii="Arial" w:cs="Arial" w:eastAsia="Arial" w:hAnsi="Arial"/>
                <w:sz w:val="17"/>
                <w:szCs w:val="17"/>
                <w:color w:val="auto"/>
              </w:rPr>
              <w:t>Foreclosed properties</w:t>
            </w:r>
          </w:p>
        </w:tc>
        <w:tc>
          <w:tcPr>
            <w:tcW w:w="2580" w:type="dxa"/>
            <w:vAlign w:val="bottom"/>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25,253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30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 —</w:t>
            </w: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 —</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185,519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185,519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December 31, 2011</w:t>
            </w:r>
          </w:p>
        </w:tc>
        <w:tc>
          <w:tcPr>
            <w:tcW w:w="2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500" w:type="dxa"/>
            <w:vAlign w:val="bottom"/>
            <w:gridSpan w:val="4"/>
            <w:vMerge w:val="continue"/>
          </w:tcPr>
          <w:p>
            <w:pPr>
              <w:spacing w:after="0"/>
              <w:rPr>
                <w:sz w:val="14"/>
                <w:szCs w:val="14"/>
                <w:color w:val="auto"/>
              </w:rPr>
            </w:pPr>
          </w:p>
        </w:tc>
        <w:tc>
          <w:tcPr>
            <w:tcW w:w="2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gridSpan w:val="3"/>
          </w:tcPr>
          <w:p>
            <w:pPr>
              <w:ind w:left="420"/>
              <w:spacing w:after="0"/>
              <w:rPr>
                <w:sz w:val="20"/>
                <w:szCs w:val="20"/>
                <w:color w:val="auto"/>
              </w:rPr>
            </w:pPr>
            <w:r>
              <w:rPr>
                <w:rFonts w:ascii="Arial" w:cs="Arial" w:eastAsia="Arial" w:hAnsi="Arial"/>
                <w:sz w:val="17"/>
                <w:szCs w:val="17"/>
                <w:color w:val="auto"/>
              </w:rPr>
              <w:t>Loans</w:t>
            </w:r>
          </w:p>
        </w:tc>
        <w:tc>
          <w:tcPr>
            <w:tcW w:w="3000" w:type="dxa"/>
            <w:vAlign w:val="bottom"/>
            <w:gridSpan w:val="2"/>
          </w:tcPr>
          <w:p>
            <w:pPr>
              <w:jc w:val="right"/>
              <w:ind w:right="13"/>
              <w:spacing w:after="0"/>
              <w:rPr>
                <w:sz w:val="20"/>
                <w:szCs w:val="20"/>
                <w:color w:val="auto"/>
              </w:rPr>
            </w:pPr>
            <w:r>
              <w:rPr>
                <w:rFonts w:ascii="Arial" w:cs="Arial" w:eastAsia="Arial" w:hAnsi="Arial"/>
                <w:sz w:val="17"/>
                <w:szCs w:val="17"/>
                <w:color w:val="auto"/>
              </w:rPr>
              <w:t>$ —</w:t>
            </w:r>
          </w:p>
        </w:tc>
        <w:tc>
          <w:tcPr>
            <w:tcW w:w="800" w:type="dxa"/>
            <w:vAlign w:val="bottom"/>
            <w:gridSpan w:val="2"/>
          </w:tcPr>
          <w:p>
            <w:pPr>
              <w:jc w:val="right"/>
              <w:ind w:right="13"/>
              <w:spacing w:after="0"/>
              <w:rPr>
                <w:sz w:val="20"/>
                <w:szCs w:val="20"/>
                <w:color w:val="auto"/>
              </w:rPr>
            </w:pPr>
            <w:r>
              <w:rPr>
                <w:rFonts w:ascii="Arial" w:cs="Arial" w:eastAsia="Arial" w:hAnsi="Arial"/>
                <w:sz w:val="17"/>
                <w:szCs w:val="17"/>
                <w:color w:val="auto"/>
              </w:rPr>
              <w:t>$ —</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133,828</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133,828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Foreclosed properties</w:t>
            </w:r>
          </w:p>
        </w:tc>
        <w:tc>
          <w:tcPr>
            <w:tcW w:w="25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29,102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00" w:type="dxa"/>
            <w:vAlign w:val="bottom"/>
            <w:gridSpan w:val="4"/>
          </w:tcPr>
          <w:p>
            <w:pPr>
              <w:spacing w:after="0"/>
              <w:rPr>
                <w:sz w:val="20"/>
                <w:szCs w:val="20"/>
                <w:color w:val="auto"/>
              </w:rPr>
            </w:pPr>
            <w:r>
              <w:rPr>
                <w:rFonts w:ascii="Arial" w:cs="Arial" w:eastAsia="Arial" w:hAnsi="Arial"/>
                <w:sz w:val="17"/>
                <w:szCs w:val="17"/>
                <w:color w:val="auto"/>
              </w:rPr>
              <w:t>Total</w:t>
            </w:r>
          </w:p>
        </w:tc>
        <w:tc>
          <w:tcPr>
            <w:tcW w:w="3000" w:type="dxa"/>
            <w:vAlign w:val="bottom"/>
            <w:gridSpan w:val="2"/>
          </w:tcPr>
          <w:p>
            <w:pPr>
              <w:jc w:val="right"/>
              <w:ind w:right="13"/>
              <w:spacing w:after="0"/>
              <w:rPr>
                <w:sz w:val="20"/>
                <w:szCs w:val="20"/>
                <w:color w:val="auto"/>
              </w:rPr>
            </w:pPr>
            <w:r>
              <w:rPr>
                <w:rFonts w:ascii="Arial" w:cs="Arial" w:eastAsia="Arial" w:hAnsi="Arial"/>
                <w:sz w:val="17"/>
                <w:szCs w:val="17"/>
                <w:color w:val="auto"/>
              </w:rPr>
              <w:t>$ —</w:t>
            </w:r>
          </w:p>
        </w:tc>
        <w:tc>
          <w:tcPr>
            <w:tcW w:w="800" w:type="dxa"/>
            <w:vAlign w:val="bottom"/>
            <w:gridSpan w:val="2"/>
          </w:tcPr>
          <w:p>
            <w:pPr>
              <w:jc w:val="right"/>
              <w:ind w:right="13"/>
              <w:spacing w:after="0"/>
              <w:rPr>
                <w:sz w:val="20"/>
                <w:szCs w:val="20"/>
                <w:color w:val="auto"/>
              </w:rPr>
            </w:pPr>
            <w:r>
              <w:rPr>
                <w:rFonts w:ascii="Arial" w:cs="Arial" w:eastAsia="Arial" w:hAnsi="Arial"/>
                <w:sz w:val="17"/>
                <w:szCs w:val="17"/>
                <w:color w:val="auto"/>
              </w:rPr>
              <w:t>$ —</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162,930</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162,930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shd w:val="clear" w:color="auto" w:fill="CCEEFF"/>
          </w:tcPr>
          <w:p>
            <w:pPr>
              <w:spacing w:after="0" w:line="168" w:lineRule="exact"/>
              <w:rPr>
                <w:sz w:val="20"/>
                <w:szCs w:val="20"/>
                <w:color w:val="auto"/>
              </w:rPr>
            </w:pPr>
            <w:r>
              <w:rPr>
                <w:rFonts w:ascii="Arial" w:cs="Arial" w:eastAsia="Arial" w:hAnsi="Arial"/>
                <w:sz w:val="17"/>
                <w:szCs w:val="17"/>
                <w:b w:val="1"/>
                <w:bCs w:val="1"/>
                <w:color w:val="auto"/>
                <w:w w:val="88"/>
              </w:rPr>
              <w:t>June 30, 2011</w:t>
            </w:r>
          </w:p>
        </w:tc>
        <w:tc>
          <w:tcPr>
            <w:tcW w:w="3480" w:type="dxa"/>
            <w:vAlign w:val="bottom"/>
            <w:tcBorders>
              <w:bottom w:val="single" w:sz="8" w:color="CCEEFF"/>
            </w:tcBorders>
            <w:gridSpan w:val="2"/>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7"/>
                <w:szCs w:val="17"/>
                <w:b w:val="1"/>
                <w:bCs w:val="1"/>
                <w:color w:val="auto"/>
              </w:rPr>
              <w:t>Assets</w:t>
            </w:r>
          </w:p>
        </w:tc>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Loans</w:t>
            </w:r>
          </w:p>
        </w:tc>
        <w:tc>
          <w:tcPr>
            <w:tcW w:w="30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 —</w:t>
            </w: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 —</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27,810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gridSpan w:val="3"/>
          </w:tcPr>
          <w:p>
            <w:pPr>
              <w:ind w:left="420"/>
              <w:spacing w:after="0"/>
              <w:rPr>
                <w:sz w:val="20"/>
                <w:szCs w:val="20"/>
                <w:color w:val="auto"/>
              </w:rPr>
            </w:pPr>
            <w:r>
              <w:rPr>
                <w:rFonts w:ascii="Arial" w:cs="Arial" w:eastAsia="Arial" w:hAnsi="Arial"/>
                <w:sz w:val="17"/>
                <w:szCs w:val="17"/>
                <w:color w:val="auto"/>
              </w:rPr>
              <w:t>Foreclosed properties</w:t>
            </w:r>
          </w:p>
        </w:tc>
        <w:tc>
          <w:tcPr>
            <w:tcW w:w="2580" w:type="dxa"/>
            <w:vAlign w:val="bottom"/>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41,922</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30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 —</w:t>
            </w: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 —</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69,732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Not Measured at Fair Value</w:t>
      </w:r>
    </w:p>
    <w:p>
      <w:pPr>
        <w:spacing w:after="0" w:line="105"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01" w:lineRule="exact"/>
        <w:rPr>
          <w:sz w:val="20"/>
          <w:szCs w:val="20"/>
          <w:color w:val="auto"/>
        </w:rPr>
      </w:pPr>
    </w:p>
    <w:p>
      <w:pPr>
        <w:ind w:right="20"/>
        <w:spacing w:after="0" w:line="332" w:lineRule="auto"/>
        <w:rPr>
          <w:sz w:val="20"/>
          <w:szCs w:val="20"/>
          <w:color w:val="auto"/>
        </w:rPr>
      </w:pPr>
      <w:r>
        <w:rPr>
          <w:rFonts w:ascii="Arial" w:cs="Arial" w:eastAsia="Arial" w:hAnsi="Arial"/>
          <w:sz w:val="15"/>
          <w:szCs w:val="15"/>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40"/>
          </w:cols>
          <w:pgMar w:left="240" w:top="457"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 AND SUBSDIARIES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29"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114"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11"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 xml:space="preserve">The carrying amount and fair values for other financial instruments that are not measured at fair value on a recurring basis in United’s balance sheet at June 30, 2012, December 31, 2011, and June 30, 2011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June 30, 2012</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4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80" w:type="dxa"/>
            <w:vAlign w:val="bottom"/>
            <w:gridSpan w:val="3"/>
          </w:tcPr>
          <w:p>
            <w:pPr>
              <w:jc w:val="right"/>
              <w:ind w:right="320"/>
              <w:spacing w:after="0" w:line="141"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5"/>
          </w:tcPr>
          <w:p>
            <w:pPr>
              <w:ind w:left="20"/>
              <w:spacing w:after="0" w:line="141" w:lineRule="exact"/>
              <w:rPr>
                <w:sz w:val="20"/>
                <w:szCs w:val="20"/>
                <w:color w:val="auto"/>
              </w:rPr>
            </w:pPr>
            <w:r>
              <w:rPr>
                <w:rFonts w:ascii="Arial" w:cs="Arial" w:eastAsia="Arial" w:hAnsi="Arial"/>
                <w:sz w:val="13"/>
                <w:szCs w:val="13"/>
                <w:b w:val="1"/>
                <w:bCs w:val="1"/>
                <w:color w:val="auto"/>
                <w:w w:val="98"/>
              </w:rPr>
              <w:t>Fair Value Level</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4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80" w:type="dxa"/>
            <w:vAlign w:val="bottom"/>
            <w:gridSpan w:val="3"/>
          </w:tcPr>
          <w:p>
            <w:pPr>
              <w:jc w:val="right"/>
              <w:ind w:right="360"/>
              <w:spacing w:after="0" w:line="141"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2"/>
                <w:szCs w:val="12"/>
                <w:color w:val="auto"/>
              </w:rPr>
            </w:pPr>
          </w:p>
        </w:tc>
        <w:tc>
          <w:tcPr>
            <w:tcW w:w="1060" w:type="dxa"/>
            <w:vAlign w:val="bottom"/>
            <w:gridSpan w:val="5"/>
          </w:tcPr>
          <w:p>
            <w:pPr>
              <w:jc w:val="right"/>
              <w:ind w:right="660"/>
              <w:spacing w:after="0" w:line="141" w:lineRule="exact"/>
              <w:rPr>
                <w:sz w:val="20"/>
                <w:szCs w:val="20"/>
                <w:color w:val="auto"/>
              </w:rPr>
            </w:pPr>
            <w:r>
              <w:rPr>
                <w:rFonts w:ascii="Arial" w:cs="Arial" w:eastAsia="Arial" w:hAnsi="Arial"/>
                <w:sz w:val="13"/>
                <w:szCs w:val="13"/>
                <w:b w:val="1"/>
                <w:bCs w:val="1"/>
                <w:color w:val="auto"/>
                <w:w w:val="86"/>
              </w:rPr>
              <w:t>Level 1</w:t>
            </w:r>
          </w:p>
        </w:tc>
        <w:tc>
          <w:tcPr>
            <w:tcW w:w="62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2"/>
                <w:szCs w:val="12"/>
                <w:color w:val="auto"/>
              </w:rPr>
            </w:pPr>
          </w:p>
        </w:tc>
        <w:tc>
          <w:tcPr>
            <w:tcW w:w="780" w:type="dxa"/>
            <w:vAlign w:val="bottom"/>
            <w:gridSpan w:val="3"/>
          </w:tcPr>
          <w:p>
            <w:pPr>
              <w:jc w:val="right"/>
              <w:ind w:right="93"/>
              <w:spacing w:after="0" w:line="141" w:lineRule="exact"/>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tcPr>
          <w:p>
            <w:pPr>
              <w:jc w:val="right"/>
              <w:ind w:right="240"/>
              <w:spacing w:after="0" w:line="141"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r>
      <w:tr>
        <w:trPr>
          <w:trHeight w:val="194"/>
        </w:trPr>
        <w:tc>
          <w:tcPr>
            <w:tcW w:w="588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5880" w:type="dxa"/>
            <w:vAlign w:val="bottom"/>
            <w:gridSpan w:val="2"/>
          </w:tcPr>
          <w:p>
            <w:pPr>
              <w:ind w:left="440"/>
              <w:spacing w:after="0"/>
              <w:rPr>
                <w:sz w:val="20"/>
                <w:szCs w:val="20"/>
                <w:color w:val="auto"/>
              </w:rPr>
            </w:pPr>
            <w:r>
              <w:rPr>
                <w:rFonts w:ascii="Arial" w:cs="Arial" w:eastAsia="Arial" w:hAnsi="Arial"/>
                <w:sz w:val="17"/>
                <w:szCs w:val="17"/>
                <w:color w:val="auto"/>
              </w:rPr>
              <w:t>Securities held to maturity</w:t>
            </w: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w w:val="94"/>
              </w:rPr>
              <w:t>$  282,750</w:t>
            </w:r>
          </w:p>
        </w:tc>
        <w:tc>
          <w:tcPr>
            <w:tcW w:w="620" w:type="dxa"/>
            <w:vAlign w:val="bottom"/>
            <w:gridSpan w:val="3"/>
          </w:tcPr>
          <w:p>
            <w:pPr>
              <w:jc w:val="right"/>
              <w:ind w:right="20"/>
              <w:spacing w:after="0"/>
              <w:rPr>
                <w:sz w:val="20"/>
                <w:szCs w:val="20"/>
                <w:color w:val="auto"/>
              </w:rPr>
            </w:pPr>
            <w:r>
              <w:rPr>
                <w:rFonts w:ascii="Arial" w:cs="Arial" w:eastAsia="Arial" w:hAnsi="Arial"/>
                <w:sz w:val="17"/>
                <w:szCs w:val="17"/>
                <w:color w:val="auto"/>
              </w:rPr>
              <w:t>$ —</w:t>
            </w:r>
          </w:p>
        </w:tc>
        <w:tc>
          <w:tcPr>
            <w:tcW w:w="7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7"/>
                <w:szCs w:val="17"/>
                <w:color w:val="auto"/>
                <w:w w:val="94"/>
              </w:rPr>
              <w:t>299,971</w:t>
            </w:r>
          </w:p>
        </w:tc>
        <w:tc>
          <w:tcPr>
            <w:tcW w:w="72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5"/>
          </w:tcPr>
          <w:p>
            <w:pPr>
              <w:jc w:val="right"/>
              <w:spacing w:after="0"/>
              <w:rPr>
                <w:sz w:val="20"/>
                <w:szCs w:val="20"/>
                <w:color w:val="auto"/>
              </w:rPr>
            </w:pPr>
            <w:r>
              <w:rPr>
                <w:rFonts w:ascii="Arial" w:cs="Arial" w:eastAsia="Arial" w:hAnsi="Arial"/>
                <w:sz w:val="17"/>
                <w:szCs w:val="17"/>
                <w:color w:val="auto"/>
              </w:rPr>
              <w:t>$  299,971</w:t>
            </w:r>
          </w:p>
        </w:tc>
        <w:tc>
          <w:tcPr>
            <w:tcW w:w="100" w:type="dxa"/>
            <w:vAlign w:val="bottom"/>
          </w:tcPr>
          <w:p>
            <w:pPr>
              <w:spacing w:after="0"/>
              <w:rPr>
                <w:sz w:val="18"/>
                <w:szCs w:val="18"/>
                <w:color w:val="auto"/>
              </w:rPr>
            </w:pPr>
          </w:p>
        </w:tc>
      </w:tr>
      <w:tr>
        <w:trPr>
          <w:trHeight w:val="214"/>
        </w:trPr>
        <w:tc>
          <w:tcPr>
            <w:tcW w:w="58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Loans, net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4,006,530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3,830,187</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3,830,187</w:t>
            </w:r>
          </w:p>
        </w:tc>
        <w:tc>
          <w:tcPr>
            <w:tcW w:w="100" w:type="dxa"/>
            <w:vAlign w:val="bottom"/>
            <w:shd w:val="clear" w:color="auto" w:fill="CCEEFF"/>
          </w:tcPr>
          <w:p>
            <w:pPr>
              <w:spacing w:after="0"/>
              <w:rPr>
                <w:sz w:val="18"/>
                <w:szCs w:val="18"/>
                <w:color w:val="auto"/>
              </w:rPr>
            </w:pPr>
          </w:p>
        </w:tc>
      </w:tr>
      <w:tr>
        <w:trPr>
          <w:trHeight w:val="321"/>
        </w:trPr>
        <w:tc>
          <w:tcPr>
            <w:tcW w:w="588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8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Deposits</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5,822,467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7"/>
                <w:szCs w:val="17"/>
                <w:color w:val="auto"/>
              </w:rPr>
              <w:t>5,863,885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5,863,885</w:t>
            </w:r>
          </w:p>
        </w:tc>
        <w:tc>
          <w:tcPr>
            <w:tcW w:w="100" w:type="dxa"/>
            <w:vAlign w:val="bottom"/>
            <w:shd w:val="clear" w:color="auto" w:fill="CCEEFF"/>
          </w:tcPr>
          <w:p>
            <w:pPr>
              <w:spacing w:after="0"/>
              <w:rPr>
                <w:sz w:val="18"/>
                <w:szCs w:val="18"/>
                <w:color w:val="auto"/>
              </w:rPr>
            </w:pPr>
          </w:p>
        </w:tc>
      </w:tr>
      <w:tr>
        <w:trPr>
          <w:trHeight w:val="214"/>
        </w:trPr>
        <w:tc>
          <w:tcPr>
            <w:tcW w:w="5880" w:type="dxa"/>
            <w:vAlign w:val="bottom"/>
            <w:gridSpan w:val="2"/>
          </w:tcPr>
          <w:p>
            <w:pPr>
              <w:ind w:left="440"/>
              <w:spacing w:after="0"/>
              <w:rPr>
                <w:sz w:val="20"/>
                <w:szCs w:val="20"/>
                <w:color w:val="auto"/>
              </w:rPr>
            </w:pPr>
            <w:r>
              <w:rPr>
                <w:rFonts w:ascii="Arial" w:cs="Arial" w:eastAsia="Arial" w:hAnsi="Arial"/>
                <w:sz w:val="17"/>
                <w:szCs w:val="17"/>
                <w:color w:val="auto"/>
              </w:rPr>
              <w:t>Federal Home Loan Bank advances</w:t>
            </w: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125,125</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7"/>
                <w:szCs w:val="17"/>
                <w:color w:val="auto"/>
                <w:w w:val="94"/>
              </w:rPr>
              <w:t>125,125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5"/>
          </w:tcPr>
          <w:p>
            <w:pPr>
              <w:jc w:val="right"/>
              <w:spacing w:after="0"/>
              <w:rPr>
                <w:sz w:val="20"/>
                <w:szCs w:val="20"/>
                <w:color w:val="auto"/>
              </w:rPr>
            </w:pPr>
            <w:r>
              <w:rPr>
                <w:rFonts w:ascii="Arial" w:cs="Arial" w:eastAsia="Arial" w:hAnsi="Arial"/>
                <w:sz w:val="17"/>
                <w:szCs w:val="17"/>
                <w:color w:val="auto"/>
              </w:rPr>
              <w:t>125,125</w:t>
            </w:r>
          </w:p>
        </w:tc>
        <w:tc>
          <w:tcPr>
            <w:tcW w:w="100" w:type="dxa"/>
            <w:vAlign w:val="bottom"/>
          </w:tcPr>
          <w:p>
            <w:pPr>
              <w:spacing w:after="0"/>
              <w:rPr>
                <w:sz w:val="18"/>
                <w:szCs w:val="18"/>
                <w:color w:val="auto"/>
              </w:rPr>
            </w:pPr>
          </w:p>
        </w:tc>
      </w:tr>
      <w:tr>
        <w:trPr>
          <w:trHeight w:val="214"/>
        </w:trPr>
        <w:tc>
          <w:tcPr>
            <w:tcW w:w="58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Long-term debt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120,265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114,679</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114,679</w:t>
            </w:r>
          </w:p>
        </w:tc>
        <w:tc>
          <w:tcPr>
            <w:tcW w:w="100" w:type="dxa"/>
            <w:vAlign w:val="bottom"/>
            <w:shd w:val="clear" w:color="auto" w:fill="CCEEFF"/>
          </w:tcPr>
          <w:p>
            <w:pPr>
              <w:spacing w:after="0"/>
              <w:rPr>
                <w:sz w:val="18"/>
                <w:szCs w:val="18"/>
                <w:color w:val="auto"/>
              </w:rPr>
            </w:pPr>
          </w:p>
        </w:tc>
      </w:tr>
      <w:tr>
        <w:trPr>
          <w:trHeight w:val="348"/>
        </w:trPr>
        <w:tc>
          <w:tcPr>
            <w:tcW w:w="4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8"/>
          </w:tcPr>
          <w:p>
            <w:pPr>
              <w:jc w:val="right"/>
              <w:ind w:right="540"/>
              <w:spacing w:after="0"/>
              <w:rPr>
                <w:sz w:val="20"/>
                <w:szCs w:val="20"/>
                <w:color w:val="auto"/>
              </w:rPr>
            </w:pPr>
            <w:r>
              <w:rPr>
                <w:rFonts w:ascii="Arial" w:cs="Arial" w:eastAsia="Arial" w:hAnsi="Arial"/>
                <w:sz w:val="13"/>
                <w:szCs w:val="13"/>
                <w:b w:val="1"/>
                <w:bCs w:val="1"/>
                <w:color w:val="auto"/>
              </w:rPr>
              <w:t>December 31, 2011</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gridSpan w:val="9"/>
          </w:tcPr>
          <w:p>
            <w:pPr>
              <w:ind w:left="140"/>
              <w:spacing w:after="0"/>
              <w:rPr>
                <w:sz w:val="20"/>
                <w:szCs w:val="20"/>
                <w:color w:val="auto"/>
              </w:rPr>
            </w:pPr>
            <w:r>
              <w:rPr>
                <w:rFonts w:ascii="Arial" w:cs="Arial" w:eastAsia="Arial" w:hAnsi="Arial"/>
                <w:sz w:val="13"/>
                <w:szCs w:val="13"/>
                <w:b w:val="1"/>
                <w:bCs w:val="1"/>
                <w:color w:val="auto"/>
              </w:rPr>
              <w:t>June 30, 2011</w:t>
            </w:r>
          </w:p>
        </w:tc>
      </w:tr>
      <w:tr>
        <w:trPr>
          <w:trHeight w:val="128"/>
        </w:trPr>
        <w:tc>
          <w:tcPr>
            <w:tcW w:w="4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140"/>
              <w:spacing w:after="0" w:line="128"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ind w:left="40"/>
              <w:spacing w:after="0" w:line="128" w:lineRule="exact"/>
              <w:rPr>
                <w:sz w:val="20"/>
                <w:szCs w:val="20"/>
                <w:color w:val="auto"/>
              </w:rPr>
            </w:pPr>
            <w:r>
              <w:rPr>
                <w:rFonts w:ascii="Arial" w:cs="Arial" w:eastAsia="Arial" w:hAnsi="Arial"/>
                <w:sz w:val="13"/>
                <w:szCs w:val="13"/>
                <w:b w:val="1"/>
                <w:bCs w:val="1"/>
                <w:color w:val="auto"/>
              </w:rPr>
              <w:t>Carrying</w:t>
            </w: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4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6"/>
              </w:rPr>
              <w:t>Fair Value</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5"/>
          </w:tcPr>
          <w:p>
            <w:pPr>
              <w:ind w:left="80"/>
              <w:spacing w:after="0"/>
              <w:rPr>
                <w:sz w:val="20"/>
                <w:szCs w:val="20"/>
                <w:color w:val="auto"/>
              </w:rPr>
            </w:pPr>
            <w:r>
              <w:rPr>
                <w:rFonts w:ascii="Arial" w:cs="Arial" w:eastAsia="Arial" w:hAnsi="Arial"/>
                <w:sz w:val="13"/>
                <w:szCs w:val="13"/>
                <w:b w:val="1"/>
                <w:bCs w:val="1"/>
                <w:color w:val="auto"/>
              </w:rPr>
              <w:t>Fair Value</w:t>
            </w:r>
          </w:p>
        </w:tc>
      </w:tr>
      <w:tr>
        <w:trPr>
          <w:trHeight w:val="194"/>
        </w:trPr>
        <w:tc>
          <w:tcPr>
            <w:tcW w:w="480" w:type="dxa"/>
            <w:vAlign w:val="bottom"/>
          </w:tcPr>
          <w:p>
            <w:pPr>
              <w:spacing w:after="0"/>
              <w:rPr>
                <w:sz w:val="16"/>
                <w:szCs w:val="16"/>
                <w:color w:val="auto"/>
              </w:rPr>
            </w:pPr>
          </w:p>
        </w:tc>
        <w:tc>
          <w:tcPr>
            <w:tcW w:w="54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Assets:</w:t>
            </w: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7"/>
                <w:szCs w:val="17"/>
                <w:color w:val="auto"/>
              </w:rPr>
              <w:t>Securities held to maturity</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  330,203</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343,531</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371,578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w w:val="97"/>
              </w:rPr>
              <w:t>$  379,231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Loans, net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3,995,146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9"/>
              </w:rPr>
              <w:t>3,800,343</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4,035,809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3,889,669</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1"/>
        </w:trPr>
        <w:tc>
          <w:tcPr>
            <w:tcW w:w="5880" w:type="dxa"/>
            <w:vAlign w:val="bottom"/>
            <w:gridSpan w:val="2"/>
          </w:tcPr>
          <w:p>
            <w:pPr>
              <w:ind w:left="460"/>
              <w:spacing w:after="0"/>
              <w:rPr>
                <w:sz w:val="20"/>
                <w:szCs w:val="20"/>
                <w:color w:val="auto"/>
              </w:rPr>
            </w:pPr>
            <w:r>
              <w:rPr>
                <w:rFonts w:ascii="Arial" w:cs="Arial" w:eastAsia="Arial" w:hAnsi="Arial"/>
                <w:sz w:val="17"/>
                <w:szCs w:val="17"/>
                <w:color w:val="auto"/>
              </w:rPr>
              <w:t>Liabilities: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48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Deposits</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6,097,983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9"/>
              </w:rPr>
              <w:t>6,093,772</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6,183,215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6,174,117</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7"/>
                <w:szCs w:val="17"/>
                <w:color w:val="auto"/>
              </w:rPr>
              <w:t>Federal Home Loan Bank advances</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40,625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43,236</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40,625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43,763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Long-term debt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120,225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115,327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150,186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140,771</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Reclassification and Reverse Stock Split</w:t>
      </w:r>
    </w:p>
    <w:p>
      <w:pPr>
        <w:spacing w:after="0" w:line="1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Certain 2011 amounts have been reclassified to conform to the 2012 presentation. On June 17, 2011, United completed a 1-for-5 reverse stock split, or recombination, whereby each five shares of United’s common stock was reclassified into one share of common stock and each five shares of United’s non-voting common stock was reclassified into one share of non-voting common stock. All share and per share amounts for all periods presented have been adjusted to reflect the reverse split as though it had occurred prior to the earliest period presented.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Bulk Loan Sale</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On April 18, 2011, United completed the bulk sale of $80.6 million of loans that were reported as held for sale at March 31, 2011. The proceeds from the bulk sale were $87.9 million which resulted in a reduction of charge-offs in the second quarter of 2011.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57"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20"/>
        <w:spacing w:after="0" w:line="365"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80"/>
        <w:spacing w:after="0" w:line="307" w:lineRule="auto"/>
        <w:rPr>
          <w:sz w:val="20"/>
          <w:szCs w:val="20"/>
          <w:color w:val="auto"/>
        </w:rPr>
      </w:pPr>
      <w:r>
        <w:rPr>
          <w:rFonts w:ascii="Arial" w:cs="Arial" w:eastAsia="Arial" w:hAnsi="Arial"/>
          <w:sz w:val="15"/>
          <w:szCs w:val="15"/>
          <w:color w:val="auto"/>
        </w:rPr>
        <w:t>This Form 10-Q contains forward-looking statements within the meaning of Section 27A of the Securities Act of 1933, as amended, (the “Securities Act”),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 to differ from those projected include, but are not limited to, the risk factors set forth in our Annual Report on Form 10-K for the year ended December 31, 2011, as well as the following factors:</w:t>
      </w:r>
    </w:p>
    <w:p>
      <w:pPr>
        <w:spacing w:after="0" w:line="48" w:lineRule="exact"/>
        <w:rPr>
          <w:sz w:val="20"/>
          <w:szCs w:val="20"/>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profitability;</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fully realize our deferred tax asset balances, including net operating loss carry-forwards;</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condition of the banking system and financial markets;</w:t>
      </w:r>
    </w:p>
    <w:p>
      <w:pPr>
        <w:spacing w:after="0" w:line="99" w:lineRule="exact"/>
        <w:rPr>
          <w:rFonts w:ascii="Arial" w:cs="Arial" w:eastAsia="Arial" w:hAnsi="Arial"/>
          <w:sz w:val="17"/>
          <w:szCs w:val="17"/>
          <w:color w:val="auto"/>
        </w:rPr>
      </w:pPr>
    </w:p>
    <w:p>
      <w:pPr>
        <w:ind w:left="440" w:right="200" w:hanging="433"/>
        <w:spacing w:after="0" w:line="29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results of our most recent internal credit stress test may not accurately predict the impact on our financial condition if the economy were to continue to deteriorate;</w:t>
      </w:r>
    </w:p>
    <w:p>
      <w:pPr>
        <w:spacing w:after="0" w:line="30"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raise capital as may be necessary;</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liquidity or access other sources of funding;</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cost and availability of funding;</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success of the local economies in which we operate;</w:t>
      </w:r>
    </w:p>
    <w:p>
      <w:pPr>
        <w:spacing w:after="0" w:line="99" w:lineRule="exact"/>
        <w:rPr>
          <w:rFonts w:ascii="Arial" w:cs="Arial" w:eastAsia="Arial" w:hAnsi="Arial"/>
          <w:sz w:val="17"/>
          <w:szCs w:val="17"/>
          <w:color w:val="auto"/>
        </w:rPr>
      </w:pPr>
    </w:p>
    <w:p>
      <w:pPr>
        <w:ind w:left="440" w:right="80" w:hanging="433"/>
        <w:spacing w:after="0" w:line="29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concentrations of residential and commercial construction and development loans and commercial real estate loans are subject to unique risks that could adversely affect our earnings;</w:t>
      </w:r>
    </w:p>
    <w:p>
      <w:pPr>
        <w:spacing w:after="0" w:line="30"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prevailing interest rates may negatively affect our net income and the value of our assets;</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accounting and reporting policies of United;</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our allowance for loan losses is not sufficient to cover actual loan losses;</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subject to losses due to fraudulent and negligent conduct of our loan customers, third party service providers or employees;</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from financial institutions and other financial service providers;</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U.S. Treasury may change the terms of our fixed rate cumulative perpetual preferred stock, Series B (the “Series B preferred stock”);</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with respect to future expansion and acquisitions;</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conditions in the stock market, the public debt market and other capital markets deteriorate;</w:t>
      </w:r>
    </w:p>
    <w:p>
      <w:pPr>
        <w:spacing w:after="0" w:line="99" w:lineRule="exact"/>
        <w:rPr>
          <w:rFonts w:ascii="Arial" w:cs="Arial" w:eastAsia="Arial" w:hAnsi="Arial"/>
          <w:sz w:val="17"/>
          <w:szCs w:val="17"/>
          <w:color w:val="auto"/>
        </w:rPr>
      </w:pPr>
    </w:p>
    <w:p>
      <w:pPr>
        <w:ind w:left="440" w:hanging="433"/>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the Dodd-Frank Wall Street Reform Act of 2010 and related regulations and other changes in financial services laws and regulations;</w:t>
      </w:r>
    </w:p>
    <w:p>
      <w:pPr>
        <w:spacing w:after="0" w:line="110" w:lineRule="exact"/>
        <w:rPr>
          <w:rFonts w:ascii="Arial" w:cs="Arial" w:eastAsia="Arial" w:hAnsi="Arial"/>
          <w:sz w:val="16"/>
          <w:szCs w:val="16"/>
          <w:color w:val="auto"/>
        </w:rPr>
      </w:pPr>
    </w:p>
    <w:p>
      <w:pPr>
        <w:ind w:left="440" w:hanging="433"/>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failure of other financial institutions;</w:t>
      </w:r>
    </w:p>
    <w:p>
      <w:pPr>
        <w:spacing w:after="0" w:line="99" w:lineRule="exact"/>
        <w:rPr>
          <w:rFonts w:ascii="Arial" w:cs="Arial" w:eastAsia="Arial" w:hAnsi="Arial"/>
          <w:sz w:val="17"/>
          <w:szCs w:val="17"/>
          <w:color w:val="auto"/>
        </w:rPr>
      </w:pPr>
    </w:p>
    <w:p>
      <w:pPr>
        <w:ind w:left="440" w:right="120" w:hanging="433"/>
        <w:spacing w:after="0" w:line="29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special assessment that may be imposed by the Federal Deposit Insurance Corporation (the “FDIC”) on all FDIC-insured institutions in the future, similar to the assessment in 2009 that decreased our earnings;</w:t>
      </w:r>
    </w:p>
    <w:p>
      <w:pPr>
        <w:spacing w:after="0" w:line="30" w:lineRule="exact"/>
        <w:rPr>
          <w:rFonts w:ascii="Arial" w:cs="Arial" w:eastAsia="Arial" w:hAnsi="Arial"/>
          <w:sz w:val="17"/>
          <w:szCs w:val="17"/>
          <w:color w:val="auto"/>
        </w:rPr>
      </w:pPr>
    </w:p>
    <w:p>
      <w:pPr>
        <w:ind w:left="440" w:right="520" w:hanging="433"/>
        <w:spacing w:after="0" w:line="29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formal investigation by the Securities and Exchange Commission or any penalty, sanction or further restatement of our previously issued financial statements that may result from such investigation;</w:t>
      </w:r>
    </w:p>
    <w:p>
      <w:pPr>
        <w:spacing w:after="0" w:line="30" w:lineRule="exact"/>
        <w:rPr>
          <w:rFonts w:ascii="Arial" w:cs="Arial" w:eastAsia="Arial" w:hAnsi="Arial"/>
          <w:sz w:val="17"/>
          <w:szCs w:val="17"/>
          <w:color w:val="auto"/>
        </w:rPr>
      </w:pPr>
    </w:p>
    <w:p>
      <w:pPr>
        <w:ind w:left="440" w:right="400" w:hanging="433"/>
        <w:spacing w:after="0" w:line="29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and effects of litigation, examinations, investigations, or similar matters, or adverse facts and developments related thereto, including possible dilution;</w:t>
      </w:r>
    </w:p>
    <w:p>
      <w:pPr>
        <w:spacing w:after="0" w:line="30" w:lineRule="exact"/>
        <w:rPr>
          <w:rFonts w:ascii="Arial" w:cs="Arial" w:eastAsia="Arial" w:hAnsi="Arial"/>
          <w:sz w:val="17"/>
          <w:szCs w:val="17"/>
          <w:color w:val="auto"/>
        </w:rPr>
      </w:pPr>
    </w:p>
    <w:p>
      <w:pPr>
        <w:ind w:left="440" w:right="280" w:hanging="433"/>
        <w:spacing w:after="0" w:line="29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regulatory or judicial proceedings, board resolutions, informal memorandums of understanding or formal enforcement actions imposed by regulators that may occur, or any such proceedings or enforcement actions that is more severe than we anticipate.</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ectPr>
          <w:pgSz w:w="11900" w:h="16838" w:orient="portrait"/>
          <w:cols w:equalWidth="0" w:num="1">
            <w:col w:w="11400"/>
          </w:cols>
          <w:pgMar w:left="240" w:top="457" w:right="259" w:bottom="1440" w:gutter="0" w:footer="0" w:header="0"/>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457" w:right="2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5"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11"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United is a bank holding company registered with the Board of Governors of the Federal Reserve under the Bank Holding Company Act of 1956 that was incorporated under the laws of the state of Georgia in 1987 and commenced operations in 1988. At June 30, 2012 United had total consolidated assets of $6.74 billion, total loans of $4.12 billion, excluding the loans acquired from Southern Community Bank (“SCB”) that are covered by loss sharing agreements and therefore have a different risk profile. United also had total deposits of $5.82 billion and shareholders’ equity of $576 million.</w:t>
      </w:r>
    </w:p>
    <w:p>
      <w:pPr>
        <w:spacing w:after="0" w:line="11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United’s activities are primarily conducted by its wholly owned Georgia banking subsidiary, United Community Bank (the “Bank”). The Bank’s operations are conducted under a community bank model that operates 27 “community banks” with local bank presidents and boards in north Georgia, the Atlanta, Georgia metropolitan statistical area (the “Atlanta MSA”), the Gainesville, Georgia metropolitan statistical area (the “Gainesville MSA”), coastal Georgia, western North Carolina, and east Tennessee.</w:t>
      </w:r>
    </w:p>
    <w:p>
      <w:pPr>
        <w:spacing w:after="0" w:line="1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33.</w:t>
      </w:r>
    </w:p>
    <w:p>
      <w:pPr>
        <w:spacing w:after="0" w:line="129"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United reported a net income of $6.50 million for the second quarter of 2012. This compared to net income of $12.0 million for the second quarter of 2011. Diluted earnings per common share was $.06 for the second quarter of 2012, compared to diluted earnings per common share of $.16 for the second quarter of 2011.</w:t>
      </w:r>
    </w:p>
    <w:p>
      <w:pPr>
        <w:spacing w:after="0" w:line="6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the six months ended June 30, 2012, United reported net income of $18.0 million. This compared to a net loss of $225 million for the first six months of 2011, which reflects the credit losses taken in the first quarter associated with United’s problem asset disposition plan (the “Problem Asset Disposition Plan”). United’s Board of Directors adopted the Problem Asset Disposition Plan in the first quarter of 2011 following a private placement transaction that raised $380 million in new capital (the “Private Placement”). Diluted earnings per common share was $.21 for the six months ended June 30, 2012, compared with a loss per common share of $10.52 for the same period in 2011.</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United’s provision for loan losses was $18.0 million for the three months ended June 30, 2012, compared to $11.0 million for the same period in 2011. Net charge-offs for the second quarter of 2012 were $18.9 million, compared to $16.5 million for the second quarter of 2011. For the six months ended June 30, 2012, United’s provision for loan losses was $33.0 million, compared to $201 million for the same period of 2011. Net charge-offs for the first six months of 2012 were $34.8 million, compared to $248 million for the first six months of 2011. During the first quarter of 2011, performing substandard loans with a pre-charge down carrying amount of $166 million and nonperforming loans with a pre-charge down carrying amount of $101 million were collectively written down to the expected sales proceeds of $80.6 million, in conjunction with a bulk loan sale that was part of the Problem Asset Disposition Plan (the “Bulk Loan Sale”). United recognized net charge-offs of $186 million related to the transfer of loans to the held for sale classification in the first quarter. The Bulk Loan Sale was completed on April 18, 2011. Proceeds from the sale were greater than originally estimated, resulting in a reduction of second quarter charge-offs of $7.27 million.</w:t>
      </w:r>
    </w:p>
    <w:p>
      <w:pPr>
        <w:spacing w:after="0" w:line="12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As of June 30, 2012, United’s allowance for loan losses was $113 million, or 2.74% of loans, compared to $128 million, or 3.07% of loans, at June 30, 2011. Nonperforming assets of $146 million, which excludes assets of Southern Community Bank (“SCB”) that are covered by loss sharing agreements with the FDIC, increased to 2.16% of total assets at June 30, 2012 from 1.66% as of June 30, 2011. Nonperforming asset levels are impacted significantly by the inflow of new nonperforming loans and United’s ability to liquidate foreclosed properties. During the third quarter of 2011, United classified its largest lending relationship of $76.6 million, which caused nonperforming assets to increase from 1.66% of total assets at June 30, 2011. Since that time, nonperforming assets have trended down.</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Taxable equivalent net interest revenue was $56.8 million for the second quarter of 2012, compared to $58.9 million for the same period of 2011. The decrease in net interest revenue was primarily the result of the lower yield on the securities portfolio, which was significantly impacted by heavy prepayment activity in the mortgage market. Prepayment activity suppressed the securities portfolio yield by accelerating the amortization of bond purchase premiums and the yields at which the proceeds were reinvested fell short of the yields of the bonds they replaced. Average loans for the quarter declined $110 million from the second quarter of 2011. The impact of the decrease in average loan balances was substantially offset by lower deposit rates. Net interest margin increased from 3.41% for the three months ended June 30, 2011 to 3.43% for the same period in 2012. For the six months ended June 30, 2012, taxable equivalent net interest revenue was $116 million, compared to $115 million for the same period of 2011. Net interest margin increased from 3.36% for the six months ended June 30, 2011 to 3.48% for the same period in 2012. Over the past year, United has maintained above normal levels of liquidity.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457"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Operating fee revenue decreased $1.04 million, or 7%, from the second quarter of 2011 and increased $2.50 million, or 10%, from the first six months of 2011. The quarterly decrease was due to a decline in hedge ineffectiveness gains. The second quarter of 2011 included $2.8 million in hedge ineffectiveness gains. In contrast, the second quarter of 2012 included $180,000 in hedge ineffectiveness losses. The year to date increase in operating fee revenue was due to an 81% increase in mortgage loan and related fees as well as a 9% increase in service charges and fees. The increase in service charges and fees is due to new service fees on demand deposit accounts that became effective January 1, 2012. These increases, along with a $2.86 million increase in other fee revenue that resulted mostly from $1.1 million in interest on a prior year Federal tax refund and $728,000 in gains from the sale of state low income housing tax credits that were included in the first quarter of 2012, more than offset the decline in hedge ineffectiveness gains for the period.</w:t>
      </w:r>
    </w:p>
    <w:p>
      <w:pPr>
        <w:spacing w:after="0" w:line="1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the second quarter of 2012, operating expenses of $44.3 million were down $4.42 million from the second quarter of 2011. Lower salary and employee benefits accounted for $2.14 million of the decrease and lower FDIC assessments and other regulatory charges accounted for $1.10 million of the decrease. For the six months ended June 30, 2012, operating expenses of $91.3 million were down $72.7 million from the same period of 2011. Foreclosed property costs were down $61.1 million from the first six months of 2011, due to the writedowns taken in 2011 associated with the Problem Asset Disposition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the first quarter of 2012, following detailed discussions with the Division of Corporation Finance and the Office of the Chief Accountant of the Securities and Exchange Commission (the “SEC”), United recorded an additional income tax expense of $156.7 million and a charge to other comprehensive income in shareholders’ equity of $10.2 million to establish a full deferred tax asset valuation allowance as of December 31, 2010. Based on these discussions with the SEC, United believes that establishing the full valuation allowance was responsive to the previously disclosed comments made by the SEC regarding United’s net deferred tax assets. As a result of increasing the valuation allowance for its deferred tax assets as of December 31, 2010, United restated its financial statements for the fourth quarter and year ended December 31, 2010 and the first three quarters of 2011, and revised the disclosures contained in its periodic reports filed with the SEC for those periods.</w:t>
      </w:r>
    </w:p>
    <w:p>
      <w:pPr>
        <w:spacing w:after="0" w:line="13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As previously disclosed on United’s Current Report on Form 8-K filed on May 16, 2012, United received from the SEC’s Division of Enforcement a notice of formal investigation that included a subpoena seeking information relating primarily to United’s deferred tax asset valuation allowances, the establishment of which resulted in the restatements described above, and United’s 2009 and 2010 goodwill impairment charges. The notice of investigation stated that it should not be construed as an indication that any violations of law have occurred. United is cooperating fully with the SEC in response to the subpoena.</w:t>
      </w:r>
    </w:p>
    <w:p>
      <w:pPr>
        <w:spacing w:after="0" w:line="114"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As previously disclosed on United’s Current Report on Form 8-K filed on July 6, 2012, United has been served with a lawsuit filed by FILB Co-Investments LLC (“FILB”) against United in New York federal court. The lawsuit relates to purported contractual rights that FILB claims were assigned to it by Fletcher International, Ltd (“Fletcher”). United believes the lawsuit is meritless for several reasons, and will defend it aggressively.</w:t>
      </w:r>
    </w:p>
    <w:p>
      <w:pPr>
        <w:spacing w:after="0" w:line="1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purported assignment to FILB from Fletcher relates to a dispute between those two entities emanating from a redemption request to Fletcher by several investors in one of Fletcher’s funds. That dispute involves judicial proceedings in the Cayman Islands that resulted in the Grand Court of the Cayman Islands ordering the liquidation of a Fletcher fund, with FILB now being managed by a court-appointed liquidator. Fletcher has now filed for bankruptcy protection and is seeking to prevent the liquidation from continuing. United believes that FILB has filed this lawsuit in an attempt to preserve all possible rights, regardless of merit, that might be pursued as a result of the liquidation.</w:t>
      </w:r>
    </w:p>
    <w:p>
      <w:pPr>
        <w:spacing w:after="0" w:line="1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FILB alleges that, among other things, United breached its obligation to deliver 76 shares of preferred stock of United to FILB and that the investment period with respect to FILB’s purportedly assigned right to purchase United’s preferred stock is continuing. FILB also claimed that United’s 2011 reclassification of its common stock in the form of a 1-for-5 reverse stock split, or recombination, should be ignored for purposes of calculating the number of shares of United’s common stock issuable upon the redemption of United’s preferred stock.</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United strongly disagrees with each of these claims and fully expects its position to prevail if the litigation proceeds.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In particular, United’s accounting policies related to allowance for loan losses, fair value measurements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GAAP Reconciliation and Explanation</w:t>
      </w:r>
    </w:p>
    <w:p>
      <w:pPr>
        <w:spacing w:after="0" w:line="10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33.</w:t>
      </w:r>
    </w:p>
    <w:p>
      <w:pPr>
        <w:sectPr>
          <w:pgSz w:w="11900" w:h="16838" w:orient="portrait"/>
          <w:cols w:equalWidth="0" w:num="1">
            <w:col w:w="11420"/>
          </w:cols>
          <w:pgMar w:left="240" w:top="457"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7"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1 - Financial Highlights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Financial Information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Second</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3"/>
                <w:szCs w:val="13"/>
                <w:color w:val="auto"/>
              </w:rPr>
            </w:pPr>
          </w:p>
        </w:tc>
        <w:tc>
          <w:tcPr>
            <w:tcW w:w="164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For the Six</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YTD</w:t>
            </w:r>
          </w:p>
        </w:tc>
        <w:tc>
          <w:tcPr>
            <w:tcW w:w="0" w:type="dxa"/>
            <w:vAlign w:val="bottom"/>
          </w:tcPr>
          <w:p>
            <w:pPr>
              <w:spacing w:after="0"/>
              <w:rPr>
                <w:sz w:val="1"/>
                <w:szCs w:val="1"/>
                <w:color w:val="auto"/>
              </w:rPr>
            </w:pPr>
          </w:p>
        </w:tc>
      </w:tr>
      <w:tr>
        <w:trPr>
          <w:trHeight w:val="141"/>
        </w:trPr>
        <w:tc>
          <w:tcPr>
            <w:tcW w:w="3860" w:type="dxa"/>
            <w:vAlign w:val="bottom"/>
            <w:gridSpan w:val="2"/>
          </w:tcPr>
          <w:p>
            <w:pPr>
              <w:spacing w:after="0" w:line="141" w:lineRule="exact"/>
              <w:rPr>
                <w:sz w:val="20"/>
                <w:szCs w:val="20"/>
                <w:color w:val="auto"/>
              </w:rPr>
            </w:pPr>
            <w:r>
              <w:rPr>
                <w:rFonts w:ascii="Arial" w:cs="Arial" w:eastAsia="Arial" w:hAnsi="Arial"/>
                <w:sz w:val="13"/>
                <w:szCs w:val="13"/>
                <w:i w:val="1"/>
                <w:iCs w:val="1"/>
                <w:color w:val="auto"/>
              </w:rPr>
              <w:t>(in thousands, except per share</w:t>
            </w:r>
          </w:p>
        </w:tc>
        <w:tc>
          <w:tcPr>
            <w:tcW w:w="260" w:type="dxa"/>
            <w:vAlign w:val="bottom"/>
          </w:tcPr>
          <w:p>
            <w:pPr>
              <w:spacing w:after="0"/>
              <w:rPr>
                <w:sz w:val="12"/>
                <w:szCs w:val="12"/>
                <w:color w:val="auto"/>
              </w:rPr>
            </w:pPr>
          </w:p>
        </w:tc>
        <w:tc>
          <w:tcPr>
            <w:tcW w:w="720" w:type="dxa"/>
            <w:vAlign w:val="bottom"/>
            <w:gridSpan w:val="2"/>
          </w:tcPr>
          <w:p>
            <w:pPr>
              <w:jc w:val="right"/>
              <w:ind w:right="320"/>
              <w:spacing w:after="0" w:line="141" w:lineRule="exact"/>
              <w:rPr>
                <w:sz w:val="20"/>
                <w:szCs w:val="20"/>
                <w:color w:val="auto"/>
              </w:rPr>
            </w:pPr>
            <w:r>
              <w:rPr>
                <w:rFonts w:ascii="Arial" w:cs="Arial" w:eastAsia="Arial" w:hAnsi="Arial"/>
                <w:sz w:val="13"/>
                <w:szCs w:val="13"/>
                <w:b w:val="1"/>
                <w:bCs w:val="1"/>
                <w:color w:val="auto"/>
                <w:w w:val="80"/>
              </w:rPr>
              <w:t>Second</w:t>
            </w:r>
          </w:p>
        </w:tc>
        <w:tc>
          <w:tcPr>
            <w:tcW w:w="80" w:type="dxa"/>
            <w:vAlign w:val="bottom"/>
          </w:tcPr>
          <w:p>
            <w:pPr>
              <w:spacing w:after="0"/>
              <w:rPr>
                <w:sz w:val="12"/>
                <w:szCs w:val="12"/>
                <w:color w:val="auto"/>
              </w:rPr>
            </w:pPr>
          </w:p>
        </w:tc>
        <w:tc>
          <w:tcPr>
            <w:tcW w:w="440" w:type="dxa"/>
            <w:vAlign w:val="bottom"/>
          </w:tcPr>
          <w:p>
            <w:pPr>
              <w:jc w:val="right"/>
              <w:ind w:right="53"/>
              <w:spacing w:after="0" w:line="141" w:lineRule="exact"/>
              <w:rPr>
                <w:sz w:val="20"/>
                <w:szCs w:val="20"/>
                <w:color w:val="auto"/>
              </w:rPr>
            </w:pPr>
            <w:r>
              <w:rPr>
                <w:rFonts w:ascii="Arial" w:cs="Arial" w:eastAsia="Arial" w:hAnsi="Arial"/>
                <w:sz w:val="13"/>
                <w:szCs w:val="13"/>
                <w:b w:val="1"/>
                <w:bCs w:val="1"/>
                <w:color w:val="auto"/>
              </w:rPr>
              <w:t>First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60"/>
              <w:spacing w:after="0" w:line="141" w:lineRule="exact"/>
              <w:rPr>
                <w:sz w:val="20"/>
                <w:szCs w:val="20"/>
                <w:color w:val="auto"/>
              </w:rPr>
            </w:pPr>
            <w:r>
              <w:rPr>
                <w:rFonts w:ascii="Arial" w:cs="Arial" w:eastAsia="Arial" w:hAnsi="Arial"/>
                <w:sz w:val="13"/>
                <w:szCs w:val="13"/>
                <w:b w:val="1"/>
                <w:bCs w:val="1"/>
                <w:color w:val="auto"/>
                <w:w w:val="87"/>
              </w:rPr>
              <w:t>Fourth</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1" w:lineRule="exact"/>
              <w:rPr>
                <w:sz w:val="20"/>
                <w:szCs w:val="20"/>
                <w:color w:val="auto"/>
              </w:rPr>
            </w:pPr>
            <w:r>
              <w:rPr>
                <w:rFonts w:ascii="Arial" w:cs="Arial" w:eastAsia="Arial" w:hAnsi="Arial"/>
                <w:sz w:val="13"/>
                <w:szCs w:val="13"/>
                <w:b w:val="1"/>
                <w:bCs w:val="1"/>
                <w:color w:val="auto"/>
                <w:w w:val="98"/>
              </w:rPr>
              <w:t>Third</w:t>
            </w:r>
          </w:p>
        </w:tc>
        <w:tc>
          <w:tcPr>
            <w:tcW w:w="52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w w:val="93"/>
              </w:rPr>
              <w:t>Second</w:t>
            </w:r>
          </w:p>
        </w:tc>
        <w:tc>
          <w:tcPr>
            <w:tcW w:w="300" w:type="dxa"/>
            <w:vAlign w:val="bottom"/>
          </w:tcPr>
          <w:p>
            <w:pPr>
              <w:spacing w:after="0"/>
              <w:rPr>
                <w:sz w:val="12"/>
                <w:szCs w:val="12"/>
                <w:color w:val="auto"/>
              </w:rPr>
            </w:pPr>
          </w:p>
        </w:tc>
        <w:tc>
          <w:tcPr>
            <w:tcW w:w="5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2012-2011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tcPr>
          <w:p>
            <w:pPr>
              <w:jc w:val="right"/>
              <w:ind w:right="600"/>
              <w:spacing w:after="0" w:line="141" w:lineRule="exact"/>
              <w:rPr>
                <w:sz w:val="20"/>
                <w:szCs w:val="20"/>
                <w:color w:val="auto"/>
              </w:rPr>
            </w:pPr>
            <w:r>
              <w:rPr>
                <w:rFonts w:ascii="Arial" w:cs="Arial" w:eastAsia="Arial" w:hAnsi="Arial"/>
                <w:sz w:val="13"/>
                <w:szCs w:val="13"/>
                <w:b w:val="1"/>
                <w:bCs w:val="1"/>
                <w:color w:val="auto"/>
              </w:rPr>
              <w:t>Months Ended</w:t>
            </w:r>
          </w:p>
        </w:tc>
        <w:tc>
          <w:tcPr>
            <w:tcW w:w="5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90"/>
              </w:rPr>
              <w:t>2012-2011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860" w:type="dxa"/>
            <w:vAlign w:val="bottom"/>
            <w:gridSpan w:val="2"/>
          </w:tcPr>
          <w:p>
            <w:pPr>
              <w:spacing w:after="0" w:line="128" w:lineRule="exact"/>
              <w:rPr>
                <w:sz w:val="20"/>
                <w:szCs w:val="20"/>
                <w:color w:val="auto"/>
              </w:rPr>
            </w:pPr>
            <w:r>
              <w:rPr>
                <w:rFonts w:ascii="Arial" w:cs="Arial" w:eastAsia="Arial" w:hAnsi="Arial"/>
                <w:sz w:val="13"/>
                <w:szCs w:val="13"/>
                <w:i w:val="1"/>
                <w:iCs w:val="1"/>
                <w:color w:val="auto"/>
              </w:rPr>
              <w:t>data; taxable equivalent)</w:t>
            </w:r>
          </w:p>
        </w:tc>
        <w:tc>
          <w:tcPr>
            <w:tcW w:w="260" w:type="dxa"/>
            <w:vAlign w:val="bottom"/>
          </w:tcPr>
          <w:p>
            <w:pPr>
              <w:spacing w:after="0"/>
              <w:rPr>
                <w:sz w:val="11"/>
                <w:szCs w:val="11"/>
                <w:color w:val="auto"/>
              </w:rPr>
            </w:pPr>
          </w:p>
        </w:tc>
        <w:tc>
          <w:tcPr>
            <w:tcW w:w="720" w:type="dxa"/>
            <w:vAlign w:val="bottom"/>
            <w:gridSpan w:val="2"/>
          </w:tcPr>
          <w:p>
            <w:pPr>
              <w:jc w:val="right"/>
              <w:ind w:right="300"/>
              <w:spacing w:after="0" w:line="128" w:lineRule="exact"/>
              <w:rPr>
                <w:sz w:val="20"/>
                <w:szCs w:val="20"/>
                <w:color w:val="auto"/>
              </w:rPr>
            </w:pPr>
            <w:r>
              <w:rPr>
                <w:rFonts w:ascii="Arial" w:cs="Arial" w:eastAsia="Arial" w:hAnsi="Arial"/>
                <w:sz w:val="13"/>
                <w:szCs w:val="13"/>
                <w:b w:val="1"/>
                <w:bCs w:val="1"/>
                <w:color w:val="auto"/>
                <w:w w:val="85"/>
              </w:rPr>
              <w:t>Quarter</w:t>
            </w:r>
          </w:p>
        </w:tc>
        <w:tc>
          <w:tcPr>
            <w:tcW w:w="700" w:type="dxa"/>
            <w:vAlign w:val="bottom"/>
            <w:gridSpan w:val="3"/>
          </w:tcPr>
          <w:p>
            <w:pPr>
              <w:jc w:val="right"/>
              <w:ind w:right="200"/>
              <w:spacing w:after="0" w:line="128" w:lineRule="exact"/>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1"/>
                <w:szCs w:val="11"/>
                <w:color w:val="auto"/>
              </w:rPr>
            </w:pPr>
          </w:p>
        </w:tc>
        <w:tc>
          <w:tcPr>
            <w:tcW w:w="640" w:type="dxa"/>
            <w:vAlign w:val="bottom"/>
            <w:gridSpan w:val="2"/>
          </w:tcPr>
          <w:p>
            <w:pPr>
              <w:jc w:val="right"/>
              <w:ind w:right="220"/>
              <w:spacing w:after="0" w:line="128" w:lineRule="exact"/>
              <w:rPr>
                <w:sz w:val="20"/>
                <w:szCs w:val="20"/>
                <w:color w:val="auto"/>
              </w:rPr>
            </w:pPr>
            <w:r>
              <w:rPr>
                <w:rFonts w:ascii="Arial" w:cs="Arial" w:eastAsia="Arial" w:hAnsi="Arial"/>
                <w:sz w:val="13"/>
                <w:szCs w:val="13"/>
                <w:b w:val="1"/>
                <w:bCs w:val="1"/>
                <w:color w:val="auto"/>
                <w:w w:val="85"/>
              </w:rPr>
              <w:t>Quarter</w:t>
            </w:r>
          </w:p>
        </w:tc>
        <w:tc>
          <w:tcPr>
            <w:tcW w:w="80" w:type="dxa"/>
            <w:vAlign w:val="bottom"/>
          </w:tcPr>
          <w:p>
            <w:pPr>
              <w:spacing w:after="0"/>
              <w:rPr>
                <w:sz w:val="11"/>
                <w:szCs w:val="11"/>
                <w:color w:val="auto"/>
              </w:rPr>
            </w:pPr>
          </w:p>
        </w:tc>
        <w:tc>
          <w:tcPr>
            <w:tcW w:w="840" w:type="dxa"/>
            <w:vAlign w:val="bottom"/>
            <w:gridSpan w:val="3"/>
          </w:tcPr>
          <w:p>
            <w:pPr>
              <w:jc w:val="right"/>
              <w:ind w:right="340"/>
              <w:spacing w:after="0" w:line="128" w:lineRule="exact"/>
              <w:rPr>
                <w:sz w:val="20"/>
                <w:szCs w:val="20"/>
                <w:color w:val="auto"/>
              </w:rPr>
            </w:pPr>
            <w:r>
              <w:rPr>
                <w:rFonts w:ascii="Arial" w:cs="Arial" w:eastAsia="Arial" w:hAnsi="Arial"/>
                <w:sz w:val="13"/>
                <w:szCs w:val="13"/>
                <w:b w:val="1"/>
                <w:bCs w:val="1"/>
                <w:color w:val="auto"/>
              </w:rPr>
              <w:t>Quarter</w:t>
            </w:r>
          </w:p>
        </w:tc>
        <w:tc>
          <w:tcPr>
            <w:tcW w:w="820" w:type="dxa"/>
            <w:vAlign w:val="bottom"/>
            <w:gridSpan w:val="3"/>
          </w:tcPr>
          <w:p>
            <w:pPr>
              <w:jc w:val="right"/>
              <w:ind w:right="320"/>
              <w:spacing w:after="0" w:line="128" w:lineRule="exact"/>
              <w:rPr>
                <w:sz w:val="20"/>
                <w:szCs w:val="20"/>
                <w:color w:val="auto"/>
              </w:rPr>
            </w:pPr>
            <w:r>
              <w:rPr>
                <w:rFonts w:ascii="Arial" w:cs="Arial" w:eastAsia="Arial" w:hAnsi="Arial"/>
                <w:sz w:val="13"/>
                <w:szCs w:val="13"/>
                <w:b w:val="1"/>
                <w:bCs w:val="1"/>
                <w:color w:val="auto"/>
              </w:rPr>
              <w:t>Quarter</w:t>
            </w:r>
          </w:p>
        </w:tc>
        <w:tc>
          <w:tcPr>
            <w:tcW w:w="82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ind w:right="53"/>
              <w:spacing w:after="0" w:line="128" w:lineRule="exact"/>
              <w:rPr>
                <w:sz w:val="20"/>
                <w:szCs w:val="20"/>
                <w:color w:val="auto"/>
              </w:rPr>
            </w:pPr>
            <w:r>
              <w:rPr>
                <w:rFonts w:ascii="Arial" w:cs="Arial" w:eastAsia="Arial" w:hAnsi="Arial"/>
                <w:sz w:val="13"/>
                <w:szCs w:val="13"/>
                <w:b w:val="1"/>
                <w:bCs w:val="1"/>
                <w:color w:val="auto"/>
              </w:rPr>
              <w:t>2012</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3"/>
              <w:spacing w:after="0" w:line="128" w:lineRule="exact"/>
              <w:rPr>
                <w:sz w:val="20"/>
                <w:szCs w:val="20"/>
                <w:color w:val="auto"/>
              </w:rPr>
            </w:pPr>
            <w:r>
              <w:rPr>
                <w:rFonts w:ascii="Arial" w:cs="Arial" w:eastAsia="Arial" w:hAnsi="Arial"/>
                <w:sz w:val="13"/>
                <w:szCs w:val="13"/>
                <w:b w:val="1"/>
                <w:bCs w:val="1"/>
                <w:color w:val="auto"/>
              </w:rPr>
              <w:t>2011</w:t>
            </w:r>
          </w:p>
        </w:tc>
        <w:tc>
          <w:tcPr>
            <w:tcW w:w="360" w:type="dxa"/>
            <w:vAlign w:val="bottom"/>
          </w:tcPr>
          <w:p>
            <w:pPr>
              <w:spacing w:after="0"/>
              <w:rPr>
                <w:sz w:val="11"/>
                <w:szCs w:val="11"/>
                <w:color w:val="auto"/>
              </w:rPr>
            </w:pPr>
          </w:p>
        </w:tc>
        <w:tc>
          <w:tcPr>
            <w:tcW w:w="720" w:type="dxa"/>
            <w:vAlign w:val="bottom"/>
            <w:gridSpan w:val="2"/>
          </w:tcPr>
          <w:p>
            <w:pPr>
              <w:jc w:val="right"/>
              <w:ind w:right="220"/>
              <w:spacing w:after="0" w:line="12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INCOME SUMMARY</w:t>
            </w:r>
          </w:p>
        </w:tc>
        <w:tc>
          <w:tcPr>
            <w:tcW w:w="26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spacing w:after="0" w:line="148" w:lineRule="exact"/>
              <w:rPr>
                <w:sz w:val="20"/>
                <w:szCs w:val="20"/>
                <w:color w:val="auto"/>
              </w:rPr>
            </w:pPr>
            <w:r>
              <w:rPr>
                <w:rFonts w:ascii="Arial" w:cs="Arial" w:eastAsia="Arial" w:hAnsi="Arial"/>
                <w:sz w:val="13"/>
                <w:szCs w:val="13"/>
                <w:color w:val="auto"/>
              </w:rPr>
              <w:t>Interest revenue</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66,780</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70,221</w:t>
            </w:r>
          </w:p>
        </w:tc>
        <w:tc>
          <w:tcPr>
            <w:tcW w:w="180" w:type="dxa"/>
            <w:vAlign w:val="bottom"/>
          </w:tcPr>
          <w:p>
            <w:pPr>
              <w:spacing w:after="0"/>
              <w:rPr>
                <w:sz w:val="12"/>
                <w:szCs w:val="12"/>
                <w:color w:val="auto"/>
              </w:rPr>
            </w:pPr>
          </w:p>
        </w:tc>
        <w:tc>
          <w:tcPr>
            <w:tcW w:w="1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71,905</w:t>
            </w:r>
          </w:p>
        </w:tc>
        <w:tc>
          <w:tcPr>
            <w:tcW w:w="200" w:type="dxa"/>
            <w:vAlign w:val="bottom"/>
          </w:tcPr>
          <w:p>
            <w:pPr>
              <w:spacing w:after="0"/>
              <w:rPr>
                <w:sz w:val="12"/>
                <w:szCs w:val="12"/>
                <w:color w:val="auto"/>
              </w:rPr>
            </w:pPr>
          </w:p>
        </w:tc>
        <w:tc>
          <w:tcPr>
            <w:tcW w:w="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74,543</w:t>
            </w:r>
          </w:p>
        </w:tc>
        <w:tc>
          <w:tcPr>
            <w:tcW w:w="32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76,931</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w w:val="89"/>
              </w:rPr>
              <w:t>137,001</w:t>
            </w:r>
          </w:p>
        </w:tc>
        <w:tc>
          <w:tcPr>
            <w:tcW w:w="1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w w:val="97"/>
              </w:rPr>
              <w:t>152,896</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Interest expense</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9,944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11,357</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12,855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15,262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17,985</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21,301</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37,558</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ind w:left="860"/>
              <w:spacing w:after="0"/>
              <w:rPr>
                <w:sz w:val="20"/>
                <w:szCs w:val="20"/>
                <w:color w:val="auto"/>
              </w:rPr>
            </w:pPr>
            <w:r>
              <w:rPr>
                <w:rFonts w:ascii="Arial" w:cs="Arial" w:eastAsia="Arial" w:hAnsi="Arial"/>
                <w:sz w:val="13"/>
                <w:szCs w:val="13"/>
                <w:color w:val="auto"/>
              </w:rPr>
              <w:t>Net interest revenue</w:t>
            </w: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(4)%</w:t>
            </w: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line="20" w:lineRule="exact"/>
              <w:rPr>
                <w:sz w:val="1"/>
                <w:szCs w:val="1"/>
                <w:color w:val="auto"/>
              </w:rPr>
            </w:pPr>
          </w:p>
        </w:tc>
      </w:tr>
      <w:tr>
        <w:trPr>
          <w:trHeight w:val="154"/>
        </w:trPr>
        <w:tc>
          <w:tcPr>
            <w:tcW w:w="38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56,836</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58,864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59,050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59,281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58,946</w:t>
            </w:r>
          </w:p>
        </w:tc>
        <w:tc>
          <w:tcPr>
            <w:tcW w:w="3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w w:val="89"/>
              </w:rPr>
              <w:t>115,700</w:t>
            </w:r>
          </w:p>
        </w:tc>
        <w:tc>
          <w:tcPr>
            <w:tcW w:w="1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115,338</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Provision for loan losses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18,000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15,000</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36,000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11,000</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33,000</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w w:val="97"/>
              </w:rPr>
              <w:t>201,000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spacing w:after="0" w:line="148" w:lineRule="exact"/>
              <w:rPr>
                <w:sz w:val="20"/>
                <w:szCs w:val="20"/>
                <w:color w:val="auto"/>
              </w:rPr>
            </w:pPr>
            <w:r>
              <w:rPr>
                <w:rFonts w:ascii="Arial" w:cs="Arial" w:eastAsia="Arial" w:hAnsi="Arial"/>
                <w:sz w:val="13"/>
                <w:szCs w:val="13"/>
                <w:color w:val="auto"/>
              </w:rPr>
              <w:t>Fee revenue</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12,867</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15,379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12,667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11,498</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13,905</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28,246</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25,743</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gridSpan w:val="2"/>
            <w:shd w:val="clear" w:color="auto" w:fill="CCEEFF"/>
          </w:tcPr>
          <w:p>
            <w:pPr>
              <w:ind w:left="860"/>
              <w:spacing w:after="0" w:line="148" w:lineRule="exact"/>
              <w:rPr>
                <w:sz w:val="20"/>
                <w:szCs w:val="20"/>
                <w:color w:val="auto"/>
              </w:rPr>
            </w:pPr>
            <w:r>
              <w:rPr>
                <w:rFonts w:ascii="Arial" w:cs="Arial" w:eastAsia="Arial" w:hAnsi="Arial"/>
                <w:sz w:val="13"/>
                <w:szCs w:val="13"/>
                <w:color w:val="auto"/>
              </w:rPr>
              <w:t>Total revenue</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51,703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59,243</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57,717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34,779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61,851</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89"/>
              </w:rPr>
              <w:t>110,946</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(59,919)</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spacing w:after="0" w:line="148" w:lineRule="exact"/>
              <w:rPr>
                <w:sz w:val="20"/>
                <w:szCs w:val="20"/>
                <w:color w:val="auto"/>
              </w:rPr>
            </w:pPr>
            <w:r>
              <w:rPr>
                <w:rFonts w:ascii="Arial" w:cs="Arial" w:eastAsia="Arial" w:hAnsi="Arial"/>
                <w:sz w:val="13"/>
                <w:szCs w:val="13"/>
                <w:color w:val="auto"/>
              </w:rPr>
              <w:t>Operating expenses</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44,310</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46,955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51,080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46,520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48,728</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(9)</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91,265</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w w:val="97"/>
              </w:rPr>
              <w:t>163,999</w:t>
            </w: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gridSpan w:val="2"/>
            <w:shd w:val="clear" w:color="auto" w:fill="CCEEFF"/>
          </w:tcPr>
          <w:p>
            <w:pPr>
              <w:ind w:left="860"/>
              <w:spacing w:after="0" w:line="148" w:lineRule="exact"/>
              <w:rPr>
                <w:sz w:val="20"/>
                <w:szCs w:val="20"/>
                <w:color w:val="auto"/>
              </w:rPr>
            </w:pPr>
            <w:r>
              <w:rPr>
                <w:rFonts w:ascii="Arial" w:cs="Arial" w:eastAsia="Arial" w:hAnsi="Arial"/>
                <w:sz w:val="13"/>
                <w:szCs w:val="13"/>
                <w:color w:val="auto"/>
              </w:rPr>
              <w:t>Income (loss) before income taxes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7,393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12,288</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6,637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w w:val="94"/>
              </w:rPr>
              <w:t>(11,741)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13,123</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19,681</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w w:val="93"/>
              </w:rPr>
              <w:t>(223,918)</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spacing w:after="0" w:line="148" w:lineRule="exact"/>
              <w:rPr>
                <w:sz w:val="20"/>
                <w:szCs w:val="20"/>
                <w:color w:val="auto"/>
              </w:rPr>
            </w:pPr>
            <w:r>
              <w:rPr>
                <w:rFonts w:ascii="Arial" w:cs="Arial" w:eastAsia="Arial" w:hAnsi="Arial"/>
                <w:sz w:val="13"/>
                <w:szCs w:val="13"/>
                <w:color w:val="auto"/>
              </w:rPr>
              <w:t>Income tax expense (benefit)</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894</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760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(3,264)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(402)</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1,095</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1,654</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1,390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gridSpan w:val="2"/>
            <w:shd w:val="clear" w:color="auto" w:fill="CCEEFF"/>
          </w:tcPr>
          <w:p>
            <w:pPr>
              <w:ind w:left="860"/>
              <w:spacing w:after="0" w:line="148" w:lineRule="exact"/>
              <w:rPr>
                <w:sz w:val="20"/>
                <w:szCs w:val="20"/>
                <w:color w:val="auto"/>
              </w:rPr>
            </w:pPr>
            <w:r>
              <w:rPr>
                <w:rFonts w:ascii="Arial" w:cs="Arial" w:eastAsia="Arial" w:hAnsi="Arial"/>
                <w:sz w:val="13"/>
                <w:szCs w:val="13"/>
                <w:color w:val="auto"/>
              </w:rPr>
              <w:t>Net income (loss)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6,499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11,528</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w w:val="94"/>
              </w:rPr>
              <w:t>(11,339)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12,028</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(46)</w:t>
            </w: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18,027</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w w:val="93"/>
              </w:rPr>
              <w:t>(225,308)</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spacing w:after="0" w:line="148" w:lineRule="exact"/>
              <w:rPr>
                <w:sz w:val="20"/>
                <w:szCs w:val="20"/>
                <w:color w:val="auto"/>
              </w:rPr>
            </w:pPr>
            <w:r>
              <w:rPr>
                <w:rFonts w:ascii="Arial" w:cs="Arial" w:eastAsia="Arial" w:hAnsi="Arial"/>
                <w:sz w:val="13"/>
                <w:szCs w:val="13"/>
                <w:color w:val="auto"/>
              </w:rPr>
              <w:t>Preferred dividends and discount accretion</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3,032</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3,030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3,025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3,019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3,016</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6,062</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5,794</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Net income (loss) available to common shareholders</w:t>
            </w:r>
          </w:p>
        </w:tc>
        <w:tc>
          <w:tcPr>
            <w:tcW w:w="2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3,467</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8,498</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6,876</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w w:val="94"/>
              </w:rPr>
              <w:t>(14,358)</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9,012</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(62)</w:t>
            </w:r>
          </w:p>
        </w:tc>
        <w:tc>
          <w:tcPr>
            <w:tcW w:w="1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11,965</w:t>
            </w:r>
          </w:p>
        </w:tc>
        <w:tc>
          <w:tcPr>
            <w:tcW w:w="1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rPr>
              <w:t>$</w:t>
            </w: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w w:val="93"/>
              </w:rPr>
              <w:t>(231,102)</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PERFORMANCE MEASURES</w:t>
            </w: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Per common share:</w:t>
            </w:r>
          </w:p>
        </w:tc>
        <w:tc>
          <w:tcPr>
            <w:tcW w:w="2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860"/>
              <w:spacing w:after="0" w:line="148" w:lineRule="exact"/>
              <w:rPr>
                <w:sz w:val="20"/>
                <w:szCs w:val="20"/>
                <w:color w:val="auto"/>
              </w:rPr>
            </w:pPr>
            <w:r>
              <w:rPr>
                <w:rFonts w:ascii="Arial" w:cs="Arial" w:eastAsia="Arial" w:hAnsi="Arial"/>
                <w:sz w:val="13"/>
                <w:szCs w:val="13"/>
                <w:color w:val="auto"/>
              </w:rPr>
              <w:t>Diluted income (loss)</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.06</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.15</w:t>
            </w:r>
          </w:p>
        </w:tc>
        <w:tc>
          <w:tcPr>
            <w:tcW w:w="180" w:type="dxa"/>
            <w:vAlign w:val="bottom"/>
          </w:tcPr>
          <w:p>
            <w:pPr>
              <w:spacing w:after="0"/>
              <w:rPr>
                <w:sz w:val="12"/>
                <w:szCs w:val="12"/>
                <w:color w:val="auto"/>
              </w:rPr>
            </w:pPr>
          </w:p>
        </w:tc>
        <w:tc>
          <w:tcPr>
            <w:tcW w:w="1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.12</w:t>
            </w:r>
          </w:p>
        </w:tc>
        <w:tc>
          <w:tcPr>
            <w:tcW w:w="200" w:type="dxa"/>
            <w:vAlign w:val="bottom"/>
          </w:tcPr>
          <w:p>
            <w:pPr>
              <w:spacing w:after="0"/>
              <w:rPr>
                <w:sz w:val="12"/>
                <w:szCs w:val="12"/>
                <w:color w:val="auto"/>
              </w:rPr>
            </w:pPr>
          </w:p>
        </w:tc>
        <w:tc>
          <w:tcPr>
            <w:tcW w:w="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(.25)</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.16</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(63)</w:t>
            </w:r>
          </w:p>
        </w:tc>
        <w:tc>
          <w:tcPr>
            <w:tcW w:w="1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.21</w:t>
            </w:r>
          </w:p>
        </w:tc>
        <w:tc>
          <w:tcPr>
            <w:tcW w:w="1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(10.52)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860"/>
              <w:spacing w:after="0" w:line="148" w:lineRule="exact"/>
              <w:rPr>
                <w:sz w:val="20"/>
                <w:szCs w:val="20"/>
                <w:color w:val="auto"/>
              </w:rPr>
            </w:pPr>
            <w:r>
              <w:rPr>
                <w:rFonts w:ascii="Arial" w:cs="Arial" w:eastAsia="Arial" w:hAnsi="Arial"/>
                <w:sz w:val="13"/>
                <w:szCs w:val="13"/>
                <w:color w:val="auto"/>
              </w:rPr>
              <w:t>Book value</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6.61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6.68</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6.62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6.77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7.11</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(7)</w:t>
            </w: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6.61</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7.11</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7"/>
        </w:trPr>
        <w:tc>
          <w:tcPr>
            <w:tcW w:w="3860" w:type="dxa"/>
            <w:vAlign w:val="bottom"/>
            <w:gridSpan w:val="2"/>
          </w:tcPr>
          <w:p>
            <w:pPr>
              <w:ind w:left="860"/>
              <w:spacing w:after="0" w:line="147" w:lineRule="exact"/>
              <w:rPr>
                <w:sz w:val="20"/>
                <w:szCs w:val="20"/>
                <w:color w:val="auto"/>
              </w:rPr>
            </w:pPr>
            <w:r>
              <w:rPr>
                <w:rFonts w:ascii="Arial" w:cs="Arial" w:eastAsia="Arial" w:hAnsi="Arial"/>
                <w:sz w:val="11"/>
                <w:szCs w:val="11"/>
                <w:color w:val="auto"/>
              </w:rPr>
              <w:t xml:space="preserve">Tangible book value </w:t>
            </w:r>
            <w:r>
              <w:rPr>
                <w:rFonts w:ascii="Arial" w:cs="Arial" w:eastAsia="Arial" w:hAnsi="Arial"/>
                <w:sz w:val="17"/>
                <w:szCs w:val="17"/>
                <w:color w:val="auto"/>
                <w:vertAlign w:val="superscript"/>
              </w:rPr>
              <w:t>(2)</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6.48</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6.54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6.47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6.61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6.94</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6.48</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6.94</w:t>
            </w: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Key performance ratios:</w:t>
            </w:r>
          </w:p>
        </w:tc>
        <w:tc>
          <w:tcPr>
            <w:tcW w:w="2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860"/>
              <w:spacing w:after="0" w:line="147" w:lineRule="exact"/>
              <w:rPr>
                <w:sz w:val="20"/>
                <w:szCs w:val="20"/>
                <w:color w:val="auto"/>
              </w:rPr>
            </w:pPr>
            <w:r>
              <w:rPr>
                <w:rFonts w:ascii="Arial" w:cs="Arial" w:eastAsia="Arial" w:hAnsi="Arial"/>
                <w:sz w:val="11"/>
                <w:szCs w:val="11"/>
                <w:color w:val="auto"/>
              </w:rPr>
              <w:t xml:space="preserve">Return on equity </w:t>
            </w:r>
            <w:r>
              <w:rPr>
                <w:rFonts w:ascii="Arial" w:cs="Arial" w:eastAsia="Arial" w:hAnsi="Arial"/>
                <w:sz w:val="17"/>
                <w:szCs w:val="17"/>
                <w:color w:val="auto"/>
                <w:vertAlign w:val="superscript"/>
              </w:rPr>
              <w:t>(1)(3)</w:t>
            </w:r>
          </w:p>
        </w:tc>
        <w:tc>
          <w:tcPr>
            <w:tcW w:w="260" w:type="dxa"/>
            <w:vAlign w:val="bottom"/>
          </w:tcPr>
          <w:p>
            <w:pPr>
              <w:spacing w:after="0"/>
              <w:rPr>
                <w:sz w:val="12"/>
                <w:szCs w:val="12"/>
                <w:color w:val="auto"/>
              </w:rPr>
            </w:pP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3.51%</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8.78%</w:t>
            </w:r>
          </w:p>
        </w:tc>
        <w:tc>
          <w:tcPr>
            <w:tcW w:w="160" w:type="dxa"/>
            <w:vAlign w:val="bottom"/>
          </w:tcPr>
          <w:p>
            <w:pPr>
              <w:spacing w:after="0"/>
              <w:rPr>
                <w:sz w:val="12"/>
                <w:szCs w:val="12"/>
                <w:color w:val="auto"/>
              </w:rPr>
            </w:pP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(15.06)%</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42.60%</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6.12%</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(345.86)%</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860"/>
              <w:spacing w:after="0" w:line="147" w:lineRule="exact"/>
              <w:rPr>
                <w:sz w:val="20"/>
                <w:szCs w:val="20"/>
                <w:color w:val="auto"/>
              </w:rPr>
            </w:pPr>
            <w:r>
              <w:rPr>
                <w:rFonts w:ascii="Arial" w:cs="Arial" w:eastAsia="Arial" w:hAnsi="Arial"/>
                <w:sz w:val="11"/>
                <w:szCs w:val="11"/>
                <w:color w:val="auto"/>
              </w:rPr>
              <w:t xml:space="preserve">Return on assets </w:t>
            </w:r>
            <w:r>
              <w:rPr>
                <w:rFonts w:ascii="Arial" w:cs="Arial" w:eastAsia="Arial" w:hAnsi="Arial"/>
                <w:sz w:val="17"/>
                <w:szCs w:val="17"/>
                <w:color w:val="auto"/>
                <w:vertAlign w:val="superscript"/>
              </w:rPr>
              <w:t>(3)</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.66</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.66</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.52</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(6.16)</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860"/>
              <w:spacing w:after="0" w:line="147"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7"/>
                <w:szCs w:val="17"/>
                <w:color w:val="auto"/>
                <w:vertAlign w:val="superscript"/>
              </w:rPr>
              <w:t>(3)</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3.43</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3.53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3.51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3.55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3.41</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3.48</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3.36</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860"/>
              <w:spacing w:after="0" w:line="148" w:lineRule="exact"/>
              <w:rPr>
                <w:sz w:val="20"/>
                <w:szCs w:val="20"/>
                <w:color w:val="auto"/>
              </w:rPr>
            </w:pPr>
            <w:r>
              <w:rPr>
                <w:rFonts w:ascii="Arial" w:cs="Arial" w:eastAsia="Arial" w:hAnsi="Arial"/>
                <w:sz w:val="13"/>
                <w:szCs w:val="13"/>
                <w:color w:val="auto"/>
              </w:rPr>
              <w:t>Efficiency ratio</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63.84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63.31</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71.23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65.73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66.88</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63.56</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116.28</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860"/>
              <w:spacing w:after="0" w:line="148" w:lineRule="exact"/>
              <w:rPr>
                <w:sz w:val="20"/>
                <w:szCs w:val="20"/>
                <w:color w:val="auto"/>
              </w:rPr>
            </w:pPr>
            <w:r>
              <w:rPr>
                <w:rFonts w:ascii="Arial" w:cs="Arial" w:eastAsia="Arial" w:hAnsi="Arial"/>
                <w:sz w:val="13"/>
                <w:szCs w:val="13"/>
                <w:color w:val="auto"/>
              </w:rPr>
              <w:t>Equity to assets</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8.33</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8.19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8.28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8.55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8.06</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8.26</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7.11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860"/>
              <w:spacing w:after="0" w:line="147" w:lineRule="exact"/>
              <w:rPr>
                <w:sz w:val="20"/>
                <w:szCs w:val="20"/>
                <w:color w:val="auto"/>
              </w:rPr>
            </w:pPr>
            <w:r>
              <w:rPr>
                <w:rFonts w:ascii="Arial" w:cs="Arial" w:eastAsia="Arial" w:hAnsi="Arial"/>
                <w:sz w:val="11"/>
                <w:szCs w:val="11"/>
                <w:color w:val="auto"/>
              </w:rPr>
              <w:t xml:space="preserve">Tangible equity to assets </w:t>
            </w:r>
            <w:r>
              <w:rPr>
                <w:rFonts w:ascii="Arial" w:cs="Arial" w:eastAsia="Arial" w:hAnsi="Arial"/>
                <w:sz w:val="17"/>
                <w:szCs w:val="17"/>
                <w:color w:val="auto"/>
                <w:vertAlign w:val="superscript"/>
              </w:rPr>
              <w:t>(2)</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8.24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8.08</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8.42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7.93</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8.16</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7.00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860"/>
              <w:spacing w:after="0" w:line="147" w:lineRule="exact"/>
              <w:rPr>
                <w:sz w:val="20"/>
                <w:szCs w:val="20"/>
                <w:color w:val="auto"/>
              </w:rPr>
            </w:pPr>
            <w:r>
              <w:rPr>
                <w:rFonts w:ascii="Arial" w:cs="Arial" w:eastAsia="Arial" w:hAnsi="Arial"/>
                <w:sz w:val="11"/>
                <w:szCs w:val="11"/>
                <w:color w:val="auto"/>
              </w:rPr>
              <w:t xml:space="preserve">Tangible common equity to assets </w:t>
            </w:r>
            <w:r>
              <w:rPr>
                <w:rFonts w:ascii="Arial" w:cs="Arial" w:eastAsia="Arial" w:hAnsi="Arial"/>
                <w:sz w:val="17"/>
                <w:szCs w:val="17"/>
                <w:color w:val="auto"/>
                <w:vertAlign w:val="superscript"/>
              </w:rPr>
              <w:t>(2)</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5.45</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5.65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1.37</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5.39</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2.05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860"/>
              <w:spacing w:after="0" w:line="147" w:lineRule="exact"/>
              <w:rPr>
                <w:sz w:val="20"/>
                <w:szCs w:val="20"/>
                <w:color w:val="auto"/>
              </w:rPr>
            </w:pPr>
            <w:r>
              <w:rPr>
                <w:rFonts w:ascii="Arial" w:cs="Arial" w:eastAsia="Arial" w:hAnsi="Arial"/>
                <w:sz w:val="11"/>
                <w:szCs w:val="11"/>
                <w:color w:val="auto"/>
              </w:rPr>
              <w:t xml:space="preserve">Tangible common equity to risk- weighted assets </w:t>
            </w:r>
            <w:r>
              <w:rPr>
                <w:rFonts w:ascii="Arial" w:cs="Arial" w:eastAsia="Arial" w:hAnsi="Arial"/>
                <w:sz w:val="17"/>
                <w:szCs w:val="17"/>
                <w:color w:val="auto"/>
                <w:vertAlign w:val="superscript"/>
              </w:rPr>
              <w:t>(2)</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8.37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8.21</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8.25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8.69</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8.37</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8.69</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ASSET QUALITY *</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Non-performing loans</w:t>
            </w:r>
          </w:p>
        </w:tc>
        <w:tc>
          <w:tcPr>
            <w:tcW w:w="2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w w:val="89"/>
              </w:rPr>
              <w:t>115,340</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129,704</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127,479</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144,484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71,065</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89"/>
              </w:rPr>
              <w:t>115,340</w:t>
            </w:r>
          </w:p>
        </w:tc>
        <w:tc>
          <w:tcPr>
            <w:tcW w:w="1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71,065</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Foreclosed properties</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30,421</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31,887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32,859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44,263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47,584</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30,421</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47,584</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gridSpan w:val="2"/>
            <w:shd w:val="clear" w:color="auto" w:fill="CCEEFF"/>
          </w:tcPr>
          <w:p>
            <w:pPr>
              <w:ind w:left="860"/>
              <w:spacing w:after="0" w:line="148" w:lineRule="exact"/>
              <w:rPr>
                <w:sz w:val="20"/>
                <w:szCs w:val="20"/>
                <w:color w:val="auto"/>
              </w:rPr>
            </w:pPr>
            <w:r>
              <w:rPr>
                <w:rFonts w:ascii="Arial" w:cs="Arial" w:eastAsia="Arial" w:hAnsi="Arial"/>
                <w:sz w:val="13"/>
                <w:szCs w:val="13"/>
                <w:color w:val="auto"/>
              </w:rPr>
              <w:t>Total non-performing assets (NPAs)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w w:val="89"/>
              </w:rPr>
              <w:t>145,761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161,591</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160,338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188,747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118,649</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89"/>
              </w:rPr>
              <w:t>145,761</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w w:val="97"/>
              </w:rPr>
              <w:t>118,649</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Allowance for loan losses</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w w:val="89"/>
              </w:rPr>
              <w:t>112,705</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w w:val="89"/>
              </w:rPr>
              <w:t>113,601</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w w:val="89"/>
              </w:rPr>
              <w:t>114,468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w w:val="89"/>
              </w:rPr>
              <w:t>146,092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w w:val="89"/>
              </w:rPr>
              <w:t>127,638</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w w:val="89"/>
              </w:rPr>
              <w:t>112,705</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w w:val="97"/>
              </w:rPr>
              <w:t>127,638</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Net charge-offs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18,896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15,867</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45,624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17,546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16,483</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34,763</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w w:val="97"/>
              </w:rPr>
              <w:t>248,057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Allowance for loan losses to loans</w:t>
            </w:r>
          </w:p>
        </w:tc>
        <w:tc>
          <w:tcPr>
            <w:tcW w:w="260" w:type="dxa"/>
            <w:vAlign w:val="bottom"/>
          </w:tcPr>
          <w:p>
            <w:pPr>
              <w:spacing w:after="0"/>
              <w:rPr>
                <w:sz w:val="12"/>
                <w:szCs w:val="12"/>
                <w:color w:val="auto"/>
              </w:rPr>
            </w:pP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2.74%</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2.75%</w:t>
            </w:r>
          </w:p>
        </w:tc>
        <w:tc>
          <w:tcPr>
            <w:tcW w:w="160" w:type="dxa"/>
            <w:vAlign w:val="bottom"/>
          </w:tcPr>
          <w:p>
            <w:pPr>
              <w:spacing w:after="0"/>
              <w:rPr>
                <w:sz w:val="12"/>
                <w:szCs w:val="12"/>
                <w:color w:val="auto"/>
              </w:rPr>
            </w:pP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3.55%</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3.07%</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2.74%</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3.07%</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7" w:lineRule="exact"/>
              <w:rPr>
                <w:sz w:val="20"/>
                <w:szCs w:val="20"/>
                <w:color w:val="auto"/>
              </w:rPr>
            </w:pPr>
            <w:r>
              <w:rPr>
                <w:rFonts w:ascii="Arial" w:cs="Arial" w:eastAsia="Arial" w:hAnsi="Arial"/>
                <w:sz w:val="11"/>
                <w:szCs w:val="11"/>
                <w:color w:val="auto"/>
              </w:rPr>
              <w:t xml:space="preserve">Net charge-offs to average loans </w:t>
            </w:r>
            <w:r>
              <w:rPr>
                <w:rFonts w:ascii="Arial" w:cs="Arial" w:eastAsia="Arial" w:hAnsi="Arial"/>
                <w:sz w:val="17"/>
                <w:szCs w:val="17"/>
                <w:color w:val="auto"/>
                <w:vertAlign w:val="superscript"/>
              </w:rPr>
              <w:t>(3)</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1.55</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4.39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1.58</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1.70</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11.46</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NPAs to loans and foreclosed properties</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3.51</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3.88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3.87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4.54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2.82</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3.51</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2.82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NPAs to total assets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2.25</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1.66</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2.16</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1.66</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 xml:space="preserve">AVERAGE BALANCES </w:t>
            </w:r>
            <w:r>
              <w:rPr>
                <w:rFonts w:ascii="Arial" w:cs="Arial" w:eastAsia="Arial" w:hAnsi="Arial"/>
                <w:sz w:val="13"/>
                <w:szCs w:val="13"/>
                <w:i w:val="1"/>
                <w:iCs w:val="1"/>
                <w:color w:val="auto"/>
              </w:rPr>
              <w:t>($ in millions)</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Loans</w:t>
            </w:r>
          </w:p>
        </w:tc>
        <w:tc>
          <w:tcPr>
            <w:tcW w:w="2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4,156</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4,168</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4,175</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4,194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4,266</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w:t>
            </w:r>
          </w:p>
        </w:tc>
        <w:tc>
          <w:tcPr>
            <w:tcW w:w="1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4,162</w:t>
            </w:r>
          </w:p>
        </w:tc>
        <w:tc>
          <w:tcPr>
            <w:tcW w:w="1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4,432</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Investment securities</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2,145</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2,153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2,141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2,150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2,074</w:t>
            </w:r>
          </w:p>
        </w:tc>
        <w:tc>
          <w:tcPr>
            <w:tcW w:w="300" w:type="dxa"/>
            <w:vAlign w:val="bottom"/>
          </w:tcPr>
          <w:p>
            <w:pPr>
              <w:spacing w:after="0"/>
              <w:rPr>
                <w:sz w:val="12"/>
                <w:szCs w:val="12"/>
                <w:color w:val="auto"/>
              </w:rPr>
            </w:pPr>
          </w:p>
        </w:tc>
        <w:tc>
          <w:tcPr>
            <w:tcW w:w="8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2,149</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1,851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Earning assets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6,665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6,700</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6,688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6,630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6,924</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w:t>
            </w: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6,682</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6,913</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Total assets</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6,993</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7,045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7,019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7,000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7,363</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7,019</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7,371</w:t>
            </w: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Deposits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5,853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6,028</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6,115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6,061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6,372</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w:t>
            </w: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5,940</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6,465</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Shareholders’ equity</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583</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577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581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598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594</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580</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524</w:t>
            </w:r>
          </w:p>
        </w:tc>
        <w:tc>
          <w:tcPr>
            <w:tcW w:w="7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 xml:space="preserve">Common shares - basic </w:t>
            </w:r>
            <w:r>
              <w:rPr>
                <w:rFonts w:ascii="Arial" w:cs="Arial" w:eastAsia="Arial" w:hAnsi="Arial"/>
                <w:sz w:val="13"/>
                <w:szCs w:val="13"/>
                <w:i w:val="1"/>
                <w:iCs w:val="1"/>
                <w:color w:val="auto"/>
              </w:rPr>
              <w:t>(thousands)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57,840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57,764</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57,646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57,599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25,427</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57,803</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21,965</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 xml:space="preserve">Common shares - diluted </w:t>
            </w:r>
            <w:r>
              <w:rPr>
                <w:rFonts w:ascii="Arial" w:cs="Arial" w:eastAsia="Arial" w:hAnsi="Arial"/>
                <w:sz w:val="13"/>
                <w:szCs w:val="13"/>
                <w:i w:val="1"/>
                <w:iCs w:val="1"/>
                <w:color w:val="auto"/>
              </w:rPr>
              <w:t>(thousands)</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57,840</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57,764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57,646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57,599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57,543</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57,803</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21,965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 xml:space="preserve">AT PERIOD END </w:t>
            </w:r>
            <w:r>
              <w:rPr>
                <w:rFonts w:ascii="Arial" w:cs="Arial" w:eastAsia="Arial" w:hAnsi="Arial"/>
                <w:sz w:val="13"/>
                <w:szCs w:val="13"/>
                <w:i w:val="1"/>
                <w:iCs w:val="1"/>
                <w:color w:val="auto"/>
              </w:rPr>
              <w:t>($ in millions)</w:t>
            </w:r>
          </w:p>
        </w:tc>
        <w:tc>
          <w:tcPr>
            <w:tcW w:w="2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Loans *</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4,119</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4,128</w:t>
            </w:r>
          </w:p>
        </w:tc>
        <w:tc>
          <w:tcPr>
            <w:tcW w:w="180" w:type="dxa"/>
            <w:vAlign w:val="bottom"/>
          </w:tcPr>
          <w:p>
            <w:pPr>
              <w:spacing w:after="0"/>
              <w:rPr>
                <w:sz w:val="12"/>
                <w:szCs w:val="12"/>
                <w:color w:val="auto"/>
              </w:rPr>
            </w:pPr>
          </w:p>
        </w:tc>
        <w:tc>
          <w:tcPr>
            <w:tcW w:w="1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4,110</w:t>
            </w:r>
          </w:p>
        </w:tc>
        <w:tc>
          <w:tcPr>
            <w:tcW w:w="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4,110</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4,163</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w:t>
            </w:r>
          </w:p>
        </w:tc>
        <w:tc>
          <w:tcPr>
            <w:tcW w:w="1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4,119</w:t>
            </w:r>
          </w:p>
        </w:tc>
        <w:tc>
          <w:tcPr>
            <w:tcW w:w="1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4,163</w:t>
            </w: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Investment securities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1,984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2,202</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2,120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2,123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2,188</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w:t>
            </w: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1,984</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2,188</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Total assets</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6,737</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7,174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6,983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6,894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7,152</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6,737</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7,152</w:t>
            </w: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Deposits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5,822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6,001</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6,005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6,183</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w:t>
            </w: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5,822</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6,183</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7"/>
        </w:trPr>
        <w:tc>
          <w:tcPr>
            <w:tcW w:w="386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Shareholders’ equity</w:t>
            </w:r>
          </w:p>
        </w:tc>
        <w:tc>
          <w:tcPr>
            <w:tcW w:w="26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576</w:t>
            </w: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580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575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583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603</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576</w:t>
            </w:r>
          </w:p>
        </w:tc>
        <w:tc>
          <w:tcPr>
            <w:tcW w:w="160" w:type="dxa"/>
            <w:vAlign w:val="bottom"/>
          </w:tcPr>
          <w:p>
            <w:pPr>
              <w:spacing w:after="0"/>
              <w:rPr>
                <w:sz w:val="12"/>
                <w:szCs w:val="12"/>
                <w:color w:val="auto"/>
              </w:rPr>
            </w:pP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603</w:t>
            </w: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 xml:space="preserve">Common shares outstanding </w:t>
            </w:r>
            <w:r>
              <w:rPr>
                <w:rFonts w:ascii="Arial" w:cs="Arial" w:eastAsia="Arial" w:hAnsi="Arial"/>
                <w:sz w:val="13"/>
                <w:szCs w:val="13"/>
                <w:i w:val="1"/>
                <w:iCs w:val="1"/>
                <w:color w:val="auto"/>
              </w:rPr>
              <w:t>(thousands)</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57,641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57,603</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57,561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57,510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57,469</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57,641</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57,469</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60" w:right="740" w:hanging="453"/>
        <w:spacing w:after="0" w:line="233"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Net loss available to common shareholders, which is net of preferred stock dividends, divided by average realized common equity, which excludes accumulated other comprehensive income (loss).</w:t>
      </w:r>
    </w:p>
    <w:p>
      <w:pPr>
        <w:ind w:left="460" w:hanging="453"/>
        <w:spacing w:after="0" w:line="203"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effect of acquisition related intangibles and associated amortization.</w:t>
      </w:r>
    </w:p>
    <w:p>
      <w:pPr>
        <w:spacing w:after="0" w:line="7" w:lineRule="exact"/>
        <w:rPr>
          <w:rFonts w:ascii="Arial" w:cs="Arial" w:eastAsia="Arial" w:hAnsi="Arial"/>
          <w:sz w:val="22"/>
          <w:szCs w:val="22"/>
          <w:color w:val="auto"/>
          <w:vertAlign w:val="superscript"/>
        </w:rPr>
      </w:pPr>
    </w:p>
    <w:p>
      <w:pPr>
        <w:ind w:left="460" w:hanging="453"/>
        <w:spacing w:after="0" w:line="196"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Annualized.</w:t>
      </w:r>
    </w:p>
    <w:p>
      <w:pPr>
        <w:spacing w:after="0" w:line="8" w:lineRule="exact"/>
        <w:rPr>
          <w:sz w:val="20"/>
          <w:szCs w:val="20"/>
          <w:color w:val="auto"/>
        </w:rPr>
      </w:pPr>
    </w:p>
    <w:p>
      <w:pPr>
        <w:ind w:left="5620" w:right="4500" w:hanging="5613"/>
        <w:spacing w:after="0" w:line="458"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Excludes loans and foreclosed properties covered by loss sharing agreements with the FDIC. 32</w:t>
      </w:r>
    </w:p>
    <w:p>
      <w:pPr>
        <w:sectPr>
          <w:pgSz w:w="11900" w:h="16838" w:orient="portrait"/>
          <w:cols w:equalWidth="0" w:num="1">
            <w:col w:w="11420"/>
          </w:cols>
          <w:pgMar w:left="240" w:top="457"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 Continued - Non-GAAP Performance Measures Reconciliation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89"/>
              </w:rPr>
              <w:t>2011</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780"/>
              <w:spacing w:after="0"/>
              <w:rPr>
                <w:sz w:val="20"/>
                <w:szCs w:val="20"/>
                <w:color w:val="auto"/>
              </w:rPr>
            </w:pPr>
            <w:r>
              <w:rPr>
                <w:rFonts w:ascii="Arial" w:cs="Arial" w:eastAsia="Arial" w:hAnsi="Arial"/>
                <w:sz w:val="13"/>
                <w:szCs w:val="13"/>
                <w:b w:val="1"/>
                <w:bCs w:val="1"/>
                <w:color w:val="auto"/>
              </w:rPr>
              <w:t>For the Six</w:t>
            </w:r>
          </w:p>
        </w:tc>
        <w:tc>
          <w:tcPr>
            <w:tcW w:w="0" w:type="dxa"/>
            <w:vAlign w:val="bottom"/>
          </w:tcPr>
          <w:p>
            <w:pPr>
              <w:spacing w:after="0"/>
              <w:rPr>
                <w:sz w:val="1"/>
                <w:szCs w:val="1"/>
                <w:color w:val="auto"/>
              </w:rPr>
            </w:pPr>
          </w:p>
        </w:tc>
      </w:tr>
      <w:tr>
        <w:trPr>
          <w:trHeight w:val="141"/>
        </w:trPr>
        <w:tc>
          <w:tcPr>
            <w:tcW w:w="4620" w:type="dxa"/>
            <w:vAlign w:val="bottom"/>
            <w:gridSpan w:val="2"/>
          </w:tcPr>
          <w:p>
            <w:pPr>
              <w:spacing w:after="0" w:line="141" w:lineRule="exact"/>
              <w:rPr>
                <w:sz w:val="20"/>
                <w:szCs w:val="20"/>
                <w:color w:val="auto"/>
              </w:rPr>
            </w:pPr>
            <w:r>
              <w:rPr>
                <w:rFonts w:ascii="Arial" w:cs="Arial" w:eastAsia="Arial" w:hAnsi="Arial"/>
                <w:sz w:val="13"/>
                <w:szCs w:val="13"/>
                <w:i w:val="1"/>
                <w:iCs w:val="1"/>
                <w:color w:val="auto"/>
              </w:rPr>
              <w:t>(in thousands, except per share</w:t>
            </w:r>
          </w:p>
        </w:tc>
        <w:tc>
          <w:tcPr>
            <w:tcW w:w="920" w:type="dxa"/>
            <w:vAlign w:val="bottom"/>
            <w:gridSpan w:val="3"/>
          </w:tcPr>
          <w:p>
            <w:pPr>
              <w:jc w:val="right"/>
              <w:ind w:right="440"/>
              <w:spacing w:after="0" w:line="141" w:lineRule="exact"/>
              <w:rPr>
                <w:sz w:val="20"/>
                <w:szCs w:val="20"/>
                <w:color w:val="auto"/>
              </w:rPr>
            </w:pPr>
            <w:r>
              <w:rPr>
                <w:rFonts w:ascii="Arial" w:cs="Arial" w:eastAsia="Arial" w:hAnsi="Arial"/>
                <w:sz w:val="13"/>
                <w:szCs w:val="13"/>
                <w:b w:val="1"/>
                <w:bCs w:val="1"/>
                <w:color w:val="auto"/>
                <w:w w:val="97"/>
              </w:rPr>
              <w:t>Second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1" w:lineRule="exact"/>
              <w:rPr>
                <w:sz w:val="20"/>
                <w:szCs w:val="20"/>
                <w:color w:val="auto"/>
              </w:rPr>
            </w:pPr>
            <w:r>
              <w:rPr>
                <w:rFonts w:ascii="Arial" w:cs="Arial" w:eastAsia="Arial" w:hAnsi="Arial"/>
                <w:sz w:val="13"/>
                <w:szCs w:val="13"/>
                <w:b w:val="1"/>
                <w:bCs w:val="1"/>
                <w:color w:val="auto"/>
              </w:rPr>
              <w:t>First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60"/>
              <w:spacing w:after="0" w:line="141" w:lineRule="exact"/>
              <w:rPr>
                <w:sz w:val="20"/>
                <w:szCs w:val="20"/>
                <w:color w:val="auto"/>
              </w:rPr>
            </w:pPr>
            <w:r>
              <w:rPr>
                <w:rFonts w:ascii="Arial" w:cs="Arial" w:eastAsia="Arial" w:hAnsi="Arial"/>
                <w:sz w:val="13"/>
                <w:szCs w:val="13"/>
                <w:b w:val="1"/>
                <w:bCs w:val="1"/>
                <w:color w:val="auto"/>
                <w:w w:val="92"/>
              </w:rPr>
              <w:t>Fourth</w:t>
            </w:r>
          </w:p>
        </w:tc>
        <w:tc>
          <w:tcPr>
            <w:tcW w:w="100" w:type="dxa"/>
            <w:vAlign w:val="bottom"/>
          </w:tcPr>
          <w:p>
            <w:pPr>
              <w:spacing w:after="0"/>
              <w:rPr>
                <w:sz w:val="12"/>
                <w:szCs w:val="12"/>
                <w:color w:val="auto"/>
              </w:rPr>
            </w:pPr>
          </w:p>
        </w:tc>
        <w:tc>
          <w:tcPr>
            <w:tcW w:w="820" w:type="dxa"/>
            <w:vAlign w:val="bottom"/>
            <w:gridSpan w:val="2"/>
          </w:tcPr>
          <w:p>
            <w:pPr>
              <w:jc w:val="center"/>
              <w:ind w:right="360"/>
              <w:spacing w:after="0" w:line="141" w:lineRule="exact"/>
              <w:rPr>
                <w:sz w:val="20"/>
                <w:szCs w:val="20"/>
                <w:color w:val="auto"/>
              </w:rPr>
            </w:pPr>
            <w:r>
              <w:rPr>
                <w:rFonts w:ascii="Arial" w:cs="Arial" w:eastAsia="Arial" w:hAnsi="Arial"/>
                <w:sz w:val="13"/>
                <w:szCs w:val="13"/>
                <w:b w:val="1"/>
                <w:bCs w:val="1"/>
                <w:color w:val="auto"/>
              </w:rPr>
              <w:t>Third</w:t>
            </w:r>
          </w:p>
        </w:tc>
        <w:tc>
          <w:tcPr>
            <w:tcW w:w="100" w:type="dxa"/>
            <w:vAlign w:val="bottom"/>
          </w:tcPr>
          <w:p>
            <w:pPr>
              <w:spacing w:after="0"/>
              <w:rPr>
                <w:sz w:val="12"/>
                <w:szCs w:val="12"/>
                <w:color w:val="auto"/>
              </w:rPr>
            </w:pPr>
          </w:p>
        </w:tc>
        <w:tc>
          <w:tcPr>
            <w:tcW w:w="58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rPr>
              <w:t>Second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jc w:val="right"/>
              <w:ind w:right="660"/>
              <w:spacing w:after="0" w:line="141" w:lineRule="exact"/>
              <w:rPr>
                <w:sz w:val="20"/>
                <w:szCs w:val="20"/>
                <w:color w:val="auto"/>
              </w:rPr>
            </w:pPr>
            <w:r>
              <w:rPr>
                <w:rFonts w:ascii="Arial" w:cs="Arial" w:eastAsia="Arial" w:hAnsi="Arial"/>
                <w:sz w:val="13"/>
                <w:szCs w:val="13"/>
                <w:b w:val="1"/>
                <w:bCs w:val="1"/>
                <w:color w:val="auto"/>
              </w:rPr>
              <w:t>Months Ended</w:t>
            </w:r>
          </w:p>
        </w:tc>
        <w:tc>
          <w:tcPr>
            <w:tcW w:w="0" w:type="dxa"/>
            <w:vAlign w:val="bottom"/>
          </w:tcPr>
          <w:p>
            <w:pPr>
              <w:spacing w:after="0"/>
              <w:rPr>
                <w:sz w:val="1"/>
                <w:szCs w:val="1"/>
                <w:color w:val="auto"/>
              </w:rPr>
            </w:pPr>
          </w:p>
        </w:tc>
      </w:tr>
      <w:tr>
        <w:trPr>
          <w:trHeight w:val="147"/>
        </w:trPr>
        <w:tc>
          <w:tcPr>
            <w:tcW w:w="1440" w:type="dxa"/>
            <w:vAlign w:val="bottom"/>
            <w:tcBorders>
              <w:bottom w:val="single" w:sz="8" w:color="auto"/>
            </w:tcBorders>
          </w:tcPr>
          <w:p>
            <w:pPr>
              <w:spacing w:after="0" w:line="128" w:lineRule="exact"/>
              <w:rPr>
                <w:sz w:val="20"/>
                <w:szCs w:val="20"/>
                <w:color w:val="auto"/>
              </w:rPr>
            </w:pPr>
            <w:r>
              <w:rPr>
                <w:rFonts w:ascii="Arial" w:cs="Arial" w:eastAsia="Arial" w:hAnsi="Arial"/>
                <w:sz w:val="13"/>
                <w:szCs w:val="13"/>
                <w:i w:val="1"/>
                <w:iCs w:val="1"/>
                <w:color w:val="auto"/>
              </w:rPr>
              <w:t>data; taxable equivalent)</w:t>
            </w:r>
          </w:p>
        </w:tc>
        <w:tc>
          <w:tcPr>
            <w:tcW w:w="3180" w:type="dxa"/>
            <w:vAlign w:val="bottom"/>
          </w:tcPr>
          <w:p>
            <w:pPr>
              <w:spacing w:after="0"/>
              <w:rPr>
                <w:sz w:val="12"/>
                <w:szCs w:val="12"/>
                <w:color w:val="auto"/>
              </w:rPr>
            </w:pPr>
          </w:p>
        </w:tc>
        <w:tc>
          <w:tcPr>
            <w:tcW w:w="920" w:type="dxa"/>
            <w:vAlign w:val="bottom"/>
            <w:gridSpan w:val="3"/>
          </w:tcPr>
          <w:p>
            <w:pPr>
              <w:jc w:val="right"/>
              <w:ind w:right="400"/>
              <w:spacing w:after="0" w:line="128" w:lineRule="exact"/>
              <w:rPr>
                <w:sz w:val="20"/>
                <w:szCs w:val="20"/>
                <w:color w:val="auto"/>
              </w:rPr>
            </w:pPr>
            <w:r>
              <w:rPr>
                <w:rFonts w:ascii="Arial" w:cs="Arial" w:eastAsia="Arial" w:hAnsi="Arial"/>
                <w:sz w:val="13"/>
                <w:szCs w:val="13"/>
                <w:b w:val="1"/>
                <w:bCs w:val="1"/>
                <w:color w:val="auto"/>
              </w:rPr>
              <w:t>Quarter</w:t>
            </w:r>
          </w:p>
        </w:tc>
        <w:tc>
          <w:tcPr>
            <w:tcW w:w="20" w:type="dxa"/>
            <w:vAlign w:val="bottom"/>
          </w:tcPr>
          <w:p>
            <w:pPr>
              <w:spacing w:after="0"/>
              <w:rPr>
                <w:sz w:val="12"/>
                <w:szCs w:val="12"/>
                <w:color w:val="auto"/>
              </w:rPr>
            </w:pPr>
          </w:p>
        </w:tc>
        <w:tc>
          <w:tcPr>
            <w:tcW w:w="960" w:type="dxa"/>
            <w:vAlign w:val="bottom"/>
            <w:gridSpan w:val="3"/>
          </w:tcPr>
          <w:p>
            <w:pPr>
              <w:jc w:val="right"/>
              <w:ind w:right="440"/>
              <w:spacing w:after="0" w:line="128" w:lineRule="exact"/>
              <w:rPr>
                <w:sz w:val="20"/>
                <w:szCs w:val="20"/>
                <w:color w:val="auto"/>
              </w:rPr>
            </w:pPr>
            <w:r>
              <w:rPr>
                <w:rFonts w:ascii="Arial" w:cs="Arial" w:eastAsia="Arial" w:hAnsi="Arial"/>
                <w:sz w:val="13"/>
                <w:szCs w:val="13"/>
                <w:b w:val="1"/>
                <w:bCs w:val="1"/>
                <w:color w:val="auto"/>
              </w:rPr>
              <w:t>Quarter</w:t>
            </w:r>
          </w:p>
        </w:tc>
        <w:tc>
          <w:tcPr>
            <w:tcW w:w="940" w:type="dxa"/>
            <w:vAlign w:val="bottom"/>
            <w:gridSpan w:val="3"/>
          </w:tcPr>
          <w:p>
            <w:pPr>
              <w:jc w:val="right"/>
              <w:ind w:right="420"/>
              <w:spacing w:after="0" w:line="128" w:lineRule="exact"/>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2"/>
                <w:szCs w:val="12"/>
                <w:color w:val="auto"/>
              </w:rPr>
            </w:pPr>
          </w:p>
        </w:tc>
        <w:tc>
          <w:tcPr>
            <w:tcW w:w="82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7"/>
              </w:rPr>
              <w:t>Quarter</w:t>
            </w:r>
          </w:p>
        </w:tc>
        <w:tc>
          <w:tcPr>
            <w:tcW w:w="100" w:type="dxa"/>
            <w:vAlign w:val="bottom"/>
          </w:tcPr>
          <w:p>
            <w:pPr>
              <w:spacing w:after="0"/>
              <w:rPr>
                <w:sz w:val="12"/>
                <w:szCs w:val="12"/>
                <w:color w:val="auto"/>
              </w:rPr>
            </w:pPr>
          </w:p>
        </w:tc>
        <w:tc>
          <w:tcPr>
            <w:tcW w:w="960" w:type="dxa"/>
            <w:vAlign w:val="bottom"/>
            <w:gridSpan w:val="3"/>
          </w:tcPr>
          <w:p>
            <w:pPr>
              <w:jc w:val="right"/>
              <w:ind w:right="440"/>
              <w:spacing w:after="0" w:line="128" w:lineRule="exact"/>
              <w:rPr>
                <w:sz w:val="20"/>
                <w:szCs w:val="20"/>
                <w:color w:val="auto"/>
              </w:rPr>
            </w:pPr>
            <w:r>
              <w:rPr>
                <w:rFonts w:ascii="Arial" w:cs="Arial" w:eastAsia="Arial" w:hAnsi="Arial"/>
                <w:sz w:val="13"/>
                <w:szCs w:val="13"/>
                <w:b w:val="1"/>
                <w:bCs w:val="1"/>
                <w:color w:val="auto"/>
              </w:rPr>
              <w:t>Quarter</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28" w:lineRule="exact"/>
              <w:rPr>
                <w:sz w:val="20"/>
                <w:szCs w:val="20"/>
                <w:color w:val="auto"/>
              </w:rPr>
            </w:pPr>
            <w:r>
              <w:rPr>
                <w:rFonts w:ascii="Arial" w:cs="Arial" w:eastAsia="Arial" w:hAnsi="Arial"/>
                <w:sz w:val="13"/>
                <w:szCs w:val="13"/>
                <w:b w:val="1"/>
                <w:bCs w:val="1"/>
                <w:color w:val="auto"/>
              </w:rPr>
              <w:t>2012</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28" w:lineRule="exact"/>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Interest revenue reconciliation</w:t>
            </w: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spacing w:after="0"/>
              <w:rPr>
                <w:sz w:val="20"/>
                <w:szCs w:val="20"/>
                <w:color w:val="auto"/>
              </w:rPr>
            </w:pPr>
            <w:r>
              <w:rPr>
                <w:rFonts w:ascii="Arial" w:cs="Arial" w:eastAsia="Arial" w:hAnsi="Arial"/>
                <w:sz w:val="17"/>
                <w:szCs w:val="17"/>
                <w:color w:val="auto"/>
              </w:rPr>
              <w:t>Interest revenue - taxable equivalent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w w:val="92"/>
              </w:rPr>
              <w:t>66,780</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70,221</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71,905</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74,543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76,931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137,001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152,896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equivalent adjustment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40"/>
              <w:spacing w:after="0"/>
              <w:rPr>
                <w:sz w:val="20"/>
                <w:szCs w:val="20"/>
                <w:color w:val="auto"/>
              </w:rPr>
            </w:pPr>
            <w:r>
              <w:rPr>
                <w:rFonts w:ascii="Arial" w:cs="Arial" w:eastAsia="Arial" w:hAnsi="Arial"/>
                <w:sz w:val="17"/>
                <w:szCs w:val="17"/>
                <w:color w:val="auto"/>
              </w:rPr>
              <w:t>Interest revenue (GAAP)</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66,336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69,775</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71,482</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74,123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76,502</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136,111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152,032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interest revenue reconciliation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spacing w:after="0"/>
              <w:rPr>
                <w:sz w:val="20"/>
                <w:szCs w:val="20"/>
                <w:color w:val="auto"/>
              </w:rPr>
            </w:pPr>
            <w:r>
              <w:rPr>
                <w:rFonts w:ascii="Arial" w:cs="Arial" w:eastAsia="Arial" w:hAnsi="Arial"/>
                <w:sz w:val="17"/>
                <w:szCs w:val="17"/>
                <w:color w:val="auto"/>
              </w:rPr>
              <w:t>Net interest revenue - taxable equivalent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w w:val="92"/>
              </w:rPr>
              <w:t>56,836</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58,864</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59,050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59,281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58,946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115,700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115,338</w:t>
            </w: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equivalent adjustment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40"/>
              <w:spacing w:after="0"/>
              <w:rPr>
                <w:sz w:val="20"/>
                <w:szCs w:val="20"/>
                <w:color w:val="auto"/>
              </w:rPr>
            </w:pPr>
            <w:r>
              <w:rPr>
                <w:rFonts w:ascii="Arial" w:cs="Arial" w:eastAsia="Arial" w:hAnsi="Arial"/>
                <w:sz w:val="17"/>
                <w:szCs w:val="17"/>
                <w:color w:val="auto"/>
              </w:rPr>
              <w:t>Net interest revenue (GAAP)</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56,392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58,418</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58,627</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58,861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58,517</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114,810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114,474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revenue reconciliation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spacing w:after="0"/>
              <w:rPr>
                <w:sz w:val="20"/>
                <w:szCs w:val="20"/>
                <w:color w:val="auto"/>
              </w:rPr>
            </w:pPr>
            <w:r>
              <w:rPr>
                <w:rFonts w:ascii="Arial" w:cs="Arial" w:eastAsia="Arial" w:hAnsi="Arial"/>
                <w:sz w:val="17"/>
                <w:szCs w:val="17"/>
                <w:color w:val="auto"/>
              </w:rPr>
              <w:t>Total operating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w w:val="92"/>
              </w:rPr>
              <w:t>51,703</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59,243</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57,717</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34,779</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61,851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110,946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(59,919)</w:t>
            </w: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equivalent adjustment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revenue (GAAP)</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51,259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58,797</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57,294</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34,359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61,422</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110,056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(60,783)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(loss) before taxes reconciliation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spacing w:after="0"/>
              <w:rPr>
                <w:sz w:val="20"/>
                <w:szCs w:val="20"/>
                <w:color w:val="auto"/>
              </w:rPr>
            </w:pPr>
            <w:r>
              <w:rPr>
                <w:rFonts w:ascii="Arial" w:cs="Arial" w:eastAsia="Arial" w:hAnsi="Arial"/>
                <w:sz w:val="17"/>
                <w:szCs w:val="17"/>
                <w:color w:val="auto"/>
              </w:rPr>
              <w:t>Income (loss) before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7,393</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12,288</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6,637</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w w:val="94"/>
              </w:rPr>
              <w:t>(11,741)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13,123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19,681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(223,918)</w:t>
            </w: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equivalent adjustment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40"/>
              <w:spacing w:after="0"/>
              <w:rPr>
                <w:sz w:val="20"/>
                <w:szCs w:val="20"/>
                <w:color w:val="auto"/>
              </w:rPr>
            </w:pPr>
            <w:r>
              <w:rPr>
                <w:rFonts w:ascii="Arial" w:cs="Arial" w:eastAsia="Arial" w:hAnsi="Arial"/>
                <w:sz w:val="17"/>
                <w:szCs w:val="17"/>
                <w:color w:val="auto"/>
              </w:rPr>
              <w:t>Income (loss) before taxes (GAAP)</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6,949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6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11,842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6,214</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w w:val="94"/>
              </w:rPr>
              <w:t>(12,161)</w:t>
            </w:r>
          </w:p>
        </w:tc>
        <w:tc>
          <w:tcPr>
            <w:tcW w:w="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12,694</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18,791</w:t>
            </w:r>
          </w:p>
        </w:tc>
        <w:tc>
          <w:tcPr>
            <w:tcW w:w="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(224,782)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tax (benefit) expense reconciliation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spacing w:after="0"/>
              <w:rPr>
                <w:sz w:val="20"/>
                <w:szCs w:val="20"/>
                <w:color w:val="auto"/>
              </w:rPr>
            </w:pPr>
            <w:r>
              <w:rPr>
                <w:rFonts w:ascii="Arial" w:cs="Arial" w:eastAsia="Arial" w:hAnsi="Arial"/>
                <w:sz w:val="17"/>
                <w:szCs w:val="17"/>
                <w:color w:val="auto"/>
              </w:rPr>
              <w:t>Income tax (benefit)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894</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760</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(3,264)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(402)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1,095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1,654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equivalent adjustment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40"/>
              <w:spacing w:after="0"/>
              <w:rPr>
                <w:sz w:val="20"/>
                <w:szCs w:val="20"/>
                <w:color w:val="auto"/>
              </w:rPr>
            </w:pPr>
            <w:r>
              <w:rPr>
                <w:rFonts w:ascii="Arial" w:cs="Arial" w:eastAsia="Arial" w:hAnsi="Arial"/>
                <w:sz w:val="17"/>
                <w:szCs w:val="17"/>
                <w:color w:val="auto"/>
              </w:rPr>
              <w:t>Income tax (benefit) expense (GAAP)</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450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314</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(3,687)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(822)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666</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764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Book value per common share reconciliation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spacing w:after="0"/>
              <w:rPr>
                <w:sz w:val="20"/>
                <w:szCs w:val="20"/>
                <w:color w:val="auto"/>
              </w:rPr>
            </w:pPr>
            <w:r>
              <w:rPr>
                <w:rFonts w:ascii="Arial" w:cs="Arial" w:eastAsia="Arial" w:hAnsi="Arial"/>
                <w:sz w:val="17"/>
                <w:szCs w:val="17"/>
                <w:color w:val="auto"/>
              </w:rPr>
              <w:t>Tangible book value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6.48</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6.54</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6.47</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6.61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6.94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6.48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goodwill and other intangibles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40"/>
              <w:spacing w:after="0"/>
              <w:rPr>
                <w:sz w:val="20"/>
                <w:szCs w:val="20"/>
                <w:color w:val="auto"/>
              </w:rPr>
            </w:pPr>
            <w:r>
              <w:rPr>
                <w:rFonts w:ascii="Arial" w:cs="Arial" w:eastAsia="Arial" w:hAnsi="Arial"/>
                <w:sz w:val="17"/>
                <w:szCs w:val="17"/>
                <w:color w:val="auto"/>
              </w:rPr>
              <w:t>Book value per common share (GAAP)</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6.61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6.68</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6.62</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380"/>
              <w:spacing w:after="0"/>
              <w:rPr>
                <w:sz w:val="20"/>
                <w:szCs w:val="20"/>
                <w:color w:val="auto"/>
              </w:rPr>
            </w:pPr>
            <w:r>
              <w:rPr>
                <w:rFonts w:ascii="Arial" w:cs="Arial" w:eastAsia="Arial" w:hAnsi="Arial"/>
                <w:sz w:val="17"/>
                <w:szCs w:val="17"/>
                <w:color w:val="auto"/>
              </w:rPr>
              <w:t>7.11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6.61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Average equity to assets reconciliation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spacing w:after="0"/>
              <w:rPr>
                <w:sz w:val="20"/>
                <w:szCs w:val="20"/>
                <w:color w:val="auto"/>
              </w:rPr>
            </w:pPr>
            <w:r>
              <w:rPr>
                <w:rFonts w:ascii="Arial" w:cs="Arial" w:eastAsia="Arial" w:hAnsi="Arial"/>
                <w:sz w:val="17"/>
                <w:szCs w:val="17"/>
                <w:color w:val="auto"/>
              </w:rPr>
              <w:t>Tangible common equity to assets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5.45%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5.33%</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5.39%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preferred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40"/>
              <w:spacing w:after="0"/>
              <w:rPr>
                <w:sz w:val="20"/>
                <w:szCs w:val="20"/>
                <w:color w:val="auto"/>
              </w:rPr>
            </w:pPr>
            <w:r>
              <w:rPr>
                <w:rFonts w:ascii="Arial" w:cs="Arial" w:eastAsia="Arial" w:hAnsi="Arial"/>
                <w:sz w:val="17"/>
                <w:szCs w:val="17"/>
                <w:color w:val="auto"/>
              </w:rPr>
              <w:t>Tangible equity to assets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8.24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8.08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8.16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8.42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7.93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8.16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goodwill and other intangibles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40"/>
              <w:spacing w:after="0"/>
              <w:rPr>
                <w:sz w:val="20"/>
                <w:szCs w:val="20"/>
                <w:color w:val="auto"/>
              </w:rPr>
            </w:pPr>
            <w:r>
              <w:rPr>
                <w:rFonts w:ascii="Arial" w:cs="Arial" w:eastAsia="Arial" w:hAnsi="Arial"/>
                <w:sz w:val="17"/>
                <w:szCs w:val="17"/>
                <w:color w:val="auto"/>
              </w:rPr>
              <w:t>Equity to assets (GAAP)</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8.19%</w:t>
            </w: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8.06%</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8.26%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Tangible common equity to risk-weighted assets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reconciliation</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spacing w:after="0"/>
              <w:rPr>
                <w:sz w:val="20"/>
                <w:szCs w:val="20"/>
                <w:color w:val="auto"/>
              </w:rPr>
            </w:pPr>
            <w:r>
              <w:rPr>
                <w:rFonts w:ascii="Arial" w:cs="Arial" w:eastAsia="Arial" w:hAnsi="Arial"/>
                <w:sz w:val="17"/>
                <w:szCs w:val="17"/>
                <w:color w:val="auto"/>
              </w:rPr>
              <w:t>Tangible common equity to risk-weighted assets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8.21%</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8.25%</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8.69%</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8.69%</w:t>
            </w: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other comprehensive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4"/>
        </w:trPr>
        <w:tc>
          <w:tcPr>
            <w:tcW w:w="4620" w:type="dxa"/>
            <w:vAlign w:val="bottom"/>
            <w:gridSpan w:val="2"/>
          </w:tcPr>
          <w:p>
            <w:pPr>
              <w:spacing w:after="0"/>
              <w:rPr>
                <w:sz w:val="20"/>
                <w:szCs w:val="20"/>
                <w:color w:val="auto"/>
              </w:rPr>
            </w:pPr>
            <w:r>
              <w:rPr>
                <w:rFonts w:ascii="Arial" w:cs="Arial" w:eastAsia="Arial" w:hAnsi="Arial"/>
                <w:sz w:val="17"/>
                <w:szCs w:val="17"/>
                <w:color w:val="auto"/>
              </w:rPr>
              <w:t>Effect of trust preferred</w:t>
            </w: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preferred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40"/>
              <w:spacing w:after="0"/>
              <w:rPr>
                <w:sz w:val="20"/>
                <w:szCs w:val="20"/>
                <w:color w:val="auto"/>
              </w:rPr>
            </w:pPr>
            <w:r>
              <w:rPr>
                <w:rFonts w:ascii="Arial" w:cs="Arial" w:eastAsia="Arial" w:hAnsi="Arial"/>
                <w:sz w:val="17"/>
                <w:szCs w:val="17"/>
                <w:color w:val="auto"/>
              </w:rPr>
              <w:t>Tier I capital ratio (Regulatory)</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14.19%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13.69%</w:t>
            </w: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13.69%</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13.62%</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13.62%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United reported net income of $6.50 million for the second quarter of 2012. This compared to net income of $12.0 million for the same period in 2011. For the second quarter of 2012, diluted earnings per common share was $.06. This compared to diluted earnings per common share of $.16 for the second quarter of 2011. For the six months ended June 30, 2012, United reported net income of $18.0 million compared to a net operating loss of $225 million for the same period in 2011. The loss for the six months ended June 30, 2011 reflects the Board of Directors’ decision in the first quarter of 2011 to adopt the Problem Asset Disposition Plan to quickly dispose of problem assets following United’s private placement at the end of the first quarter. Diluted earnings per common share was $.21 for the six months ended June 30, 2012, compared with a diluted loss per common share of $10.52 for the same period in 2011.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57"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Interest Revenue (Taxable Equivalent)</w:t>
      </w:r>
    </w:p>
    <w:p>
      <w:pPr>
        <w:spacing w:after="0" w:line="105"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June 30, 2012 was $56.8 million, down $2.11 million, or 4%, from the second quarter of 2011. The decrease in net interest revenue for the second quarter of 2012 compared to the second quarter of 2011 was mostly due to lower yields on the securities and loan portfolios and a smaller balance of interest-earning assets. United continues its intense focus on loan and deposit pricing in an effort to maintain a steady level of net interest revenue.</w:t>
      </w:r>
    </w:p>
    <w:p>
      <w:pPr>
        <w:spacing w:after="0" w:line="1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Average loans decreased $110 million, or 3%, from the second quarter of last year. The decrease in the loan portfolio has begun to stabilize, however there is a high level of competition for quality lending relationships, which continues to put pressure on pricing. While loan balances have declined, United continues to make new loans. During the second quarter of 2012, United funded $86.5 million in new loans, primarily commercial and small business loans in north Georgia, the Atlanta MSA, east Tennessee and coastal Georgia.</w:t>
      </w:r>
    </w:p>
    <w:p>
      <w:pPr>
        <w:spacing w:after="0" w:line="1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Average interest-earning assets for the second quarter of 2012 decreased $259 million, or 4%, from the same period in 2011. Average loans decreased $110 million from the second quarter of 2011 however, this decrease was offset by a $71.6 million increase in average investment securities. The increase in the securities portfolio was due to purchases of floating rate mortgage-backed securities in an effort to temporarily invest excess liquidity, including the proceeds from the new capital raised at the end of the first quarter of 2011. The average yield on interest earning assets for the three months ended June 30, 2012, was 4.03%, down 42 basis points from 4.45% for the same period of 2011. The most significant factors in the lower earning asset yield were the lower average yields on the loan and securities portfolios. For the second quarter of 2012, the yield on total securities decreased 79 basis points from the same period a year ago. The securities portfolio was significantly impacted by heavy prepayment activity in the mortgage market during 2012. Prepayment activity suppressed the securities portfolio yield by accelerating the amortization of bond purchase premiums and the yields at which the proceeds were reinvested fell short of the yields of the bonds they replaced. Partially offsetting the lower loan and securities yields was a higher average yield on other interest-earnings assets due to the use of reverse repurchase agreements including collateral swap transactions where United enters into a repurchase agreement and reverse repurchase agreement simultaneously with the same counterparty subject to a master netting agreement.</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Average interest-bearing liabilities decreased $558 million, or 10%, from the second quarter of 2011 due to the rolling off of higher-cost brokered deposits and certificates of deposit as funding needs decreased. The average cost of interest-bearing liabilities for the second quarter of 2012 was .76% compared to 1.24% for the same period of 2011, reflecting United’s ability to reduce deposit pricing. Also contributing to the overall lower rate on interest-bearing liabilities was a shift in the mix of deposits away from more expensive time deposits toward lower-rate transaction deposits.</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investments, and is defined as net interest revenue as a percent of average total interest-earning assets, which includes the positive effect of funding a portion of interest-earning assets with customers’ non-interest bearing deposits and stockholders’ equity.</w:t>
      </w:r>
    </w:p>
    <w:p>
      <w:pPr>
        <w:spacing w:after="0" w:line="129" w:lineRule="exact"/>
        <w:rPr>
          <w:sz w:val="20"/>
          <w:szCs w:val="20"/>
          <w:color w:val="auto"/>
        </w:rPr>
      </w:pPr>
    </w:p>
    <w:p>
      <w:pPr>
        <w:ind w:right="500"/>
        <w:spacing w:after="0" w:line="294" w:lineRule="auto"/>
        <w:rPr>
          <w:sz w:val="20"/>
          <w:szCs w:val="20"/>
          <w:color w:val="auto"/>
        </w:rPr>
      </w:pPr>
      <w:r>
        <w:rPr>
          <w:rFonts w:ascii="Arial" w:cs="Arial" w:eastAsia="Arial" w:hAnsi="Arial"/>
          <w:sz w:val="17"/>
          <w:szCs w:val="17"/>
          <w:color w:val="auto"/>
        </w:rPr>
        <w:t>For the three months ended June 30, 2012 and 2011, the net interest spread was 3.27% and 3.21%, respectively, while the net interest margin was 3.43% and 3.41%, respectively.</w:t>
      </w:r>
    </w:p>
    <w:p>
      <w:pPr>
        <w:spacing w:after="0" w:line="11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For the first six months of 2012, net interest revenue was $116 million, an increase of $362,000, or less than 1%, from the first six months of 2011. Average earning assets decreased $231 million, or 3%, during the first six months of 2012 compared to the same period a year earlier. The yield on earning assets decreased 33 basis points from 4.45% for the six months ended June 30, 2011 to 4.12% for the six months ended June 30, 2012 due to declining average loan balances and a declining average loan yield and the abnormally high prepayment activity on mortgage-backed securities in the securities portfolio during 2012. The cost of interest bearing liabilities over the same period decreased 47 basis points. The combined effect of the lower yield on interest-earning assets, which was more than offset by the lower cost of interest-bearing liabilities resulted in the net interest margin increasing 12 basis points from the six months ended June 30, 2011 to the six months ended June 30, 2012.</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57"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The following table shows the relationship between interest revenue and expense, and the average amounts of interest-earning assets and interest-bearing liabilities for the three months ended June 30, 2012 and 2011.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2 - Average Consolidated Balance Sheets and Net Interest Analysis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June 30,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b w:val="1"/>
                <w:bCs w:val="1"/>
                <w:color w:val="auto"/>
              </w:rPr>
              <w:t>2012</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b w:val="1"/>
                <w:bCs w:val="1"/>
                <w:color w:val="auto"/>
              </w:rPr>
              <w:t>2011</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80" w:type="dxa"/>
            <w:vAlign w:val="bottom"/>
            <w:vMerge w:val="restart"/>
          </w:tcPr>
          <w:p>
            <w:pPr>
              <w:spacing w:after="0"/>
              <w:rPr>
                <w:sz w:val="20"/>
                <w:szCs w:val="20"/>
                <w:color w:val="auto"/>
              </w:rPr>
            </w:pPr>
            <w:r>
              <w:rPr>
                <w:rFonts w:ascii="Arial" w:cs="Arial" w:eastAsia="Arial" w:hAnsi="Arial"/>
                <w:sz w:val="13"/>
                <w:szCs w:val="13"/>
                <w:i w:val="1"/>
                <w:iCs w:val="1"/>
                <w:color w:val="auto"/>
                <w:w w:val="99"/>
              </w:rPr>
              <w:t>(dollars in thousands, taxable equivalent)</w:t>
            </w:r>
          </w:p>
        </w:tc>
        <w:tc>
          <w:tcPr>
            <w:tcW w:w="284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gridSpan w:val="2"/>
          </w:tcPr>
          <w:p>
            <w:pPr>
              <w:jc w:val="right"/>
              <w:ind w:right="320"/>
              <w:spacing w:after="0" w:line="141" w:lineRule="exact"/>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ind w:left="60"/>
              <w:spacing w:after="0" w:line="141" w:lineRule="exact"/>
              <w:rPr>
                <w:sz w:val="20"/>
                <w:szCs w:val="20"/>
                <w:color w:val="auto"/>
              </w:rPr>
            </w:pPr>
            <w:r>
              <w:rPr>
                <w:rFonts w:ascii="Arial" w:cs="Arial" w:eastAsia="Arial" w:hAnsi="Arial"/>
                <w:sz w:val="13"/>
                <w:szCs w:val="13"/>
                <w:b w:val="1"/>
                <w:bCs w:val="1"/>
                <w:color w:val="auto"/>
                <w:w w:val="99"/>
              </w:rPr>
              <w:t>Avg.</w:t>
            </w:r>
          </w:p>
        </w:tc>
        <w:tc>
          <w:tcPr>
            <w:tcW w:w="400" w:type="dxa"/>
            <w:vAlign w:val="bottom"/>
          </w:tcPr>
          <w:p>
            <w:pPr>
              <w:spacing w:after="0"/>
              <w:rPr>
                <w:sz w:val="12"/>
                <w:szCs w:val="12"/>
                <w:color w:val="auto"/>
              </w:rPr>
            </w:pPr>
          </w:p>
        </w:tc>
        <w:tc>
          <w:tcPr>
            <w:tcW w:w="960" w:type="dxa"/>
            <w:vAlign w:val="bottom"/>
            <w:gridSpan w:val="2"/>
          </w:tcPr>
          <w:p>
            <w:pPr>
              <w:jc w:val="right"/>
              <w:ind w:right="320"/>
              <w:spacing w:after="0" w:line="141"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99"/>
              </w:rPr>
              <w:t>Avg.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8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4"/>
                <w:szCs w:val="14"/>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Interest</w:t>
            </w:r>
          </w:p>
        </w:tc>
        <w:tc>
          <w:tcPr>
            <w:tcW w:w="280" w:type="dxa"/>
            <w:vAlign w:val="bottom"/>
          </w:tcPr>
          <w:p>
            <w:pPr>
              <w:spacing w:after="0"/>
              <w:rPr>
                <w:sz w:val="14"/>
                <w:szCs w:val="14"/>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Rate</w:t>
            </w:r>
          </w:p>
        </w:tc>
        <w:tc>
          <w:tcPr>
            <w:tcW w:w="960" w:type="dxa"/>
            <w:vAlign w:val="bottom"/>
            <w:gridSpan w:val="2"/>
          </w:tcPr>
          <w:p>
            <w:pPr>
              <w:jc w:val="right"/>
              <w:ind w:right="320"/>
              <w:spacing w:after="0" w:line="147" w:lineRule="exact"/>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14"/>
                <w:szCs w:val="14"/>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Interest</w:t>
            </w:r>
          </w:p>
        </w:tc>
        <w:tc>
          <w:tcPr>
            <w:tcW w:w="300" w:type="dxa"/>
            <w:vAlign w:val="bottom"/>
          </w:tcPr>
          <w:p>
            <w:pPr>
              <w:spacing w:after="0"/>
              <w:rPr>
                <w:sz w:val="14"/>
                <w:szCs w:val="14"/>
                <w:color w:val="auto"/>
              </w:rPr>
            </w:pPr>
          </w:p>
        </w:tc>
        <w:tc>
          <w:tcPr>
            <w:tcW w:w="560" w:type="dxa"/>
            <w:vAlign w:val="bottom"/>
            <w:gridSpan w:val="2"/>
          </w:tcPr>
          <w:p>
            <w:pPr>
              <w:jc w:val="right"/>
              <w:ind w:right="240"/>
              <w:spacing w:after="0" w:line="147" w:lineRule="exact"/>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188"/>
        </w:trPr>
        <w:tc>
          <w:tcPr>
            <w:tcW w:w="52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Assets:</w:t>
            </w:r>
          </w:p>
        </w:tc>
        <w:tc>
          <w:tcPr>
            <w:tcW w:w="9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spacing w:after="0"/>
              <w:rPr>
                <w:sz w:val="20"/>
                <w:szCs w:val="20"/>
                <w:color w:val="auto"/>
              </w:rPr>
            </w:pPr>
            <w:r>
              <w:rPr>
                <w:rFonts w:ascii="Arial" w:cs="Arial" w:eastAsia="Arial" w:hAnsi="Arial"/>
                <w:sz w:val="17"/>
                <w:szCs w:val="17"/>
                <w:color w:val="auto"/>
              </w:rPr>
              <w:t>Interest-earning assets:</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 xml:space="preserve">Loans, net of unearned income </w:t>
            </w:r>
            <w:r>
              <w:rPr>
                <w:rFonts w:ascii="Arial" w:cs="Arial" w:eastAsia="Arial" w:hAnsi="Arial"/>
                <w:sz w:val="11"/>
                <w:szCs w:val="11"/>
                <w:color w:val="auto"/>
              </w:rPr>
              <w:t>(1)(2)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$4,155,619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$54,296</w:t>
            </w:r>
          </w:p>
        </w:tc>
        <w:tc>
          <w:tcPr>
            <w:tcW w:w="10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5.25%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$4,266,211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$60,958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14"/>
        </w:trPr>
        <w:tc>
          <w:tcPr>
            <w:tcW w:w="5220" w:type="dxa"/>
            <w:vAlign w:val="bottom"/>
            <w:gridSpan w:val="2"/>
          </w:tcPr>
          <w:p>
            <w:pPr>
              <w:ind w:left="440"/>
              <w:spacing w:after="0"/>
              <w:rPr>
                <w:sz w:val="20"/>
                <w:szCs w:val="20"/>
                <w:color w:val="auto"/>
              </w:rPr>
            </w:pPr>
            <w:r>
              <w:rPr>
                <w:rFonts w:ascii="Arial" w:cs="Arial" w:eastAsia="Arial" w:hAnsi="Arial"/>
                <w:sz w:val="17"/>
                <w:szCs w:val="17"/>
                <w:color w:val="auto"/>
              </w:rPr>
              <w:t xml:space="preserve">Taxable securities </w:t>
            </w:r>
            <w:r>
              <w:rPr>
                <w:rFonts w:ascii="Arial" w:cs="Arial" w:eastAsia="Arial" w:hAnsi="Arial"/>
                <w:sz w:val="11"/>
                <w:szCs w:val="11"/>
                <w:color w:val="auto"/>
              </w:rPr>
              <w:t>(3)</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2,121,053</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10,800</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2.04</w:t>
            </w: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2,048,683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14,541</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 xml:space="preserve">Tax-exempt securities </w:t>
            </w:r>
            <w:r>
              <w:rPr>
                <w:rFonts w:ascii="Arial" w:cs="Arial" w:eastAsia="Arial" w:hAnsi="Arial"/>
                <w:sz w:val="11"/>
                <w:szCs w:val="11"/>
                <w:color w:val="auto"/>
              </w:rPr>
              <w:t>(1)(3)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24,242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ind w:left="440"/>
              <w:spacing w:after="0"/>
              <w:rPr>
                <w:sz w:val="20"/>
                <w:szCs w:val="20"/>
                <w:color w:val="auto"/>
              </w:rPr>
            </w:pPr>
            <w:r>
              <w:rPr>
                <w:rFonts w:ascii="Arial" w:cs="Arial" w:eastAsia="Arial" w:hAnsi="Arial"/>
                <w:sz w:val="17"/>
                <w:szCs w:val="17"/>
                <w:color w:val="auto"/>
              </w:rPr>
              <w:t>Federal funds sold and other interest-earning assets</w:t>
            </w:r>
          </w:p>
        </w:tc>
        <w:tc>
          <w:tcPr>
            <w:tcW w:w="9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364,099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1,255</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1.38</w:t>
            </w:r>
          </w:p>
        </w:tc>
        <w:tc>
          <w:tcPr>
            <w:tcW w:w="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583,832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1300"/>
              <w:spacing w:after="0"/>
              <w:rPr>
                <w:sz w:val="20"/>
                <w:szCs w:val="20"/>
                <w:color w:val="auto"/>
              </w:rPr>
            </w:pPr>
            <w:r>
              <w:rPr>
                <w:rFonts w:ascii="Arial" w:cs="Arial" w:eastAsia="Arial" w:hAnsi="Arial"/>
                <w:sz w:val="17"/>
                <w:szCs w:val="17"/>
                <w:b w:val="1"/>
                <w:bCs w:val="1"/>
                <w:color w:val="auto"/>
              </w:rPr>
              <w:t>Total interest-earning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6,665,013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66,780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6,923,770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76,931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20" w:type="dxa"/>
            <w:vAlign w:val="bottom"/>
            <w:gridSpan w:val="2"/>
          </w:tcPr>
          <w:p>
            <w:pPr>
              <w:spacing w:after="0"/>
              <w:rPr>
                <w:sz w:val="20"/>
                <w:szCs w:val="20"/>
                <w:color w:val="auto"/>
              </w:rPr>
            </w:pPr>
            <w:r>
              <w:rPr>
                <w:rFonts w:ascii="Arial" w:cs="Arial" w:eastAsia="Arial" w:hAnsi="Arial"/>
                <w:sz w:val="17"/>
                <w:szCs w:val="17"/>
                <w:color w:val="auto"/>
              </w:rPr>
              <w:t>Non-interest-earning assets:</w:t>
            </w:r>
          </w:p>
        </w:tc>
        <w:tc>
          <w:tcPr>
            <w:tcW w:w="9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Allowance for loan losses</w:t>
            </w: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(115,955)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(139,744)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ind w:left="440"/>
              <w:spacing w:after="0"/>
              <w:rPr>
                <w:sz w:val="20"/>
                <w:szCs w:val="20"/>
                <w:color w:val="auto"/>
              </w:rPr>
            </w:pPr>
            <w:r>
              <w:rPr>
                <w:rFonts w:ascii="Arial" w:cs="Arial" w:eastAsia="Arial" w:hAnsi="Arial"/>
                <w:sz w:val="17"/>
                <w:szCs w:val="17"/>
                <w:color w:val="auto"/>
              </w:rPr>
              <w:t>Cash and due from banks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51,907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119,801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Premises and equipment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173,792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178,949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ind w:left="440"/>
              <w:spacing w:after="0"/>
              <w:rPr>
                <w:sz w:val="20"/>
                <w:szCs w:val="20"/>
                <w:color w:val="auto"/>
              </w:rPr>
            </w:pPr>
            <w:r>
              <w:rPr>
                <w:rFonts w:ascii="Arial" w:cs="Arial" w:eastAsia="Arial" w:hAnsi="Arial"/>
                <w:sz w:val="17"/>
                <w:szCs w:val="17"/>
                <w:color w:val="auto"/>
              </w:rPr>
              <w:t xml:space="preserve">Other assets </w:t>
            </w:r>
            <w:r>
              <w:rPr>
                <w:rFonts w:ascii="Arial" w:cs="Arial" w:eastAsia="Arial" w:hAnsi="Arial"/>
                <w:sz w:val="11"/>
                <w:szCs w:val="11"/>
                <w:color w:val="auto"/>
              </w:rPr>
              <w:t>(3)</w:t>
            </w:r>
          </w:p>
        </w:tc>
        <w:tc>
          <w:tcPr>
            <w:tcW w:w="9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218,347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280,204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1300"/>
              <w:spacing w:after="0"/>
              <w:rPr>
                <w:sz w:val="20"/>
                <w:szCs w:val="20"/>
                <w:color w:val="auto"/>
              </w:rPr>
            </w:pPr>
            <w:r>
              <w:rPr>
                <w:rFonts w:ascii="Arial" w:cs="Arial" w:eastAsia="Arial" w:hAnsi="Arial"/>
                <w:sz w:val="17"/>
                <w:szCs w:val="17"/>
                <w:b w:val="1"/>
                <w:bCs w:val="1"/>
                <w:color w:val="auto"/>
              </w:rPr>
              <w:t>Total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6,993,104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7,362,980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Interest-bearing liabilities:</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ind w:left="440"/>
              <w:spacing w:after="0"/>
              <w:rPr>
                <w:sz w:val="20"/>
                <w:szCs w:val="20"/>
                <w:color w:val="auto"/>
              </w:rPr>
            </w:pPr>
            <w:r>
              <w:rPr>
                <w:rFonts w:ascii="Arial" w:cs="Arial" w:eastAsia="Arial" w:hAnsi="Arial"/>
                <w:sz w:val="17"/>
                <w:szCs w:val="17"/>
                <w:color w:val="auto"/>
              </w:rPr>
              <w:t>Interest-bearing deposits:</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NOW</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$1,279,686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$1,310,441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ind w:left="860"/>
              <w:spacing w:after="0"/>
              <w:rPr>
                <w:sz w:val="20"/>
                <w:szCs w:val="20"/>
                <w:color w:val="auto"/>
              </w:rPr>
            </w:pPr>
            <w:r>
              <w:rPr>
                <w:rFonts w:ascii="Arial" w:cs="Arial" w:eastAsia="Arial" w:hAnsi="Arial"/>
                <w:sz w:val="17"/>
                <w:szCs w:val="17"/>
                <w:color w:val="auto"/>
              </w:rPr>
              <w:t>Money market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1,132,548</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661</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979,432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1,499</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Savings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216,175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195,946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ind w:left="860"/>
              <w:spacing w:after="0"/>
              <w:rPr>
                <w:sz w:val="20"/>
                <w:szCs w:val="20"/>
                <w:color w:val="auto"/>
              </w:rPr>
            </w:pPr>
            <w:r>
              <w:rPr>
                <w:rFonts w:ascii="Arial" w:cs="Arial" w:eastAsia="Arial" w:hAnsi="Arial"/>
                <w:sz w:val="17"/>
                <w:szCs w:val="17"/>
                <w:color w:val="auto"/>
              </w:rPr>
              <w:t>Time less than $100,000</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1,183,845</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2,520</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1,541,909</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4,990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Time greater than $100,000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778,477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988,810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3,873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ind w:left="860"/>
              <w:spacing w:after="0"/>
              <w:rPr>
                <w:sz w:val="20"/>
                <w:szCs w:val="20"/>
                <w:color w:val="auto"/>
              </w:rPr>
            </w:pPr>
            <w:r>
              <w:rPr>
                <w:rFonts w:ascii="Arial" w:cs="Arial" w:eastAsia="Arial" w:hAnsi="Arial"/>
                <w:sz w:val="17"/>
                <w:szCs w:val="17"/>
                <w:color w:val="auto"/>
              </w:rPr>
              <w:t>Brokered time deposits</w:t>
            </w:r>
          </w:p>
        </w:tc>
        <w:tc>
          <w:tcPr>
            <w:tcW w:w="9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150,449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1.31</w:t>
            </w:r>
          </w:p>
        </w:tc>
        <w:tc>
          <w:tcPr>
            <w:tcW w:w="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473,161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1720"/>
              <w:spacing w:after="0"/>
              <w:rPr>
                <w:sz w:val="20"/>
                <w:szCs w:val="20"/>
                <w:color w:val="auto"/>
              </w:rPr>
            </w:pPr>
            <w:r>
              <w:rPr>
                <w:rFonts w:ascii="Arial" w:cs="Arial" w:eastAsia="Arial" w:hAnsi="Arial"/>
                <w:sz w:val="17"/>
                <w:szCs w:val="17"/>
                <w:color w:val="auto"/>
              </w:rPr>
              <w:t>Total interest-bearing deposits</w:t>
            </w:r>
          </w:p>
        </w:tc>
        <w:tc>
          <w:tcPr>
            <w:tcW w:w="9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4,741,180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5,489,699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20" w:type="dxa"/>
            <w:vAlign w:val="bottom"/>
            <w:gridSpan w:val="2"/>
          </w:tcPr>
          <w:p>
            <w:pPr>
              <w:ind w:left="860"/>
              <w:spacing w:after="0"/>
              <w:rPr>
                <w:sz w:val="20"/>
                <w:szCs w:val="20"/>
                <w:color w:val="auto"/>
              </w:rPr>
            </w:pPr>
            <w:r>
              <w:rPr>
                <w:rFonts w:ascii="Arial" w:cs="Arial" w:eastAsia="Arial" w:hAnsi="Arial"/>
                <w:sz w:val="17"/>
                <w:szCs w:val="17"/>
                <w:color w:val="auto"/>
              </w:rPr>
              <w:t>Federal funds purchased and other borrowings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97,134</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904</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3.74</w:t>
            </w:r>
          </w:p>
        </w:tc>
        <w:tc>
          <w:tcPr>
            <w:tcW w:w="4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103,156</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1,074</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Federal Home Loan Bank advances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278,971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52,735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ind w:left="860"/>
              <w:spacing w:after="0"/>
              <w:rPr>
                <w:sz w:val="20"/>
                <w:szCs w:val="20"/>
                <w:color w:val="auto"/>
              </w:rPr>
            </w:pPr>
            <w:r>
              <w:rPr>
                <w:rFonts w:ascii="Arial" w:cs="Arial" w:eastAsia="Arial" w:hAnsi="Arial"/>
                <w:sz w:val="17"/>
                <w:szCs w:val="17"/>
                <w:color w:val="auto"/>
              </w:rPr>
              <w:t>Long-term debt</w:t>
            </w:r>
          </w:p>
        </w:tc>
        <w:tc>
          <w:tcPr>
            <w:tcW w:w="9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120,256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2,375</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7.94</w:t>
            </w:r>
          </w:p>
        </w:tc>
        <w:tc>
          <w:tcPr>
            <w:tcW w:w="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150,178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1300"/>
              <w:spacing w:after="0"/>
              <w:rPr>
                <w:sz w:val="20"/>
                <w:szCs w:val="20"/>
                <w:color w:val="auto"/>
              </w:rPr>
            </w:pPr>
            <w:r>
              <w:rPr>
                <w:rFonts w:ascii="Arial" w:cs="Arial" w:eastAsia="Arial" w:hAnsi="Arial"/>
                <w:sz w:val="17"/>
                <w:szCs w:val="17"/>
                <w:color w:val="auto"/>
              </w:rPr>
              <w:t>Total borrowed funds</w:t>
            </w:r>
          </w:p>
        </w:tc>
        <w:tc>
          <w:tcPr>
            <w:tcW w:w="9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496,361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306,069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20" w:type="dxa"/>
            <w:vAlign w:val="bottom"/>
            <w:gridSpan w:val="2"/>
          </w:tcPr>
          <w:p>
            <w:pPr>
              <w:ind w:left="1300"/>
              <w:spacing w:after="0"/>
              <w:rPr>
                <w:sz w:val="20"/>
                <w:szCs w:val="20"/>
                <w:color w:val="auto"/>
              </w:rPr>
            </w:pPr>
            <w:r>
              <w:rPr>
                <w:rFonts w:ascii="Arial" w:cs="Arial" w:eastAsia="Arial" w:hAnsi="Arial"/>
                <w:sz w:val="17"/>
                <w:szCs w:val="17"/>
                <w:b w:val="1"/>
                <w:bCs w:val="1"/>
                <w:color w:val="auto"/>
              </w:rPr>
              <w:t>Total interest-bearing liabilities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5,237,541</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9,944</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4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5,795,768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17,985</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Non-interest-bearing liabilities:</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ind w:left="440"/>
              <w:spacing w:after="0"/>
              <w:rPr>
                <w:sz w:val="20"/>
                <w:szCs w:val="20"/>
                <w:color w:val="auto"/>
              </w:rPr>
            </w:pPr>
            <w:r>
              <w:rPr>
                <w:rFonts w:ascii="Arial" w:cs="Arial" w:eastAsia="Arial" w:hAnsi="Arial"/>
                <w:sz w:val="17"/>
                <w:szCs w:val="17"/>
                <w:color w:val="auto"/>
              </w:rPr>
              <w:t>Non-interest-bearing deposits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1,112,128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882,151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liabilities</w:t>
            </w:r>
          </w:p>
        </w:tc>
        <w:tc>
          <w:tcPr>
            <w:tcW w:w="9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20" w:type="dxa"/>
            <w:vAlign w:val="bottom"/>
            <w:gridSpan w:val="2"/>
          </w:tcPr>
          <w:p>
            <w:pPr>
              <w:ind w:left="1300"/>
              <w:spacing w:after="0"/>
              <w:rPr>
                <w:sz w:val="20"/>
                <w:szCs w:val="20"/>
                <w:color w:val="auto"/>
              </w:rPr>
            </w:pPr>
            <w:r>
              <w:rPr>
                <w:rFonts w:ascii="Arial" w:cs="Arial" w:eastAsia="Arial" w:hAnsi="Arial"/>
                <w:sz w:val="17"/>
                <w:szCs w:val="17"/>
                <w:color w:val="auto"/>
              </w:rPr>
              <w:t>Total liabilities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6,410,395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6,769,272</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9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582,709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593,708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20" w:type="dxa"/>
            <w:vAlign w:val="bottom"/>
            <w:gridSpan w:val="2"/>
          </w:tcPr>
          <w:p>
            <w:pPr>
              <w:ind w:left="1300"/>
              <w:spacing w:after="0"/>
              <w:rPr>
                <w:sz w:val="20"/>
                <w:szCs w:val="20"/>
                <w:color w:val="auto"/>
              </w:rPr>
            </w:pPr>
            <w:r>
              <w:rPr>
                <w:rFonts w:ascii="Arial" w:cs="Arial" w:eastAsia="Arial" w:hAnsi="Arial"/>
                <w:sz w:val="17"/>
                <w:szCs w:val="17"/>
                <w:b w:val="1"/>
                <w:bCs w:val="1"/>
                <w:color w:val="auto"/>
              </w:rPr>
              <w:t>Total liabilities and shareholders’ equity</w:t>
            </w:r>
          </w:p>
        </w:tc>
        <w:tc>
          <w:tcPr>
            <w:tcW w:w="17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6,993,104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7,362,980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interest revenue</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56,836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58,946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7"/>
                <w:szCs w:val="17"/>
                <w:color w:val="auto"/>
              </w:rPr>
              <w:t>Net interest-rate spread</w:t>
            </w: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3"/>
            <w:vMerge w:val="restart"/>
          </w:tcPr>
          <w:p>
            <w:pPr>
              <w:ind w:left="340"/>
              <w:spacing w:after="0"/>
              <w:rPr>
                <w:sz w:val="20"/>
                <w:szCs w:val="20"/>
                <w:color w:val="auto"/>
              </w:rPr>
            </w:pPr>
            <w:r>
              <w:rPr>
                <w:rFonts w:ascii="Arial" w:cs="Arial" w:eastAsia="Arial" w:hAnsi="Arial"/>
                <w:sz w:val="17"/>
                <w:szCs w:val="17"/>
                <w:color w:val="auto"/>
              </w:rPr>
              <w:t>3.27%</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line="20" w:lineRule="exact"/>
              <w:rPr>
                <w:sz w:val="1"/>
                <w:szCs w:val="1"/>
                <w:color w:val="auto"/>
              </w:rPr>
            </w:pPr>
          </w:p>
        </w:tc>
      </w:tr>
      <w:tr>
        <w:trPr>
          <w:trHeight w:val="207"/>
        </w:trPr>
        <w:tc>
          <w:tcPr>
            <w:tcW w:w="52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 xml:space="preserve">Net interest margin </w:t>
            </w:r>
            <w:r>
              <w:rPr>
                <w:rFonts w:ascii="Arial" w:cs="Arial" w:eastAsia="Arial" w:hAnsi="Arial"/>
                <w:sz w:val="11"/>
                <w:szCs w:val="11"/>
                <w:color w:val="auto"/>
              </w:rPr>
              <w:t>(4)</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3.43%</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right="40" w:hanging="453"/>
        <w:spacing w:after="0" w:line="233"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460" w:hanging="453"/>
        <w:spacing w:after="0" w:line="223" w:lineRule="auto"/>
        <w:tabs>
          <w:tab w:leader="none" w:pos="46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7" w:lineRule="exact"/>
        <w:rPr>
          <w:rFonts w:ascii="Arial" w:cs="Arial" w:eastAsia="Arial" w:hAnsi="Arial"/>
          <w:sz w:val="20"/>
          <w:szCs w:val="20"/>
          <w:color w:val="auto"/>
          <w:vertAlign w:val="superscript"/>
        </w:rPr>
      </w:pPr>
    </w:p>
    <w:p>
      <w:pPr>
        <w:ind w:left="460" w:right="280" w:hanging="453"/>
        <w:spacing w:after="0" w:line="22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Securities available for sale are shown at amortized cost. Pretax unrealized gains of $25.7 million in 2012 and $32.2 million in 2011 are included in other assets for purposes of this presentation.</w:t>
      </w:r>
    </w:p>
    <w:p>
      <w:pPr>
        <w:spacing w:after="0" w:line="1" w:lineRule="exact"/>
        <w:rPr>
          <w:rFonts w:ascii="Arial" w:cs="Arial" w:eastAsia="Arial" w:hAnsi="Arial"/>
          <w:sz w:val="22"/>
          <w:szCs w:val="22"/>
          <w:color w:val="auto"/>
          <w:vertAlign w:val="superscript"/>
        </w:rPr>
      </w:pPr>
    </w:p>
    <w:p>
      <w:pPr>
        <w:ind w:left="460" w:hanging="453"/>
        <w:spacing w:after="0" w:line="203"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Net interest margin is taxable equivalent net-interest revenue divided by average interest-earning assets.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5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The following table shows the relationship between interest revenue and expense, and the average amounts of interest-earning assets and interest-bearing liabilities for the six months ended June 30, 2012 and 2011.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3 - Average Consolidated Balance Sheets and Net Interest Analysis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3"/>
                <w:szCs w:val="13"/>
                <w:b w:val="1"/>
                <w:bCs w:val="1"/>
                <w:color w:val="auto"/>
              </w:rPr>
              <w:t>2012</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3"/>
                <w:szCs w:val="13"/>
                <w:b w:val="1"/>
                <w:bCs w:val="1"/>
                <w:color w:val="auto"/>
              </w:rPr>
              <w:t>2011</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80" w:type="dxa"/>
            <w:vAlign w:val="bottom"/>
            <w:vMerge w:val="restart"/>
          </w:tcPr>
          <w:p>
            <w:pPr>
              <w:spacing w:after="0"/>
              <w:rPr>
                <w:sz w:val="20"/>
                <w:szCs w:val="20"/>
                <w:color w:val="auto"/>
              </w:rPr>
            </w:pPr>
            <w:r>
              <w:rPr>
                <w:rFonts w:ascii="Arial" w:cs="Arial" w:eastAsia="Arial" w:hAnsi="Arial"/>
                <w:sz w:val="13"/>
                <w:szCs w:val="13"/>
                <w:i w:val="1"/>
                <w:iCs w:val="1"/>
                <w:color w:val="auto"/>
                <w:w w:val="99"/>
              </w:rPr>
              <w:t>(dollars in thousands, taxable equivalent)</w:t>
            </w:r>
          </w:p>
        </w:tc>
        <w:tc>
          <w:tcPr>
            <w:tcW w:w="3580" w:type="dxa"/>
            <w:vAlign w:val="bottom"/>
            <w:vMerge w:val="restart"/>
          </w:tcPr>
          <w:p>
            <w:pPr>
              <w:spacing w:after="0"/>
              <w:rPr>
                <w:sz w:val="11"/>
                <w:szCs w:val="11"/>
                <w:color w:val="auto"/>
              </w:rPr>
            </w:pPr>
          </w:p>
        </w:tc>
        <w:tc>
          <w:tcPr>
            <w:tcW w:w="980" w:type="dxa"/>
            <w:vAlign w:val="bottom"/>
            <w:gridSpan w:val="2"/>
          </w:tcPr>
          <w:p>
            <w:pPr>
              <w:jc w:val="right"/>
              <w:ind w:right="340"/>
              <w:spacing w:after="0" w:line="128"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w w:val="99"/>
              </w:rPr>
              <w:t>Avg.</w:t>
            </w:r>
          </w:p>
        </w:tc>
        <w:tc>
          <w:tcPr>
            <w:tcW w:w="400" w:type="dxa"/>
            <w:vAlign w:val="bottom"/>
          </w:tcPr>
          <w:p>
            <w:pPr>
              <w:spacing w:after="0"/>
              <w:rPr>
                <w:sz w:val="11"/>
                <w:szCs w:val="11"/>
                <w:color w:val="auto"/>
              </w:rPr>
            </w:pPr>
          </w:p>
        </w:tc>
        <w:tc>
          <w:tcPr>
            <w:tcW w:w="960" w:type="dxa"/>
            <w:vAlign w:val="bottom"/>
            <w:gridSpan w:val="2"/>
          </w:tcPr>
          <w:p>
            <w:pPr>
              <w:jc w:val="right"/>
              <w:ind w:right="340"/>
              <w:spacing w:after="0" w:line="128"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w w:val="99"/>
              </w:rPr>
              <w:t>Avg.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980" w:type="dxa"/>
            <w:vAlign w:val="bottom"/>
            <w:gridSpan w:val="2"/>
          </w:tcPr>
          <w:p>
            <w:pPr>
              <w:jc w:val="right"/>
              <w:ind w:right="340"/>
              <w:spacing w:after="0" w:line="147" w:lineRule="exact"/>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680" w:type="dxa"/>
            <w:vAlign w:val="bottom"/>
          </w:tcPr>
          <w:p>
            <w:pPr>
              <w:jc w:val="right"/>
              <w:ind w:right="35"/>
              <w:spacing w:after="0" w:line="147" w:lineRule="exact"/>
              <w:rPr>
                <w:sz w:val="20"/>
                <w:szCs w:val="20"/>
                <w:color w:val="auto"/>
              </w:rPr>
            </w:pPr>
            <w:r>
              <w:rPr>
                <w:rFonts w:ascii="Arial" w:cs="Arial" w:eastAsia="Arial" w:hAnsi="Arial"/>
                <w:sz w:val="13"/>
                <w:szCs w:val="13"/>
                <w:b w:val="1"/>
                <w:bCs w:val="1"/>
                <w:color w:val="auto"/>
              </w:rPr>
              <w:t>Interest</w:t>
            </w:r>
          </w:p>
        </w:tc>
        <w:tc>
          <w:tcPr>
            <w:tcW w:w="300" w:type="dxa"/>
            <w:vAlign w:val="bottom"/>
          </w:tcPr>
          <w:p>
            <w:pPr>
              <w:spacing w:after="0"/>
              <w:rPr>
                <w:sz w:val="14"/>
                <w:szCs w:val="14"/>
                <w:color w:val="auto"/>
              </w:rPr>
            </w:pPr>
          </w:p>
        </w:tc>
        <w:tc>
          <w:tcPr>
            <w:tcW w:w="760" w:type="dxa"/>
            <w:vAlign w:val="bottom"/>
            <w:gridSpan w:val="2"/>
          </w:tcPr>
          <w:p>
            <w:pPr>
              <w:jc w:val="right"/>
              <w:ind w:right="460"/>
              <w:spacing w:after="0" w:line="147" w:lineRule="exact"/>
              <w:rPr>
                <w:sz w:val="20"/>
                <w:szCs w:val="20"/>
                <w:color w:val="auto"/>
              </w:rPr>
            </w:pPr>
            <w:r>
              <w:rPr>
                <w:rFonts w:ascii="Arial" w:cs="Arial" w:eastAsia="Arial" w:hAnsi="Arial"/>
                <w:sz w:val="13"/>
                <w:szCs w:val="13"/>
                <w:b w:val="1"/>
                <w:bCs w:val="1"/>
                <w:color w:val="auto"/>
                <w:w w:val="99"/>
              </w:rPr>
              <w:t>Rate</w:t>
            </w:r>
          </w:p>
        </w:tc>
        <w:tc>
          <w:tcPr>
            <w:tcW w:w="960" w:type="dxa"/>
            <w:vAlign w:val="bottom"/>
            <w:gridSpan w:val="2"/>
          </w:tcPr>
          <w:p>
            <w:pPr>
              <w:jc w:val="right"/>
              <w:ind w:right="340"/>
              <w:spacing w:after="0" w:line="147" w:lineRule="exact"/>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14"/>
                <w:szCs w:val="14"/>
                <w:color w:val="auto"/>
              </w:rPr>
            </w:pPr>
          </w:p>
        </w:tc>
        <w:tc>
          <w:tcPr>
            <w:tcW w:w="660" w:type="dxa"/>
            <w:vAlign w:val="bottom"/>
          </w:tcPr>
          <w:p>
            <w:pPr>
              <w:jc w:val="right"/>
              <w:ind w:right="33"/>
              <w:spacing w:after="0" w:line="147" w:lineRule="exact"/>
              <w:rPr>
                <w:sz w:val="20"/>
                <w:szCs w:val="20"/>
                <w:color w:val="auto"/>
              </w:rPr>
            </w:pPr>
            <w:r>
              <w:rPr>
                <w:rFonts w:ascii="Arial" w:cs="Arial" w:eastAsia="Arial" w:hAnsi="Arial"/>
                <w:sz w:val="13"/>
                <w:szCs w:val="13"/>
                <w:b w:val="1"/>
                <w:bCs w:val="1"/>
                <w:color w:val="auto"/>
              </w:rPr>
              <w:t>Interest</w:t>
            </w:r>
          </w:p>
        </w:tc>
        <w:tc>
          <w:tcPr>
            <w:tcW w:w="300" w:type="dxa"/>
            <w:vAlign w:val="bottom"/>
          </w:tcPr>
          <w:p>
            <w:pPr>
              <w:spacing w:after="0"/>
              <w:rPr>
                <w:sz w:val="14"/>
                <w:szCs w:val="14"/>
                <w:color w:val="auto"/>
              </w:rPr>
            </w:pPr>
          </w:p>
        </w:tc>
        <w:tc>
          <w:tcPr>
            <w:tcW w:w="560" w:type="dxa"/>
            <w:vAlign w:val="bottom"/>
            <w:gridSpan w:val="2"/>
          </w:tcPr>
          <w:p>
            <w:pPr>
              <w:jc w:val="right"/>
              <w:ind w:right="240"/>
              <w:spacing w:after="0" w:line="147" w:lineRule="exact"/>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188"/>
        </w:trPr>
        <w:tc>
          <w:tcPr>
            <w:tcW w:w="59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Assets:</w:t>
            </w: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spacing w:after="0"/>
              <w:rPr>
                <w:sz w:val="20"/>
                <w:szCs w:val="20"/>
                <w:color w:val="auto"/>
              </w:rPr>
            </w:pPr>
            <w:r>
              <w:rPr>
                <w:rFonts w:ascii="Arial" w:cs="Arial" w:eastAsia="Arial" w:hAnsi="Arial"/>
                <w:sz w:val="17"/>
                <w:szCs w:val="17"/>
                <w:color w:val="auto"/>
              </w:rPr>
              <w:t>Interest-earning assets: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 xml:space="preserve">Loans, net of unearned income </w:t>
            </w:r>
            <w:r>
              <w:rPr>
                <w:rFonts w:ascii="Arial" w:cs="Arial" w:eastAsia="Arial" w:hAnsi="Arial"/>
                <w:sz w:val="11"/>
                <w:szCs w:val="11"/>
                <w:color w:val="auto"/>
              </w:rPr>
              <w:t>(1)(2)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$4,162,030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$ 110,138</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5.32%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$4,431,617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$122,028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214"/>
        </w:trPr>
        <w:tc>
          <w:tcPr>
            <w:tcW w:w="5960" w:type="dxa"/>
            <w:vAlign w:val="bottom"/>
            <w:gridSpan w:val="2"/>
          </w:tcPr>
          <w:p>
            <w:pPr>
              <w:ind w:left="440"/>
              <w:spacing w:after="0"/>
              <w:rPr>
                <w:sz w:val="20"/>
                <w:szCs w:val="20"/>
                <w:color w:val="auto"/>
              </w:rPr>
            </w:pPr>
            <w:r>
              <w:rPr>
                <w:rFonts w:ascii="Arial" w:cs="Arial" w:eastAsia="Arial" w:hAnsi="Arial"/>
                <w:sz w:val="17"/>
                <w:szCs w:val="17"/>
                <w:color w:val="auto"/>
              </w:rPr>
              <w:t xml:space="preserve">Taxable securities </w:t>
            </w:r>
            <w:r>
              <w:rPr>
                <w:rFonts w:ascii="Arial" w:cs="Arial" w:eastAsia="Arial" w:hAnsi="Arial"/>
                <w:sz w:val="11"/>
                <w:szCs w:val="11"/>
                <w:color w:val="auto"/>
              </w:rPr>
              <w:t>(3)</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2,124,422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23,554</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2.22</w:t>
            </w: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1,825,322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27,886</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 xml:space="preserve">Tax-exempt securities </w:t>
            </w:r>
            <w:r>
              <w:rPr>
                <w:rFonts w:ascii="Arial" w:cs="Arial" w:eastAsia="Arial" w:hAnsi="Arial"/>
                <w:sz w:val="11"/>
                <w:szCs w:val="11"/>
                <w:color w:val="auto"/>
              </w:rPr>
              <w:t>(1)(3)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24,840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25,434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440"/>
              <w:spacing w:after="0"/>
              <w:rPr>
                <w:sz w:val="20"/>
                <w:szCs w:val="20"/>
                <w:color w:val="auto"/>
              </w:rPr>
            </w:pPr>
            <w:r>
              <w:rPr>
                <w:rFonts w:ascii="Arial" w:cs="Arial" w:eastAsia="Arial" w:hAnsi="Arial"/>
                <w:sz w:val="17"/>
                <w:szCs w:val="17"/>
                <w:color w:val="auto"/>
              </w:rPr>
              <w:t>Federal funds sold and other interest-earning assets</w:t>
            </w:r>
          </w:p>
        </w:tc>
        <w:tc>
          <w:tcPr>
            <w:tcW w:w="800" w:type="dxa"/>
            <w:vAlign w:val="bottom"/>
          </w:tcPr>
          <w:p>
            <w:pPr>
              <w:jc w:val="right"/>
              <w:spacing w:after="0"/>
              <w:rPr>
                <w:sz w:val="20"/>
                <w:szCs w:val="20"/>
                <w:color w:val="auto"/>
              </w:rPr>
            </w:pPr>
            <w:r>
              <w:rPr>
                <w:rFonts w:ascii="Arial" w:cs="Arial" w:eastAsia="Arial" w:hAnsi="Arial"/>
                <w:sz w:val="17"/>
                <w:szCs w:val="17"/>
                <w:color w:val="auto"/>
              </w:rPr>
              <w:t>371,044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2,470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1.33</w:t>
            </w: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630,384</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2,147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60" w:type="dxa"/>
            <w:vAlign w:val="bottom"/>
            <w:gridSpan w:val="2"/>
            <w:shd w:val="clear" w:color="auto" w:fill="CCEEFF"/>
          </w:tcPr>
          <w:p>
            <w:pPr>
              <w:ind w:left="1300"/>
              <w:spacing w:after="0"/>
              <w:rPr>
                <w:sz w:val="20"/>
                <w:szCs w:val="20"/>
                <w:color w:val="auto"/>
              </w:rPr>
            </w:pPr>
            <w:r>
              <w:rPr>
                <w:rFonts w:ascii="Arial" w:cs="Arial" w:eastAsia="Arial" w:hAnsi="Arial"/>
                <w:sz w:val="17"/>
                <w:szCs w:val="17"/>
                <w:b w:val="1"/>
                <w:bCs w:val="1"/>
                <w:color w:val="auto"/>
              </w:rPr>
              <w:t>Total interest-earning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6,682,336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6,912,757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152,896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60" w:type="dxa"/>
            <w:vAlign w:val="bottom"/>
            <w:gridSpan w:val="2"/>
          </w:tcPr>
          <w:p>
            <w:pPr>
              <w:spacing w:after="0"/>
              <w:rPr>
                <w:sz w:val="20"/>
                <w:szCs w:val="20"/>
                <w:color w:val="auto"/>
              </w:rPr>
            </w:pPr>
            <w:r>
              <w:rPr>
                <w:rFonts w:ascii="Arial" w:cs="Arial" w:eastAsia="Arial" w:hAnsi="Arial"/>
                <w:sz w:val="17"/>
                <w:szCs w:val="17"/>
                <w:color w:val="auto"/>
              </w:rPr>
              <w:t>Non-interest-earning assets:</w:t>
            </w: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Allowance for loan losses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(116,879)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(154,347)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440"/>
              <w:spacing w:after="0"/>
              <w:rPr>
                <w:sz w:val="20"/>
                <w:szCs w:val="20"/>
                <w:color w:val="auto"/>
              </w:rPr>
            </w:pPr>
            <w:r>
              <w:rPr>
                <w:rFonts w:ascii="Arial" w:cs="Arial" w:eastAsia="Arial" w:hAnsi="Arial"/>
                <w:sz w:val="17"/>
                <w:szCs w:val="17"/>
                <w:color w:val="auto"/>
              </w:rPr>
              <w:t>Cash and due from banks</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53,286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127,031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Premises and equipment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174,321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179,150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440"/>
              <w:spacing w:after="0"/>
              <w:rPr>
                <w:sz w:val="20"/>
                <w:szCs w:val="20"/>
                <w:color w:val="auto"/>
              </w:rPr>
            </w:pPr>
            <w:r>
              <w:rPr>
                <w:rFonts w:ascii="Arial" w:cs="Arial" w:eastAsia="Arial" w:hAnsi="Arial"/>
                <w:sz w:val="17"/>
                <w:szCs w:val="17"/>
                <w:color w:val="auto"/>
              </w:rPr>
              <w:t xml:space="preserve">Other assets </w:t>
            </w:r>
            <w:r>
              <w:rPr>
                <w:rFonts w:ascii="Arial" w:cs="Arial" w:eastAsia="Arial" w:hAnsi="Arial"/>
                <w:sz w:val="11"/>
                <w:szCs w:val="11"/>
                <w:color w:val="auto"/>
              </w:rPr>
              <w:t>(3)</w:t>
            </w:r>
          </w:p>
        </w:tc>
        <w:tc>
          <w:tcPr>
            <w:tcW w:w="800" w:type="dxa"/>
            <w:vAlign w:val="bottom"/>
          </w:tcPr>
          <w:p>
            <w:pPr>
              <w:jc w:val="right"/>
              <w:spacing w:after="0"/>
              <w:rPr>
                <w:sz w:val="20"/>
                <w:szCs w:val="20"/>
                <w:color w:val="auto"/>
              </w:rPr>
            </w:pPr>
            <w:r>
              <w:rPr>
                <w:rFonts w:ascii="Arial" w:cs="Arial" w:eastAsia="Arial" w:hAnsi="Arial"/>
                <w:sz w:val="17"/>
                <w:szCs w:val="17"/>
                <w:color w:val="auto"/>
              </w:rPr>
              <w:t>226,013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306,495</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60" w:type="dxa"/>
            <w:vAlign w:val="bottom"/>
            <w:gridSpan w:val="2"/>
            <w:shd w:val="clear" w:color="auto" w:fill="CCEEFF"/>
          </w:tcPr>
          <w:p>
            <w:pPr>
              <w:ind w:left="1300"/>
              <w:spacing w:after="0"/>
              <w:rPr>
                <w:sz w:val="20"/>
                <w:szCs w:val="20"/>
                <w:color w:val="auto"/>
              </w:rPr>
            </w:pPr>
            <w:r>
              <w:rPr>
                <w:rFonts w:ascii="Arial" w:cs="Arial" w:eastAsia="Arial" w:hAnsi="Arial"/>
                <w:sz w:val="17"/>
                <w:szCs w:val="17"/>
                <w:b w:val="1"/>
                <w:bCs w:val="1"/>
                <w:color w:val="auto"/>
              </w:rPr>
              <w:t>Total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7,019,077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7,371,086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Interest-bearing 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440"/>
              <w:spacing w:after="0"/>
              <w:rPr>
                <w:sz w:val="20"/>
                <w:szCs w:val="20"/>
                <w:color w:val="auto"/>
              </w:rPr>
            </w:pPr>
            <w:r>
              <w:rPr>
                <w:rFonts w:ascii="Arial" w:cs="Arial" w:eastAsia="Arial" w:hAnsi="Arial"/>
                <w:sz w:val="17"/>
                <w:szCs w:val="17"/>
                <w:color w:val="auto"/>
              </w:rPr>
              <w:t>Interest-bearing deposits: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NOW</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$1,368,900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$1,341,618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860"/>
              <w:spacing w:after="0"/>
              <w:rPr>
                <w:sz w:val="20"/>
                <w:szCs w:val="20"/>
                <w:color w:val="auto"/>
              </w:rPr>
            </w:pPr>
            <w:r>
              <w:rPr>
                <w:rFonts w:ascii="Arial" w:cs="Arial" w:eastAsia="Arial" w:hAnsi="Arial"/>
                <w:sz w:val="17"/>
                <w:szCs w:val="17"/>
                <w:color w:val="auto"/>
              </w:rPr>
              <w:t>Money market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1,101,103</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1,302</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954,128</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3,527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Savings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210,789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191,708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860"/>
              <w:spacing w:after="0"/>
              <w:rPr>
                <w:sz w:val="20"/>
                <w:szCs w:val="20"/>
                <w:color w:val="auto"/>
              </w:rPr>
            </w:pPr>
            <w:r>
              <w:rPr>
                <w:rFonts w:ascii="Arial" w:cs="Arial" w:eastAsia="Arial" w:hAnsi="Arial"/>
                <w:sz w:val="17"/>
                <w:szCs w:val="17"/>
                <w:color w:val="auto"/>
              </w:rPr>
              <w:t>Time less than $100,000</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1,227,599</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5,546</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1,541,130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10,441</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Time greater than $100,000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799,821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4,478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989,840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860"/>
              <w:spacing w:after="0"/>
              <w:rPr>
                <w:sz w:val="20"/>
                <w:szCs w:val="20"/>
                <w:color w:val="auto"/>
              </w:rPr>
            </w:pPr>
            <w:r>
              <w:rPr>
                <w:rFonts w:ascii="Arial" w:cs="Arial" w:eastAsia="Arial" w:hAnsi="Arial"/>
                <w:sz w:val="17"/>
                <w:szCs w:val="17"/>
                <w:color w:val="auto"/>
              </w:rPr>
              <w:t>Brokered time deposits</w:t>
            </w:r>
          </w:p>
        </w:tc>
        <w:tc>
          <w:tcPr>
            <w:tcW w:w="800" w:type="dxa"/>
            <w:vAlign w:val="bottom"/>
          </w:tcPr>
          <w:p>
            <w:pPr>
              <w:jc w:val="right"/>
              <w:spacing w:after="0"/>
              <w:rPr>
                <w:sz w:val="20"/>
                <w:szCs w:val="20"/>
                <w:color w:val="auto"/>
              </w:rPr>
            </w:pPr>
            <w:r>
              <w:rPr>
                <w:rFonts w:ascii="Arial" w:cs="Arial" w:eastAsia="Arial" w:hAnsi="Arial"/>
                <w:sz w:val="17"/>
                <w:szCs w:val="17"/>
                <w:color w:val="auto"/>
              </w:rPr>
              <w:t>155,892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1,208</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1.56</w:t>
            </w: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585,103</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4,262</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60" w:type="dxa"/>
            <w:vAlign w:val="bottom"/>
            <w:gridSpan w:val="2"/>
            <w:shd w:val="clear" w:color="auto" w:fill="CCEEFF"/>
          </w:tcPr>
          <w:p>
            <w:pPr>
              <w:ind w:left="1720"/>
              <w:spacing w:after="0"/>
              <w:rPr>
                <w:sz w:val="20"/>
                <w:szCs w:val="20"/>
                <w:color w:val="auto"/>
              </w:rPr>
            </w:pPr>
            <w:r>
              <w:rPr>
                <w:rFonts w:ascii="Arial" w:cs="Arial" w:eastAsia="Arial" w:hAnsi="Arial"/>
                <w:sz w:val="17"/>
                <w:szCs w:val="17"/>
                <w:color w:val="auto"/>
              </w:rPr>
              <w:t>Total interest-bearing deposits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4,864,104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5,603,527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860"/>
              <w:spacing w:after="0"/>
              <w:rPr>
                <w:sz w:val="20"/>
                <w:szCs w:val="20"/>
                <w:color w:val="auto"/>
              </w:rPr>
            </w:pPr>
            <w:r>
              <w:rPr>
                <w:rFonts w:ascii="Arial" w:cs="Arial" w:eastAsia="Arial" w:hAnsi="Arial"/>
                <w:sz w:val="17"/>
                <w:szCs w:val="17"/>
                <w:color w:val="auto"/>
              </w:rPr>
              <w:t>Federal funds purchased and other borrowings</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3.93</w:t>
            </w: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4.18</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6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99,696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1,949</w:t>
            </w:r>
          </w:p>
        </w:tc>
        <w:tc>
          <w:tcPr>
            <w:tcW w:w="6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102,132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2,116</w:t>
            </w:r>
          </w:p>
        </w:tc>
        <w:tc>
          <w:tcPr>
            <w:tcW w:w="6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Federal Home Loan Bank advances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208,672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53,923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860"/>
              <w:spacing w:after="0"/>
              <w:rPr>
                <w:sz w:val="20"/>
                <w:szCs w:val="20"/>
                <w:color w:val="auto"/>
              </w:rPr>
            </w:pPr>
            <w:r>
              <w:rPr>
                <w:rFonts w:ascii="Arial" w:cs="Arial" w:eastAsia="Arial" w:hAnsi="Arial"/>
                <w:sz w:val="17"/>
                <w:szCs w:val="17"/>
                <w:color w:val="auto"/>
              </w:rPr>
              <w:t>Long-term debt</w:t>
            </w:r>
          </w:p>
        </w:tc>
        <w:tc>
          <w:tcPr>
            <w:tcW w:w="800" w:type="dxa"/>
            <w:vAlign w:val="bottom"/>
          </w:tcPr>
          <w:p>
            <w:pPr>
              <w:jc w:val="right"/>
              <w:spacing w:after="0"/>
              <w:rPr>
                <w:sz w:val="20"/>
                <w:szCs w:val="20"/>
                <w:color w:val="auto"/>
              </w:rPr>
            </w:pPr>
            <w:r>
              <w:rPr>
                <w:rFonts w:ascii="Arial" w:cs="Arial" w:eastAsia="Arial" w:hAnsi="Arial"/>
                <w:sz w:val="17"/>
                <w:szCs w:val="17"/>
                <w:color w:val="auto"/>
              </w:rPr>
              <w:t>120,246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4,747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7.94</w:t>
            </w: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150,169</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5,527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60" w:type="dxa"/>
            <w:vAlign w:val="bottom"/>
            <w:gridSpan w:val="2"/>
            <w:shd w:val="clear" w:color="auto" w:fill="CCEEFF"/>
          </w:tcPr>
          <w:p>
            <w:pPr>
              <w:ind w:left="1300"/>
              <w:spacing w:after="0"/>
              <w:rPr>
                <w:sz w:val="20"/>
                <w:szCs w:val="20"/>
                <w:color w:val="auto"/>
              </w:rPr>
            </w:pPr>
            <w:r>
              <w:rPr>
                <w:rFonts w:ascii="Arial" w:cs="Arial" w:eastAsia="Arial" w:hAnsi="Arial"/>
                <w:sz w:val="17"/>
                <w:szCs w:val="17"/>
                <w:color w:val="auto"/>
              </w:rPr>
              <w:t>Total borrowed funds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428,614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306,224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1300"/>
              <w:spacing w:after="0"/>
              <w:rPr>
                <w:sz w:val="20"/>
                <w:szCs w:val="20"/>
                <w:color w:val="auto"/>
              </w:rPr>
            </w:pPr>
            <w:r>
              <w:rPr>
                <w:rFonts w:ascii="Arial" w:cs="Arial" w:eastAsia="Arial" w:hAnsi="Arial"/>
                <w:sz w:val="17"/>
                <w:szCs w:val="17"/>
                <w:b w:val="1"/>
                <w:bCs w:val="1"/>
                <w:color w:val="auto"/>
              </w:rPr>
              <w:t>Total interest-bearing liabilities</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.81</w:t>
            </w: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1.28</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6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5,292,718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21,301</w:t>
            </w:r>
          </w:p>
        </w:tc>
        <w:tc>
          <w:tcPr>
            <w:tcW w:w="6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5,909,751</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37,558</w:t>
            </w:r>
          </w:p>
        </w:tc>
        <w:tc>
          <w:tcPr>
            <w:tcW w:w="6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Non-interest-bearing 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440"/>
              <w:spacing w:after="0"/>
              <w:rPr>
                <w:sz w:val="20"/>
                <w:szCs w:val="20"/>
                <w:color w:val="auto"/>
              </w:rPr>
            </w:pPr>
            <w:r>
              <w:rPr>
                <w:rFonts w:ascii="Arial" w:cs="Arial" w:eastAsia="Arial" w:hAnsi="Arial"/>
                <w:sz w:val="17"/>
                <w:szCs w:val="17"/>
                <w:color w:val="auto"/>
              </w:rPr>
              <w:t>Non-interest-bearing deposits</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1,076,358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861,864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liabilities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75,083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1300"/>
              <w:spacing w:after="0"/>
              <w:rPr>
                <w:sz w:val="20"/>
                <w:szCs w:val="20"/>
                <w:color w:val="auto"/>
              </w:rPr>
            </w:pPr>
            <w:r>
              <w:rPr>
                <w:rFonts w:ascii="Arial" w:cs="Arial" w:eastAsia="Arial" w:hAnsi="Arial"/>
                <w:sz w:val="17"/>
                <w:szCs w:val="17"/>
                <w:color w:val="auto"/>
              </w:rPr>
              <w:t>Total liabilities</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6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6,439,406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6,846,698</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579,671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524,388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1300"/>
              <w:spacing w:after="0"/>
              <w:rPr>
                <w:sz w:val="20"/>
                <w:szCs w:val="20"/>
                <w:color w:val="auto"/>
              </w:rPr>
            </w:pPr>
            <w:r>
              <w:rPr>
                <w:rFonts w:ascii="Arial" w:cs="Arial" w:eastAsia="Arial" w:hAnsi="Arial"/>
                <w:sz w:val="17"/>
                <w:szCs w:val="17"/>
                <w:b w:val="1"/>
                <w:bCs w:val="1"/>
                <w:color w:val="auto"/>
              </w:rPr>
              <w:t>Total liabilities and shareholders’ equity</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6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7,019,077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7,371,086</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interest revenue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$ 115,700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$ 115,338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7"/>
                <w:szCs w:val="17"/>
                <w:color w:val="auto"/>
              </w:rPr>
              <w:t>Net interest-rate spread</w:t>
            </w: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7"/>
                <w:szCs w:val="17"/>
                <w:color w:val="auto"/>
              </w:rPr>
              <w:t>3.31%</w:t>
            </w: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3.17%</w:t>
            </w:r>
          </w:p>
        </w:tc>
        <w:tc>
          <w:tcPr>
            <w:tcW w:w="0" w:type="dxa"/>
            <w:vAlign w:val="bottom"/>
          </w:tcPr>
          <w:p>
            <w:pPr>
              <w:spacing w:after="0" w:line="20" w:lineRule="exact"/>
              <w:rPr>
                <w:sz w:val="1"/>
                <w:szCs w:val="1"/>
                <w:color w:val="auto"/>
              </w:rPr>
            </w:pPr>
          </w:p>
        </w:tc>
      </w:tr>
      <w:tr>
        <w:trPr>
          <w:trHeight w:val="207"/>
        </w:trPr>
        <w:tc>
          <w:tcPr>
            <w:tcW w:w="59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 xml:space="preserve">Net interest margin </w:t>
            </w:r>
            <w:r>
              <w:rPr>
                <w:rFonts w:ascii="Arial" w:cs="Arial" w:eastAsia="Arial" w:hAnsi="Arial"/>
                <w:sz w:val="11"/>
                <w:szCs w:val="11"/>
                <w:color w:val="auto"/>
              </w:rPr>
              <w:t>(4)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3.48%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right="40" w:hanging="453"/>
        <w:spacing w:after="0" w:line="233"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460" w:hanging="453"/>
        <w:spacing w:after="0" w:line="223" w:lineRule="auto"/>
        <w:tabs>
          <w:tab w:leader="none" w:pos="46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7" w:lineRule="exact"/>
        <w:rPr>
          <w:rFonts w:ascii="Arial" w:cs="Arial" w:eastAsia="Arial" w:hAnsi="Arial"/>
          <w:sz w:val="20"/>
          <w:szCs w:val="20"/>
          <w:color w:val="auto"/>
          <w:vertAlign w:val="superscript"/>
        </w:rPr>
      </w:pPr>
    </w:p>
    <w:p>
      <w:pPr>
        <w:ind w:left="460" w:right="280" w:hanging="453"/>
        <w:spacing w:after="0" w:line="225"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Securities available for sale are shown at amortized cost. Pretax unrealized gains of $24.7 million in 2012 and $29.7 million in 2011 are included in other assets for purposes of this presentation.</w:t>
      </w:r>
    </w:p>
    <w:p>
      <w:pPr>
        <w:spacing w:after="0" w:line="1" w:lineRule="exact"/>
        <w:rPr>
          <w:rFonts w:ascii="Arial" w:cs="Arial" w:eastAsia="Arial" w:hAnsi="Arial"/>
          <w:sz w:val="22"/>
          <w:szCs w:val="22"/>
          <w:color w:val="auto"/>
          <w:vertAlign w:val="superscript"/>
        </w:rPr>
      </w:pPr>
    </w:p>
    <w:p>
      <w:pPr>
        <w:ind w:left="460" w:hanging="453"/>
        <w:spacing w:after="0" w:line="203"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Net interest margin is taxable equivalent net-interest revenue divided by average interest-earning assets.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5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99" w:lineRule="exact"/>
        <w:rPr>
          <w:sz w:val="20"/>
          <w:szCs w:val="20"/>
          <w:color w:val="auto"/>
        </w:rPr>
      </w:pPr>
    </w:p>
    <w:p>
      <w:pPr>
        <w:ind w:right="5380"/>
        <w:spacing w:after="0" w:line="302" w:lineRule="auto"/>
        <w:rPr>
          <w:sz w:val="20"/>
          <w:szCs w:val="20"/>
          <w:color w:val="auto"/>
        </w:rPr>
      </w:pPr>
      <w:r>
        <w:rPr>
          <w:rFonts w:ascii="Arial" w:cs="Arial" w:eastAsia="Arial" w:hAnsi="Arial"/>
          <w:sz w:val="17"/>
          <w:szCs w:val="17"/>
          <w:b w:val="1"/>
          <w:bCs w:val="1"/>
          <w:color w:val="auto"/>
        </w:rPr>
        <w:t xml:space="preserve">Table 4—Change in Interest Revenue and Expense on a Taxable Equivalent Basis </w:t>
      </w:r>
      <w:r>
        <w:rPr>
          <w:rFonts w:ascii="Arial" w:cs="Arial" w:eastAsia="Arial" w:hAnsi="Arial"/>
          <w:sz w:val="17"/>
          <w:szCs w:val="17"/>
          <w:i w:val="1"/>
          <w:iCs w:val="1"/>
          <w:color w:val="auto"/>
        </w:rPr>
        <w:t>(in thousands)</w:t>
      </w:r>
    </w:p>
    <w:p>
      <w:pPr>
        <w:sectPr>
          <w:pgSz w:w="11900" w:h="16838" w:orient="portrait"/>
          <w:cols w:equalWidth="0" w:num="1">
            <w:col w:w="11420"/>
          </w:cols>
          <w:pgMar w:left="240" w:top="457" w:right="239" w:bottom="1440" w:gutter="0" w:footer="0" w:header="0"/>
        </w:sectPr>
      </w:pPr>
    </w:p>
    <w:p>
      <w:pPr>
        <w:spacing w:after="0" w:line="139" w:lineRule="exact"/>
        <w:rPr>
          <w:sz w:val="20"/>
          <w:szCs w:val="20"/>
          <w:color w:val="auto"/>
        </w:rPr>
      </w:pPr>
    </w:p>
    <w:p>
      <w:pPr>
        <w:jc w:val="center"/>
        <w:ind w:left="6220"/>
        <w:spacing w:after="0"/>
        <w:rPr>
          <w:sz w:val="20"/>
          <w:szCs w:val="20"/>
          <w:color w:val="auto"/>
        </w:rPr>
      </w:pPr>
      <w:r>
        <w:rPr>
          <w:rFonts w:ascii="Arial" w:cs="Arial" w:eastAsia="Arial" w:hAnsi="Arial"/>
          <w:sz w:val="12"/>
          <w:szCs w:val="12"/>
          <w:b w:val="1"/>
          <w:bCs w:val="1"/>
          <w:color w:val="auto"/>
        </w:rPr>
        <w:t>Three Months Ended June 30, 2012</w:t>
      </w:r>
    </w:p>
    <w:p>
      <w:pPr>
        <w:spacing w:after="0" w:line="21" w:lineRule="exact"/>
        <w:rPr>
          <w:sz w:val="20"/>
          <w:szCs w:val="20"/>
          <w:color w:val="auto"/>
        </w:rPr>
      </w:pPr>
    </w:p>
    <w:p>
      <w:pPr>
        <w:jc w:val="center"/>
        <w:ind w:left="6220"/>
        <w:spacing w:after="0"/>
        <w:rPr>
          <w:sz w:val="20"/>
          <w:szCs w:val="20"/>
          <w:color w:val="auto"/>
        </w:rPr>
      </w:pPr>
      <w:r>
        <w:rPr>
          <w:rFonts w:ascii="Arial" w:cs="Arial" w:eastAsia="Arial" w:hAnsi="Arial"/>
          <w:sz w:val="13"/>
          <w:szCs w:val="13"/>
          <w:b w:val="1"/>
          <w:bCs w:val="1"/>
          <w:color w:val="auto"/>
        </w:rPr>
        <w:t>Compared to 2011</w:t>
      </w:r>
    </w:p>
    <w:p>
      <w:pPr>
        <w:jc w:val="center"/>
        <w:ind w:left="6220"/>
        <w:spacing w:after="0" w:line="236" w:lineRule="auto"/>
        <w:rPr>
          <w:sz w:val="20"/>
          <w:szCs w:val="20"/>
          <w:color w:val="auto"/>
        </w:rPr>
      </w:pPr>
      <w:r>
        <w:rPr>
          <w:rFonts w:ascii="Arial" w:cs="Arial" w:eastAsia="Arial" w:hAnsi="Arial"/>
          <w:sz w:val="13"/>
          <w:szCs w:val="13"/>
          <w:b w:val="1"/>
          <w:bCs w:val="1"/>
          <w:color w:val="auto"/>
        </w:rPr>
        <w:t>Increase (decrease)</w:t>
      </w:r>
    </w:p>
    <w:p>
      <w:pPr>
        <w:jc w:val="center"/>
        <w:ind w:left="6220"/>
        <w:spacing w:after="0" w:line="235" w:lineRule="auto"/>
        <w:rPr>
          <w:sz w:val="20"/>
          <w:szCs w:val="20"/>
          <w:color w:val="auto"/>
        </w:rPr>
      </w:pPr>
      <w:r>
        <w:rPr>
          <w:rFonts w:ascii="Arial" w:cs="Arial" w:eastAsia="Arial" w:hAnsi="Arial"/>
          <w:sz w:val="13"/>
          <w:szCs w:val="13"/>
          <w:b w:val="1"/>
          <w:bCs w:val="1"/>
          <w:color w:val="auto"/>
        </w:rPr>
        <w:t>Due to Changes in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420"/>
        <w:spacing w:after="0" w:line="242" w:lineRule="auto"/>
        <w:rPr>
          <w:sz w:val="20"/>
          <w:szCs w:val="20"/>
          <w:color w:val="auto"/>
        </w:rPr>
      </w:pPr>
      <w:r>
        <w:rPr>
          <w:rFonts w:ascii="Arial" w:cs="Arial" w:eastAsia="Arial" w:hAnsi="Arial"/>
          <w:sz w:val="13"/>
          <w:szCs w:val="13"/>
          <w:b w:val="1"/>
          <w:bCs w:val="1"/>
          <w:color w:val="auto"/>
        </w:rPr>
        <w:t>Six Months Ended June 30, 2012 Compared to 2011 Increase (decrease) Due to Changes in</w:t>
      </w:r>
    </w:p>
    <w:p>
      <w:pPr>
        <w:spacing w:after="0" w:line="1" w:lineRule="exact"/>
        <w:rPr>
          <w:sz w:val="20"/>
          <w:szCs w:val="20"/>
          <w:color w:val="auto"/>
        </w:rPr>
      </w:pPr>
    </w:p>
    <w:p>
      <w:pPr>
        <w:sectPr>
          <w:pgSz w:w="11900" w:h="16838" w:orient="portrait"/>
          <w:cols w:equalWidth="0" w:num="2">
            <w:col w:w="8420" w:space="720"/>
            <w:col w:w="2280"/>
          </w:cols>
          <w:pgMar w:left="240" w:top="457" w:right="23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612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b w:val="1"/>
                <w:bCs w:val="1"/>
                <w:color w:val="auto"/>
              </w:rPr>
              <w:t>Volume</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40"/>
              <w:spacing w:after="0" w:line="140" w:lineRule="exact"/>
              <w:rPr>
                <w:sz w:val="20"/>
                <w:szCs w:val="20"/>
                <w:color w:val="auto"/>
              </w:rPr>
            </w:pPr>
            <w:r>
              <w:rPr>
                <w:rFonts w:ascii="Arial" w:cs="Arial" w:eastAsia="Arial" w:hAnsi="Arial"/>
                <w:sz w:val="13"/>
                <w:szCs w:val="13"/>
                <w:b w:val="1"/>
                <w:bCs w:val="1"/>
                <w:color w:val="auto"/>
              </w:rPr>
              <w:t>Rate</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0" w:lineRule="exact"/>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80"/>
              <w:spacing w:after="0" w:line="140" w:lineRule="exact"/>
              <w:rPr>
                <w:sz w:val="20"/>
                <w:szCs w:val="20"/>
                <w:color w:val="auto"/>
              </w:rPr>
            </w:pPr>
            <w:r>
              <w:rPr>
                <w:rFonts w:ascii="Arial" w:cs="Arial" w:eastAsia="Arial" w:hAnsi="Arial"/>
                <w:sz w:val="13"/>
                <w:szCs w:val="13"/>
                <w:b w:val="1"/>
                <w:bCs w:val="1"/>
                <w:color w:val="auto"/>
                <w:w w:val="97"/>
              </w:rPr>
              <w:t>Volume</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80"/>
              <w:spacing w:after="0" w:line="140" w:lineRule="exact"/>
              <w:rPr>
                <w:sz w:val="20"/>
                <w:szCs w:val="20"/>
                <w:color w:val="auto"/>
              </w:rPr>
            </w:pPr>
            <w:r>
              <w:rPr>
                <w:rFonts w:ascii="Arial" w:cs="Arial" w:eastAsia="Arial" w:hAnsi="Arial"/>
                <w:sz w:val="13"/>
                <w:szCs w:val="13"/>
                <w:b w:val="1"/>
                <w:bCs w:val="1"/>
                <w:color w:val="auto"/>
              </w:rPr>
              <w:t>Rate</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0"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1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Interest-earning assets:</w:t>
            </w: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7"/>
                <w:szCs w:val="17"/>
                <w:color w:val="auto"/>
              </w:rPr>
              <w:t>Loans</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$(1,549)</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 (5,113)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(6,662)</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$(7,247)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(4,643)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(11,890)</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Taxable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(3,741)</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4,101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(4,332)</w:t>
            </w: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7"/>
                <w:szCs w:val="17"/>
                <w:color w:val="auto"/>
              </w:rPr>
              <w:t>Tax-exempt securities</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Federal funds sold and other interest-earning assets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Total interest-earning assets</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2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(1,552)</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(8,599)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(10,151)</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(4,303)</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(11,592)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(15,895)</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Interest-bearing liabilities:</w:t>
            </w: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7"/>
                <w:szCs w:val="17"/>
                <w:color w:val="auto"/>
              </w:rPr>
              <w:t>NOW accounts</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(533)</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(1,267)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(1,220)</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Money market accounts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(838)</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475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(2,225)</w:t>
            </w: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7"/>
                <w:szCs w:val="17"/>
                <w:color w:val="auto"/>
              </w:rPr>
              <w:t>Savings deposits</w:t>
            </w:r>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(26)</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Time deposits less than $100,000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(999)</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(2,470)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(4,895)</w:t>
            </w: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7"/>
                <w:szCs w:val="17"/>
                <w:color w:val="auto"/>
              </w:rPr>
              <w:t>Time deposits greater than $100,000</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(718)</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(1,092)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(1,810)</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(3,546)</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Brokered deposits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(1,167)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(1,642)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(3,054)</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7"/>
                <w:szCs w:val="17"/>
                <w:color w:val="auto"/>
              </w:rPr>
              <w:t>Total interest-bearing deposits</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2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(2,696)</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(4,623)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(7,319)</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(5,989)</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(15,006)</w:t>
            </w:r>
          </w:p>
        </w:tc>
        <w:tc>
          <w:tcPr>
            <w:tcW w:w="0" w:type="dxa"/>
            <w:vAlign w:val="bottom"/>
          </w:tcPr>
          <w:p>
            <w:pPr>
              <w:spacing w:after="0"/>
              <w:rPr>
                <w:sz w:val="1"/>
                <w:szCs w:val="1"/>
                <w:color w:val="auto"/>
              </w:rPr>
            </w:pPr>
          </w:p>
        </w:tc>
      </w:tr>
      <w:tr>
        <w:trPr>
          <w:trHeight w:val="28"/>
        </w:trPr>
        <w:tc>
          <w:tcPr>
            <w:tcW w:w="6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Federal funds purchased &amp; other borrowings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Arial" w:cs="Arial" w:eastAsia="Arial" w:hAnsi="Arial"/>
                <w:sz w:val="17"/>
                <w:szCs w:val="17"/>
                <w:color w:val="auto"/>
              </w:rPr>
              <w:t>Federal Home Loan Bank advances</w:t>
            </w:r>
          </w:p>
        </w:tc>
        <w:tc>
          <w:tcPr>
            <w:tcW w:w="560" w:type="dxa"/>
            <w:vAlign w:val="bottom"/>
          </w:tcPr>
          <w:p>
            <w:pPr>
              <w:jc w:val="right"/>
              <w:spacing w:after="0"/>
              <w:rPr>
                <w:sz w:val="20"/>
                <w:szCs w:val="20"/>
                <w:color w:val="auto"/>
              </w:rPr>
            </w:pPr>
            <w:r>
              <w:rPr>
                <w:rFonts w:ascii="Arial" w:cs="Arial" w:eastAsia="Arial" w:hAnsi="Arial"/>
                <w:sz w:val="17"/>
                <w:szCs w:val="17"/>
                <w:color w:val="auto"/>
              </w:rPr>
              <w:t>675</w:t>
            </w:r>
          </w:p>
        </w:tc>
        <w:tc>
          <w:tcPr>
            <w:tcW w:w="1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(180)</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1,227</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7"/>
                <w:szCs w:val="17"/>
                <w:color w:val="auto"/>
              </w:rPr>
              <w:t>Total borrowed funds</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(722)</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(1,268)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(1,251)</w:t>
            </w:r>
          </w:p>
        </w:tc>
        <w:tc>
          <w:tcPr>
            <w:tcW w:w="0" w:type="dxa"/>
            <w:vAlign w:val="bottom"/>
          </w:tcPr>
          <w:p>
            <w:pPr>
              <w:spacing w:after="0"/>
              <w:rPr>
                <w:sz w:val="1"/>
                <w:szCs w:val="1"/>
                <w:color w:val="auto"/>
              </w:rPr>
            </w:pPr>
          </w:p>
        </w:tc>
      </w:tr>
      <w:tr>
        <w:trPr>
          <w:trHeight w:val="28"/>
        </w:trPr>
        <w:tc>
          <w:tcPr>
            <w:tcW w:w="6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120" w:type="dxa"/>
            <w:vAlign w:val="bottom"/>
            <w:shd w:val="clear" w:color="auto" w:fill="CCEEFF"/>
          </w:tcPr>
          <w:p>
            <w:pPr>
              <w:ind w:left="860"/>
              <w:spacing w:after="0"/>
              <w:rPr>
                <w:sz w:val="20"/>
                <w:szCs w:val="20"/>
                <w:color w:val="auto"/>
              </w:rPr>
            </w:pPr>
            <w:r>
              <w:rPr>
                <w:rFonts w:ascii="Arial" w:cs="Arial" w:eastAsia="Arial" w:hAnsi="Arial"/>
                <w:sz w:val="17"/>
                <w:szCs w:val="17"/>
                <w:b w:val="1"/>
                <w:bCs w:val="1"/>
                <w:color w:val="auto"/>
              </w:rPr>
              <w:t>Total interest-bearing liabilities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(2,660)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(5,381)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(8,041)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(5,972)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(10,285)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(16,257)</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1300"/>
              <w:spacing w:after="0"/>
              <w:rPr>
                <w:sz w:val="20"/>
                <w:szCs w:val="20"/>
                <w:color w:val="auto"/>
              </w:rPr>
            </w:pPr>
            <w:r>
              <w:rPr>
                <w:rFonts w:ascii="Arial" w:cs="Arial" w:eastAsia="Arial" w:hAnsi="Arial"/>
                <w:sz w:val="17"/>
                <w:szCs w:val="17"/>
                <w:b w:val="1"/>
                <w:bCs w:val="1"/>
                <w:color w:val="auto"/>
              </w:rPr>
              <w:t>Increase (decrease) in net interest revenue</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5"/>
              </w:rPr>
              <w:t>$ 1,108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(3,218)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(2,110)</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$ 1,669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(1,307)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Loan Losses</w:t>
      </w:r>
    </w:p>
    <w:p>
      <w:pPr>
        <w:spacing w:after="0" w:line="9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provision for loan losses is based on management’s evaluation of losses inherent in the loan portfolio and corresponding analysis of the allowance for loan losses at quarter-end. The provision for loan losses was $18.0 million and $33 million for the second quarter and the first six months of 2012, respectively, compared to $11.0 million and $201 million for the same periods in 2011. The amount of provision recorded in each period was the amount required such that the total allowance for loan losses reflected the appropriate balance, in the estimation of management, and was sufficient to cover inherent losses in the loan portfolio. For the three and six months ended June 30, 2012, net loan charge-offs as an annualized percentage of average outstanding loans were 1.85% and 1.70%, compared to 1.58% and 11.46%, respectively, for the same periods in 2011.</w:t>
      </w:r>
    </w:p>
    <w:p>
      <w:pPr>
        <w:spacing w:after="0" w:line="13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the residential construction and housing markets have struggled, it has been difficult for many builders and developers to produce cash flow needed to service debt from selling lots and houses. This deterioration of the residential construction and housing market was the primary factor that resulted in higher credit losses and increases in non-performing assets over the last four years. Although a majority of the charge-offs have been within the residential construction and development portion of the portfolio, credit quality deterioration migrated to other loan categories as pressure resulting from economic conditions has persisted and unemployment levels have remained high throughout United’s markets. Additional discussion on credit quality and the allowance for loan losses is included in the Asset Quality and Risk Elements section of this report on page 42.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7"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 Revenue</w:t>
      </w:r>
    </w:p>
    <w:p>
      <w:pPr>
        <w:spacing w:after="0" w:line="99"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Operating fee revenue for the three and six months ended June 30, 2012 was $12.9 million and $28.2 million, respectively, a decrease of $1.04 million, or 7%, compared to second quarter of 2011, and an increase of $2.50 million, or 10%, from the year-to-date period of 2011. The following table presents the components of fee revenue for the second quarters and first six months of 2012 and 2011.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5—Fee Revenue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4"/>
              </w:rPr>
              <w:t>Three Months Ended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4"/>
          </w:tcPr>
          <w:p>
            <w:pPr>
              <w:ind w:left="3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1"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1" w:lineRule="exact"/>
              <w:rPr>
                <w:sz w:val="20"/>
                <w:szCs w:val="20"/>
                <w:color w:val="auto"/>
              </w:rPr>
            </w:pPr>
            <w:r>
              <w:rPr>
                <w:rFonts w:ascii="Arial" w:cs="Arial" w:eastAsia="Arial" w:hAnsi="Arial"/>
                <w:sz w:val="13"/>
                <w:szCs w:val="13"/>
                <w:b w:val="1"/>
                <w:bCs w:val="1"/>
                <w:color w:val="auto"/>
              </w:rPr>
              <w:t>2011</w:t>
            </w:r>
          </w:p>
        </w:tc>
        <w:tc>
          <w:tcPr>
            <w:tcW w:w="28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320"/>
              <w:spacing w:after="0" w:line="141" w:lineRule="exact"/>
              <w:rPr>
                <w:sz w:val="20"/>
                <w:szCs w:val="20"/>
                <w:color w:val="auto"/>
              </w:rPr>
            </w:pPr>
            <w:r>
              <w:rPr>
                <w:rFonts w:ascii="Arial" w:cs="Arial" w:eastAsia="Arial" w:hAnsi="Arial"/>
                <w:sz w:val="13"/>
                <w:szCs w:val="13"/>
                <w:b w:val="1"/>
                <w:bCs w:val="1"/>
                <w:color w:val="auto"/>
              </w:rPr>
              <w:t>Amount</w:t>
            </w:r>
          </w:p>
        </w:tc>
        <w:tc>
          <w:tcPr>
            <w:tcW w:w="4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w w:val="87"/>
              </w:rPr>
              <w:t>Percent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1"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1"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gridSpan w:val="3"/>
          </w:tcPr>
          <w:p>
            <w:pPr>
              <w:jc w:val="right"/>
              <w:ind w:right="340"/>
              <w:spacing w:after="0" w:line="141" w:lineRule="exact"/>
              <w:rPr>
                <w:sz w:val="20"/>
                <w:szCs w:val="20"/>
                <w:color w:val="auto"/>
              </w:rPr>
            </w:pPr>
            <w:r>
              <w:rPr>
                <w:rFonts w:ascii="Arial" w:cs="Arial" w:eastAsia="Arial" w:hAnsi="Arial"/>
                <w:sz w:val="13"/>
                <w:szCs w:val="13"/>
                <w:b w:val="1"/>
                <w:bCs w:val="1"/>
                <w:color w:val="auto"/>
              </w:rPr>
              <w:t>Amount</w:t>
            </w:r>
          </w:p>
        </w:tc>
        <w:tc>
          <w:tcPr>
            <w:tcW w:w="4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w w:val="87"/>
              </w:rPr>
              <w:t>Percent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Overdraft fees</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3,232</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tcPr>
          <w:p>
            <w:pPr>
              <w:spacing w:after="0"/>
              <w:rPr>
                <w:sz w:val="20"/>
                <w:szCs w:val="20"/>
                <w:color w:val="auto"/>
              </w:rPr>
            </w:pPr>
            <w:r>
              <w:rPr>
                <w:rFonts w:ascii="Arial" w:cs="Arial" w:eastAsia="Arial" w:hAnsi="Arial"/>
                <w:sz w:val="17"/>
                <w:szCs w:val="17"/>
                <w:color w:val="auto"/>
              </w:rPr>
              <w:t>Debit card fees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3,242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3,279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(37)</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6,344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535</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Other service charges and fees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440"/>
              <w:spacing w:after="0"/>
              <w:rPr>
                <w:sz w:val="20"/>
                <w:szCs w:val="20"/>
                <w:color w:val="auto"/>
              </w:rPr>
            </w:pPr>
            <w:r>
              <w:rPr>
                <w:rFonts w:ascii="Arial" w:cs="Arial" w:eastAsia="Arial" w:hAnsi="Arial"/>
                <w:sz w:val="17"/>
                <w:szCs w:val="17"/>
                <w:color w:val="auto"/>
              </w:rPr>
              <w:t>Service charges and fees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7,816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7,608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208</w:t>
            </w:r>
          </w:p>
        </w:tc>
        <w:tc>
          <w:tcPr>
            <w:tcW w:w="28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15,599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14,328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1,271</w:t>
            </w:r>
          </w:p>
        </w:tc>
        <w:tc>
          <w:tcPr>
            <w:tcW w:w="3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Mortgage loan and related fees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1,370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tcPr>
          <w:p>
            <w:pPr>
              <w:spacing w:after="0"/>
              <w:rPr>
                <w:sz w:val="20"/>
                <w:szCs w:val="20"/>
                <w:color w:val="auto"/>
              </w:rPr>
            </w:pPr>
            <w:r>
              <w:rPr>
                <w:rFonts w:ascii="Arial" w:cs="Arial" w:eastAsia="Arial" w:hAnsi="Arial"/>
                <w:sz w:val="17"/>
                <w:szCs w:val="17"/>
                <w:color w:val="auto"/>
              </w:rPr>
              <w:t>Brokerage fees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118</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1,622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254</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Securities gains,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5,707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tcPr>
          <w:p>
            <w:pPr>
              <w:spacing w:after="0"/>
              <w:rPr>
                <w:sz w:val="20"/>
                <w:szCs w:val="20"/>
                <w:color w:val="auto"/>
              </w:rPr>
            </w:pPr>
            <w:r>
              <w:rPr>
                <w:rFonts w:ascii="Arial" w:cs="Arial" w:eastAsia="Arial" w:hAnsi="Arial"/>
                <w:sz w:val="17"/>
                <w:szCs w:val="17"/>
                <w:color w:val="auto"/>
              </w:rPr>
              <w:t>Losses from prepayment of debt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(6,199)</w:t>
            </w: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w w:val="92"/>
              </w:rPr>
              <w:t>(5,408)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(6,681)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2"/>
              </w:rPr>
              <w:t>(5,890)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Hedge ineffectiveness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2"/>
              </w:rPr>
              <w:t>(2,989)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2"/>
              </w:rPr>
              <w:t>(4,177)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tcPr>
          <w:p>
            <w:pPr>
              <w:spacing w:after="0"/>
              <w:rPr>
                <w:sz w:val="20"/>
                <w:szCs w:val="20"/>
                <w:color w:val="auto"/>
              </w:rPr>
            </w:pPr>
            <w:r>
              <w:rPr>
                <w:rFonts w:ascii="Arial" w:cs="Arial" w:eastAsia="Arial" w:hAnsi="Arial"/>
                <w:sz w:val="17"/>
                <w:szCs w:val="17"/>
                <w:color w:val="auto"/>
              </w:rPr>
              <w:t>Other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1,853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(44)</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6,303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2,861</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6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fee revenue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12,867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13,905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2"/>
              </w:rPr>
              <w:t>(1,038)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28,246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25,743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Service charges and fees of $7.82 million were up $208,000, or 3%, from the second quarter of 2011. For the first six months of 2012, service charges and fees of $15.6 million were up $1.27 million, or 9%, from the same period in 2011. The increase was primarily due to new charges on deposit accounts that more than offset a decline in overdraft fees resulting from decreased utilization of our courtesy overdraft services.</w:t>
      </w:r>
    </w:p>
    <w:p>
      <w:pPr>
        <w:spacing w:after="0" w:line="125"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Mortgage loans and related fees for the second quarter and first six months of 2012 were up $1.37 million, or 144%, and $1.98 million, or 81%, respectively, from the same periods in 2011. In the second quarter of 2012, United closed 507 loans totaling $79.8 million compared with 349 loans totaling $50.5 million in the second quarter of 2011. Origination volumes were driven by the changing interest rate environment which had a significant impact on refinancing activity. Year-to-date mortgage production in 2012 amounted to 1,024 loans totaling $161 million, compared to 830 loans totaling $125 million for the same period in 2011.</w:t>
      </w:r>
    </w:p>
    <w:p>
      <w:pPr>
        <w:spacing w:after="0" w:line="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United recognized net securities gains of $6.49 million and $7.05 million for the three and six months ended June 30, 2012. Net securities gains totaled $783,000 in the second quarter of 2011 and $838,000 for the first six months of 2011. United also recognized charges from the prepayment of Federal Home Loan Bank advances and structured repurchase agreements in the second quarter and first six months of 2012 and 2011. The losses were part of the same balance sheet management activities that resulted in the securities gains. The balance sheet management activities included the sale of $175 million in securities and the prepayment of $75 million in fixed rate borrowings, the effect of which was to reduce sensitivity to rising interest rates and improve the net interest margin. The securities gains and prepayment losses were mostly offsetting and had little net impact on financial results in the periods incurred.</w:t>
      </w:r>
    </w:p>
    <w:p>
      <w:pPr>
        <w:spacing w:after="0" w:line="11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second quarter of 2012, United recognized $180,000 in losses from hedge ineffectiveness compared with $2.81 million in gains from hedge ineffectiveness in the second quarter of 2011. For the first six months of 2012, United recognized $65,000 in losses from hedge ineffectiveness compared with $4.11 million in gains for the same period of 2011. Much of the hedge ineffectiveness relates to terminated cash flow hedges where the gains realized on the terminated positions are being deferred over the original term of the derivative instrument. The ineffectiveness, which is caused by a decrease in qualifying prime-based loans, results in the accelerated recognition of the deferred gains. In 2012, a portion of the hedge ineffectiveness gains and losses resulted from ineffectiveness on fair value hedges of brokered deposits. The second quarter of 2012 included $223,000 in hedge ineffectiveness losses on fair value hedges. The first six months of 2012 included $189,000 of net hedge ineffectiveness losses on fair value hedges of brokered deposits.</w:t>
      </w:r>
    </w:p>
    <w:p>
      <w:pPr>
        <w:spacing w:after="0" w:line="121"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Other fee revenue of $1.81 million for the second quarter of 2012 was down $44,000, or 2%. For the first six months of 2012, other fee revenue of $6.30 million was up 2.86 million, or 83%, from the same period in 2011. The first quarter of 2012 included $1.1 million in interest received for 2008’s federal tax refund and $728,000 in gains from the sale of low income housing tax credits.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operating expenses for the three and six months ended June 30, 2012 and 2011.</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6—Operating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4"/>
              </w:rPr>
              <w:t>Six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June 30,</w:t>
            </w:r>
          </w:p>
        </w:tc>
        <w:tc>
          <w:tcPr>
            <w:tcW w:w="158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Change</w:t>
            </w:r>
          </w:p>
        </w:tc>
        <w:tc>
          <w:tcPr>
            <w:tcW w:w="168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2"/>
              </w:rPr>
              <w:t>June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Change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1"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1" w:lineRule="exact"/>
              <w:rPr>
                <w:sz w:val="20"/>
                <w:szCs w:val="20"/>
                <w:color w:val="auto"/>
              </w:rPr>
            </w:pPr>
            <w:r>
              <w:rPr>
                <w:rFonts w:ascii="Arial" w:cs="Arial" w:eastAsia="Arial" w:hAnsi="Arial"/>
                <w:sz w:val="13"/>
                <w:szCs w:val="13"/>
                <w:b w:val="1"/>
                <w:bCs w:val="1"/>
                <w:color w:val="auto"/>
              </w:rPr>
              <w:t>2011</w:t>
            </w:r>
          </w:p>
        </w:tc>
        <w:tc>
          <w:tcPr>
            <w:tcW w:w="3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w w:val="97"/>
              </w:rPr>
              <w:t>Amount</w:t>
            </w:r>
          </w:p>
        </w:tc>
        <w:tc>
          <w:tcPr>
            <w:tcW w:w="3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w w:val="87"/>
              </w:rPr>
              <w:t>Percent</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1"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
              <w:spacing w:after="0" w:line="141" w:lineRule="exact"/>
              <w:rPr>
                <w:sz w:val="20"/>
                <w:szCs w:val="20"/>
                <w:color w:val="auto"/>
              </w:rPr>
            </w:pPr>
            <w:r>
              <w:rPr>
                <w:rFonts w:ascii="Arial" w:cs="Arial" w:eastAsia="Arial" w:hAnsi="Arial"/>
                <w:sz w:val="13"/>
                <w:szCs w:val="13"/>
                <w:b w:val="1"/>
                <w:bCs w:val="1"/>
                <w:color w:val="auto"/>
                <w:w w:val="89"/>
              </w:rPr>
              <w:t>Amount</w:t>
            </w:r>
          </w:p>
        </w:tc>
        <w:tc>
          <w:tcPr>
            <w:tcW w:w="3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1" w:lineRule="exact"/>
              <w:rPr>
                <w:sz w:val="20"/>
                <w:szCs w:val="20"/>
                <w:color w:val="auto"/>
              </w:rPr>
            </w:pPr>
            <w:r>
              <w:rPr>
                <w:rFonts w:ascii="Arial" w:cs="Arial" w:eastAsia="Arial" w:hAnsi="Arial"/>
                <w:sz w:val="13"/>
                <w:szCs w:val="13"/>
                <w:b w:val="1"/>
                <w:bCs w:val="1"/>
                <w:color w:val="auto"/>
                <w:w w:val="87"/>
              </w:rPr>
              <w:t>Percent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Salaries and employee benefits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$24,297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$26,436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$(2,139)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$49,522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20"/>
                <w:szCs w:val="20"/>
                <w:color w:val="auto"/>
              </w:rPr>
            </w:pPr>
            <w:r>
              <w:rPr>
                <w:rFonts w:ascii="Arial" w:cs="Arial" w:eastAsia="Arial" w:hAnsi="Arial"/>
                <w:sz w:val="17"/>
                <w:szCs w:val="17"/>
                <w:color w:val="auto"/>
              </w:rPr>
              <w:t>Communications and equipment</w:t>
            </w: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3,211</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3,378</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(167)</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6,366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6,722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(356)</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Occupancy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3,539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(569)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20"/>
                <w:szCs w:val="20"/>
                <w:color w:val="auto"/>
              </w:rPr>
            </w:pPr>
            <w:r>
              <w:rPr>
                <w:rFonts w:ascii="Arial" w:cs="Arial" w:eastAsia="Arial" w:hAnsi="Arial"/>
                <w:sz w:val="17"/>
                <w:szCs w:val="17"/>
                <w:color w:val="auto"/>
              </w:rPr>
              <w:t>Advertising and public relations</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1,088</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1,317</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(229)</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(17)</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1,934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(361)</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Postage, printing and supplies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20"/>
                <w:szCs w:val="20"/>
                <w:color w:val="auto"/>
              </w:rPr>
            </w:pPr>
            <w:r>
              <w:rPr>
                <w:rFonts w:ascii="Arial" w:cs="Arial" w:eastAsia="Arial" w:hAnsi="Arial"/>
                <w:sz w:val="17"/>
                <w:szCs w:val="17"/>
                <w:color w:val="auto"/>
              </w:rPr>
              <w:t>Professional fees</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1,952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2,350</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(398)</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(17)</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3,927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5,680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(1,753)</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FDIC assessments and other regulatory charges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3,644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(1,099)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(4,002)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20"/>
                <w:szCs w:val="20"/>
                <w:color w:val="auto"/>
              </w:rPr>
            </w:pPr>
            <w:r>
              <w:rPr>
                <w:rFonts w:ascii="Arial" w:cs="Arial" w:eastAsia="Arial" w:hAnsi="Arial"/>
                <w:sz w:val="17"/>
                <w:szCs w:val="17"/>
                <w:color w:val="auto"/>
              </w:rPr>
              <w:t>Amortization of intangibles</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730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760</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(30)</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1,522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(60)</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(2,373)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40"/>
              <w:spacing w:after="0"/>
              <w:rPr>
                <w:sz w:val="20"/>
                <w:szCs w:val="20"/>
                <w:color w:val="auto"/>
              </w:rPr>
            </w:pPr>
            <w:r>
              <w:rPr>
                <w:rFonts w:ascii="Arial" w:cs="Arial" w:eastAsia="Arial" w:hAnsi="Arial"/>
                <w:sz w:val="17"/>
                <w:szCs w:val="17"/>
                <w:color w:val="auto"/>
              </w:rPr>
              <w:t>Total excluding foreclosed property expenses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(9)</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line="20" w:lineRule="exact"/>
              <w:rPr>
                <w:sz w:val="1"/>
                <w:szCs w:val="1"/>
                <w:color w:val="auto"/>
              </w:rPr>
            </w:pPr>
          </w:p>
        </w:tc>
      </w:tr>
      <w:tr>
        <w:trPr>
          <w:trHeight w:val="220"/>
        </w:trPr>
        <w:tc>
          <w:tcPr>
            <w:tcW w:w="4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46,837</w:t>
            </w:r>
          </w:p>
        </w:tc>
        <w:tc>
          <w:tcPr>
            <w:tcW w:w="3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(4,378)</w:t>
            </w:r>
          </w:p>
        </w:tc>
        <w:tc>
          <w:tcPr>
            <w:tcW w:w="740" w:type="dxa"/>
            <w:vAlign w:val="bottom"/>
            <w:gridSpan w:val="2"/>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85,589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97,209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(11,620)</w:t>
            </w: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Net (gains) losses on sales of foreclosed properties</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(269)</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(3,218)</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(8,978)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80" w:type="dxa"/>
            <w:vAlign w:val="bottom"/>
          </w:tcPr>
          <w:p>
            <w:pPr>
              <w:spacing w:after="0"/>
              <w:rPr>
                <w:sz w:val="20"/>
                <w:szCs w:val="20"/>
                <w:color w:val="auto"/>
              </w:rPr>
            </w:pPr>
            <w:r>
              <w:rPr>
                <w:rFonts w:ascii="Arial" w:cs="Arial" w:eastAsia="Arial" w:hAnsi="Arial"/>
                <w:sz w:val="17"/>
                <w:szCs w:val="17"/>
                <w:color w:val="auto"/>
              </w:rPr>
              <w:t>Foreclosed property write downs</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1,008</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3,118</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(2,110)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51,703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(48,584)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Foreclosed property maintenance expenses</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(879)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(3,552)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40"/>
              <w:spacing w:after="0"/>
              <w:rPr>
                <w:sz w:val="20"/>
                <w:szCs w:val="20"/>
                <w:color w:val="auto"/>
              </w:rPr>
            </w:pPr>
            <w:r>
              <w:rPr>
                <w:rFonts w:ascii="Arial" w:cs="Arial" w:eastAsia="Arial" w:hAnsi="Arial"/>
                <w:sz w:val="17"/>
                <w:szCs w:val="17"/>
                <w:color w:val="auto"/>
              </w:rPr>
              <w:t>Total operating expenses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(9)</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line="20" w:lineRule="exact"/>
              <w:rPr>
                <w:sz w:val="1"/>
                <w:szCs w:val="1"/>
                <w:color w:val="auto"/>
              </w:rPr>
            </w:pPr>
          </w:p>
        </w:tc>
      </w:tr>
      <w:tr>
        <w:trPr>
          <w:trHeight w:val="220"/>
        </w:trPr>
        <w:tc>
          <w:tcPr>
            <w:tcW w:w="478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44,310</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48,728</w:t>
            </w:r>
          </w:p>
        </w:tc>
        <w:tc>
          <w:tcPr>
            <w:tcW w:w="3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(4,418)</w:t>
            </w:r>
          </w:p>
        </w:tc>
        <w:tc>
          <w:tcPr>
            <w:tcW w:w="740" w:type="dxa"/>
            <w:vAlign w:val="bottom"/>
            <w:gridSpan w:val="2"/>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91,265</w:t>
            </w: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163,999</w:t>
            </w: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(72,734)</w:t>
            </w: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Operating expenses for the second quarter of 2012 totaled $44.3 million, down $4.42 million, or 9%, from the second quarter of 2011. For the six months ended June 30, 2012, operating expenses totaled $91.3 million, down $72.7 million, or 44%, from the same period in 2011. Higher foreclosed property losses incurred in connection with United’s Problem Asset Disposition Plan were reflected in the six months ended June 30, 2011. Excluding foreclosed property costs, total operating expenses were $42.5 million and $85.6 million for the three and six months ended June 30, 2012, down $4.38 million, or 9%, from the second quarter of 2011 and down $11.6 million, or 12%, from a year ago. Decreases in operating expenses occurred in nearly every category reflecting management’s focused efforts in reducing costs and improving operating efficiency.</w:t>
      </w:r>
    </w:p>
    <w:p>
      <w:pPr>
        <w:spacing w:after="0" w:line="13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Salaries and employee benefits for the second quarter of 2012 were $24.3 million, down $2.14 million, or 8%, from the same period of 2011. For the first six months of 2012, salaries and employee benefits of $49.5 million were down $1.84 million, or 4%, from the first six months of 2011. The decrease was due to a combination of reduced staffing, lower group medical insurance costs and a 50% reduction in the matching contribution on United’s 401(k) and profit sharing plan that became effective on April 1, 2012. Headcount totaled 1,614 at June 30, 2012, compared to 1,767 at June 30, 2011.</w:t>
      </w:r>
    </w:p>
    <w:p>
      <w:pPr>
        <w:spacing w:after="0" w:line="114"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Occupancy expense of $3.53 million and $7.31 million, respectively, for the second quarter and first six months of 2012 was down $266,000, or 7%, and down $569,000, or 7%, respectively, compared to the same periods of 2011. The decrease was across all subcategories of occupancy expense including building maintenance, insurance and depreciation.</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Advertising and public relations expense for the second quarter of 2012 totaled $1.09 million, down $229,000, or 17%, from the second quarter of 2011. For the six months ended June 30, 2012 and 2011, advertising and public relations expense totaled $1.93 million and $2.30 million, respectively. The decrease for both periods is due to efforts to reduce discretionary spending.</w:t>
      </w:r>
    </w:p>
    <w:p>
      <w:pPr>
        <w:spacing w:after="0" w:line="125"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Postage, printing and supplies expense for the second quarter of 2012 totaled $916,000, down $169,000, or 16%, from the same period of 2011. For the six months ended June 30, 2012 and 2011, postage, printing and supplies expense totaled $1.90 million and $2.20 million, respectively. The decrease was primarily due to lower office supplies and outside courier expenses.</w:t>
      </w:r>
    </w:p>
    <w:p>
      <w:pPr>
        <w:spacing w:after="0" w:line="12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Professional fees for the second quarter of 2012 of $1.95 million were down $398,000, or 17%, from the same period in 2011. For the six months ended June 30, 2012 professional fees of $3.93 million were down $1.75 million, or 31%, primarily due to professional service costs associated with the Bulk Loan Sale that were incurred in the first quarter of 2011.</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FDIC assessments and other regulatory charges of $2.55 million and $5.06 million for the second quarter and first six months of 2012, decreased $1.10 million, or 30%, from the second quarter of 2011 and decreased $4.00 million, or 44%, compared to the first six months of 2011. The FDIC’s change to an asset based formula effective April 1, 2011 was more favorable to United and lowered United’s assessment. United’s assessment rate was reduced further late in the second quarter of 2011.</w:t>
      </w:r>
    </w:p>
    <w:p>
      <w:pPr>
        <w:spacing w:after="0" w:line="129"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Other expense of $4.18 million for the second quarter of 2012 increased $119,000 from the second quarter of 2011. Year-to-date, other expense of $8.12 million decreased $2.37 million from the first six months of 2011. The year-to-date decrease was primarily due to $2.60 million of property taxes and other loan collateral costs incurred to prepare loans for the Bulk Loan Sale. The decrease for the quarter was primarily due to lower loan collection costs.</w:t>
      </w:r>
    </w:p>
    <w:p>
      <w:pPr>
        <w:sectPr>
          <w:pgSz w:w="11900" w:h="16838" w:orient="portrait"/>
          <w:cols w:equalWidth="0" w:num="1">
            <w:col w:w="11420"/>
          </w:cols>
          <w:pgMar w:left="240" w:top="457"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7"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Net gains on sales of foreclosed property totaled $269,000 for the second quarter of 2012, compared to net gains on sale of $3.22 million for the second quarter of 2011. For the six months ended June 30, 2012, net gains on sale were $176,000 compared to net losses on sale of $8.80 million for the same period of the prior year. Foreclosed property write-downs for the second quarter and first six months of 2012 were $1.01 million and $3.12 million compared to $3.12 million and $51.7 million a year ago. The year to date decrease reflected higher write downs in the first half of 2011 on foreclosed properties to expedite sales under the Problem Asset Disposition Plan. Foreclosed property maintenance expenses include legal fees, property taxes, marketing costs, utility services, maintenance and repair charges that totaled $1.11 million and $2.73 million, respectively, for the second quarter and first six months of 2012 compared with $1.99 million and $6.29 million, respectively, a year ago. Foreclosed property costs in general are down in the second quarter from a year ago due to lower balances of foreclosed property after execution of United’s Problem Asset Disposition Plan beginning in the first quarter of 2011.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Income tax expense for the second quarter of 2012 was $450,000 as compared with income tax expense of $666,000 for the second quarter of 2011, representing an effective tax rate of approximately 6.48% and 5.25%, respectively. Because of the full valuation allowance on United’s net deferred tax asset, United’s tax expense on its pre-tax earnings represents adjustments to its reserve for uncertain tax positions and amounts payable under the Federal Alternative Minimum Tax.</w:t>
      </w:r>
    </w:p>
    <w:p>
      <w:pPr>
        <w:spacing w:after="0" w:line="8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 xml:space="preserve">At June 30, 2012, United reported no net deferred tax asset due to a full valuation allowance of $277 million. The Financial Accounting Standard’s Board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Management considers both positive and negative evidence and analyzes changes in near-term market conditions as well as other factors which may impact future operating results. In making such judgments, significant weight is given to evidence that can be objectively verified. The deferred tax assets are analyzed quarterly for changes affecting realizability. Because management has determined that the objective negative evidence outweighs the positive evidence, management has established a full valuation allowance against its net deferred tax asset.</w:t>
      </w:r>
    </w:p>
    <w:p>
      <w:pPr>
        <w:spacing w:after="0" w:line="13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13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connection with the tax benefits preservation plan, on February 22, 2011, United entered into a share exchange agreement with the Elm Ridge Parties to transfer to the Company 1,551,126 shares of United’s common stock, in exchange for 16,613 shares of the Company’s series D preferred shares and warrants to purchase 1,551,126 shares of common stock. Prior to entering into the share exchange agreement, collectively, the Elm Ridge Parties were United’s largest shareholder. By exchanging the Elm Ridge Parties’ common stock for the Series D Preferred Shares and warrants, United eliminated its only “5-percent shareholder” and, as a result, obtained further protection against an ownership change under Section 382.</w:t>
      </w:r>
    </w:p>
    <w:p>
      <w:pPr>
        <w:spacing w:after="0" w:line="12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15 to the consolidated financial statements filed with United’s Annual Report on Form 10-K for the year ended December 31, 2011.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Review</w:t>
      </w:r>
    </w:p>
    <w:p>
      <w:pPr>
        <w:spacing w:after="0" w:line="105"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color w:val="auto"/>
        </w:rPr>
        <w:t>Total assets at June 30, 2012, December 31, 2011 and June 30, 2011 were $6.74 billion, $6.98 billion and $7.15 billion, respectively. Average total assets for the second quarter of 2012 were $6.99 billion, down from $7.36 billion in the second quarter of 2011.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5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loan portfolio.</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7—Loans Outstanding (excludes loans covered by loss share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June 30,</w:t>
            </w:r>
          </w:p>
        </w:tc>
        <w:tc>
          <w:tcPr>
            <w:tcW w:w="14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80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2012</w:t>
            </w:r>
          </w:p>
        </w:tc>
        <w:tc>
          <w:tcPr>
            <w:tcW w:w="360" w:type="dxa"/>
            <w:vAlign w:val="bottom"/>
          </w:tcPr>
          <w:p>
            <w:pPr>
              <w:spacing w:after="0"/>
              <w:rPr>
                <w:sz w:val="13"/>
                <w:szCs w:val="13"/>
                <w:color w:val="auto"/>
              </w:rPr>
            </w:pPr>
          </w:p>
        </w:tc>
        <w:tc>
          <w:tcPr>
            <w:tcW w:w="104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2011</w:t>
            </w:r>
          </w:p>
        </w:tc>
        <w:tc>
          <w:tcPr>
            <w:tcW w:w="360" w:type="dxa"/>
            <w:vAlign w:val="bottom"/>
          </w:tcPr>
          <w:p>
            <w:pPr>
              <w:spacing w:after="0"/>
              <w:rPr>
                <w:sz w:val="13"/>
                <w:szCs w:val="13"/>
                <w:color w:val="auto"/>
              </w:rPr>
            </w:pPr>
          </w:p>
        </w:tc>
        <w:tc>
          <w:tcPr>
            <w:tcW w:w="102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By Loan Type</w:t>
            </w:r>
          </w:p>
        </w:tc>
        <w:tc>
          <w:tcPr>
            <w:tcW w:w="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Commercial (secured by real estate)</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w w:val="91"/>
              </w:rPr>
              <w:t>$1,836,477</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$1,821,414</w:t>
            </w:r>
          </w:p>
        </w:tc>
        <w:tc>
          <w:tcPr>
            <w:tcW w:w="3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$1,741,754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Commercial &amp; industrial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450,222</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428,249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428,058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169,338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164,155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commercial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2,456,037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2,413,818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2,365,002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Residential mortgage</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1,128,336</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1,134,902</w:t>
            </w:r>
          </w:p>
        </w:tc>
        <w:tc>
          <w:tcPr>
            <w:tcW w:w="3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1,177,226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408,966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448,391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501,909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Consumer installment</w:t>
            </w: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125,896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112,503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loans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4,119,235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4,109,614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4,163,447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7"/>
                <w:szCs w:val="17"/>
                <w:color w:val="auto"/>
              </w:rPr>
              <w:t>As a percentage of total loans:</w:t>
            </w: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(secured by real estate)</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45%</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7"/>
                <w:szCs w:val="17"/>
                <w:color w:val="auto"/>
              </w:rPr>
              <w:t>Commercial &amp; industrial</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3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construction</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80" w:type="dxa"/>
            <w:vAlign w:val="bottom"/>
          </w:tcPr>
          <w:p>
            <w:pPr>
              <w:ind w:left="840"/>
              <w:spacing w:after="0"/>
              <w:rPr>
                <w:sz w:val="20"/>
                <w:szCs w:val="20"/>
                <w:color w:val="auto"/>
              </w:rPr>
            </w:pPr>
            <w:r>
              <w:rPr>
                <w:rFonts w:ascii="Arial" w:cs="Arial" w:eastAsia="Arial" w:hAnsi="Arial"/>
                <w:sz w:val="17"/>
                <w:szCs w:val="17"/>
                <w:color w:val="auto"/>
              </w:rPr>
              <w:t>Total commercial</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3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Residential mortgage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7"/>
                <w:szCs w:val="17"/>
                <w:color w:val="auto"/>
              </w:rPr>
              <w:t>Residential construction</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Consumer installment</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80" w:type="dxa"/>
            <w:vAlign w:val="bottom"/>
          </w:tcPr>
          <w:p>
            <w:pPr>
              <w:ind w:left="840"/>
              <w:spacing w:after="0"/>
              <w:rPr>
                <w:sz w:val="20"/>
                <w:szCs w:val="20"/>
                <w:color w:val="auto"/>
              </w:rPr>
            </w:pPr>
            <w:r>
              <w:rPr>
                <w:rFonts w:ascii="Arial" w:cs="Arial" w:eastAsia="Arial" w:hAnsi="Arial"/>
                <w:sz w:val="17"/>
                <w:szCs w:val="17"/>
                <w:color w:val="auto"/>
              </w:rPr>
              <w:t>Total</w:t>
            </w:r>
          </w:p>
        </w:tc>
        <w:tc>
          <w:tcPr>
            <w:tcW w:w="1160" w:type="dxa"/>
            <w:vAlign w:val="bottom"/>
            <w:gridSpan w:val="3"/>
          </w:tcPr>
          <w:p>
            <w:pPr>
              <w:jc w:val="right"/>
              <w:ind w:right="220"/>
              <w:spacing w:after="0"/>
              <w:rPr>
                <w:sz w:val="20"/>
                <w:szCs w:val="20"/>
                <w:color w:val="auto"/>
              </w:rPr>
            </w:pPr>
            <w:r>
              <w:rPr>
                <w:rFonts w:ascii="Arial" w:cs="Arial" w:eastAsia="Arial" w:hAnsi="Arial"/>
                <w:sz w:val="17"/>
                <w:szCs w:val="17"/>
                <w:color w:val="auto"/>
              </w:rPr>
              <w:t>100%</w:t>
            </w:r>
          </w:p>
        </w:tc>
        <w:tc>
          <w:tcPr>
            <w:tcW w:w="1400" w:type="dxa"/>
            <w:vAlign w:val="bottom"/>
            <w:gridSpan w:val="3"/>
          </w:tcPr>
          <w:p>
            <w:pPr>
              <w:jc w:val="right"/>
              <w:ind w:right="220"/>
              <w:spacing w:after="0"/>
              <w:rPr>
                <w:sz w:val="20"/>
                <w:szCs w:val="20"/>
                <w:color w:val="auto"/>
              </w:rPr>
            </w:pPr>
            <w:r>
              <w:rPr>
                <w:rFonts w:ascii="Arial" w:cs="Arial" w:eastAsia="Arial" w:hAnsi="Arial"/>
                <w:sz w:val="17"/>
                <w:szCs w:val="17"/>
                <w:color w:val="auto"/>
              </w:rPr>
              <w:t>100%</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By Geographic Location</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North Georgia</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w w:val="91"/>
              </w:rPr>
              <w:t>$1,387,204</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$1,425,811</w:t>
            </w:r>
          </w:p>
        </w:tc>
        <w:tc>
          <w:tcPr>
            <w:tcW w:w="3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$1,499,687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Atlanta MSA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1,252,140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1,219,652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1,188,262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North Carolina</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576,141</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597,446</w:t>
            </w:r>
          </w:p>
        </w:tc>
        <w:tc>
          <w:tcPr>
            <w:tcW w:w="3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626,230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Coastal Georgia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369,280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346,189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325,650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Gainesville MSA</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258,916</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264,567</w:t>
            </w:r>
          </w:p>
        </w:tc>
        <w:tc>
          <w:tcPr>
            <w:tcW w:w="3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274,744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East Tennessee</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275,554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255,949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7"/>
                <w:szCs w:val="17"/>
                <w:color w:val="auto"/>
              </w:rPr>
              <w:t>Total loans</w:t>
            </w:r>
          </w:p>
        </w:tc>
        <w:tc>
          <w:tcPr>
            <w:tcW w:w="8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4,119,235</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4,109,614</w:t>
            </w:r>
          </w:p>
        </w:tc>
        <w:tc>
          <w:tcPr>
            <w:tcW w:w="3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4,163,447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Substantially all of United’s loans are to customers (including customers who have a seasonal residence in United’s market areas) located in the immediate market areas of its community banks in Georgia, North Carolina, and Tennessee, and more than 85% of the loans are secured by real estate. At June 30, 2012, total loans, excluding loans acquired from SCB that are covered by loss sharing agreements with the FDIC, were $4.12 billion, a decrease of $44.2 million, or 1%, from June 30, 2011. The rate of loan growth began to decline in the first quarter of 2007 and the balances have continued to decline over the last four years. The decrease in the loan portfolio began with deterioration in the residential construction and housing markets. This deterioration resulted in part as an oversupply of lot inventory, houses and land within United’s markets, which further slowed construction activities and acquisition and development projects. The resulting recession that began in the housing market led to high rates of unemployment that resulted in stress in the other segments of United’s loan portfolio. Despite the weak economy and lack of loan demand, United has continued to pursue lending opportunities which resulted in $86.5 million in new loans funded during the second quarter of 2012 and net positive loan growth of $9.62 million in the first six months of 2012. The rate of decrease in the loan portfolio dropped significantly following the execution of the Problem Asset Disposition Plan in the first quarter of 2011 and has continued to stabilize resulting in the modest growth in the first half of 2012.</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57"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Quality and Risk Elements</w:t>
      </w:r>
    </w:p>
    <w:p>
      <w:pPr>
        <w:spacing w:after="0" w:line="9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 for the year ended December 31, 2011.</w:t>
      </w:r>
    </w:p>
    <w:p>
      <w:pPr>
        <w:spacing w:after="0" w:line="129"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United classifies performing loans as “substandard”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8 —Performing Substandard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March 31,</w:t>
            </w:r>
          </w:p>
        </w:tc>
        <w:tc>
          <w:tcPr>
            <w:tcW w:w="16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89"/>
              </w:rPr>
              <w:t>December 31,</w:t>
            </w:r>
          </w:p>
        </w:tc>
        <w:tc>
          <w:tcPr>
            <w:tcW w:w="3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60"/>
        </w:trPr>
        <w:tc>
          <w:tcPr>
            <w:tcW w:w="6480" w:type="dxa"/>
            <w:vAlign w:val="bottom"/>
          </w:tcPr>
          <w:p>
            <w:pPr>
              <w:spacing w:after="0"/>
              <w:rPr>
                <w:sz w:val="13"/>
                <w:szCs w:val="13"/>
                <w:color w:val="auto"/>
              </w:rPr>
            </w:pPr>
          </w:p>
        </w:tc>
        <w:tc>
          <w:tcPr>
            <w:tcW w:w="660" w:type="dxa"/>
            <w:vAlign w:val="bottom"/>
          </w:tcPr>
          <w:p>
            <w:pPr>
              <w:jc w:val="right"/>
              <w:ind w:right="115"/>
              <w:spacing w:after="0"/>
              <w:rPr>
                <w:sz w:val="20"/>
                <w:szCs w:val="20"/>
                <w:color w:val="auto"/>
              </w:rPr>
            </w:pPr>
            <w:r>
              <w:rPr>
                <w:rFonts w:ascii="Arial" w:cs="Arial" w:eastAsia="Arial" w:hAnsi="Arial"/>
                <w:sz w:val="13"/>
                <w:szCs w:val="13"/>
                <w:b w:val="1"/>
                <w:bCs w:val="1"/>
                <w:color w:val="auto"/>
              </w:rPr>
              <w:t>2012</w:t>
            </w:r>
          </w:p>
        </w:tc>
        <w:tc>
          <w:tcPr>
            <w:tcW w:w="98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b w:val="1"/>
                <w:bCs w:val="1"/>
                <w:color w:val="auto"/>
              </w:rPr>
              <w:t>2011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82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4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By Category</w:t>
            </w: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480" w:type="dxa"/>
            <w:vAlign w:val="bottom"/>
          </w:tcPr>
          <w:p>
            <w:pPr>
              <w:spacing w:after="0"/>
              <w:rPr>
                <w:sz w:val="20"/>
                <w:szCs w:val="20"/>
                <w:color w:val="auto"/>
              </w:rPr>
            </w:pPr>
            <w:r>
              <w:rPr>
                <w:rFonts w:ascii="Arial" w:cs="Arial" w:eastAsia="Arial" w:hAnsi="Arial"/>
                <w:sz w:val="17"/>
                <w:szCs w:val="17"/>
                <w:color w:val="auto"/>
              </w:rPr>
              <w:t>Commercial (sec. by RE)</w:t>
            </w:r>
          </w:p>
        </w:tc>
        <w:tc>
          <w:tcPr>
            <w:tcW w:w="660" w:type="dxa"/>
            <w:vAlign w:val="bottom"/>
          </w:tcPr>
          <w:p>
            <w:pPr>
              <w:jc w:val="right"/>
              <w:spacing w:after="0"/>
              <w:rPr>
                <w:sz w:val="20"/>
                <w:szCs w:val="20"/>
                <w:color w:val="auto"/>
              </w:rPr>
            </w:pPr>
            <w:r>
              <w:rPr>
                <w:rFonts w:ascii="Arial" w:cs="Arial" w:eastAsia="Arial" w:hAnsi="Arial"/>
                <w:sz w:val="17"/>
                <w:szCs w:val="17"/>
                <w:color w:val="auto"/>
                <w:w w:val="90"/>
              </w:rPr>
              <w:t>$148,418</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$133,840</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143,058</w:t>
            </w:r>
          </w:p>
        </w:tc>
        <w:tc>
          <w:tcPr>
            <w:tcW w:w="4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134,356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$ 117,525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Commercial &amp; industrial</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17,217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24,868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660" w:type="dxa"/>
            <w:vAlign w:val="bottom"/>
          </w:tcPr>
          <w:p>
            <w:pPr>
              <w:jc w:val="right"/>
              <w:spacing w:after="0"/>
              <w:rPr>
                <w:sz w:val="20"/>
                <w:szCs w:val="20"/>
                <w:color w:val="auto"/>
              </w:rPr>
            </w:pPr>
            <w:r>
              <w:rPr>
                <w:rFonts w:ascii="Arial" w:cs="Arial" w:eastAsia="Arial" w:hAnsi="Arial"/>
                <w:sz w:val="17"/>
                <w:szCs w:val="17"/>
                <w:color w:val="auto"/>
              </w:rPr>
              <w:t>37,876</w:t>
            </w: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23,256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18,510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26,530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4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commercial</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202,210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174,313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177,321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185,754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tcPr>
          <w:p>
            <w:pPr>
              <w:spacing w:after="0"/>
              <w:rPr>
                <w:sz w:val="20"/>
                <w:szCs w:val="20"/>
                <w:color w:val="auto"/>
              </w:rPr>
            </w:pPr>
            <w:r>
              <w:rPr>
                <w:rFonts w:ascii="Arial" w:cs="Arial" w:eastAsia="Arial" w:hAnsi="Arial"/>
                <w:sz w:val="17"/>
                <w:szCs w:val="17"/>
                <w:color w:val="auto"/>
              </w:rPr>
              <w:t>Residential mortgage</w:t>
            </w:r>
          </w:p>
        </w:tc>
        <w:tc>
          <w:tcPr>
            <w:tcW w:w="660" w:type="dxa"/>
            <w:vAlign w:val="bottom"/>
          </w:tcPr>
          <w:p>
            <w:pPr>
              <w:jc w:val="right"/>
              <w:spacing w:after="0"/>
              <w:rPr>
                <w:sz w:val="20"/>
                <w:szCs w:val="20"/>
                <w:color w:val="auto"/>
              </w:rPr>
            </w:pPr>
            <w:r>
              <w:rPr>
                <w:rFonts w:ascii="Arial" w:cs="Arial" w:eastAsia="Arial" w:hAnsi="Arial"/>
                <w:sz w:val="17"/>
                <w:szCs w:val="17"/>
                <w:color w:val="auto"/>
              </w:rPr>
              <w:t>73,277</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75,736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76,442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76,707</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70,396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64,274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76,179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tcPr>
          <w:p>
            <w:pPr>
              <w:spacing w:after="0"/>
              <w:rPr>
                <w:sz w:val="20"/>
                <w:szCs w:val="20"/>
                <w:color w:val="auto"/>
              </w:rPr>
            </w:pPr>
            <w:r>
              <w:rPr>
                <w:rFonts w:ascii="Arial" w:cs="Arial" w:eastAsia="Arial" w:hAnsi="Arial"/>
                <w:sz w:val="17"/>
                <w:szCs w:val="17"/>
                <w:color w:val="auto"/>
              </w:rPr>
              <w:t>Consumer installment</w:t>
            </w:r>
          </w:p>
        </w:tc>
        <w:tc>
          <w:tcPr>
            <w:tcW w:w="660" w:type="dxa"/>
            <w:vAlign w:val="bottom"/>
          </w:tcPr>
          <w:p>
            <w:pPr>
              <w:jc w:val="right"/>
              <w:spacing w:after="0"/>
              <w:rPr>
                <w:sz w:val="20"/>
                <w:szCs w:val="20"/>
                <w:color w:val="auto"/>
              </w:rPr>
            </w:pPr>
            <w:r>
              <w:rPr>
                <w:rFonts w:ascii="Arial" w:cs="Arial" w:eastAsia="Arial" w:hAnsi="Arial"/>
                <w:sz w:val="17"/>
                <w:szCs w:val="17"/>
                <w:color w:val="auto"/>
              </w:rPr>
              <w:t>2,706</w:t>
            </w: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2,610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2,751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2,703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4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323,643</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316,933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328,469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341,343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$ 313,113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7"/>
                <w:szCs w:val="17"/>
                <w:b w:val="1"/>
                <w:bCs w:val="1"/>
                <w:color w:val="auto"/>
              </w:rPr>
              <w:t>By Market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North Georgia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$121,358</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$131,253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134,945</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156,063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tcPr>
          <w:p>
            <w:pPr>
              <w:spacing w:after="0"/>
              <w:rPr>
                <w:sz w:val="20"/>
                <w:szCs w:val="20"/>
                <w:color w:val="auto"/>
              </w:rPr>
            </w:pPr>
            <w:r>
              <w:rPr>
                <w:rFonts w:ascii="Arial" w:cs="Arial" w:eastAsia="Arial" w:hAnsi="Arial"/>
                <w:sz w:val="17"/>
                <w:szCs w:val="17"/>
                <w:color w:val="auto"/>
              </w:rPr>
              <w:t>Atlanta MSA</w:t>
            </w:r>
          </w:p>
        </w:tc>
        <w:tc>
          <w:tcPr>
            <w:tcW w:w="660" w:type="dxa"/>
            <w:vAlign w:val="bottom"/>
          </w:tcPr>
          <w:p>
            <w:pPr>
              <w:jc w:val="right"/>
              <w:spacing w:after="0"/>
              <w:rPr>
                <w:sz w:val="20"/>
                <w:szCs w:val="20"/>
                <w:color w:val="auto"/>
              </w:rPr>
            </w:pPr>
            <w:r>
              <w:rPr>
                <w:rFonts w:ascii="Arial" w:cs="Arial" w:eastAsia="Arial" w:hAnsi="Arial"/>
                <w:sz w:val="17"/>
                <w:szCs w:val="17"/>
                <w:color w:val="auto"/>
              </w:rPr>
              <w:t>105,647</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94,191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99,453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97,906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97,931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North Carolina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38,049</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38,792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tcPr>
          <w:p>
            <w:pPr>
              <w:spacing w:after="0"/>
              <w:rPr>
                <w:sz w:val="20"/>
                <w:szCs w:val="20"/>
                <w:color w:val="auto"/>
              </w:rPr>
            </w:pPr>
            <w:r>
              <w:rPr>
                <w:rFonts w:ascii="Arial" w:cs="Arial" w:eastAsia="Arial" w:hAnsi="Arial"/>
                <w:sz w:val="17"/>
                <w:szCs w:val="17"/>
                <w:color w:val="auto"/>
              </w:rPr>
              <w:t>Coastal Georgia</w:t>
            </w:r>
          </w:p>
        </w:tc>
        <w:tc>
          <w:tcPr>
            <w:tcW w:w="660" w:type="dxa"/>
            <w:vAlign w:val="bottom"/>
          </w:tcPr>
          <w:p>
            <w:pPr>
              <w:jc w:val="right"/>
              <w:spacing w:after="0"/>
              <w:rPr>
                <w:sz w:val="20"/>
                <w:szCs w:val="20"/>
                <w:color w:val="auto"/>
              </w:rPr>
            </w:pPr>
            <w:r>
              <w:rPr>
                <w:rFonts w:ascii="Arial" w:cs="Arial" w:eastAsia="Arial" w:hAnsi="Arial"/>
                <w:sz w:val="17"/>
                <w:szCs w:val="17"/>
                <w:color w:val="auto"/>
              </w:rPr>
              <w:t>20,164</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19,342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24,985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23,966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22,945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Gainesville MSA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18,745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19,615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tcPr>
          <w:p>
            <w:pPr>
              <w:spacing w:after="0"/>
              <w:rPr>
                <w:sz w:val="20"/>
                <w:szCs w:val="20"/>
                <w:color w:val="auto"/>
              </w:rPr>
            </w:pPr>
            <w:r>
              <w:rPr>
                <w:rFonts w:ascii="Arial" w:cs="Arial" w:eastAsia="Arial" w:hAnsi="Arial"/>
                <w:sz w:val="17"/>
                <w:szCs w:val="17"/>
                <w:color w:val="auto"/>
              </w:rPr>
              <w:t>East Tennessee</w:t>
            </w:r>
          </w:p>
        </w:tc>
        <w:tc>
          <w:tcPr>
            <w:tcW w:w="660" w:type="dxa"/>
            <w:vAlign w:val="bottom"/>
          </w:tcPr>
          <w:p>
            <w:pPr>
              <w:jc w:val="right"/>
              <w:spacing w:after="0"/>
              <w:rPr>
                <w:sz w:val="20"/>
                <w:szCs w:val="20"/>
                <w:color w:val="auto"/>
              </w:rPr>
            </w:pPr>
            <w:r>
              <w:rPr>
                <w:rFonts w:ascii="Arial" w:cs="Arial" w:eastAsia="Arial" w:hAnsi="Arial"/>
                <w:sz w:val="17"/>
                <w:szCs w:val="17"/>
                <w:color w:val="auto"/>
              </w:rPr>
              <w:t>17,901</w:t>
            </w: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14,610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11,446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7,069</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loans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323,643</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316,933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328,469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341,343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$ 313,113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right="180"/>
        <w:spacing w:after="0" w:line="278" w:lineRule="auto"/>
        <w:rPr>
          <w:sz w:val="20"/>
          <w:szCs w:val="20"/>
          <w:color w:val="auto"/>
        </w:rPr>
      </w:pPr>
      <w:r>
        <w:rPr>
          <w:rFonts w:ascii="Arial" w:cs="Arial" w:eastAsia="Arial" w:hAnsi="Arial"/>
          <w:sz w:val="17"/>
          <w:szCs w:val="17"/>
          <w:color w:val="auto"/>
        </w:rPr>
        <w:t>At June 30, 2012, performing substandard loans totaled $324 million and increased $6.71 million from the prior quarter-end, and increased $10.5 million from a year ago. The increase from the second quarter of 2011 was primarily in the commercial secured by real estate and commercial construction categories, primarily in the Atlanta MSA, western North Carolina, Gainesville MSA and east Tennessee markets.</w:t>
      </w:r>
    </w:p>
    <w:p>
      <w:pPr>
        <w:spacing w:after="0" w:line="1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Reviews of substandard performing and non-performing loans, troubled debt restructures, past due loans and larger credits, are conducted on a regular basis with management each quarter and are designed to identify risk migration and potential charges to the allowance for loan losses. These reviews are performed by the responsible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In addition to United’s internal loan review, United also uses external loan review to ensure the independence of the loan review process.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57"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changes in the allowance for loan losses for the three and six months ended June 30, 2012 and 2011.</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9—Allowance for Loan Losses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3"/>
                <w:szCs w:val="13"/>
                <w:b w:val="1"/>
                <w:bCs w:val="1"/>
                <w:color w:val="auto"/>
                <w:w w:val="94"/>
              </w:rPr>
              <w:t>Three Months Ended June 30,</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8"/>
          </w:tcPr>
          <w:p>
            <w:pPr>
              <w:jc w:val="right"/>
              <w:ind w:right="253"/>
              <w:spacing w:after="0"/>
              <w:rPr>
                <w:sz w:val="20"/>
                <w:szCs w:val="20"/>
                <w:color w:val="auto"/>
              </w:rPr>
            </w:pPr>
            <w:r>
              <w:rPr>
                <w:rFonts w:ascii="Arial" w:cs="Arial" w:eastAsia="Arial" w:hAnsi="Arial"/>
                <w:sz w:val="13"/>
                <w:szCs w:val="13"/>
                <w:b w:val="1"/>
                <w:bCs w:val="1"/>
                <w:color w:val="auto"/>
              </w:rPr>
              <w:t>Six Months Ended June 30,</w:t>
            </w: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2011</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1" w:lineRule="exact"/>
              <w:rPr>
                <w:sz w:val="20"/>
                <w:szCs w:val="20"/>
                <w:color w:val="auto"/>
              </w:rPr>
            </w:pPr>
            <w:r>
              <w:rPr>
                <w:rFonts w:ascii="Arial" w:cs="Arial" w:eastAsia="Arial" w:hAnsi="Arial"/>
                <w:sz w:val="13"/>
                <w:szCs w:val="13"/>
                <w:b w:val="1"/>
                <w:bCs w:val="1"/>
                <w:color w:val="auto"/>
              </w:rPr>
              <w:t>2012</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5"/>
              <w:spacing w:after="0" w:line="141" w:lineRule="exact"/>
              <w:rPr>
                <w:sz w:val="20"/>
                <w:szCs w:val="20"/>
                <w:color w:val="auto"/>
              </w:rPr>
            </w:pPr>
            <w:r>
              <w:rPr>
                <w:rFonts w:ascii="Arial" w:cs="Arial" w:eastAsia="Arial" w:hAnsi="Arial"/>
                <w:sz w:val="13"/>
                <w:szCs w:val="13"/>
                <w:b w:val="1"/>
                <w:bCs w:val="1"/>
                <w:color w:val="auto"/>
              </w:rPr>
              <w:t>2011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ind w:left="20"/>
              <w:spacing w:after="0" w:line="128" w:lineRule="exact"/>
              <w:rPr>
                <w:sz w:val="20"/>
                <w:szCs w:val="20"/>
                <w:color w:val="auto"/>
              </w:rPr>
            </w:pPr>
            <w:r>
              <w:rPr>
                <w:rFonts w:ascii="Arial" w:cs="Arial" w:eastAsia="Arial" w:hAnsi="Arial"/>
                <w:sz w:val="9"/>
                <w:szCs w:val="9"/>
                <w:b w:val="1"/>
                <w:bCs w:val="1"/>
                <w:color w:val="auto"/>
              </w:rPr>
              <w:t xml:space="preserve">Problem </w:t>
            </w:r>
            <w:r>
              <w:rPr>
                <w:rFonts w:ascii="Arial" w:cs="Arial" w:eastAsia="Arial" w:hAnsi="Arial"/>
                <w:sz w:val="14"/>
                <w:szCs w:val="14"/>
                <w:b w:val="1"/>
                <w:bCs w:val="1"/>
                <w:color w:val="auto"/>
                <w:vertAlign w:val="superscript"/>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9"/>
                <w:szCs w:val="9"/>
                <w:b w:val="1"/>
                <w:bCs w:val="1"/>
                <w:color w:val="auto"/>
              </w:rPr>
              <w:t xml:space="preserve">Problem </w:t>
            </w:r>
            <w:r>
              <w:rPr>
                <w:rFonts w:ascii="Arial" w:cs="Arial" w:eastAsia="Arial" w:hAnsi="Arial"/>
                <w:sz w:val="14"/>
                <w:szCs w:val="14"/>
                <w:b w:val="1"/>
                <w:bCs w:val="1"/>
                <w:color w:val="auto"/>
                <w:vertAlign w:val="superscript"/>
              </w:rPr>
              <w:t>(1)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40"/>
              <w:spacing w:after="0" w:line="148" w:lineRule="exact"/>
              <w:rPr>
                <w:sz w:val="20"/>
                <w:szCs w:val="20"/>
                <w:color w:val="auto"/>
              </w:rPr>
            </w:pPr>
            <w:r>
              <w:rPr>
                <w:rFonts w:ascii="Arial" w:cs="Arial" w:eastAsia="Arial" w:hAnsi="Arial"/>
                <w:sz w:val="13"/>
                <w:szCs w:val="13"/>
                <w:b w:val="1"/>
                <w:bCs w:val="1"/>
                <w:color w:val="auto"/>
                <w:w w:val="90"/>
              </w:rPr>
              <w:t>Asset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5"/>
              <w:spacing w:after="0" w:line="148" w:lineRule="exact"/>
              <w:rPr>
                <w:sz w:val="20"/>
                <w:szCs w:val="20"/>
                <w:color w:val="auto"/>
              </w:rPr>
            </w:pPr>
            <w:r>
              <w:rPr>
                <w:rFonts w:ascii="Arial" w:cs="Arial" w:eastAsia="Arial" w:hAnsi="Arial"/>
                <w:sz w:val="13"/>
                <w:szCs w:val="13"/>
                <w:b w:val="1"/>
                <w:bCs w:val="1"/>
                <w:color w:val="auto"/>
              </w:rPr>
              <w:t>Asset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Disposition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90"/>
              </w:rPr>
              <w:t>Disposition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Plan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3"/>
                <w:szCs w:val="13"/>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54"/>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5"/>
              <w:spacing w:after="0"/>
              <w:rPr>
                <w:sz w:val="20"/>
                <w:szCs w:val="20"/>
                <w:color w:val="auto"/>
              </w:rPr>
            </w:pPr>
            <w:r>
              <w:rPr>
                <w:rFonts w:ascii="Arial" w:cs="Arial" w:eastAsia="Arial" w:hAnsi="Arial"/>
                <w:sz w:val="13"/>
                <w:szCs w:val="13"/>
                <w:b w:val="1"/>
                <w:bCs w:val="1"/>
                <w:color w:val="auto"/>
              </w:rPr>
              <w:t>Plan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97"/>
              </w:rPr>
              <w:t>Other</w:t>
            </w: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8"/>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7"/>
              </w:rPr>
              <w:t>113,601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133,121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114,468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174,695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spacing w:after="0"/>
              <w:rPr>
                <w:sz w:val="20"/>
                <w:szCs w:val="20"/>
                <w:color w:val="auto"/>
              </w:rPr>
            </w:pPr>
            <w:r>
              <w:rPr>
                <w:rFonts w:ascii="Arial" w:cs="Arial" w:eastAsia="Arial" w:hAnsi="Arial"/>
                <w:sz w:val="17"/>
                <w:szCs w:val="17"/>
                <w:color w:val="auto"/>
              </w:rPr>
              <w:t>Provision for loan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18,000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11,000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Charge-offs: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440"/>
              <w:spacing w:after="0"/>
              <w:rPr>
                <w:sz w:val="20"/>
                <w:szCs w:val="20"/>
                <w:color w:val="auto"/>
              </w:rPr>
            </w:pPr>
            <w:r>
              <w:rPr>
                <w:rFonts w:ascii="Arial" w:cs="Arial" w:eastAsia="Arial" w:hAnsi="Arial"/>
                <w:sz w:val="17"/>
                <w:szCs w:val="17"/>
                <w:color w:val="auto"/>
              </w:rPr>
              <w:t>Commercial (secured by real estate)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4,418</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(1,713)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5,146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3,433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8,346</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44,052</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8,088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52,140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8"/>
              </w:rPr>
              <w:t>Commercial (commercial and industrial)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1,555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440"/>
              <w:spacing w:after="0"/>
              <w:rPr>
                <w:sz w:val="20"/>
                <w:szCs w:val="20"/>
                <w:color w:val="auto"/>
              </w:rPr>
            </w:pPr>
            <w:r>
              <w:rPr>
                <w:rFonts w:ascii="Arial" w:cs="Arial" w:eastAsia="Arial" w:hAnsi="Arial"/>
                <w:sz w:val="17"/>
                <w:szCs w:val="17"/>
                <w:color w:val="auto"/>
              </w:rPr>
              <w:t>Commercial construction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2,312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47,237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3,458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50,695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 mortgage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11,204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440"/>
              <w:spacing w:after="0"/>
              <w:rPr>
                <w:sz w:val="20"/>
                <w:szCs w:val="20"/>
                <w:color w:val="auto"/>
              </w:rPr>
            </w:pPr>
            <w:r>
              <w:rPr>
                <w:rFonts w:ascii="Arial" w:cs="Arial" w:eastAsia="Arial" w:hAnsi="Arial"/>
                <w:sz w:val="17"/>
                <w:szCs w:val="17"/>
                <w:color w:val="auto"/>
              </w:rPr>
              <w:t>Residential construction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9,846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(2,842)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9,611</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6,769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15,475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78,653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20,371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99,024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Consumer installment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1,682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860"/>
              <w:spacing w:after="0"/>
              <w:rPr>
                <w:sz w:val="20"/>
                <w:szCs w:val="20"/>
                <w:color w:val="auto"/>
              </w:rPr>
            </w:pPr>
            <w:r>
              <w:rPr>
                <w:rFonts w:ascii="Arial" w:cs="Arial" w:eastAsia="Arial" w:hAnsi="Arial"/>
                <w:sz w:val="17"/>
                <w:szCs w:val="17"/>
                <w:color w:val="auto"/>
              </w:rPr>
              <w:t>Total loans charged-off</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19,662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(7,269)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24,605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17,336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36,859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203,789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46,358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250,147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Recoveries: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440"/>
              <w:spacing w:after="0"/>
              <w:rPr>
                <w:sz w:val="20"/>
                <w:szCs w:val="20"/>
                <w:color w:val="auto"/>
              </w:rPr>
            </w:pPr>
            <w:r>
              <w:rPr>
                <w:rFonts w:ascii="Arial" w:cs="Arial" w:eastAsia="Arial" w:hAnsi="Arial"/>
                <w:sz w:val="17"/>
                <w:szCs w:val="17"/>
                <w:color w:val="auto"/>
              </w:rPr>
              <w:t>Commercial (secured by real estate)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8"/>
              </w:rPr>
              <w:t>Commercial (commercial and industrial)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440"/>
              <w:spacing w:after="0"/>
              <w:rPr>
                <w:sz w:val="20"/>
                <w:szCs w:val="20"/>
                <w:color w:val="auto"/>
              </w:rPr>
            </w:pPr>
            <w:r>
              <w:rPr>
                <w:rFonts w:ascii="Arial" w:cs="Arial" w:eastAsia="Arial" w:hAnsi="Arial"/>
                <w:sz w:val="17"/>
                <w:szCs w:val="17"/>
                <w:color w:val="auto"/>
              </w:rPr>
              <w:t>Commercial construction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 mortgage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440"/>
              <w:spacing w:after="0"/>
              <w:rPr>
                <w:sz w:val="20"/>
                <w:szCs w:val="20"/>
                <w:color w:val="auto"/>
              </w:rPr>
            </w:pPr>
            <w:r>
              <w:rPr>
                <w:rFonts w:ascii="Arial" w:cs="Arial" w:eastAsia="Arial" w:hAnsi="Arial"/>
                <w:sz w:val="17"/>
                <w:szCs w:val="17"/>
                <w:color w:val="auto"/>
              </w:rPr>
              <w:t>Residential construction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Consumer installment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860"/>
              <w:spacing w:after="0"/>
              <w:rPr>
                <w:sz w:val="20"/>
                <w:szCs w:val="20"/>
                <w:color w:val="auto"/>
              </w:rPr>
            </w:pPr>
            <w:r>
              <w:rPr>
                <w:rFonts w:ascii="Arial" w:cs="Arial" w:eastAsia="Arial" w:hAnsi="Arial"/>
                <w:sz w:val="17"/>
                <w:szCs w:val="17"/>
                <w:color w:val="auto"/>
              </w:rPr>
              <w:t>Total recoveries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766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853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853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2,090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Net charge-offs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18,896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23,752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16,483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34,763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203,789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44,268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860"/>
              <w:spacing w:after="0"/>
              <w:rPr>
                <w:sz w:val="20"/>
                <w:szCs w:val="20"/>
                <w:color w:val="auto"/>
              </w:rPr>
            </w:pPr>
            <w:r>
              <w:rPr>
                <w:rFonts w:ascii="Arial" w:cs="Arial" w:eastAsia="Arial" w:hAnsi="Arial"/>
                <w:sz w:val="17"/>
                <w:szCs w:val="17"/>
                <w:color w:val="auto"/>
              </w:rPr>
              <w:t>Balance end of period</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0" w:type="dxa"/>
            <w:vAlign w:val="bottom"/>
            <w:vMerge w:val="continue"/>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112,705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127,638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112,705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127,638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Total loans: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440"/>
              <w:spacing w:after="0"/>
              <w:rPr>
                <w:sz w:val="20"/>
                <w:szCs w:val="20"/>
                <w:color w:val="auto"/>
              </w:rPr>
            </w:pPr>
            <w:r>
              <w:rPr>
                <w:rFonts w:ascii="Arial" w:cs="Arial" w:eastAsia="Arial" w:hAnsi="Arial"/>
                <w:sz w:val="17"/>
                <w:szCs w:val="17"/>
                <w:color w:val="auto"/>
              </w:rPr>
              <w:t>At period-end</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4,119,235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w w:val="89"/>
              </w:rPr>
              <w:t>4,163,447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4,119,235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4,163,447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4,112,995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9"/>
              </w:rPr>
              <w:t>4,196,375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4,115,315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4,364,401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spacing w:after="0"/>
              <w:rPr>
                <w:sz w:val="20"/>
                <w:szCs w:val="20"/>
                <w:color w:val="auto"/>
              </w:rPr>
            </w:pPr>
            <w:r>
              <w:rPr>
                <w:rFonts w:ascii="Arial" w:cs="Arial" w:eastAsia="Arial" w:hAnsi="Arial"/>
                <w:sz w:val="17"/>
                <w:szCs w:val="17"/>
                <w:color w:val="auto"/>
                <w:w w:val="95"/>
              </w:rPr>
              <w:t>Allowance as a percentage of period-end loans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As a percentage of average loans: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440"/>
              <w:spacing w:after="0"/>
              <w:rPr>
                <w:sz w:val="20"/>
                <w:szCs w:val="20"/>
                <w:color w:val="auto"/>
              </w:rPr>
            </w:pPr>
            <w:r>
              <w:rPr>
                <w:rFonts w:ascii="Arial" w:cs="Arial" w:eastAsia="Arial" w:hAnsi="Arial"/>
                <w:sz w:val="17"/>
                <w:szCs w:val="17"/>
                <w:color w:val="auto"/>
              </w:rPr>
              <w:t>Net charge-offs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11.46</w:t>
            </w: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Provision for loan losses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7"/>
                <w:szCs w:val="17"/>
                <w:color w:val="auto"/>
                <w:w w:val="98"/>
              </w:rPr>
              <w:t>Allowance as a percentage of non-performing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220"/>
              <w:spacing w:after="0"/>
              <w:rPr>
                <w:sz w:val="20"/>
                <w:szCs w:val="20"/>
                <w:color w:val="auto"/>
              </w:rPr>
            </w:pPr>
            <w:r>
              <w:rPr>
                <w:rFonts w:ascii="Arial" w:cs="Arial" w:eastAsia="Arial" w:hAnsi="Arial"/>
                <w:sz w:val="17"/>
                <w:szCs w:val="17"/>
                <w:color w:val="auto"/>
              </w:rPr>
              <w:t>loans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60" w:hanging="453"/>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Excludes loans covered by loss sharing agreements with the FDIC</w:t>
      </w:r>
    </w:p>
    <w:p>
      <w:pPr>
        <w:spacing w:after="0" w:line="37" w:lineRule="exact"/>
        <w:rPr>
          <w:sz w:val="20"/>
          <w:szCs w:val="20"/>
          <w:color w:val="auto"/>
        </w:rPr>
      </w:pPr>
    </w:p>
    <w:p>
      <w:pPr>
        <w:ind w:left="460" w:right="20" w:hanging="453"/>
        <w:spacing w:after="0" w:line="255"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During the first quarter of 2011, United’s Problem Asset Dispostion Plan resulted in charge-offs totaling $186 million related to the Bulk Loan Sale that closed on April 18, 2011. The charge-offs were estimated based on indicative bids from prospective purchasers. Also in the first quarter related to United’s Problem Asset Disposition Plan was an additional $9.5 million in charge-offs related to other bulk loan sales that were completed in the first quarter of 2011 and $15.6 million in charge-offs on foreclosed properties related to the Problem Asset Disposition Plan. The loans sold in the Bulk Loan Sale that closed April 18, 2011 were reported in the loans held for sale category at March 31, 2011 Actual losses upon closing of the Bulk Loan Sale were $179 resulting in a $7.269 million reduction in charge-offs in the second quarter. Total losses related to the Problem Asset Disposition Plan for the first six months of 2011 were $203.8 million.</w:t>
      </w:r>
    </w:p>
    <w:p>
      <w:pPr>
        <w:spacing w:after="0" w:line="14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w:t>
      </w:r>
    </w:p>
    <w:p>
      <w:pPr>
        <w:spacing w:after="0" w:line="129"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At June 30, 2012 the allowance for loan losses was $113 million, or 2.74% of loans, compared with $114 million, or 2.79% of loans, at December 31, 2011 and $128 million, or 3.07% of loans, at June 30, 2011. The declining balance of the allowance for loan losses over the last four quarters reflects an overall improving trend in credit quality of the loan portfolio.</w:t>
      </w:r>
    </w:p>
    <w:p>
      <w:pPr>
        <w:spacing w:after="0" w:line="1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Management believes that the allowance for loan losses at June 30, 2012 reflects the losses inherent in the loan portfolio. This assessment involves uncertainty and judgment; therefore, the adequacy of the allowance for loan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for additional information on the allowance for loan losses.</w:t>
      </w:r>
    </w:p>
    <w:p>
      <w:pPr>
        <w:sectPr>
          <w:pgSz w:w="11900" w:h="16838" w:orient="portrait"/>
          <w:cols w:equalWidth="0" w:num="1">
            <w:col w:w="11420"/>
          </w:cols>
          <w:pgMar w:left="240" w:top="457" w:right="239" w:bottom="1129"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57" w:right="239" w:bottom="1129"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Nonperforming Assets</w:t>
      </w:r>
    </w:p>
    <w:p>
      <w:pPr>
        <w:spacing w:after="0" w:line="9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table below summarizes nonperforming assets, excluding SCB’s assets covered by the loss-sharing agreement with the FDIC. Those assets have been excluded from nonperforming assets, as the loss-sharing agreement with the FDIC and purchase price adjustments to reflect credit losses effectively eliminate the likelihood of recognizing any losses on the covered assets.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10 — Nonperforming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June 30,</w:t>
            </w:r>
          </w:p>
        </w:tc>
        <w:tc>
          <w:tcPr>
            <w:tcW w:w="146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18"/>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Nonperforming loans*</w:t>
            </w:r>
          </w:p>
        </w:tc>
        <w:tc>
          <w:tcPr>
            <w:tcW w:w="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$ 115,340</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127,479</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71,065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Foreclosed properties (OREO)</w:t>
            </w:r>
          </w:p>
        </w:tc>
        <w:tc>
          <w:tcPr>
            <w:tcW w:w="7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30,421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32,859</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nonperforming assets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145,761</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160,338</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118,649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Nonperforming loans as a percentage of total loans</w:t>
            </w: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gridSpan w:val="2"/>
            <w:vMerge w:val="continue"/>
          </w:tcPr>
          <w:p>
            <w:pPr>
              <w:spacing w:after="0"/>
              <w:rPr>
                <w:sz w:val="17"/>
                <w:szCs w:val="17"/>
                <w:color w:val="auto"/>
              </w:rPr>
            </w:pPr>
          </w:p>
        </w:tc>
        <w:tc>
          <w:tcPr>
            <w:tcW w:w="1840" w:type="dxa"/>
            <w:vAlign w:val="bottom"/>
            <w:gridSpan w:val="3"/>
          </w:tcPr>
          <w:p>
            <w:pPr>
              <w:jc w:val="right"/>
              <w:ind w:right="260"/>
              <w:spacing w:after="0"/>
              <w:rPr>
                <w:sz w:val="20"/>
                <w:szCs w:val="20"/>
                <w:color w:val="auto"/>
              </w:rPr>
            </w:pPr>
            <w:r>
              <w:rPr>
                <w:rFonts w:ascii="Arial" w:cs="Arial" w:eastAsia="Arial" w:hAnsi="Arial"/>
                <w:sz w:val="17"/>
                <w:szCs w:val="17"/>
                <w:color w:val="auto"/>
              </w:rPr>
              <w:t>2.80%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3.10%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Nonperforming assets as a percentage of total loans and OREO</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Nonperforming assets as a percentage of total assets</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2.16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60" w:hanging="453"/>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were no loans 90 days or more past due that were still accruing at period end.</w:t>
      </w:r>
    </w:p>
    <w:p>
      <w:pPr>
        <w:spacing w:after="0" w:line="1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June 30, 2012, nonperforming loans were $115 million, compared to $127 million at December 31, 2011 and $71.1 million at June 30, 2011. Contributing to the increase in the ratio of nonperforming loans to total loans from June 30, 2011 to June 30, 2012 was the classification of United’s largest lending relationship. Nonperforming assets, which include nonperforming loans and foreclosed real estate, totaled $146 million at June 30, 2012, compared with $160 million at December 31, 2011 and $119 million at June 30, 2011. United sold $10.5 million and $19.1 million, respectively, of foreclosed properties during the second quarter and first six months of 2012. Both of these events helped lower the balance of foreclosed properties by 36% compared to June 30, 2011.</w:t>
      </w:r>
    </w:p>
    <w:p>
      <w:pPr>
        <w:spacing w:after="0" w:line="11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457"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The following table summarizes non-performing assets by category and market. As with Tables 7, 8 and 10, assets covered by the loss-sharing agreement with the FDIC, related to the acquisition of SCB, are excluded from this table.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Table 11—Nonperforming Assets by Quarter </w:t>
      </w:r>
      <w:r>
        <w:rPr>
          <w:rFonts w:ascii="Arial" w:cs="Arial" w:eastAsia="Arial" w:hAnsi="Arial"/>
          <w:sz w:val="11"/>
          <w:szCs w:val="11"/>
          <w:color w:val="auto"/>
        </w:rPr>
        <w:t>(1)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w w:val="89"/>
              </w:rPr>
              <w:t>June 30, 2012</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3"/>
                <w:szCs w:val="13"/>
                <w:b w:val="1"/>
                <w:bCs w:val="1"/>
                <w:color w:val="auto"/>
              </w:rPr>
              <w:t>December 31, 2011</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w w:val="89"/>
              </w:rPr>
              <w:t>June 30, 2011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780" w:type="dxa"/>
            <w:vAlign w:val="bottom"/>
            <w:gridSpan w:val="3"/>
          </w:tcPr>
          <w:p>
            <w:pPr>
              <w:spacing w:after="0" w:line="128" w:lineRule="exact"/>
              <w:rPr>
                <w:sz w:val="20"/>
                <w:szCs w:val="20"/>
                <w:color w:val="auto"/>
              </w:rPr>
            </w:pPr>
            <w:r>
              <w:rPr>
                <w:rFonts w:ascii="Arial" w:cs="Arial" w:eastAsia="Arial" w:hAnsi="Arial"/>
                <w:sz w:val="13"/>
                <w:szCs w:val="13"/>
                <w:b w:val="1"/>
                <w:bCs w:val="1"/>
                <w:color w:val="auto"/>
              </w:rPr>
              <w:t>Nonaccrual</w:t>
            </w:r>
          </w:p>
        </w:tc>
        <w:tc>
          <w:tcPr>
            <w:tcW w:w="160" w:type="dxa"/>
            <w:vAlign w:val="bottom"/>
          </w:tcPr>
          <w:p>
            <w:pPr>
              <w:spacing w:after="0"/>
              <w:rPr>
                <w:sz w:val="11"/>
                <w:szCs w:val="11"/>
                <w:color w:val="auto"/>
              </w:rPr>
            </w:pPr>
          </w:p>
        </w:tc>
        <w:tc>
          <w:tcPr>
            <w:tcW w:w="820" w:type="dxa"/>
            <w:vAlign w:val="bottom"/>
            <w:gridSpan w:val="3"/>
          </w:tcPr>
          <w:p>
            <w:pPr>
              <w:spacing w:after="0" w:line="128"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53"/>
              <w:spacing w:after="0" w:line="128" w:lineRule="exact"/>
              <w:rPr>
                <w:sz w:val="20"/>
                <w:szCs w:val="20"/>
                <w:color w:val="auto"/>
              </w:rPr>
            </w:pPr>
            <w:r>
              <w:rPr>
                <w:rFonts w:ascii="Arial" w:cs="Arial" w:eastAsia="Arial" w:hAnsi="Arial"/>
                <w:sz w:val="13"/>
                <w:szCs w:val="13"/>
                <w:b w:val="1"/>
                <w:bCs w:val="1"/>
                <w:color w:val="auto"/>
                <w:w w:val="96"/>
              </w:rPr>
              <w:t>Total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spacing w:after="0" w:line="128" w:lineRule="exact"/>
              <w:rPr>
                <w:sz w:val="20"/>
                <w:szCs w:val="20"/>
                <w:color w:val="auto"/>
              </w:rPr>
            </w:pPr>
            <w:r>
              <w:rPr>
                <w:rFonts w:ascii="Arial" w:cs="Arial" w:eastAsia="Arial" w:hAnsi="Arial"/>
                <w:sz w:val="13"/>
                <w:szCs w:val="13"/>
                <w:b w:val="1"/>
                <w:bCs w:val="1"/>
                <w:color w:val="auto"/>
              </w:rPr>
              <w:t>Nonaccrual</w:t>
            </w:r>
          </w:p>
        </w:tc>
        <w:tc>
          <w:tcPr>
            <w:tcW w:w="900" w:type="dxa"/>
            <w:vAlign w:val="bottom"/>
            <w:gridSpan w:val="3"/>
          </w:tcPr>
          <w:p>
            <w:pPr>
              <w:spacing w:after="0" w:line="128"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1"/>
                <w:szCs w:val="11"/>
                <w:color w:val="auto"/>
              </w:rPr>
            </w:pPr>
          </w:p>
        </w:tc>
        <w:tc>
          <w:tcPr>
            <w:tcW w:w="440" w:type="dxa"/>
            <w:vAlign w:val="bottom"/>
          </w:tcPr>
          <w:p>
            <w:pPr>
              <w:jc w:val="right"/>
              <w:ind w:right="53"/>
              <w:spacing w:after="0" w:line="128" w:lineRule="exact"/>
              <w:rPr>
                <w:sz w:val="20"/>
                <w:szCs w:val="20"/>
                <w:color w:val="auto"/>
              </w:rPr>
            </w:pPr>
            <w:r>
              <w:rPr>
                <w:rFonts w:ascii="Arial" w:cs="Arial" w:eastAsia="Arial" w:hAnsi="Arial"/>
                <w:sz w:val="13"/>
                <w:szCs w:val="13"/>
                <w:b w:val="1"/>
                <w:bCs w:val="1"/>
                <w:color w:val="auto"/>
                <w:w w:val="96"/>
              </w:rPr>
              <w:t>Total</w:t>
            </w:r>
          </w:p>
        </w:tc>
        <w:tc>
          <w:tcPr>
            <w:tcW w:w="280" w:type="dxa"/>
            <w:vAlign w:val="bottom"/>
          </w:tcPr>
          <w:p>
            <w:pPr>
              <w:spacing w:after="0"/>
              <w:rPr>
                <w:sz w:val="11"/>
                <w:szCs w:val="11"/>
                <w:color w:val="auto"/>
              </w:rPr>
            </w:pPr>
          </w:p>
        </w:tc>
        <w:tc>
          <w:tcPr>
            <w:tcW w:w="780" w:type="dxa"/>
            <w:vAlign w:val="bottom"/>
            <w:gridSpan w:val="3"/>
          </w:tcPr>
          <w:p>
            <w:pPr>
              <w:spacing w:after="0" w:line="128" w:lineRule="exact"/>
              <w:rPr>
                <w:sz w:val="20"/>
                <w:szCs w:val="20"/>
                <w:color w:val="auto"/>
              </w:rPr>
            </w:pPr>
            <w:r>
              <w:rPr>
                <w:rFonts w:ascii="Arial" w:cs="Arial" w:eastAsia="Arial" w:hAnsi="Arial"/>
                <w:sz w:val="13"/>
                <w:szCs w:val="13"/>
                <w:b w:val="1"/>
                <w:bCs w:val="1"/>
                <w:color w:val="auto"/>
              </w:rPr>
              <w:t>Nonaccrual</w:t>
            </w:r>
          </w:p>
        </w:tc>
        <w:tc>
          <w:tcPr>
            <w:tcW w:w="160" w:type="dxa"/>
            <w:vAlign w:val="bottom"/>
          </w:tcPr>
          <w:p>
            <w:pPr>
              <w:spacing w:after="0"/>
              <w:rPr>
                <w:sz w:val="11"/>
                <w:szCs w:val="11"/>
                <w:color w:val="auto"/>
              </w:rPr>
            </w:pPr>
          </w:p>
        </w:tc>
        <w:tc>
          <w:tcPr>
            <w:tcW w:w="820" w:type="dxa"/>
            <w:vAlign w:val="bottom"/>
            <w:gridSpan w:val="3"/>
          </w:tcPr>
          <w:p>
            <w:pPr>
              <w:spacing w:after="0" w:line="128"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53"/>
              <w:spacing w:after="0" w:line="128"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Loans</w:t>
            </w:r>
          </w:p>
        </w:tc>
        <w:tc>
          <w:tcPr>
            <w:tcW w:w="16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Properties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NPAs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3"/>
              </w:rPr>
              <w:t>Loans</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Properties</w:t>
            </w:r>
          </w:p>
        </w:tc>
        <w:tc>
          <w:tcPr>
            <w:tcW w:w="8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NPAs</w:t>
            </w:r>
          </w:p>
        </w:tc>
        <w:tc>
          <w:tcPr>
            <w:tcW w:w="10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Loans</w:t>
            </w:r>
          </w:p>
        </w:tc>
        <w:tc>
          <w:tcPr>
            <w:tcW w:w="16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Properties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NPAs</w:t>
            </w:r>
          </w:p>
        </w:tc>
        <w:tc>
          <w:tcPr>
            <w:tcW w:w="0" w:type="dxa"/>
            <w:vAlign w:val="bottom"/>
          </w:tcPr>
          <w:p>
            <w:pPr>
              <w:spacing w:after="0"/>
              <w:rPr>
                <w:sz w:val="1"/>
                <w:szCs w:val="1"/>
                <w:color w:val="auto"/>
              </w:rPr>
            </w:pPr>
          </w:p>
        </w:tc>
      </w:tr>
      <w:tr>
        <w:trPr>
          <w:trHeight w:val="127"/>
        </w:trPr>
        <w:tc>
          <w:tcPr>
            <w:tcW w:w="364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BY CATEGORY</w:t>
            </w: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line="148" w:lineRule="exact"/>
              <w:rPr>
                <w:sz w:val="20"/>
                <w:szCs w:val="20"/>
                <w:color w:val="auto"/>
              </w:rPr>
            </w:pPr>
            <w:r>
              <w:rPr>
                <w:rFonts w:ascii="Arial" w:cs="Arial" w:eastAsia="Arial" w:hAnsi="Arial"/>
                <w:sz w:val="13"/>
                <w:szCs w:val="13"/>
                <w:color w:val="auto"/>
              </w:rPr>
              <w:t>Commercial (sec. by RE)</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19,115</w:t>
            </w:r>
          </w:p>
        </w:tc>
        <w:tc>
          <w:tcPr>
            <w:tcW w:w="120" w:type="dxa"/>
            <w:vAlign w:val="bottom"/>
          </w:tcPr>
          <w:p>
            <w:pPr>
              <w:spacing w:after="0"/>
              <w:rPr>
                <w:sz w:val="12"/>
                <w:szCs w:val="12"/>
                <w:color w:val="auto"/>
              </w:rPr>
            </w:pPr>
          </w:p>
        </w:tc>
        <w:tc>
          <w:tcPr>
            <w:tcW w:w="32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10,586</w:t>
            </w:r>
          </w:p>
        </w:tc>
        <w:tc>
          <w:tcPr>
            <w:tcW w:w="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29,701</w:t>
            </w:r>
          </w:p>
        </w:tc>
        <w:tc>
          <w:tcPr>
            <w:tcW w:w="20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27,322</w:t>
            </w:r>
          </w:p>
        </w:tc>
        <w:tc>
          <w:tcPr>
            <w:tcW w:w="280" w:type="dxa"/>
            <w:vAlign w:val="bottom"/>
          </w:tcPr>
          <w:p>
            <w:pPr>
              <w:spacing w:after="0"/>
              <w:rPr>
                <w:sz w:val="12"/>
                <w:szCs w:val="12"/>
                <w:color w:val="auto"/>
              </w:rPr>
            </w:pPr>
          </w:p>
        </w:tc>
        <w:tc>
          <w:tcPr>
            <w:tcW w:w="16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9,745</w:t>
            </w:r>
          </w:p>
        </w:tc>
        <w:tc>
          <w:tcPr>
            <w:tcW w:w="28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37,067</w:t>
            </w: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17,764</w:t>
            </w:r>
          </w:p>
        </w:tc>
        <w:tc>
          <w:tcPr>
            <w:tcW w:w="32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6,796</w:t>
            </w:r>
          </w:p>
        </w:tc>
        <w:tc>
          <w:tcPr>
            <w:tcW w:w="200" w:type="dxa"/>
            <w:vAlign w:val="bottom"/>
          </w:tcPr>
          <w:p>
            <w:pPr>
              <w:spacing w:after="0"/>
              <w:rPr>
                <w:sz w:val="12"/>
                <w:szCs w:val="12"/>
                <w:color w:val="auto"/>
              </w:rPr>
            </w:pPr>
          </w:p>
        </w:tc>
        <w:tc>
          <w:tcPr>
            <w:tcW w:w="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24,560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Commercial &amp; industrial</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34,982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34,982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34,613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34,613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1,998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line="148" w:lineRule="exact"/>
              <w:rPr>
                <w:sz w:val="20"/>
                <w:szCs w:val="20"/>
                <w:color w:val="auto"/>
              </w:rPr>
            </w:pPr>
            <w:r>
              <w:rPr>
                <w:rFonts w:ascii="Arial" w:cs="Arial" w:eastAsia="Arial" w:hAnsi="Arial"/>
                <w:sz w:val="13"/>
                <w:szCs w:val="13"/>
                <w:color w:val="auto"/>
              </w:rPr>
              <w:t>Commercial construction</w:t>
            </w: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18,175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2,732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20,907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16,655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3,336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19,991</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2,782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6,764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9,546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640" w:type="dxa"/>
            <w:vAlign w:val="bottom"/>
            <w:shd w:val="clear" w:color="auto" w:fill="CCEEFF"/>
          </w:tcPr>
          <w:p>
            <w:pPr>
              <w:ind w:left="440"/>
              <w:spacing w:after="0" w:line="148" w:lineRule="exact"/>
              <w:rPr>
                <w:sz w:val="20"/>
                <w:szCs w:val="20"/>
                <w:color w:val="auto"/>
              </w:rPr>
            </w:pPr>
            <w:r>
              <w:rPr>
                <w:rFonts w:ascii="Arial" w:cs="Arial" w:eastAsia="Arial" w:hAnsi="Arial"/>
                <w:sz w:val="13"/>
                <w:szCs w:val="13"/>
                <w:color w:val="auto"/>
              </w:rPr>
              <w:t>Total commercial</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72,272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13,318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85,590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78,590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13,081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91,671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22,544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13,560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36,104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line="148" w:lineRule="exact"/>
              <w:rPr>
                <w:sz w:val="20"/>
                <w:szCs w:val="20"/>
                <w:color w:val="auto"/>
              </w:rPr>
            </w:pPr>
            <w:r>
              <w:rPr>
                <w:rFonts w:ascii="Arial" w:cs="Arial" w:eastAsia="Arial" w:hAnsi="Arial"/>
                <w:sz w:val="13"/>
                <w:szCs w:val="13"/>
                <w:color w:val="auto"/>
              </w:rPr>
              <w:t>Residential mortgage</w:t>
            </w: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16,631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5,591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22,222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22,358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6,927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29,285</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24,809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9,056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33,865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Residential construction</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25,530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11,512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37,042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25,523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12,851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38,374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22,643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24,968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47,611</w:t>
            </w:r>
          </w:p>
        </w:tc>
        <w:tc>
          <w:tcPr>
            <w:tcW w:w="0" w:type="dxa"/>
            <w:vAlign w:val="bottom"/>
          </w:tcPr>
          <w:p>
            <w:pPr>
              <w:spacing w:after="0"/>
              <w:rPr>
                <w:sz w:val="1"/>
                <w:szCs w:val="1"/>
                <w:color w:val="auto"/>
              </w:rPr>
            </w:pPr>
          </w:p>
        </w:tc>
      </w:tr>
      <w:tr>
        <w:trPr>
          <w:trHeight w:val="147"/>
        </w:trPr>
        <w:tc>
          <w:tcPr>
            <w:tcW w:w="3640" w:type="dxa"/>
            <w:vAlign w:val="bottom"/>
          </w:tcPr>
          <w:p>
            <w:pPr>
              <w:spacing w:after="0" w:line="148" w:lineRule="exact"/>
              <w:rPr>
                <w:sz w:val="20"/>
                <w:szCs w:val="20"/>
                <w:color w:val="auto"/>
              </w:rPr>
            </w:pPr>
            <w:r>
              <w:rPr>
                <w:rFonts w:ascii="Arial" w:cs="Arial" w:eastAsia="Arial" w:hAnsi="Arial"/>
                <w:sz w:val="13"/>
                <w:szCs w:val="13"/>
                <w:color w:val="auto"/>
              </w:rPr>
              <w:t>Consumer installment</w:t>
            </w: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907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1,008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1,069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1,069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640" w:type="dxa"/>
            <w:vAlign w:val="bottom"/>
            <w:shd w:val="clear" w:color="auto" w:fill="CCEEFF"/>
          </w:tcPr>
          <w:p>
            <w:pPr>
              <w:ind w:left="440"/>
              <w:spacing w:after="0" w:line="148" w:lineRule="exact"/>
              <w:rPr>
                <w:sz w:val="20"/>
                <w:szCs w:val="20"/>
                <w:color w:val="auto"/>
              </w:rPr>
            </w:pPr>
            <w:r>
              <w:rPr>
                <w:rFonts w:ascii="Arial" w:cs="Arial" w:eastAsia="Arial" w:hAnsi="Arial"/>
                <w:sz w:val="13"/>
                <w:szCs w:val="13"/>
                <w:b w:val="1"/>
                <w:bCs w:val="1"/>
                <w:color w:val="auto"/>
              </w:rPr>
              <w:t>Total NPAs</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115,340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30,421</w:t>
            </w:r>
          </w:p>
        </w:tc>
        <w:tc>
          <w:tcPr>
            <w:tcW w:w="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rPr>
              <w:t>$</w:t>
            </w: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89"/>
              </w:rPr>
              <w:t>145,761</w:t>
            </w:r>
          </w:p>
        </w:tc>
        <w:tc>
          <w:tcPr>
            <w:tcW w:w="20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127,479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32,859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w w:val="82"/>
              </w:rPr>
              <w:t>$</w:t>
            </w: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w w:val="89"/>
              </w:rPr>
              <w:t>160,338</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71,065</w:t>
            </w:r>
          </w:p>
        </w:tc>
        <w:tc>
          <w:tcPr>
            <w:tcW w:w="32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47,584</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rPr>
              <w:t>$</w:t>
            </w:r>
          </w:p>
        </w:tc>
        <w:tc>
          <w:tcPr>
            <w:tcW w:w="5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w w:val="89"/>
              </w:rPr>
              <w:t>118,649</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Balance as a % of Unpaid Principal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68.8%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39.3%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71.3%</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35.9%</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59.3%</w:t>
            </w:r>
          </w:p>
        </w:tc>
        <w:tc>
          <w:tcPr>
            <w:tcW w:w="100" w:type="dxa"/>
            <w:vAlign w:val="bottom"/>
          </w:tcPr>
          <w:p>
            <w:pPr>
              <w:spacing w:after="0"/>
              <w:rPr>
                <w:sz w:val="12"/>
                <w:szCs w:val="12"/>
                <w:color w:val="auto"/>
              </w:rPr>
            </w:pPr>
          </w:p>
        </w:tc>
        <w:tc>
          <w:tcPr>
            <w:tcW w:w="68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64.5%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32.6%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47"/>
        </w:trPr>
        <w:tc>
          <w:tcPr>
            <w:tcW w:w="36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BY MARKET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line="148" w:lineRule="exact"/>
              <w:rPr>
                <w:sz w:val="20"/>
                <w:szCs w:val="20"/>
                <w:color w:val="auto"/>
              </w:rPr>
            </w:pPr>
            <w:r>
              <w:rPr>
                <w:rFonts w:ascii="Arial" w:cs="Arial" w:eastAsia="Arial" w:hAnsi="Arial"/>
                <w:sz w:val="13"/>
                <w:szCs w:val="13"/>
                <w:color w:val="auto"/>
              </w:rPr>
              <w:t>North Georgia</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77,332</w:t>
            </w:r>
          </w:p>
        </w:tc>
        <w:tc>
          <w:tcPr>
            <w:tcW w:w="120" w:type="dxa"/>
            <w:vAlign w:val="bottom"/>
          </w:tcPr>
          <w:p>
            <w:pPr>
              <w:spacing w:after="0"/>
              <w:rPr>
                <w:sz w:val="12"/>
                <w:szCs w:val="12"/>
                <w:color w:val="auto"/>
              </w:rPr>
            </w:pPr>
          </w:p>
        </w:tc>
        <w:tc>
          <w:tcPr>
            <w:tcW w:w="32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13,546</w:t>
            </w:r>
          </w:p>
        </w:tc>
        <w:tc>
          <w:tcPr>
            <w:tcW w:w="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90,878</w:t>
            </w:r>
          </w:p>
        </w:tc>
        <w:tc>
          <w:tcPr>
            <w:tcW w:w="20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88,600</w:t>
            </w:r>
          </w:p>
        </w:tc>
        <w:tc>
          <w:tcPr>
            <w:tcW w:w="280" w:type="dxa"/>
            <w:vAlign w:val="bottom"/>
          </w:tcPr>
          <w:p>
            <w:pPr>
              <w:spacing w:after="0"/>
              <w:rPr>
                <w:sz w:val="12"/>
                <w:szCs w:val="12"/>
                <w:color w:val="auto"/>
              </w:rPr>
            </w:pPr>
          </w:p>
        </w:tc>
        <w:tc>
          <w:tcPr>
            <w:tcW w:w="16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15,136</w:t>
            </w:r>
          </w:p>
        </w:tc>
        <w:tc>
          <w:tcPr>
            <w:tcW w:w="28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w w:val="89"/>
              </w:rPr>
              <w:t>103,736</w:t>
            </w: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28,117</w:t>
            </w:r>
          </w:p>
        </w:tc>
        <w:tc>
          <w:tcPr>
            <w:tcW w:w="32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21,278</w:t>
            </w:r>
          </w:p>
        </w:tc>
        <w:tc>
          <w:tcPr>
            <w:tcW w:w="200" w:type="dxa"/>
            <w:vAlign w:val="bottom"/>
          </w:tcPr>
          <w:p>
            <w:pPr>
              <w:spacing w:after="0"/>
              <w:rPr>
                <w:sz w:val="12"/>
                <w:szCs w:val="12"/>
                <w:color w:val="auto"/>
              </w:rPr>
            </w:pPr>
          </w:p>
        </w:tc>
        <w:tc>
          <w:tcPr>
            <w:tcW w:w="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49,395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Atlanta MSA</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17,593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8,651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26,244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14,480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6,169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20,649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14,700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11,239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25,939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line="148" w:lineRule="exact"/>
              <w:rPr>
                <w:sz w:val="20"/>
                <w:szCs w:val="20"/>
                <w:color w:val="auto"/>
              </w:rPr>
            </w:pPr>
            <w:r>
              <w:rPr>
                <w:rFonts w:ascii="Arial" w:cs="Arial" w:eastAsia="Arial" w:hAnsi="Arial"/>
                <w:sz w:val="13"/>
                <w:szCs w:val="13"/>
                <w:color w:val="auto"/>
              </w:rPr>
              <w:t>North Carolina</w:t>
            </w: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10,657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3,287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13,944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15,100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5,365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20,465</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15,153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8,953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24,106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Coastal Georgia</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5,822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785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6,607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5,248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1,620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6,868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5,357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2,564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7,921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line="148" w:lineRule="exact"/>
              <w:rPr>
                <w:sz w:val="20"/>
                <w:szCs w:val="20"/>
                <w:color w:val="auto"/>
              </w:rPr>
            </w:pPr>
            <w:r>
              <w:rPr>
                <w:rFonts w:ascii="Arial" w:cs="Arial" w:eastAsia="Arial" w:hAnsi="Arial"/>
                <w:sz w:val="13"/>
                <w:szCs w:val="13"/>
                <w:color w:val="auto"/>
              </w:rPr>
              <w:t>Gainesville MSA</w:t>
            </w: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2,998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3,989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2,069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3,760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5,829</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4,505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3,174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7,679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East Tennessee</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2,945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4,099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809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2,791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3,233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3,609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Total NPAs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40" w:type="dxa"/>
            <w:vAlign w:val="bottom"/>
            <w:vMerge w:val="continue"/>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115,340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30,421</w:t>
            </w:r>
          </w:p>
        </w:tc>
        <w:tc>
          <w:tcPr>
            <w:tcW w:w="16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w w:val="89"/>
              </w:rPr>
              <w:t>145,761</w:t>
            </w: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127,479</w:t>
            </w:r>
          </w:p>
        </w:tc>
        <w:tc>
          <w:tcPr>
            <w:tcW w:w="28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32,859</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w w:val="89"/>
              </w:rPr>
              <w:t>160,338</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71,065</w:t>
            </w:r>
          </w:p>
        </w:tc>
        <w:tc>
          <w:tcPr>
            <w:tcW w:w="3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47,584</w:t>
            </w:r>
          </w:p>
        </w:tc>
        <w:tc>
          <w:tcPr>
            <w:tcW w:w="2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w w:val="89"/>
              </w:rPr>
              <w:t>118,649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60" w:hanging="453"/>
        <w:spacing w:after="0"/>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Nonperforming assets in the residential construction category were $37.0 million at June 30, 2012, compared with $47.6 million at June 30, 2011, a decrease of $10.6 million, or 22%. Commercial nonperforming assets increased from $36.1 million at June 30, 2011 to $85.6 million at June 30, 2012. Residential mortgage non-performing assets of $22.2 million decreased $11.6 million from June 30, 2011. The overall increase in nonperforming assets was concentrated in the North Georgia market and is mostly due to placing United’s largest lending relationship on nonaccrual status in the third quarter of 2011. Placing this loan relationship on nonaccrual was also the cause of the increase in commercial nonperforming assets from June 30, 2011.</w:t>
      </w:r>
    </w:p>
    <w:p>
      <w:pPr>
        <w:spacing w:after="0" w:line="117"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At June 30, 2012, December 31, 2011, and June 30, 2011 United had $168 million, $124 million and $46.2 respectively, in loans with terms that have been modified in a troubled debt restructuring (“TDR”). Included therein were $26.0 million, $17.9 million and $4.75 million of TDRs that were not performing in accordance with their modified terms and were included in nonperforming loans. The remaining TDRs with an aggregate balance of $142 million, $106 million and $41.5 million, respectively, were performing according to their modified terms and are therefore not considered to be nonperforming assets.</w:t>
      </w:r>
    </w:p>
    <w:p>
      <w:pPr>
        <w:spacing w:after="0" w:line="11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At June 30, 2012, December 31, 2011, and June 30, 2011, there were $294 million, $257 million and $35.7 million, respectively, of loans classified as impaired under the definition outlined in the ASC. Included in impaired loans at June 30, 2012, December 31, 2011 and June 30, 2011, was $215 million, $189 million and $32.8 million, respectively that did not require specific reserves or had previously been charged down to net realizable value. The balance of impaired loans at June 30, 2012, December 31, 2011 and June 30, 2011, of $78.9 million, $68.8 million and $2.86 million, respectively, had specific reserves that totaled $17.4 million, $14.8 million and $1.17 million, respectively. The average recorded investment in impaired loans for the second quarters of 2012 and 2011 was $287 million and $42.1 million, respectively. For the three and six months ended June 30, 2012, United recognized $2.42 and $4.69, respectively, in interest revenue on impaired loans. There was no interest revenue recognized on loans while they were impaired for the first six months of 2011. United’s policy is to discontinue the recognition of interest revenue for loans classified as impaired under ASC 310-10-35,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when a loan meets the criteria for nonaccrual status. Impaired loans increased from 2011 to 2012 due to the classification and change of accrual status of United’s largest lending relationship and the increase in TDRs which are considered impaired.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5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color w:val="auto"/>
        </w:rPr>
        <w:t>The table below summarizes activity in non-performing assets by quarter. Assets covered by loss sharing agreements with the FDIC, related to the acquisition of SCB, are not included in this table.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12—Activity in Nonperforming Assets by Quarter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1"/>
                <w:szCs w:val="21"/>
                <w:color w:val="auto"/>
              </w:rPr>
            </w:pPr>
          </w:p>
        </w:tc>
        <w:tc>
          <w:tcPr>
            <w:tcW w:w="2940" w:type="dxa"/>
            <w:vAlign w:val="bottom"/>
            <w:gridSpan w:val="7"/>
          </w:tcPr>
          <w:p>
            <w:pPr>
              <w:jc w:val="center"/>
              <w:ind w:right="320"/>
              <w:spacing w:after="0"/>
              <w:rPr>
                <w:sz w:val="20"/>
                <w:szCs w:val="20"/>
                <w:color w:val="auto"/>
              </w:rPr>
            </w:pPr>
            <w:r>
              <w:rPr>
                <w:rFonts w:ascii="Arial" w:cs="Arial" w:eastAsia="Arial" w:hAnsi="Arial"/>
                <w:sz w:val="13"/>
                <w:szCs w:val="13"/>
                <w:b w:val="1"/>
                <w:bCs w:val="1"/>
                <w:color w:val="auto"/>
                <w:w w:val="91"/>
              </w:rPr>
              <w:t xml:space="preserve">Second Quarter 2012 </w:t>
            </w:r>
            <w:r>
              <w:rPr>
                <w:rFonts w:ascii="Arial" w:cs="Arial" w:eastAsia="Arial" w:hAnsi="Arial"/>
                <w:sz w:val="22"/>
                <w:szCs w:val="22"/>
                <w:b w:val="1"/>
                <w:bCs w:val="1"/>
                <w:color w:val="auto"/>
                <w:w w:val="91"/>
                <w:vertAlign w:val="superscript"/>
              </w:rPr>
              <w:t>(1)</w:t>
            </w:r>
          </w:p>
        </w:tc>
        <w:tc>
          <w:tcPr>
            <w:tcW w:w="120" w:type="dxa"/>
            <w:vAlign w:val="bottom"/>
          </w:tcPr>
          <w:p>
            <w:pPr>
              <w:spacing w:after="0"/>
              <w:rPr>
                <w:sz w:val="21"/>
                <w:szCs w:val="21"/>
                <w:color w:val="auto"/>
              </w:rPr>
            </w:pPr>
          </w:p>
        </w:tc>
        <w:tc>
          <w:tcPr>
            <w:tcW w:w="2640" w:type="dxa"/>
            <w:vAlign w:val="bottom"/>
            <w:gridSpan w:val="8"/>
          </w:tcPr>
          <w:p>
            <w:pPr>
              <w:jc w:val="right"/>
              <w:ind w:right="760"/>
              <w:spacing w:after="0"/>
              <w:rPr>
                <w:sz w:val="20"/>
                <w:szCs w:val="20"/>
                <w:color w:val="auto"/>
              </w:rPr>
            </w:pPr>
            <w:r>
              <w:rPr>
                <w:rFonts w:ascii="Arial" w:cs="Arial" w:eastAsia="Arial" w:hAnsi="Arial"/>
                <w:sz w:val="13"/>
                <w:szCs w:val="13"/>
                <w:b w:val="1"/>
                <w:bCs w:val="1"/>
                <w:color w:val="auto"/>
              </w:rPr>
              <w:t xml:space="preserve">Second Quarter 2011 </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28"/>
        </w:trPr>
        <w:tc>
          <w:tcPr>
            <w:tcW w:w="57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320"/>
              <w:spacing w:after="0" w:line="128" w:lineRule="exact"/>
              <w:rPr>
                <w:sz w:val="20"/>
                <w:szCs w:val="20"/>
                <w:color w:val="auto"/>
              </w:rPr>
            </w:pPr>
            <w:r>
              <w:rPr>
                <w:rFonts w:ascii="Arial" w:cs="Arial" w:eastAsia="Arial" w:hAnsi="Arial"/>
                <w:sz w:val="13"/>
                <w:szCs w:val="13"/>
                <w:b w:val="1"/>
                <w:bCs w:val="1"/>
                <w:color w:val="auto"/>
                <w:w w:val="93"/>
              </w:rPr>
              <w:t>Nonaccrual</w:t>
            </w:r>
          </w:p>
        </w:tc>
        <w:tc>
          <w:tcPr>
            <w:tcW w:w="840" w:type="dxa"/>
            <w:vAlign w:val="bottom"/>
            <w:tcBorders>
              <w:top w:val="single" w:sz="8" w:color="auto"/>
            </w:tcBorders>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9"/>
              </w:rPr>
              <w:t>Foreclosed</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200"/>
              <w:spacing w:after="0" w:line="128" w:lineRule="exact"/>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8" w:lineRule="exact"/>
              <w:rPr>
                <w:sz w:val="20"/>
                <w:szCs w:val="20"/>
                <w:color w:val="auto"/>
              </w:rPr>
            </w:pPr>
            <w:r>
              <w:rPr>
                <w:rFonts w:ascii="Arial" w:cs="Arial" w:eastAsia="Arial" w:hAnsi="Arial"/>
                <w:sz w:val="13"/>
                <w:szCs w:val="13"/>
                <w:b w:val="1"/>
                <w:bCs w:val="1"/>
                <w:color w:val="auto"/>
              </w:rPr>
              <w:t>Nonaccrual</w:t>
            </w:r>
          </w:p>
        </w:tc>
        <w:tc>
          <w:tcPr>
            <w:tcW w:w="860" w:type="dxa"/>
            <w:vAlign w:val="bottom"/>
            <w:tcBorders>
              <w:top w:val="single" w:sz="8" w:color="auto"/>
            </w:tcBorders>
            <w:gridSpan w:val="3"/>
          </w:tcPr>
          <w:p>
            <w:pPr>
              <w:ind w:left="20"/>
              <w:spacing w:after="0" w:line="128" w:lineRule="exact"/>
              <w:rPr>
                <w:sz w:val="20"/>
                <w:szCs w:val="20"/>
                <w:color w:val="auto"/>
              </w:rPr>
            </w:pPr>
            <w:r>
              <w:rPr>
                <w:rFonts w:ascii="Arial" w:cs="Arial" w:eastAsia="Arial" w:hAnsi="Arial"/>
                <w:sz w:val="13"/>
                <w:szCs w:val="13"/>
                <w:b w:val="1"/>
                <w:bCs w:val="1"/>
                <w:color w:val="auto"/>
              </w:rPr>
              <w:t>Foreclosed</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200"/>
              <w:spacing w:after="0" w:line="128"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72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Loans</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Properties</w:t>
            </w:r>
          </w:p>
        </w:tc>
        <w:tc>
          <w:tcPr>
            <w:tcW w:w="12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NPAs</w:t>
            </w:r>
          </w:p>
        </w:tc>
        <w:tc>
          <w:tcPr>
            <w:tcW w:w="12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9"/>
              </w:rPr>
              <w:t>Loans</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Properties</w:t>
            </w:r>
          </w:p>
        </w:tc>
        <w:tc>
          <w:tcPr>
            <w:tcW w:w="120" w:type="dxa"/>
            <w:vAlign w:val="bottom"/>
          </w:tcPr>
          <w:p>
            <w:pPr>
              <w:spacing w:after="0"/>
              <w:rPr>
                <w:sz w:val="13"/>
                <w:szCs w:val="13"/>
                <w:color w:val="auto"/>
              </w:rPr>
            </w:pPr>
          </w:p>
        </w:tc>
        <w:tc>
          <w:tcPr>
            <w:tcW w:w="780" w:type="dxa"/>
            <w:vAlign w:val="bottom"/>
            <w:gridSpan w:val="2"/>
          </w:tcPr>
          <w:p>
            <w:pPr>
              <w:ind w:left="180"/>
              <w:spacing w:after="0"/>
              <w:rPr>
                <w:sz w:val="20"/>
                <w:szCs w:val="20"/>
                <w:color w:val="auto"/>
              </w:rPr>
            </w:pPr>
            <w:r>
              <w:rPr>
                <w:rFonts w:ascii="Arial" w:cs="Arial" w:eastAsia="Arial" w:hAnsi="Arial"/>
                <w:sz w:val="13"/>
                <w:szCs w:val="13"/>
                <w:b w:val="1"/>
                <w:bCs w:val="1"/>
                <w:color w:val="auto"/>
              </w:rPr>
              <w:t>NPAs</w:t>
            </w:r>
          </w:p>
        </w:tc>
        <w:tc>
          <w:tcPr>
            <w:tcW w:w="0" w:type="dxa"/>
            <w:vAlign w:val="bottom"/>
          </w:tcPr>
          <w:p>
            <w:pPr>
              <w:spacing w:after="0"/>
              <w:rPr>
                <w:sz w:val="1"/>
                <w:szCs w:val="1"/>
                <w:color w:val="auto"/>
              </w:rPr>
            </w:pPr>
          </w:p>
        </w:tc>
      </w:tr>
      <w:tr>
        <w:trPr>
          <w:trHeight w:val="208"/>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$129,704</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$ 31,887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$161,591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83,769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54,378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$138,147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7"/>
                <w:szCs w:val="17"/>
                <w:color w:val="auto"/>
              </w:rPr>
              <w:t xml:space="preserve">Loans placed on non-accrual </w:t>
            </w:r>
            <w:r>
              <w:rPr>
                <w:rFonts w:ascii="Arial" w:cs="Arial" w:eastAsia="Arial" w:hAnsi="Arial"/>
                <w:sz w:val="11"/>
                <w:szCs w:val="11"/>
                <w:color w:val="auto"/>
              </w:rPr>
              <w:t>(2)</w:t>
            </w:r>
          </w:p>
        </w:tc>
        <w:tc>
          <w:tcPr>
            <w:tcW w:w="660" w:type="dxa"/>
            <w:vAlign w:val="bottom"/>
          </w:tcPr>
          <w:p>
            <w:pPr>
              <w:jc w:val="right"/>
              <w:spacing w:after="0"/>
              <w:rPr>
                <w:sz w:val="20"/>
                <w:szCs w:val="20"/>
                <w:color w:val="auto"/>
              </w:rPr>
            </w:pPr>
            <w:r>
              <w:rPr>
                <w:rFonts w:ascii="Arial" w:cs="Arial" w:eastAsia="Arial" w:hAnsi="Arial"/>
                <w:sz w:val="17"/>
                <w:szCs w:val="17"/>
                <w:color w:val="auto"/>
              </w:rPr>
              <w:t>29,364</w:t>
            </w:r>
          </w:p>
        </w:tc>
        <w:tc>
          <w:tcPr>
            <w:tcW w:w="3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29,364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35,911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35,911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Payments received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(15,027)</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(15,027)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(7,702)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(7,702)</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7"/>
                <w:szCs w:val="17"/>
                <w:color w:val="auto"/>
              </w:rPr>
              <w:t>Loan charge-offs</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(19,382)</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(19,382)</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(18,888)</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(18,888)</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Foreclosures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(9,319)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9,319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1"/>
              </w:rPr>
              <w:t>(22,025)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22,025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7"/>
                <w:szCs w:val="17"/>
                <w:color w:val="auto"/>
              </w:rPr>
              <w:t>Capitalized costs</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415</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20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Note / property sales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(10,461)</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(10,461)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(28,939)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(28,939)</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7"/>
                <w:szCs w:val="17"/>
                <w:color w:val="auto"/>
              </w:rPr>
              <w:t>Write downs</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(1,008)</w:t>
            </w: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(1,008)</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(3,118)</w:t>
            </w: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(3,118)</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Net gains (losses) on sales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440"/>
              <w:spacing w:after="0"/>
              <w:rPr>
                <w:sz w:val="20"/>
                <w:szCs w:val="20"/>
                <w:color w:val="auto"/>
              </w:rPr>
            </w:pPr>
            <w:r>
              <w:rPr>
                <w:rFonts w:ascii="Arial" w:cs="Arial" w:eastAsia="Arial" w:hAnsi="Arial"/>
                <w:sz w:val="17"/>
                <w:szCs w:val="17"/>
                <w:b w:val="1"/>
                <w:bCs w:val="1"/>
                <w:color w:val="auto"/>
              </w:rPr>
              <w:t>Ending Balance</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4"/>
              </w:rPr>
              <w:t>$ 115,340</w:t>
            </w:r>
          </w:p>
        </w:tc>
        <w:tc>
          <w:tcPr>
            <w:tcW w:w="3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$ 30,421</w:t>
            </w:r>
          </w:p>
        </w:tc>
        <w:tc>
          <w:tcPr>
            <w:tcW w:w="8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145,761</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71,065</w:t>
            </w: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47,584</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$ 118,649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720" w:type="dxa"/>
            <w:vAlign w:val="bottom"/>
          </w:tcPr>
          <w:p>
            <w:pPr>
              <w:spacing w:after="0"/>
              <w:rPr>
                <w:sz w:val="24"/>
                <w:szCs w:val="24"/>
                <w:color w:val="auto"/>
              </w:rPr>
            </w:pPr>
          </w:p>
        </w:tc>
        <w:tc>
          <w:tcPr>
            <w:tcW w:w="2940" w:type="dxa"/>
            <w:vAlign w:val="bottom"/>
            <w:gridSpan w:val="7"/>
          </w:tcPr>
          <w:p>
            <w:pPr>
              <w:jc w:val="center"/>
              <w:ind w:right="320"/>
              <w:spacing w:after="0"/>
              <w:rPr>
                <w:sz w:val="20"/>
                <w:szCs w:val="20"/>
                <w:color w:val="auto"/>
              </w:rPr>
            </w:pPr>
            <w:r>
              <w:rPr>
                <w:rFonts w:ascii="Arial" w:cs="Arial" w:eastAsia="Arial" w:hAnsi="Arial"/>
                <w:sz w:val="13"/>
                <w:szCs w:val="13"/>
                <w:b w:val="1"/>
                <w:bCs w:val="1"/>
                <w:color w:val="auto"/>
                <w:w w:val="91"/>
              </w:rPr>
              <w:t xml:space="preserve">First Six Months 2012 </w:t>
            </w:r>
            <w:r>
              <w:rPr>
                <w:rFonts w:ascii="Arial" w:cs="Arial" w:eastAsia="Arial" w:hAnsi="Arial"/>
                <w:sz w:val="22"/>
                <w:szCs w:val="22"/>
                <w:b w:val="1"/>
                <w:bCs w:val="1"/>
                <w:color w:val="auto"/>
                <w:w w:val="91"/>
                <w:vertAlign w:val="superscript"/>
              </w:rPr>
              <w:t>(1)</w:t>
            </w:r>
          </w:p>
        </w:tc>
        <w:tc>
          <w:tcPr>
            <w:tcW w:w="120" w:type="dxa"/>
            <w:vAlign w:val="bottom"/>
          </w:tcPr>
          <w:p>
            <w:pPr>
              <w:spacing w:after="0"/>
              <w:rPr>
                <w:sz w:val="24"/>
                <w:szCs w:val="24"/>
                <w:color w:val="auto"/>
              </w:rPr>
            </w:pPr>
          </w:p>
        </w:tc>
        <w:tc>
          <w:tcPr>
            <w:tcW w:w="2640" w:type="dxa"/>
            <w:vAlign w:val="bottom"/>
            <w:gridSpan w:val="8"/>
          </w:tcPr>
          <w:p>
            <w:pPr>
              <w:jc w:val="right"/>
              <w:ind w:right="660"/>
              <w:spacing w:after="0"/>
              <w:rPr>
                <w:sz w:val="20"/>
                <w:szCs w:val="20"/>
                <w:color w:val="auto"/>
              </w:rPr>
            </w:pPr>
            <w:r>
              <w:rPr>
                <w:rFonts w:ascii="Arial" w:cs="Arial" w:eastAsia="Arial" w:hAnsi="Arial"/>
                <w:sz w:val="13"/>
                <w:szCs w:val="13"/>
                <w:b w:val="1"/>
                <w:bCs w:val="1"/>
                <w:color w:val="auto"/>
              </w:rPr>
              <w:t xml:space="preserve">First Six Months 2011 </w:t>
            </w:r>
            <w:r>
              <w:rPr>
                <w:rFonts w:ascii="Arial" w:cs="Arial" w:eastAsia="Arial" w:hAnsi="Arial"/>
                <w:sz w:val="22"/>
                <w:szCs w:val="22"/>
                <w:b w:val="1"/>
                <w:bCs w:val="1"/>
                <w:color w:val="auto"/>
                <w:vertAlign w:val="superscript"/>
              </w:rPr>
              <w:t>(1)(2)</w:t>
            </w:r>
          </w:p>
        </w:tc>
        <w:tc>
          <w:tcPr>
            <w:tcW w:w="0" w:type="dxa"/>
            <w:vAlign w:val="bottom"/>
          </w:tcPr>
          <w:p>
            <w:pPr>
              <w:spacing w:after="0"/>
              <w:rPr>
                <w:sz w:val="1"/>
                <w:szCs w:val="1"/>
                <w:color w:val="auto"/>
              </w:rPr>
            </w:pPr>
          </w:p>
        </w:tc>
      </w:tr>
      <w:tr>
        <w:trPr>
          <w:trHeight w:val="128"/>
        </w:trPr>
        <w:tc>
          <w:tcPr>
            <w:tcW w:w="57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320"/>
              <w:spacing w:after="0" w:line="128" w:lineRule="exact"/>
              <w:rPr>
                <w:sz w:val="20"/>
                <w:szCs w:val="20"/>
                <w:color w:val="auto"/>
              </w:rPr>
            </w:pPr>
            <w:r>
              <w:rPr>
                <w:rFonts w:ascii="Arial" w:cs="Arial" w:eastAsia="Arial" w:hAnsi="Arial"/>
                <w:sz w:val="13"/>
                <w:szCs w:val="13"/>
                <w:b w:val="1"/>
                <w:bCs w:val="1"/>
                <w:color w:val="auto"/>
                <w:w w:val="93"/>
              </w:rPr>
              <w:t>Nonaccrual</w:t>
            </w:r>
          </w:p>
        </w:tc>
        <w:tc>
          <w:tcPr>
            <w:tcW w:w="840" w:type="dxa"/>
            <w:vAlign w:val="bottom"/>
            <w:tcBorders>
              <w:top w:val="single" w:sz="8" w:color="auto"/>
            </w:tcBorders>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9"/>
              </w:rPr>
              <w:t>Foreclosed</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200"/>
              <w:spacing w:after="0" w:line="128" w:lineRule="exact"/>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8" w:lineRule="exact"/>
              <w:rPr>
                <w:sz w:val="20"/>
                <w:szCs w:val="20"/>
                <w:color w:val="auto"/>
              </w:rPr>
            </w:pPr>
            <w:r>
              <w:rPr>
                <w:rFonts w:ascii="Arial" w:cs="Arial" w:eastAsia="Arial" w:hAnsi="Arial"/>
                <w:sz w:val="13"/>
                <w:szCs w:val="13"/>
                <w:b w:val="1"/>
                <w:bCs w:val="1"/>
                <w:color w:val="auto"/>
              </w:rPr>
              <w:t>Nonaccrual</w:t>
            </w:r>
          </w:p>
        </w:tc>
        <w:tc>
          <w:tcPr>
            <w:tcW w:w="860" w:type="dxa"/>
            <w:vAlign w:val="bottom"/>
            <w:tcBorders>
              <w:top w:val="single" w:sz="8" w:color="auto"/>
            </w:tcBorders>
            <w:gridSpan w:val="3"/>
          </w:tcPr>
          <w:p>
            <w:pPr>
              <w:ind w:left="20"/>
              <w:spacing w:after="0" w:line="128" w:lineRule="exact"/>
              <w:rPr>
                <w:sz w:val="20"/>
                <w:szCs w:val="20"/>
                <w:color w:val="auto"/>
              </w:rPr>
            </w:pPr>
            <w:r>
              <w:rPr>
                <w:rFonts w:ascii="Arial" w:cs="Arial" w:eastAsia="Arial" w:hAnsi="Arial"/>
                <w:sz w:val="13"/>
                <w:szCs w:val="13"/>
                <w:b w:val="1"/>
                <w:bCs w:val="1"/>
                <w:color w:val="auto"/>
              </w:rPr>
              <w:t>Foreclosed</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200"/>
              <w:spacing w:after="0" w:line="128"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72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Loans</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Properties</w:t>
            </w:r>
          </w:p>
        </w:tc>
        <w:tc>
          <w:tcPr>
            <w:tcW w:w="12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NPAs</w:t>
            </w:r>
          </w:p>
        </w:tc>
        <w:tc>
          <w:tcPr>
            <w:tcW w:w="12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9"/>
              </w:rPr>
              <w:t>Loans</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Properties</w:t>
            </w:r>
          </w:p>
        </w:tc>
        <w:tc>
          <w:tcPr>
            <w:tcW w:w="120" w:type="dxa"/>
            <w:vAlign w:val="bottom"/>
          </w:tcPr>
          <w:p>
            <w:pPr>
              <w:spacing w:after="0"/>
              <w:rPr>
                <w:sz w:val="13"/>
                <w:szCs w:val="13"/>
                <w:color w:val="auto"/>
              </w:rPr>
            </w:pPr>
          </w:p>
        </w:tc>
        <w:tc>
          <w:tcPr>
            <w:tcW w:w="780" w:type="dxa"/>
            <w:vAlign w:val="bottom"/>
            <w:gridSpan w:val="2"/>
          </w:tcPr>
          <w:p>
            <w:pPr>
              <w:ind w:left="180"/>
              <w:spacing w:after="0"/>
              <w:rPr>
                <w:sz w:val="20"/>
                <w:szCs w:val="20"/>
                <w:color w:val="auto"/>
              </w:rPr>
            </w:pPr>
            <w:r>
              <w:rPr>
                <w:rFonts w:ascii="Arial" w:cs="Arial" w:eastAsia="Arial" w:hAnsi="Arial"/>
                <w:sz w:val="13"/>
                <w:szCs w:val="13"/>
                <w:b w:val="1"/>
                <w:bCs w:val="1"/>
                <w:color w:val="auto"/>
              </w:rPr>
              <w:t>NPAs</w:t>
            </w:r>
          </w:p>
        </w:tc>
        <w:tc>
          <w:tcPr>
            <w:tcW w:w="0" w:type="dxa"/>
            <w:vAlign w:val="bottom"/>
          </w:tcPr>
          <w:p>
            <w:pPr>
              <w:spacing w:after="0"/>
              <w:rPr>
                <w:sz w:val="1"/>
                <w:szCs w:val="1"/>
                <w:color w:val="auto"/>
              </w:rPr>
            </w:pPr>
          </w:p>
        </w:tc>
      </w:tr>
      <w:tr>
        <w:trPr>
          <w:trHeight w:val="208"/>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$127,479</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$ 32,859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$160,338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$179,094</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0"/>
              </w:rPr>
              <w:t>$142,208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$321,302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7"/>
                <w:szCs w:val="17"/>
                <w:color w:val="auto"/>
              </w:rPr>
              <w:t xml:space="preserve">Loans placed on non-accrual </w:t>
            </w:r>
            <w:r>
              <w:rPr>
                <w:rFonts w:ascii="Arial" w:cs="Arial" w:eastAsia="Arial" w:hAnsi="Arial"/>
                <w:sz w:val="11"/>
                <w:szCs w:val="11"/>
                <w:color w:val="auto"/>
              </w:rPr>
              <w:t>(2)</w:t>
            </w:r>
          </w:p>
        </w:tc>
        <w:tc>
          <w:tcPr>
            <w:tcW w:w="660" w:type="dxa"/>
            <w:vAlign w:val="bottom"/>
          </w:tcPr>
          <w:p>
            <w:pPr>
              <w:jc w:val="right"/>
              <w:spacing w:after="0"/>
              <w:rPr>
                <w:sz w:val="20"/>
                <w:szCs w:val="20"/>
                <w:color w:val="auto"/>
              </w:rPr>
            </w:pPr>
            <w:r>
              <w:rPr>
                <w:rFonts w:ascii="Arial" w:cs="Arial" w:eastAsia="Arial" w:hAnsi="Arial"/>
                <w:sz w:val="17"/>
                <w:szCs w:val="17"/>
                <w:color w:val="auto"/>
              </w:rPr>
              <w:t>61,801</w:t>
            </w:r>
          </w:p>
        </w:tc>
        <w:tc>
          <w:tcPr>
            <w:tcW w:w="3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61,801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90,641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90,641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Payments received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(20,972)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(20,972)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1"/>
              </w:rPr>
              <w:t>(11,252)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(11,252)</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7"/>
                <w:szCs w:val="17"/>
                <w:color w:val="auto"/>
              </w:rPr>
              <w:t>Loan charge-offs</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(34,115)</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(34,115)</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(62,857)</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(62,857)</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Foreclosures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(18,853)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18,853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1"/>
              </w:rPr>
              <w:t>(39,077)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39,077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7"/>
                <w:szCs w:val="17"/>
                <w:color w:val="auto"/>
              </w:rPr>
              <w:t>Capitalized costs</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744</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290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Note / property sales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(19,092)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(19,092)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1"/>
              </w:rPr>
              <w:t>(11,400)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(73,486)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(84,886)</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7"/>
                <w:szCs w:val="17"/>
                <w:color w:val="auto"/>
              </w:rPr>
              <w:t>Loans transferred to held for sale</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(74,084)</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(74,084)</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Write downs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(3,119)</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(3,119)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(51,703)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(51,703)</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7"/>
                <w:szCs w:val="17"/>
                <w:color w:val="auto"/>
              </w:rPr>
              <w:t>Net losses on sales</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176</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(8,802)</w:t>
            </w: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(8,802)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72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Ending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$ 115,340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$ 30,421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145,761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47,584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$ 118,649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60" w:hanging="453"/>
        <w:spacing w:after="0"/>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7" w:lineRule="exact"/>
        <w:rPr>
          <w:rFonts w:ascii="Arial" w:cs="Arial" w:eastAsia="Arial" w:hAnsi="Arial"/>
          <w:sz w:val="22"/>
          <w:szCs w:val="22"/>
          <w:color w:val="auto"/>
          <w:vertAlign w:val="superscript"/>
        </w:rPr>
      </w:pPr>
    </w:p>
    <w:p>
      <w:pPr>
        <w:ind w:left="460" w:hanging="453"/>
        <w:spacing w:after="0" w:line="267" w:lineRule="auto"/>
        <w:tabs>
          <w:tab w:leader="none" w:pos="460"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The NPA activity shown for the first six months of 2011 is presented with all activity related to loans transferred to the held for sale classification on one line as if those loans were transferred to held for sale at the beginning of the period. During the first quarter of 2011, $27.1 million in loans transferred to held for sale were placed on nonaccrual, $1.1 million in payments were received on nonaccrual loans transferred to held for sale and $66.6 million in charge-offs were recorded on nonaccrual loans transferred to held for sale to mark them down to the expected proceeds from the sale.</w:t>
      </w:r>
    </w:p>
    <w:p>
      <w:pPr>
        <w:spacing w:after="0" w:line="134"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For the second quarter and first six months of 2012, United transferred $9.32 million and $18.9 million, respectively, of loans into foreclosed property. During the same periods, proceeds from sales of foreclosed property were $10.5 million and $19.1 million, respectively, which includes $2.54 million and $4.47 million of sales that were financed by United, respectively. During the second quarter and first six months of 2011, United transferred $22.0 million and $39.1 million, respectively, of loans into foreclosed property. During the same periods, proceeds from sales of foreclosed properties were $28.9 million and $73.5 million, respectively, which includes $4.63 million and $13.2 million, respectively, of sales that were financed by United. During the first quarter of 2011, United recorded $48.6 million in write-downs on foreclosed property in order to expedite sales in the following quarters as part of its Problem Asset Disposition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57"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9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June 30, 2012 decreased $203 million from a year ago.</w:t>
      </w:r>
    </w:p>
    <w:p>
      <w:pPr>
        <w:spacing w:after="0" w:line="129"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color w:val="auto"/>
        </w:rPr>
        <w:t>At June 30, 2012, United had securities held to maturity with a carrying value of $283 million and securities available for sale totaling $1.70 billion. At June 30, 2012, December 31, 2011, and June 30, 2011, the securities portfolio represented approximately 29%, 30%, and 31% of total assets, respectively.</w:t>
      </w:r>
    </w:p>
    <w:p>
      <w:pPr>
        <w:spacing w:after="0" w:line="8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investment securities portfolio primarily consists of U.S. government sponsored agency mortgage-backed securities, non-agency mortgage-backed securities, U.S. government agency securities, corporate securities, municipal securities and asset-backed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w:t>
      </w:r>
    </w:p>
    <w:p>
      <w:pPr>
        <w:spacing w:after="0" w:line="99" w:lineRule="exact"/>
        <w:rPr>
          <w:sz w:val="20"/>
          <w:szCs w:val="20"/>
          <w:color w:val="auto"/>
        </w:rPr>
      </w:pPr>
    </w:p>
    <w:p>
      <w:pPr>
        <w:jc w:val="both"/>
        <w:ind w:right="600"/>
        <w:spacing w:after="0" w:line="278" w:lineRule="auto"/>
        <w:rPr>
          <w:sz w:val="20"/>
          <w:szCs w:val="20"/>
          <w:color w:val="auto"/>
        </w:rPr>
      </w:pPr>
      <w:r>
        <w:rPr>
          <w:rFonts w:ascii="Arial" w:cs="Arial" w:eastAsia="Arial" w:hAnsi="Arial"/>
          <w:sz w:val="17"/>
          <w:szCs w:val="17"/>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Deposits</w:t>
      </w:r>
    </w:p>
    <w:p>
      <w:pPr>
        <w:spacing w:after="0" w:line="9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United initiated several programs in early 2009 to improve core earnings by growing customer transaction deposit accounts and lowering overall pricing on deposit accounts to improve its net interest margin and increase net interest revenue. The programs were very successful in increasing core transaction deposit accounts and allowing for the reduction of more costly time deposit balances as United’s funding needs decreased due to lower loan demand. United has continued to pursue customer transaction deposits by stressing its high customer satisfaction scores.</w:t>
      </w:r>
    </w:p>
    <w:p>
      <w:pPr>
        <w:spacing w:after="0" w:line="12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Total deposits as of June 30, 2012 were $5.82 billion, a decrease of $361 million from June 30, 2011. Total non-interest-bearing demand deposit accounts of $1.15 billion increased $251 million, or 28%, due to the success of core deposit programs. Also impacted by the programs were NOW, money market and savings accounts of $2.53 billion which increased $39.1 million, or 2%, from June 30, 2011.</w:t>
      </w:r>
    </w:p>
    <w:p>
      <w:pPr>
        <w:spacing w:after="0" w:line="1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Total time deposits, excluding brokered deposits, as of June 30, 2012 were $1.93 billion, down $561 million from June 30, 2011. Time deposits less than $100,000 totaled $1.16 billion, a decrease of $344 million, or 23%, from a year ago. Time deposits of $100,000 and greater totaled $764 million as of June 30, 2012, a decrease of $217 million, or 22%, from June 30, 2011. United continued to offer low rates on certificates of deposit, allowing balances to decline as United’s funding needs declined due to weak loan demand.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Funding</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Bank is a shareholder in the Federal Home Loan Bank (“FHLB”) of Atlanta. Through this affiliation, FHLB secured advances totaled $125.1 million and</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$40.6 million as of June 30, 2012 and 2011, respectively. United anticipates continued use of this short and long-term source of funds. FHLB advances outstanding at June 30, 2012 had fixed interest rates ranging from .21% to .24%. During the second quarter of 2012 and 2011, United prepaid approximately $25.0 million and $14.5 million, respectively, of fixed-rate advances and incurred prepayment charges of $1.72 million and $791,000, respectively. Additional information regarding FHLB advances is provided in Note 11 to the consolidated financial statements included in United’s Annual Report on Form 10-K for the year ended December 31, 2011.</w:t>
      </w:r>
    </w:p>
    <w:p>
      <w:pPr>
        <w:spacing w:after="0" w:line="13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At June 30, 2012 and 2011, United had $53.7 million and $104 million, respectively, in repurchase agreements and other short-term borrowings outstanding. During the second quarter of 2012, United prepaid $50 million in structured repurchase agreements and incurred prepayment charges of $4.48 million. United takes advantage of these additional sources of liquidity when rates are favorable compared to other forms of short-term borrowings, such as FHLB advances and brokered deposits.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57"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Sensitivity Management</w:t>
      </w:r>
    </w:p>
    <w:p>
      <w:pPr>
        <w:spacing w:after="0" w:line="10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0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manages its exposure to fluctuations in interest rates through policies established by the Asset/Liability Management Committee (“ALCO”). ALCO meets periodically and has responsibility for approving asset/liability management policies, formulating and implementing strategies to improve balance sheet positioning and/or earnings, and reviewing United’s interest rate sensitivity.</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The ALCO regularly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gradually rising and falling rate scenarios, which are compared to this base scenario. Another commonly analyzed scenario is a most-likely scenario that projects the expected change in rates based on the slope of the yield curve. Other scenarios analyzed may include rate shocks, narrowing or widening spreads, and yield curve steepening or flattening. While policy scenarios focus on a twelve month time frame, longer time horizons are also modeled.</w:t>
      </w:r>
    </w:p>
    <w:p>
      <w:pPr>
        <w:spacing w:after="0" w:line="13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the first 12 months to a 10% decrease in either scenario. The policy ramp and base scenarios assume a static balance sheet. Historically low rates on June 30, 2012 and 2011 made use of the down 200 basis points scenario problematic. At June 30, 2012 United’s simulation model indicated that a 200 basis point increase in rates would cause an approximate 1.17% increase in net interest revenue over twelve months, and a 25 basis point decrease would cause an approximate 1.23% decrease in net interest revenue over twelve months. At June 30, 2011, United’s simulation model indicated that a 200 basis point increase in rates would cause an approximate .01% increase in net interest revenue and a 25 basis point decrease in rates over twelve months would cause an approximate .75% increase in net interest revenue.</w:t>
      </w:r>
    </w:p>
    <w:p>
      <w:pPr>
        <w:spacing w:after="0" w:line="13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129"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Varying interest rate environments can create unexpected changes in prepayment levels of assets and liabilities that are not reflected in an interest rate sensitivity gap analysis. These prepayments may have significant effect on the net interest margin. Because of these limitations, an interest sensitivity gap analysis alone generally does not provide an accurate assessment of exposure to changes in interest rates.</w:t>
      </w:r>
    </w:p>
    <w:p>
      <w:pPr>
        <w:spacing w:after="0" w:line="1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may be the case) and receives a fixed rate (or variable rate, as may be the case).</w:t>
      </w:r>
    </w:p>
    <w:p>
      <w:pPr>
        <w:spacing w:after="0" w:line="129" w:lineRule="exact"/>
        <w:rPr>
          <w:sz w:val="20"/>
          <w:szCs w:val="20"/>
          <w:color w:val="auto"/>
        </w:rPr>
      </w:pPr>
    </w:p>
    <w:p>
      <w:pPr>
        <w:ind w:right="100"/>
        <w:spacing w:after="0" w:line="332" w:lineRule="auto"/>
        <w:rPr>
          <w:sz w:val="20"/>
          <w:szCs w:val="20"/>
          <w:color w:val="auto"/>
        </w:rPr>
      </w:pPr>
      <w:r>
        <w:rPr>
          <w:rFonts w:ascii="Arial" w:cs="Arial" w:eastAsia="Arial" w:hAnsi="Arial"/>
          <w:sz w:val="15"/>
          <w:szCs w:val="15"/>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57" w:right="239" w:bottom="1440" w:gutter="0" w:footer="0" w:header="0"/>
        </w:sectPr>
      </w:pPr>
    </w:p>
    <w:bookmarkStart w:id="48" w:name="page49"/>
    <w:bookmarkEnd w:id="48"/>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United’s active derivative contracts used for hedging purposes.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13—Derivative Financial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Type of Instrument</w:t>
            </w:r>
          </w:p>
        </w:tc>
        <w:tc>
          <w:tcPr>
            <w:tcW w:w="780" w:type="dxa"/>
            <w:vAlign w:val="bottom"/>
            <w:gridSpan w:val="2"/>
          </w:tcPr>
          <w:p>
            <w:pPr>
              <w:ind w:left="180"/>
              <w:spacing w:after="0"/>
              <w:rPr>
                <w:sz w:val="20"/>
                <w:szCs w:val="20"/>
                <w:color w:val="auto"/>
              </w:rPr>
            </w:pPr>
            <w:r>
              <w:rPr>
                <w:rFonts w:ascii="Arial" w:cs="Arial" w:eastAsia="Arial" w:hAnsi="Arial"/>
                <w:sz w:val="13"/>
                <w:szCs w:val="13"/>
                <w:b w:val="1"/>
                <w:bCs w:val="1"/>
                <w:color w:val="auto"/>
              </w:rPr>
              <w:t>Hedge</w:t>
            </w:r>
          </w:p>
        </w:tc>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b w:val="1"/>
                <w:bCs w:val="1"/>
                <w:color w:val="auto"/>
                <w:w w:val="97"/>
              </w:rPr>
              <w:t>Current</w:t>
            </w:r>
          </w:p>
        </w:tc>
        <w:tc>
          <w:tcPr>
            <w:tcW w:w="120" w:type="dxa"/>
            <w:vAlign w:val="bottom"/>
          </w:tcPr>
          <w:p>
            <w:pPr>
              <w:spacing w:after="0"/>
              <w:rPr>
                <w:sz w:val="21"/>
                <w:szCs w:val="21"/>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Trade</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Effective</w:t>
            </w: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Maturity</w:t>
            </w:r>
          </w:p>
        </w:tc>
        <w:tc>
          <w:tcPr>
            <w:tcW w:w="1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5"/>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(H)</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78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w w:val="99"/>
              </w:rPr>
              <w:t>Designation</w:t>
            </w:r>
          </w:p>
        </w:tc>
        <w:tc>
          <w:tcPr>
            <w:tcW w:w="20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4"/>
              </w:rPr>
              <w:t>Hedged Item</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6"/>
              <w:spacing w:after="0" w:line="113" w:lineRule="exact"/>
              <w:rPr>
                <w:sz w:val="20"/>
                <w:szCs w:val="20"/>
                <w:color w:val="auto"/>
              </w:rPr>
            </w:pPr>
            <w:r>
              <w:rPr>
                <w:rFonts w:ascii="Arial" w:cs="Arial" w:eastAsia="Arial" w:hAnsi="Arial"/>
                <w:sz w:val="13"/>
                <w:szCs w:val="13"/>
                <w:b w:val="1"/>
                <w:bCs w:val="1"/>
                <w:color w:val="auto"/>
                <w:w w:val="92"/>
              </w:rPr>
              <w:t>Notional</w:t>
            </w: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13" w:lineRule="exact"/>
              <w:rPr>
                <w:sz w:val="20"/>
                <w:szCs w:val="20"/>
                <w:color w:val="auto"/>
              </w:rPr>
            </w:pPr>
            <w:r>
              <w:rPr>
                <w:rFonts w:ascii="Arial" w:cs="Arial" w:eastAsia="Arial" w:hAnsi="Arial"/>
                <w:sz w:val="13"/>
                <w:szCs w:val="13"/>
                <w:b w:val="1"/>
                <w:bCs w:val="1"/>
                <w:color w:val="auto"/>
                <w:w w:val="92"/>
              </w:rPr>
              <w:t>Date</w:t>
            </w:r>
          </w:p>
        </w:tc>
        <w:tc>
          <w:tcPr>
            <w:tcW w:w="820" w:type="dxa"/>
            <w:vAlign w:val="bottom"/>
            <w:gridSpan w:val="2"/>
          </w:tcPr>
          <w:p>
            <w:pPr>
              <w:jc w:val="right"/>
              <w:ind w:right="340"/>
              <w:spacing w:after="0" w:line="113" w:lineRule="exact"/>
              <w:rPr>
                <w:sz w:val="20"/>
                <w:szCs w:val="20"/>
                <w:color w:val="auto"/>
              </w:rPr>
            </w:pPr>
            <w:r>
              <w:rPr>
                <w:rFonts w:ascii="Arial" w:cs="Arial" w:eastAsia="Arial" w:hAnsi="Arial"/>
                <w:sz w:val="13"/>
                <w:szCs w:val="13"/>
                <w:b w:val="1"/>
                <w:bCs w:val="1"/>
                <w:color w:val="auto"/>
              </w:rPr>
              <w:t>Date</w:t>
            </w:r>
          </w:p>
        </w:tc>
        <w:tc>
          <w:tcPr>
            <w:tcW w:w="820" w:type="dxa"/>
            <w:vAlign w:val="bottom"/>
            <w:gridSpan w:val="2"/>
          </w:tcPr>
          <w:p>
            <w:pPr>
              <w:ind w:left="200"/>
              <w:spacing w:after="0" w:line="113" w:lineRule="exact"/>
              <w:rPr>
                <w:sz w:val="20"/>
                <w:szCs w:val="20"/>
                <w:color w:val="auto"/>
              </w:rPr>
            </w:pPr>
            <w:r>
              <w:rPr>
                <w:rFonts w:ascii="Arial" w:cs="Arial" w:eastAsia="Arial" w:hAnsi="Arial"/>
                <w:sz w:val="13"/>
                <w:szCs w:val="13"/>
                <w:b w:val="1"/>
                <w:bCs w:val="1"/>
                <w:color w:val="auto"/>
              </w:rPr>
              <w:t>Date</w:t>
            </w:r>
          </w:p>
        </w:tc>
        <w:tc>
          <w:tcPr>
            <w:tcW w:w="1980" w:type="dxa"/>
            <w:vAlign w:val="bottom"/>
            <w:gridSpan w:val="2"/>
          </w:tcPr>
          <w:p>
            <w:pPr>
              <w:jc w:val="center"/>
              <w:ind w:right="60"/>
              <w:spacing w:after="0" w:line="113" w:lineRule="exact"/>
              <w:rPr>
                <w:sz w:val="20"/>
                <w:szCs w:val="20"/>
                <w:color w:val="auto"/>
              </w:rPr>
            </w:pPr>
            <w:r>
              <w:rPr>
                <w:rFonts w:ascii="Arial" w:cs="Arial" w:eastAsia="Arial" w:hAnsi="Arial"/>
                <w:sz w:val="13"/>
                <w:szCs w:val="13"/>
                <w:b w:val="1"/>
                <w:bCs w:val="1"/>
                <w:color w:val="auto"/>
                <w:w w:val="94"/>
              </w:rPr>
              <w:t>Pay Rate</w:t>
            </w:r>
          </w:p>
        </w:tc>
        <w:tc>
          <w:tcPr>
            <w:tcW w:w="9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1"/>
              </w:rPr>
              <w:t>Receive Rate</w:t>
            </w:r>
          </w:p>
        </w:tc>
        <w:tc>
          <w:tcPr>
            <w:tcW w:w="40" w:type="dxa"/>
            <w:vAlign w:val="bottom"/>
          </w:tcPr>
          <w:p>
            <w:pPr>
              <w:spacing w:after="0"/>
              <w:rPr>
                <w:sz w:val="11"/>
                <w:szCs w:val="11"/>
                <w:color w:val="auto"/>
              </w:rPr>
            </w:pPr>
          </w:p>
        </w:tc>
        <w:tc>
          <w:tcPr>
            <w:tcW w:w="50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Asset</w:t>
            </w:r>
          </w:p>
        </w:tc>
        <w:tc>
          <w:tcPr>
            <w:tcW w:w="58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Liability</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gridSpan w:val="3"/>
            <w:shd w:val="clear" w:color="auto" w:fill="CCEEFF"/>
          </w:tcPr>
          <w:p>
            <w:pPr>
              <w:spacing w:after="0" w:line="173" w:lineRule="exact"/>
              <w:rPr>
                <w:sz w:val="20"/>
                <w:szCs w:val="20"/>
                <w:color w:val="auto"/>
              </w:rPr>
            </w:pPr>
            <w:r>
              <w:rPr>
                <w:rFonts w:ascii="Arial" w:cs="Arial" w:eastAsia="Arial" w:hAnsi="Arial"/>
                <w:sz w:val="17"/>
                <w:szCs w:val="17"/>
                <w:color w:val="auto"/>
              </w:rPr>
              <w:t>Receive Fixed</w:t>
            </w: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Cancellable</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Swap</w:t>
            </w:r>
          </w:p>
        </w:tc>
        <w:tc>
          <w:tcPr>
            <w:tcW w:w="7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Fair Value</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Brokered CD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7"/>
              </w:rPr>
              <w:t>10/12/11</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11/10/11</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11/10/31</w:t>
            </w:r>
          </w:p>
        </w:tc>
        <w:tc>
          <w:tcPr>
            <w:tcW w:w="19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5"/>
              </w:rPr>
              <w:t>3 mo. LIBOR minus 60 bps</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(A)</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40" w:type="dxa"/>
            <w:vAlign w:val="bottom"/>
            <w:gridSpan w:val="3"/>
          </w:tcPr>
          <w:p>
            <w:pPr>
              <w:spacing w:after="0"/>
              <w:rPr>
                <w:sz w:val="20"/>
                <w:szCs w:val="20"/>
                <w:color w:val="auto"/>
              </w:rPr>
            </w:pPr>
            <w:r>
              <w:rPr>
                <w:rFonts w:ascii="Arial" w:cs="Arial" w:eastAsia="Arial" w:hAnsi="Arial"/>
                <w:sz w:val="17"/>
                <w:szCs w:val="17"/>
                <w:color w:val="auto"/>
              </w:rPr>
              <w:t>Receive Fixed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7"/>
                <w:szCs w:val="17"/>
                <w:color w:val="auto"/>
              </w:rPr>
              <w:t>Cancellable</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7"/>
                <w:szCs w:val="17"/>
                <w:color w:val="auto"/>
              </w:rPr>
              <w:t>Swap</w:t>
            </w:r>
          </w:p>
        </w:tc>
        <w:tc>
          <w:tcPr>
            <w:tcW w:w="780" w:type="dxa"/>
            <w:vAlign w:val="bottom"/>
            <w:gridSpan w:val="2"/>
          </w:tcPr>
          <w:p>
            <w:pPr>
              <w:spacing w:after="0"/>
              <w:rPr>
                <w:sz w:val="20"/>
                <w:szCs w:val="20"/>
                <w:color w:val="auto"/>
              </w:rPr>
            </w:pPr>
            <w:r>
              <w:rPr>
                <w:rFonts w:ascii="Arial" w:cs="Arial" w:eastAsia="Arial" w:hAnsi="Arial"/>
                <w:sz w:val="17"/>
                <w:szCs w:val="17"/>
                <w:color w:val="auto"/>
                <w:w w:val="98"/>
              </w:rPr>
              <w:t>Fair Value</w:t>
            </w:r>
          </w:p>
        </w:tc>
        <w:tc>
          <w:tcPr>
            <w:tcW w:w="2040" w:type="dxa"/>
            <w:vAlign w:val="bottom"/>
          </w:tcPr>
          <w:p>
            <w:pPr>
              <w:jc w:val="center"/>
              <w:spacing w:after="0"/>
              <w:rPr>
                <w:sz w:val="20"/>
                <w:szCs w:val="20"/>
                <w:color w:val="auto"/>
              </w:rPr>
            </w:pPr>
            <w:r>
              <w:rPr>
                <w:rFonts w:ascii="Arial" w:cs="Arial" w:eastAsia="Arial" w:hAnsi="Arial"/>
                <w:sz w:val="17"/>
                <w:szCs w:val="17"/>
                <w:color w:val="auto"/>
                <w:w w:val="93"/>
              </w:rPr>
              <w:t>Brokered CD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17,000</w:t>
            </w:r>
          </w:p>
        </w:tc>
        <w:tc>
          <w:tcPr>
            <w:tcW w:w="940" w:type="dxa"/>
            <w:vAlign w:val="bottom"/>
            <w:gridSpan w:val="3"/>
          </w:tcPr>
          <w:p>
            <w:pPr>
              <w:ind w:left="180"/>
              <w:spacing w:after="0"/>
              <w:rPr>
                <w:sz w:val="20"/>
                <w:szCs w:val="20"/>
                <w:color w:val="auto"/>
              </w:rPr>
            </w:pPr>
            <w:r>
              <w:rPr>
                <w:rFonts w:ascii="Arial" w:cs="Arial" w:eastAsia="Arial" w:hAnsi="Arial"/>
                <w:sz w:val="17"/>
                <w:szCs w:val="17"/>
                <w:color w:val="auto"/>
              </w:rPr>
              <w:t>01/19/12</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02/17/12</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08/17/27</w:t>
            </w:r>
          </w:p>
        </w:tc>
        <w:tc>
          <w:tcPr>
            <w:tcW w:w="1980" w:type="dxa"/>
            <w:vAlign w:val="bottom"/>
            <w:gridSpan w:val="2"/>
          </w:tcPr>
          <w:p>
            <w:pPr>
              <w:jc w:val="center"/>
              <w:ind w:right="40"/>
              <w:spacing w:after="0"/>
              <w:rPr>
                <w:sz w:val="20"/>
                <w:szCs w:val="20"/>
                <w:color w:val="auto"/>
              </w:rPr>
            </w:pPr>
            <w:r>
              <w:rPr>
                <w:rFonts w:ascii="Arial" w:cs="Arial" w:eastAsia="Arial" w:hAnsi="Arial"/>
                <w:sz w:val="17"/>
                <w:szCs w:val="17"/>
                <w:color w:val="auto"/>
                <w:w w:val="95"/>
              </w:rPr>
              <w:t>3 mo. LIBOR minus 45 bps</w:t>
            </w:r>
          </w:p>
        </w:tc>
        <w:tc>
          <w:tcPr>
            <w:tcW w:w="960" w:type="dxa"/>
            <w:vAlign w:val="bottom"/>
          </w:tcPr>
          <w:p>
            <w:pPr>
              <w:jc w:val="center"/>
              <w:spacing w:after="0"/>
              <w:rPr>
                <w:sz w:val="20"/>
                <w:szCs w:val="20"/>
                <w:color w:val="auto"/>
              </w:rPr>
            </w:pPr>
            <w:r>
              <w:rPr>
                <w:rFonts w:ascii="Arial" w:cs="Arial" w:eastAsia="Arial" w:hAnsi="Arial"/>
                <w:sz w:val="11"/>
                <w:szCs w:val="11"/>
                <w:color w:val="auto"/>
              </w:rPr>
              <w:t>(B)</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Receive Fixed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Cancellable</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Swap</w:t>
            </w:r>
          </w:p>
        </w:tc>
        <w:tc>
          <w:tcPr>
            <w:tcW w:w="7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Fair Value</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Brokered CD</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17,000</w:t>
            </w:r>
          </w:p>
        </w:tc>
        <w:tc>
          <w:tcPr>
            <w:tcW w:w="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02/14/12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02/27/12</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08/27/27</w:t>
            </w:r>
          </w:p>
        </w:tc>
        <w:tc>
          <w:tcPr>
            <w:tcW w:w="19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5"/>
              </w:rPr>
              <w:t>3 mo. LIBOR minus 45 bps</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(C)</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40" w:type="dxa"/>
            <w:vAlign w:val="bottom"/>
            <w:gridSpan w:val="3"/>
          </w:tcPr>
          <w:p>
            <w:pPr>
              <w:spacing w:after="0"/>
              <w:rPr>
                <w:sz w:val="20"/>
                <w:szCs w:val="20"/>
                <w:color w:val="auto"/>
              </w:rPr>
            </w:pPr>
            <w:r>
              <w:rPr>
                <w:rFonts w:ascii="Arial" w:cs="Arial" w:eastAsia="Arial" w:hAnsi="Arial"/>
                <w:sz w:val="17"/>
                <w:szCs w:val="17"/>
                <w:color w:val="auto"/>
              </w:rPr>
              <w:t>Receive Fixed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7"/>
                <w:szCs w:val="17"/>
                <w:color w:val="auto"/>
              </w:rPr>
              <w:t>Cancellable</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7"/>
                <w:szCs w:val="17"/>
                <w:color w:val="auto"/>
              </w:rPr>
              <w:t>Swap</w:t>
            </w:r>
          </w:p>
        </w:tc>
        <w:tc>
          <w:tcPr>
            <w:tcW w:w="780" w:type="dxa"/>
            <w:vAlign w:val="bottom"/>
            <w:gridSpan w:val="2"/>
          </w:tcPr>
          <w:p>
            <w:pPr>
              <w:spacing w:after="0"/>
              <w:rPr>
                <w:sz w:val="20"/>
                <w:szCs w:val="20"/>
                <w:color w:val="auto"/>
              </w:rPr>
            </w:pPr>
            <w:r>
              <w:rPr>
                <w:rFonts w:ascii="Arial" w:cs="Arial" w:eastAsia="Arial" w:hAnsi="Arial"/>
                <w:sz w:val="17"/>
                <w:szCs w:val="17"/>
                <w:color w:val="auto"/>
                <w:w w:val="98"/>
              </w:rPr>
              <w:t>Fair Value</w:t>
            </w:r>
          </w:p>
        </w:tc>
        <w:tc>
          <w:tcPr>
            <w:tcW w:w="2040" w:type="dxa"/>
            <w:vAlign w:val="bottom"/>
          </w:tcPr>
          <w:p>
            <w:pPr>
              <w:jc w:val="center"/>
              <w:spacing w:after="0"/>
              <w:rPr>
                <w:sz w:val="20"/>
                <w:szCs w:val="20"/>
                <w:color w:val="auto"/>
              </w:rPr>
            </w:pPr>
            <w:r>
              <w:rPr>
                <w:rFonts w:ascii="Arial" w:cs="Arial" w:eastAsia="Arial" w:hAnsi="Arial"/>
                <w:sz w:val="17"/>
                <w:szCs w:val="17"/>
                <w:color w:val="auto"/>
                <w:w w:val="93"/>
              </w:rPr>
              <w:t>Brokered CD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15,500</w:t>
            </w:r>
          </w:p>
        </w:tc>
        <w:tc>
          <w:tcPr>
            <w:tcW w:w="940" w:type="dxa"/>
            <w:vAlign w:val="bottom"/>
            <w:gridSpan w:val="3"/>
          </w:tcPr>
          <w:p>
            <w:pPr>
              <w:ind w:left="180"/>
              <w:spacing w:after="0"/>
              <w:rPr>
                <w:sz w:val="20"/>
                <w:szCs w:val="20"/>
                <w:color w:val="auto"/>
              </w:rPr>
            </w:pPr>
            <w:r>
              <w:rPr>
                <w:rFonts w:ascii="Arial" w:cs="Arial" w:eastAsia="Arial" w:hAnsi="Arial"/>
                <w:sz w:val="17"/>
                <w:szCs w:val="17"/>
                <w:color w:val="auto"/>
              </w:rPr>
              <w:t>03/05/12</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03/23/12</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09/23/27</w:t>
            </w:r>
          </w:p>
        </w:tc>
        <w:tc>
          <w:tcPr>
            <w:tcW w:w="1980" w:type="dxa"/>
            <w:vAlign w:val="bottom"/>
            <w:gridSpan w:val="2"/>
          </w:tcPr>
          <w:p>
            <w:pPr>
              <w:jc w:val="center"/>
              <w:ind w:right="40"/>
              <w:spacing w:after="0"/>
              <w:rPr>
                <w:sz w:val="20"/>
                <w:szCs w:val="20"/>
                <w:color w:val="auto"/>
              </w:rPr>
            </w:pPr>
            <w:r>
              <w:rPr>
                <w:rFonts w:ascii="Arial" w:cs="Arial" w:eastAsia="Arial" w:hAnsi="Arial"/>
                <w:sz w:val="17"/>
                <w:szCs w:val="17"/>
                <w:color w:val="auto"/>
                <w:w w:val="95"/>
              </w:rPr>
              <w:t>3 mo. LIBOR minus 45 bps</w:t>
            </w:r>
          </w:p>
        </w:tc>
        <w:tc>
          <w:tcPr>
            <w:tcW w:w="960" w:type="dxa"/>
            <w:vAlign w:val="bottom"/>
          </w:tcPr>
          <w:p>
            <w:pPr>
              <w:jc w:val="center"/>
              <w:spacing w:after="0"/>
              <w:rPr>
                <w:sz w:val="20"/>
                <w:szCs w:val="20"/>
                <w:color w:val="auto"/>
              </w:rPr>
            </w:pPr>
            <w:r>
              <w:rPr>
                <w:rFonts w:ascii="Arial" w:cs="Arial" w:eastAsia="Arial" w:hAnsi="Arial"/>
                <w:sz w:val="11"/>
                <w:szCs w:val="11"/>
                <w:color w:val="auto"/>
              </w:rPr>
              <w:t>(D)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Receive Fixed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Cancellable</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Swap</w:t>
            </w:r>
          </w:p>
        </w:tc>
        <w:tc>
          <w:tcPr>
            <w:tcW w:w="7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Fair Value</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Brokered CD</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w:t>
            </w:r>
          </w:p>
        </w:tc>
        <w:tc>
          <w:tcPr>
            <w:tcW w:w="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04/04/12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04/25/12</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10/25/27</w:t>
            </w:r>
          </w:p>
        </w:tc>
        <w:tc>
          <w:tcPr>
            <w:tcW w:w="19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5"/>
              </w:rPr>
              <w:t>3 mo. LIBOR minus 40 bps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3.00000%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340" w:type="dxa"/>
            <w:vAlign w:val="bottom"/>
            <w:gridSpan w:val="3"/>
          </w:tcPr>
          <w:p>
            <w:pPr>
              <w:spacing w:after="0"/>
              <w:rPr>
                <w:sz w:val="20"/>
                <w:szCs w:val="20"/>
                <w:color w:val="auto"/>
              </w:rPr>
            </w:pPr>
            <w:r>
              <w:rPr>
                <w:rFonts w:ascii="Arial" w:cs="Arial" w:eastAsia="Arial" w:hAnsi="Arial"/>
                <w:sz w:val="17"/>
                <w:szCs w:val="17"/>
                <w:color w:val="auto"/>
              </w:rPr>
              <w:t>Receive Fixed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7"/>
                <w:szCs w:val="17"/>
                <w:color w:val="auto"/>
              </w:rPr>
              <w:t>Cancellable</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7"/>
                <w:szCs w:val="17"/>
                <w:color w:val="auto"/>
              </w:rPr>
              <w:t>Swap</w:t>
            </w:r>
          </w:p>
        </w:tc>
        <w:tc>
          <w:tcPr>
            <w:tcW w:w="780" w:type="dxa"/>
            <w:vAlign w:val="bottom"/>
            <w:gridSpan w:val="2"/>
          </w:tcPr>
          <w:p>
            <w:pPr>
              <w:spacing w:after="0"/>
              <w:rPr>
                <w:sz w:val="20"/>
                <w:szCs w:val="20"/>
                <w:color w:val="auto"/>
              </w:rPr>
            </w:pPr>
            <w:r>
              <w:rPr>
                <w:rFonts w:ascii="Arial" w:cs="Arial" w:eastAsia="Arial" w:hAnsi="Arial"/>
                <w:sz w:val="17"/>
                <w:szCs w:val="17"/>
                <w:color w:val="auto"/>
                <w:w w:val="98"/>
              </w:rPr>
              <w:t>Fair Value</w:t>
            </w:r>
          </w:p>
        </w:tc>
        <w:tc>
          <w:tcPr>
            <w:tcW w:w="2040" w:type="dxa"/>
            <w:vAlign w:val="bottom"/>
          </w:tcPr>
          <w:p>
            <w:pPr>
              <w:jc w:val="center"/>
              <w:spacing w:after="0"/>
              <w:rPr>
                <w:sz w:val="20"/>
                <w:szCs w:val="20"/>
                <w:color w:val="auto"/>
              </w:rPr>
            </w:pPr>
            <w:r>
              <w:rPr>
                <w:rFonts w:ascii="Arial" w:cs="Arial" w:eastAsia="Arial" w:hAnsi="Arial"/>
                <w:sz w:val="17"/>
                <w:szCs w:val="17"/>
                <w:color w:val="auto"/>
                <w:w w:val="93"/>
              </w:rPr>
              <w:t>Brokered CD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12,500</w:t>
            </w:r>
          </w:p>
        </w:tc>
        <w:tc>
          <w:tcPr>
            <w:tcW w:w="940" w:type="dxa"/>
            <w:vAlign w:val="bottom"/>
            <w:gridSpan w:val="3"/>
          </w:tcPr>
          <w:p>
            <w:pPr>
              <w:ind w:left="180"/>
              <w:spacing w:after="0"/>
              <w:rPr>
                <w:sz w:val="20"/>
                <w:szCs w:val="20"/>
                <w:color w:val="auto"/>
              </w:rPr>
            </w:pPr>
            <w:r>
              <w:rPr>
                <w:rFonts w:ascii="Arial" w:cs="Arial" w:eastAsia="Arial" w:hAnsi="Arial"/>
                <w:sz w:val="17"/>
                <w:szCs w:val="17"/>
                <w:color w:val="auto"/>
              </w:rPr>
              <w:t>05/16/12</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06/08/12</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06/08/32</w:t>
            </w:r>
          </w:p>
        </w:tc>
        <w:tc>
          <w:tcPr>
            <w:tcW w:w="1980" w:type="dxa"/>
            <w:vAlign w:val="bottom"/>
            <w:gridSpan w:val="2"/>
          </w:tcPr>
          <w:p>
            <w:pPr>
              <w:jc w:val="center"/>
              <w:ind w:right="40"/>
              <w:spacing w:after="0"/>
              <w:rPr>
                <w:sz w:val="20"/>
                <w:szCs w:val="20"/>
                <w:color w:val="auto"/>
              </w:rPr>
            </w:pPr>
            <w:r>
              <w:rPr>
                <w:rFonts w:ascii="Arial" w:cs="Arial" w:eastAsia="Arial" w:hAnsi="Arial"/>
                <w:sz w:val="17"/>
                <w:szCs w:val="17"/>
                <w:color w:val="auto"/>
                <w:w w:val="95"/>
              </w:rPr>
              <w:t>3 mo. LIBOR minus 43 bps</w:t>
            </w:r>
          </w:p>
        </w:tc>
        <w:tc>
          <w:tcPr>
            <w:tcW w:w="960" w:type="dxa"/>
            <w:vAlign w:val="bottom"/>
          </w:tcPr>
          <w:p>
            <w:pPr>
              <w:jc w:val="center"/>
              <w:spacing w:after="0"/>
              <w:rPr>
                <w:sz w:val="20"/>
                <w:szCs w:val="20"/>
                <w:color w:val="auto"/>
              </w:rPr>
            </w:pPr>
            <w:r>
              <w:rPr>
                <w:rFonts w:ascii="Arial" w:cs="Arial" w:eastAsia="Arial" w:hAnsi="Arial"/>
                <w:sz w:val="11"/>
                <w:szCs w:val="11"/>
                <w:color w:val="auto"/>
              </w:rPr>
              <w:t>(E)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Receive Fixed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Cancellable</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5"/>
              </w:rPr>
              <w:t>3 mo. LIBOR minus 38.5</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Swap</w:t>
            </w:r>
          </w:p>
        </w:tc>
        <w:tc>
          <w:tcPr>
            <w:tcW w:w="7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Fair Value</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Brokered CD</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13,000</w:t>
            </w:r>
          </w:p>
        </w:tc>
        <w:tc>
          <w:tcPr>
            <w:tcW w:w="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06/12/12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06/28/12</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06/28/32</w:t>
            </w:r>
          </w:p>
        </w:tc>
        <w:tc>
          <w:tcPr>
            <w:tcW w:w="19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87"/>
              </w:rPr>
              <w:t>bps</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(F)</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340" w:type="dxa"/>
            <w:vAlign w:val="bottom"/>
            <w:gridSpan w:val="3"/>
          </w:tcPr>
          <w:p>
            <w:pPr>
              <w:spacing w:after="0"/>
              <w:rPr>
                <w:sz w:val="20"/>
                <w:szCs w:val="20"/>
                <w:color w:val="auto"/>
              </w:rPr>
            </w:pPr>
            <w:r>
              <w:rPr>
                <w:rFonts w:ascii="Arial" w:cs="Arial" w:eastAsia="Arial" w:hAnsi="Arial"/>
                <w:sz w:val="17"/>
                <w:szCs w:val="17"/>
                <w:color w:val="auto"/>
              </w:rPr>
              <w:t>Pay Fixed Swap</w:t>
            </w:r>
          </w:p>
        </w:tc>
        <w:tc>
          <w:tcPr>
            <w:tcW w:w="2820" w:type="dxa"/>
            <w:vAlign w:val="bottom"/>
            <w:gridSpan w:val="3"/>
          </w:tcPr>
          <w:p>
            <w:pPr>
              <w:spacing w:after="0"/>
              <w:rPr>
                <w:sz w:val="20"/>
                <w:szCs w:val="20"/>
                <w:color w:val="auto"/>
              </w:rPr>
            </w:pPr>
            <w:r>
              <w:rPr>
                <w:rFonts w:ascii="Arial" w:cs="Arial" w:eastAsia="Arial" w:hAnsi="Arial"/>
                <w:sz w:val="17"/>
                <w:szCs w:val="17"/>
                <w:color w:val="auto"/>
                <w:w w:val="92"/>
              </w:rPr>
              <w:t>Cash Flow Short-Term, Fixed Rate Debt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50,000</w:t>
            </w:r>
          </w:p>
        </w:tc>
        <w:tc>
          <w:tcPr>
            <w:tcW w:w="940" w:type="dxa"/>
            <w:vAlign w:val="bottom"/>
            <w:gridSpan w:val="3"/>
          </w:tcPr>
          <w:p>
            <w:pPr>
              <w:ind w:left="180"/>
              <w:spacing w:after="0"/>
              <w:rPr>
                <w:sz w:val="20"/>
                <w:szCs w:val="20"/>
                <w:color w:val="auto"/>
              </w:rPr>
            </w:pPr>
            <w:r>
              <w:rPr>
                <w:rFonts w:ascii="Arial" w:cs="Arial" w:eastAsia="Arial" w:hAnsi="Arial"/>
                <w:sz w:val="17"/>
                <w:szCs w:val="17"/>
                <w:color w:val="auto"/>
              </w:rPr>
              <w:t>04/02/12</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04/07/14</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04/07/17</w:t>
            </w:r>
          </w:p>
        </w:tc>
        <w:tc>
          <w:tcPr>
            <w:tcW w:w="1940" w:type="dxa"/>
            <w:vAlign w:val="bottom"/>
          </w:tcPr>
          <w:p>
            <w:pPr>
              <w:jc w:val="center"/>
              <w:spacing w:after="0"/>
              <w:rPr>
                <w:sz w:val="20"/>
                <w:szCs w:val="20"/>
                <w:color w:val="auto"/>
              </w:rPr>
            </w:pPr>
            <w:r>
              <w:rPr>
                <w:rFonts w:ascii="Arial" w:cs="Arial" w:eastAsia="Arial" w:hAnsi="Arial"/>
                <w:sz w:val="17"/>
                <w:szCs w:val="17"/>
                <w:color w:val="auto"/>
                <w:w w:val="91"/>
              </w:rPr>
              <w:t>1.69500%</w:t>
            </w:r>
          </w:p>
        </w:tc>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7"/>
              </w:rPr>
              <w:t>3 mo. LIBOR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Pay Fixed Swap</w:t>
            </w:r>
          </w:p>
        </w:tc>
        <w:tc>
          <w:tcPr>
            <w:tcW w:w="282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2"/>
              </w:rPr>
              <w:t>Cash Flow Short-Term, Fixed Rate Debt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04/02/12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04/21/14</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04/21/17</w:t>
            </w:r>
          </w:p>
        </w:tc>
        <w:tc>
          <w:tcPr>
            <w:tcW w:w="1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1.72125%</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3 mo. LIBOR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40" w:type="dxa"/>
            <w:vAlign w:val="bottom"/>
            <w:gridSpan w:val="3"/>
          </w:tcPr>
          <w:p>
            <w:pPr>
              <w:spacing w:after="0"/>
              <w:rPr>
                <w:sz w:val="20"/>
                <w:szCs w:val="20"/>
                <w:color w:val="auto"/>
              </w:rPr>
            </w:pPr>
            <w:r>
              <w:rPr>
                <w:rFonts w:ascii="Arial" w:cs="Arial" w:eastAsia="Arial" w:hAnsi="Arial"/>
                <w:sz w:val="17"/>
                <w:szCs w:val="17"/>
                <w:color w:val="auto"/>
              </w:rPr>
              <w:t>Pay Fixed Swap</w:t>
            </w:r>
          </w:p>
        </w:tc>
        <w:tc>
          <w:tcPr>
            <w:tcW w:w="2820" w:type="dxa"/>
            <w:vAlign w:val="bottom"/>
            <w:gridSpan w:val="3"/>
          </w:tcPr>
          <w:p>
            <w:pPr>
              <w:spacing w:after="0"/>
              <w:rPr>
                <w:sz w:val="20"/>
                <w:szCs w:val="20"/>
                <w:color w:val="auto"/>
              </w:rPr>
            </w:pPr>
            <w:r>
              <w:rPr>
                <w:rFonts w:ascii="Arial" w:cs="Arial" w:eastAsia="Arial" w:hAnsi="Arial"/>
                <w:sz w:val="17"/>
                <w:szCs w:val="17"/>
                <w:color w:val="auto"/>
                <w:w w:val="92"/>
              </w:rPr>
              <w:t>Cash Flow Short-Term, Fixed Rate Debt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100,000</w:t>
            </w:r>
          </w:p>
        </w:tc>
        <w:tc>
          <w:tcPr>
            <w:tcW w:w="940" w:type="dxa"/>
            <w:vAlign w:val="bottom"/>
            <w:gridSpan w:val="3"/>
          </w:tcPr>
          <w:p>
            <w:pPr>
              <w:ind w:left="180"/>
              <w:spacing w:after="0"/>
              <w:rPr>
                <w:sz w:val="20"/>
                <w:szCs w:val="20"/>
                <w:color w:val="auto"/>
              </w:rPr>
            </w:pPr>
            <w:r>
              <w:rPr>
                <w:rFonts w:ascii="Arial" w:cs="Arial" w:eastAsia="Arial" w:hAnsi="Arial"/>
                <w:sz w:val="17"/>
                <w:szCs w:val="17"/>
                <w:color w:val="auto"/>
              </w:rPr>
              <w:t>04/10/12</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03/03/14</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03/01/17</w:t>
            </w:r>
          </w:p>
        </w:tc>
        <w:tc>
          <w:tcPr>
            <w:tcW w:w="1940" w:type="dxa"/>
            <w:vAlign w:val="bottom"/>
          </w:tcPr>
          <w:p>
            <w:pPr>
              <w:jc w:val="center"/>
              <w:spacing w:after="0"/>
              <w:rPr>
                <w:sz w:val="20"/>
                <w:szCs w:val="20"/>
                <w:color w:val="auto"/>
              </w:rPr>
            </w:pPr>
            <w:r>
              <w:rPr>
                <w:rFonts w:ascii="Arial" w:cs="Arial" w:eastAsia="Arial" w:hAnsi="Arial"/>
                <w:sz w:val="17"/>
                <w:szCs w:val="17"/>
                <w:color w:val="auto"/>
                <w:w w:val="91"/>
              </w:rPr>
              <w:t>1.43750%</w:t>
            </w:r>
          </w:p>
        </w:tc>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7"/>
              </w:rPr>
              <w:t>3 mo. LIBOR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Pay Fixed Swap</w:t>
            </w:r>
          </w:p>
        </w:tc>
        <w:tc>
          <w:tcPr>
            <w:tcW w:w="7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Cash Flow</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Money Market Deposts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100,000</w:t>
            </w:r>
          </w:p>
        </w:tc>
        <w:tc>
          <w:tcPr>
            <w:tcW w:w="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05/02/12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05/01/14</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05/01/19</w:t>
            </w:r>
          </w:p>
        </w:tc>
        <w:tc>
          <w:tcPr>
            <w:tcW w:w="1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1.88750%</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1 mo. LIBOR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gridSpan w:val="3"/>
          </w:tcPr>
          <w:p>
            <w:pPr>
              <w:spacing w:after="0"/>
              <w:rPr>
                <w:sz w:val="20"/>
                <w:szCs w:val="20"/>
                <w:color w:val="auto"/>
              </w:rPr>
            </w:pPr>
            <w:r>
              <w:rPr>
                <w:rFonts w:ascii="Arial" w:cs="Arial" w:eastAsia="Arial" w:hAnsi="Arial"/>
                <w:sz w:val="17"/>
                <w:szCs w:val="17"/>
                <w:color w:val="auto"/>
              </w:rPr>
              <w:t>Pay Fixed Swap</w:t>
            </w:r>
          </w:p>
        </w:tc>
        <w:tc>
          <w:tcPr>
            <w:tcW w:w="780" w:type="dxa"/>
            <w:vAlign w:val="bottom"/>
            <w:gridSpan w:val="2"/>
          </w:tcPr>
          <w:p>
            <w:pPr>
              <w:spacing w:after="0"/>
              <w:rPr>
                <w:sz w:val="20"/>
                <w:szCs w:val="20"/>
                <w:color w:val="auto"/>
              </w:rPr>
            </w:pPr>
            <w:r>
              <w:rPr>
                <w:rFonts w:ascii="Arial" w:cs="Arial" w:eastAsia="Arial" w:hAnsi="Arial"/>
                <w:sz w:val="17"/>
                <w:szCs w:val="17"/>
                <w:color w:val="auto"/>
                <w:w w:val="94"/>
              </w:rPr>
              <w:t>Cash Flow</w:t>
            </w:r>
          </w:p>
        </w:tc>
        <w:tc>
          <w:tcPr>
            <w:tcW w:w="2040" w:type="dxa"/>
            <w:vAlign w:val="bottom"/>
          </w:tcPr>
          <w:p>
            <w:pPr>
              <w:jc w:val="center"/>
              <w:spacing w:after="0"/>
              <w:rPr>
                <w:sz w:val="20"/>
                <w:szCs w:val="20"/>
                <w:color w:val="auto"/>
              </w:rPr>
            </w:pPr>
            <w:r>
              <w:rPr>
                <w:rFonts w:ascii="Arial" w:cs="Arial" w:eastAsia="Arial" w:hAnsi="Arial"/>
                <w:sz w:val="17"/>
                <w:szCs w:val="17"/>
                <w:color w:val="auto"/>
                <w:w w:val="93"/>
              </w:rPr>
              <w:t>Money Market Deposts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100,000</w:t>
            </w:r>
          </w:p>
        </w:tc>
        <w:tc>
          <w:tcPr>
            <w:tcW w:w="940" w:type="dxa"/>
            <w:vAlign w:val="bottom"/>
            <w:gridSpan w:val="3"/>
          </w:tcPr>
          <w:p>
            <w:pPr>
              <w:ind w:left="180"/>
              <w:spacing w:after="0"/>
              <w:rPr>
                <w:sz w:val="20"/>
                <w:szCs w:val="20"/>
                <w:color w:val="auto"/>
              </w:rPr>
            </w:pPr>
            <w:r>
              <w:rPr>
                <w:rFonts w:ascii="Arial" w:cs="Arial" w:eastAsia="Arial" w:hAnsi="Arial"/>
                <w:sz w:val="17"/>
                <w:szCs w:val="17"/>
                <w:color w:val="auto"/>
              </w:rPr>
              <w:t>05/31/12</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07/01/14</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07/01/18</w:t>
            </w:r>
          </w:p>
        </w:tc>
        <w:tc>
          <w:tcPr>
            <w:tcW w:w="1940" w:type="dxa"/>
            <w:vAlign w:val="bottom"/>
          </w:tcPr>
          <w:p>
            <w:pPr>
              <w:jc w:val="center"/>
              <w:spacing w:after="0"/>
              <w:rPr>
                <w:sz w:val="20"/>
                <w:szCs w:val="20"/>
                <w:color w:val="auto"/>
              </w:rPr>
            </w:pPr>
            <w:r>
              <w:rPr>
                <w:rFonts w:ascii="Arial" w:cs="Arial" w:eastAsia="Arial" w:hAnsi="Arial"/>
                <w:sz w:val="17"/>
                <w:szCs w:val="17"/>
                <w:color w:val="auto"/>
                <w:w w:val="91"/>
              </w:rPr>
              <w:t>1.39250%</w:t>
            </w:r>
          </w:p>
        </w:tc>
        <w:tc>
          <w:tcPr>
            <w:tcW w:w="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7"/>
              </w:rPr>
              <w:t>1 mo. LIBOR</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Hedging</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w w:val="95"/>
              </w:rPr>
              <w:t>Positions</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504,000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5,987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right="100" w:hanging="453"/>
        <w:spacing w:after="0" w:line="242"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Receive rate is fixed at 5.00% to November 10, 2012, then 4 * ((10-year Constant Maturity Swap rate—2-year Constant Maturity Swap rate)—50 basis points), capped at 5.00% and floored at 0.00%. Swap is callable by counterparty on November 10, 2012 and quarterly thereafter on the 10th with 15 calendar days notice.</w:t>
      </w:r>
    </w:p>
    <w:p>
      <w:pPr>
        <w:ind w:left="460" w:hanging="453"/>
        <w:spacing w:after="0" w:line="223" w:lineRule="auto"/>
        <w:tabs>
          <w:tab w:leader="none" w:pos="4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2/17/12 to 2/17/20: 2.25%; From 2/17/20 to 2/17/22: 2.30%; From 2/17/22 to 2/17/23:</w:t>
      </w:r>
    </w:p>
    <w:p>
      <w:pPr>
        <w:spacing w:after="0" w:line="7" w:lineRule="exact"/>
        <w:rPr>
          <w:rFonts w:ascii="Arial" w:cs="Arial" w:eastAsia="Arial" w:hAnsi="Arial"/>
          <w:sz w:val="20"/>
          <w:szCs w:val="20"/>
          <w:color w:val="auto"/>
          <w:vertAlign w:val="superscript"/>
        </w:rPr>
      </w:pPr>
    </w:p>
    <w:p>
      <w:pPr>
        <w:ind w:left="460" w:right="460"/>
        <w:spacing w:after="0" w:line="258" w:lineRule="auto"/>
        <w:rPr>
          <w:rFonts w:ascii="Arial" w:cs="Arial" w:eastAsia="Arial" w:hAnsi="Arial"/>
          <w:sz w:val="20"/>
          <w:szCs w:val="20"/>
          <w:color w:val="auto"/>
          <w:vertAlign w:val="superscript"/>
        </w:rPr>
      </w:pPr>
      <w:r>
        <w:rPr>
          <w:rFonts w:ascii="Arial" w:cs="Arial" w:eastAsia="Arial" w:hAnsi="Arial"/>
          <w:sz w:val="17"/>
          <w:szCs w:val="17"/>
          <w:color w:val="auto"/>
        </w:rPr>
        <w:t>3.00%; From 2/17/23 to 2/17/24: 4.00%; From 2/17/24 to 2/17/25: 7.00%; From 2/17/25 to 8/17/27: 10.00%. Swap is callable by counterparty quarterly commencing on May 17, 2012 with 20 business days notice prior to the redemption date.</w:t>
      </w:r>
    </w:p>
    <w:p>
      <w:pPr>
        <w:spacing w:after="0" w:line="1" w:lineRule="exact"/>
        <w:rPr>
          <w:rFonts w:ascii="Arial" w:cs="Arial" w:eastAsia="Arial" w:hAnsi="Arial"/>
          <w:sz w:val="20"/>
          <w:szCs w:val="20"/>
          <w:color w:val="auto"/>
          <w:vertAlign w:val="superscript"/>
        </w:rPr>
      </w:pPr>
    </w:p>
    <w:p>
      <w:pPr>
        <w:ind w:left="460" w:hanging="453"/>
        <w:spacing w:after="0" w:line="223" w:lineRule="auto"/>
        <w:tabs>
          <w:tab w:leader="none" w:pos="4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2/27/12 to 2/27/18: 2.00%; From 2/27/18 to 2/27/22: 2.50%; From 2/27/22 to 2/27/23:</w:t>
      </w:r>
    </w:p>
    <w:p>
      <w:pPr>
        <w:spacing w:after="0" w:line="7" w:lineRule="exact"/>
        <w:rPr>
          <w:rFonts w:ascii="Arial" w:cs="Arial" w:eastAsia="Arial" w:hAnsi="Arial"/>
          <w:sz w:val="20"/>
          <w:szCs w:val="20"/>
          <w:color w:val="auto"/>
          <w:vertAlign w:val="superscript"/>
        </w:rPr>
      </w:pPr>
    </w:p>
    <w:p>
      <w:pPr>
        <w:ind w:left="460" w:right="100"/>
        <w:spacing w:after="0" w:line="258" w:lineRule="auto"/>
        <w:rPr>
          <w:rFonts w:ascii="Arial" w:cs="Arial" w:eastAsia="Arial" w:hAnsi="Arial"/>
          <w:sz w:val="20"/>
          <w:szCs w:val="20"/>
          <w:color w:val="auto"/>
          <w:vertAlign w:val="superscript"/>
        </w:rPr>
      </w:pPr>
      <w:r>
        <w:rPr>
          <w:rFonts w:ascii="Arial" w:cs="Arial" w:eastAsia="Arial" w:hAnsi="Arial"/>
          <w:sz w:val="17"/>
          <w:szCs w:val="17"/>
          <w:color w:val="auto"/>
        </w:rPr>
        <w:t>3.00%; From 2/27/23 to 2/27/24: 4.00%; From 2/27/24 to 2/27/25: 7.00%; From 2/27/25 to 8/27/27: 10.00%. Swap is callable by counterparty semi-annually commencing on August 27, 2012 with 25 business days notice prior to the redemption date.</w:t>
      </w:r>
    </w:p>
    <w:p>
      <w:pPr>
        <w:spacing w:after="0" w:line="1" w:lineRule="exact"/>
        <w:rPr>
          <w:rFonts w:ascii="Arial" w:cs="Arial" w:eastAsia="Arial" w:hAnsi="Arial"/>
          <w:sz w:val="20"/>
          <w:szCs w:val="20"/>
          <w:color w:val="auto"/>
          <w:vertAlign w:val="superscript"/>
        </w:rPr>
      </w:pPr>
    </w:p>
    <w:p>
      <w:pPr>
        <w:ind w:left="460" w:hanging="453"/>
        <w:spacing w:after="0" w:line="223" w:lineRule="auto"/>
        <w:tabs>
          <w:tab w:leader="none" w:pos="4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3/23/12 to 3/23/17: 2.25%; From 3/23/17 to 3/23/20: 2.38%; From 3/23/20 to 3/23/23:</w:t>
      </w:r>
    </w:p>
    <w:p>
      <w:pPr>
        <w:spacing w:after="0" w:line="7" w:lineRule="exact"/>
        <w:rPr>
          <w:rFonts w:ascii="Arial" w:cs="Arial" w:eastAsia="Arial" w:hAnsi="Arial"/>
          <w:sz w:val="20"/>
          <w:szCs w:val="20"/>
          <w:color w:val="auto"/>
          <w:vertAlign w:val="superscript"/>
        </w:rPr>
      </w:pPr>
    </w:p>
    <w:p>
      <w:pPr>
        <w:ind w:left="460" w:right="520"/>
        <w:spacing w:after="0" w:line="274" w:lineRule="auto"/>
        <w:rPr>
          <w:rFonts w:ascii="Arial" w:cs="Arial" w:eastAsia="Arial" w:hAnsi="Arial"/>
          <w:sz w:val="20"/>
          <w:szCs w:val="20"/>
          <w:color w:val="auto"/>
          <w:vertAlign w:val="superscript"/>
        </w:rPr>
      </w:pPr>
      <w:r>
        <w:rPr>
          <w:rFonts w:ascii="Arial" w:cs="Arial" w:eastAsia="Arial" w:hAnsi="Arial"/>
          <w:sz w:val="16"/>
          <w:szCs w:val="16"/>
          <w:color w:val="auto"/>
        </w:rPr>
        <w:t>2.50%; From 3/23/23 to 3/23/24: 3.00%; From 3/23/24 to 3/23/25: 4.00%; From 3/23/25 to 3/23/26: 6.00%; From 3/23/26 to 9/23/27: 10.00%. Swap is callable by counterparty at any time commencing on September 24, 2012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3"/>
        <w:spacing w:after="0" w:line="223" w:lineRule="auto"/>
        <w:tabs>
          <w:tab w:leader="none" w:pos="4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6/8/12 to 6/8/17: 2.25%; From 6/8/17 to 6/8/22: 2.70%; From 6/8/22 to 6/8/27: 3.20%; From</w:t>
      </w:r>
    </w:p>
    <w:p>
      <w:pPr>
        <w:spacing w:after="0" w:line="7" w:lineRule="exact"/>
        <w:rPr>
          <w:rFonts w:ascii="Arial" w:cs="Arial" w:eastAsia="Arial" w:hAnsi="Arial"/>
          <w:sz w:val="20"/>
          <w:szCs w:val="20"/>
          <w:color w:val="auto"/>
          <w:vertAlign w:val="superscript"/>
        </w:rPr>
      </w:pPr>
    </w:p>
    <w:p>
      <w:pPr>
        <w:ind w:left="460" w:right="180"/>
        <w:spacing w:after="0" w:line="274" w:lineRule="auto"/>
        <w:rPr>
          <w:rFonts w:ascii="Arial" w:cs="Arial" w:eastAsia="Arial" w:hAnsi="Arial"/>
          <w:sz w:val="20"/>
          <w:szCs w:val="20"/>
          <w:color w:val="auto"/>
          <w:vertAlign w:val="superscript"/>
        </w:rPr>
      </w:pPr>
      <w:r>
        <w:rPr>
          <w:rFonts w:ascii="Arial" w:cs="Arial" w:eastAsia="Arial" w:hAnsi="Arial"/>
          <w:sz w:val="16"/>
          <w:szCs w:val="16"/>
          <w:color w:val="auto"/>
        </w:rPr>
        <w:t>6/8/27 to 6/8/28: 4.00%; From 6/8/28 to 6/8/29: 5.00%; From 6/8/29 to 6/8/30: 6.00%; From 6/8/30 to 6/8/31: 8.00%; From 6/8/31 to 6/8/32: 10.00%. Swap is callable by counterparty at any time commencing on December 8, 2012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3"/>
        <w:spacing w:after="0" w:line="223" w:lineRule="auto"/>
        <w:tabs>
          <w:tab w:leader="none" w:pos="4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6/28/12 to 6/28/17: 2.30%; From 6/28/17 to 6/28/22: 2.50%; From 6/28/22 to 6/28/27:</w:t>
      </w:r>
    </w:p>
    <w:p>
      <w:pPr>
        <w:spacing w:after="0" w:line="7" w:lineRule="exact"/>
        <w:rPr>
          <w:rFonts w:ascii="Arial" w:cs="Arial" w:eastAsia="Arial" w:hAnsi="Arial"/>
          <w:sz w:val="20"/>
          <w:szCs w:val="20"/>
          <w:color w:val="auto"/>
          <w:vertAlign w:val="superscript"/>
        </w:rPr>
      </w:pPr>
    </w:p>
    <w:p>
      <w:pPr>
        <w:ind w:left="460"/>
        <w:spacing w:after="0"/>
        <w:rPr>
          <w:rFonts w:ascii="Arial" w:cs="Arial" w:eastAsia="Arial" w:hAnsi="Arial"/>
          <w:sz w:val="20"/>
          <w:szCs w:val="20"/>
          <w:color w:val="auto"/>
          <w:vertAlign w:val="superscript"/>
        </w:rPr>
      </w:pPr>
      <w:r>
        <w:rPr>
          <w:rFonts w:ascii="Arial" w:cs="Arial" w:eastAsia="Arial" w:hAnsi="Arial"/>
          <w:sz w:val="16"/>
          <w:szCs w:val="16"/>
          <w:color w:val="auto"/>
        </w:rPr>
        <w:t>3.00%; From 6/28/27 to 6/28/28: 4.00%; From 6/28/28 to 6/28/29: 5.00%; From 6/28/29 to 6/28/30: 6.00%; From 6/28/30 to 6/28/31: 8.00%; From 6/28/31</w:t>
      </w:r>
    </w:p>
    <w:p>
      <w:pPr>
        <w:spacing w:after="0" w:line="23" w:lineRule="exact"/>
        <w:rPr>
          <w:rFonts w:ascii="Arial" w:cs="Arial" w:eastAsia="Arial" w:hAnsi="Arial"/>
          <w:sz w:val="20"/>
          <w:szCs w:val="20"/>
          <w:color w:val="auto"/>
          <w:vertAlign w:val="superscript"/>
        </w:rPr>
      </w:pPr>
    </w:p>
    <w:p>
      <w:pPr>
        <w:ind w:left="460"/>
        <w:spacing w:after="0"/>
        <w:rPr>
          <w:rFonts w:ascii="Arial" w:cs="Arial" w:eastAsia="Arial" w:hAnsi="Arial"/>
          <w:sz w:val="20"/>
          <w:szCs w:val="20"/>
          <w:color w:val="auto"/>
          <w:vertAlign w:val="superscript"/>
        </w:rPr>
      </w:pPr>
      <w:r>
        <w:rPr>
          <w:rFonts w:ascii="Arial" w:cs="Arial" w:eastAsia="Arial" w:hAnsi="Arial"/>
          <w:sz w:val="16"/>
          <w:szCs w:val="16"/>
          <w:color w:val="auto"/>
        </w:rPr>
        <w:t>to 6/28/32: 10.00%. Swap is callable by counterparty at any time commencing on December 28, 2012 with 15 calendar days notice prior to the redemption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date.</w:t>
      </w:r>
    </w:p>
    <w:p>
      <w:pPr>
        <w:ind w:left="460" w:hanging="453"/>
        <w:spacing w:after="0" w:line="221"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Fair value does not include accrued interest</w:t>
      </w:r>
    </w:p>
    <w:p>
      <w:pPr>
        <w:spacing w:after="0" w:line="154" w:lineRule="exact"/>
        <w:rPr>
          <w:sz w:val="20"/>
          <w:szCs w:val="20"/>
          <w:color w:val="auto"/>
        </w:rPr>
      </w:pPr>
    </w:p>
    <w:p>
      <w:pPr>
        <w:ind w:right="140"/>
        <w:spacing w:after="0" w:line="311" w:lineRule="auto"/>
        <w:rPr>
          <w:sz w:val="20"/>
          <w:szCs w:val="20"/>
          <w:color w:val="auto"/>
        </w:rPr>
      </w:pPr>
      <w:r>
        <w:rPr>
          <w:rFonts w:ascii="Arial" w:cs="Arial" w:eastAsia="Arial" w:hAnsi="Arial"/>
          <w:sz w:val="15"/>
          <w:szCs w:val="15"/>
          <w:color w:val="auto"/>
        </w:rPr>
        <w:t>From time to time, United will terminate swap or floor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At June 30, 2012, United had $2.30 million in gains from terminated derivative positions included in other comprehensive income that will be amortized into earnings over their remaining original contract terms. Approximately $2.23 million is expected to be reclassified into interest revenue over the next twelve months.</w:t>
      </w:r>
    </w:p>
    <w:p>
      <w:pPr>
        <w:spacing w:after="0" w:line="106"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Management</w:t>
      </w:r>
    </w:p>
    <w:p>
      <w:pPr>
        <w:spacing w:after="0" w:line="105" w:lineRule="exact"/>
        <w:rPr>
          <w:sz w:val="20"/>
          <w:szCs w:val="20"/>
          <w:color w:val="auto"/>
        </w:rPr>
      </w:pPr>
    </w:p>
    <w:p>
      <w:pPr>
        <w:ind w:right="160"/>
        <w:spacing w:after="0" w:line="365" w:lineRule="auto"/>
        <w:rPr>
          <w:sz w:val="20"/>
          <w:szCs w:val="20"/>
          <w:color w:val="auto"/>
        </w:rPr>
      </w:pPr>
      <w:r>
        <w:rPr>
          <w:rFonts w:ascii="Arial" w:cs="Arial" w:eastAsia="Arial" w:hAnsi="Arial"/>
          <w:sz w:val="15"/>
          <w:szCs w:val="15"/>
          <w:color w:val="auto"/>
        </w:rPr>
        <w:t>The objective of liquidity management is to ensure that sufficient funding is available, at a reasonable cost, to meet the ongoing operational cash needs and to take advantage of revenue producing opportunities as they arise. While the desired level of liquidity will vary depending upon a variety of factors, it is the primary goal</w:t>
      </w:r>
    </w:p>
    <w:p>
      <w:pPr>
        <w:sectPr>
          <w:pgSz w:w="11900" w:h="16918" w:orient="portrait"/>
          <w:cols w:equalWidth="0" w:num="1">
            <w:col w:w="11520"/>
          </w:cols>
          <w:pgMar w:left="240" w:top="457" w:right="139" w:bottom="0" w:gutter="0" w:footer="0" w:header="0"/>
        </w:sectPr>
      </w:pPr>
    </w:p>
    <w:bookmarkStart w:id="49" w:name="page50"/>
    <w:bookmarkEnd w:id="49"/>
    <w:p>
      <w:pPr>
        <w:spacing w:after="0" w:line="271" w:lineRule="auto"/>
        <w:rPr>
          <w:sz w:val="20"/>
          <w:szCs w:val="20"/>
          <w:color w:val="auto"/>
        </w:rPr>
      </w:pPr>
      <w:r>
        <w:rPr>
          <w:rFonts w:ascii="Arial" w:cs="Arial" w:eastAsia="Arial" w:hAnsi="Arial"/>
          <w:sz w:val="17"/>
          <w:szCs w:val="17"/>
          <w:color w:val="auto"/>
        </w:rPr>
        <w:t>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80"/>
          </w:cols>
          <w:pgMar w:left="240" w:top="131"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Because substantially all of United’s liquidity is obtained from subsidiary service fees and dividends from the Bank, which are limited by applicable law and an informal memorandum of understanding the Bank has entered into with the FDIC and the Georgia Department of Banking and Finance (the “Bank MOU”), United currently has limited internal capital resources to meet these obligations. United has not received a dividend from the Bank since 2008 and does not anticipate receiving dividends from the Bank until 2013.</w:t>
      </w:r>
    </w:p>
    <w:p>
      <w:pPr>
        <w:spacing w:after="0" w:line="129"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$18.6 million at June 30, 2012, and typically turn over every 45 days as the closed loans are sold to investors in the secondary market. In addition, at June 30, 2012 United held $646 million in excess liquidity including $94.5 million in cash equivalent balances, primarily balances in excess of reserve requirements at the Federal Reserve Bank and $442 million in floating rate securities.</w:t>
      </w:r>
    </w:p>
    <w:p>
      <w:pPr>
        <w:spacing w:after="0" w:line="1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29"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At June 30, 2012, United had sufficient qualifying collateral to increase FHLB advances by $629 million and Federal Reserve discount window capacity of $478 million. United also has the ability to raise substantial funds through brokered deposits. In addition to these wholesale sources, United has the ability to attract retail deposits at any time by competing more aggressively on pricing.</w:t>
      </w:r>
    </w:p>
    <w:p>
      <w:pPr>
        <w:spacing w:after="0" w:line="1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$92.3 million for the six months ended June 30, 2012. The net income of $18.0 million for the six month period included non-cash expenses for the provision for loan losses of $33.0 million; depreciation, amortization and accretion of $16.5 million and losses and write downs on foreclosed property of $2.94 million. In addition, other assets decreased $22.8 million. Net cash provided by investing activities of $85.2 million consisted primarily of the proceeds from sales, maturities and calls of securities totaling $707 million partially offset by securities purchases of $581 million, a net increase in loans of 58.8 million, and purchases of premises and equipment of $2.58 million. Net cash used in financing activities of $251 million consisted primarily of a $276 million decrease in deposits partially offset by a net increase of $28.9 million in wholesale borrowings. In the opinion of management, United’s liquidity position at June 30, 2012, was sufficient to meet its expected cash flow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 and Dividends</w:t>
      </w:r>
    </w:p>
    <w:p>
      <w:pPr>
        <w:spacing w:after="0" w:line="1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equity at June 30, 2012 was $576 million, an increase of $509,000 from December 31, 2011. Accumulated other comprehensive loss, which includes unrealized gains and losses on securities available for sale and the unrealized gains and losses on derivatives qualifying as cash flow hedges, is excluded in the calculation of regulatory capital adequacy ratios. Excluding the change in the accumulated other comprehensive income, shareholders’ equity increased $14.3 million from December 31, 2011.</w:t>
      </w:r>
    </w:p>
    <w:p>
      <w:pPr>
        <w:spacing w:after="0" w:line="129"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United accrued $3.03 million and $6.06 million, respectively, in dividends, including accretion of discounts, on Series A, Series B and Series D preferred stock in the second quarter and first six months of 2012.</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United granted a warrant to Fletcher to purchase common stock equivalent junior preferred stock that would be convertible into 1,411,765 common shares exercisable at a price equivalent to $21.25 per share. United has received purported partial warrant exercise notices from Fletcher with respect to its warrants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Fletcher’s warrant would not result in the issuance of any settlement shares because the warrant may only be exercised for net shares via a cashless exercise formula, and the reverse stock split-adjusted market price component of that formula does not exceed the exercise price to yield any net shares. United has responded to Fletcher with United’s calculations related to the warrant.</w:t>
      </w:r>
    </w:p>
    <w:p>
      <w:pPr>
        <w:spacing w:after="0" w:line="13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addition, in the lawsuit filed by FILB related to purported contractual rights that FILB claims were assigned to it by Fletcher, FILB alleges, like Fletcher, that United’s 2011 reclassification of its common stock should be ignored for purposes of calculating the number of shares United’s common stock issuable upon the redemption of United’s preferred stock and thus result in increasing the number of shares of United common stock that FILB could otherwise obtain. United believes the lawsuit is meritless for several reasons, and will defend it aggressively.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457"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right="260"/>
        <w:spacing w:after="0" w:line="301" w:lineRule="auto"/>
        <w:rPr>
          <w:sz w:val="20"/>
          <w:szCs w:val="20"/>
          <w:color w:val="auto"/>
        </w:rPr>
      </w:pPr>
      <w:r>
        <w:rPr>
          <w:rFonts w:ascii="Arial" w:cs="Arial" w:eastAsia="Arial" w:hAnsi="Arial"/>
          <w:sz w:val="15"/>
          <w:szCs w:val="15"/>
          <w:color w:val="auto"/>
        </w:rPr>
        <w:t>In November 2011, United entered into an informal memorandum of understanding with the Federal Reserve Bank and the Georgia Department of Banking and Finance (the “Holding Company MOU”). The Holding Company MOU provides, that United may not incur additional indebtedness, pay cash dividends, make payments on our trust preferred securities or subordinated indebtedness or repurchase outstanding stock without prior approval of the Federal Reserve.</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Additionally, the Holding Company MOU requires, among other things, that United ensures that the Bank functions in a safe and sound manner. United believes it is in compliance with all requirements of the Holding Company MOU.</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Bank is currently subject to the Bank MOU which requires, among other things, that the Bank maintain its Tier 1 leverage ratio at not less than 8% and its total risk-based capital ratio at not less than 10% during the life of the Bank MOU. Additionally, the Bank MOU requires, among other things, that prior to declaring or paying any cash dividends to United, the Bank must obtain the written consent of its regulators. The Bank believes it is in compliance with all requirements of the Bank MOU.</w:t>
      </w:r>
    </w:p>
    <w:p>
      <w:pPr>
        <w:spacing w:after="0" w:line="129"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United’s common stock trades on the Nasdaq Global Select Market under the symbol “UCBI”. Below is a quarterly schedule of high, low and closing stock prices and average daily volume for 2012 and 2011.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14—Stock Price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9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223"/>
              <w:spacing w:after="0"/>
              <w:rPr>
                <w:sz w:val="20"/>
                <w:szCs w:val="20"/>
                <w:color w:val="auto"/>
              </w:rPr>
            </w:pPr>
            <w:r>
              <w:rPr>
                <w:rFonts w:ascii="Arial" w:cs="Arial" w:eastAsia="Arial" w:hAnsi="Arial"/>
                <w:sz w:val="13"/>
                <w:szCs w:val="13"/>
                <w:b w:val="1"/>
                <w:bCs w:val="1"/>
                <w:color w:val="auto"/>
                <w:w w:val="96"/>
              </w:rPr>
              <w:t>2012</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83"/>
              <w:spacing w:after="0"/>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5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4"/>
              </w:rPr>
              <w:t>Avg Daily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4"/>
              </w:rPr>
              <w:t>Avg Daily</w:t>
            </w:r>
          </w:p>
        </w:tc>
        <w:tc>
          <w:tcPr>
            <w:tcW w:w="100" w:type="dxa"/>
            <w:vAlign w:val="bottom"/>
          </w:tcPr>
          <w:p>
            <w:pPr>
              <w:spacing w:after="0"/>
              <w:rPr>
                <w:sz w:val="11"/>
                <w:szCs w:val="11"/>
                <w:color w:val="auto"/>
              </w:rPr>
            </w:pPr>
          </w:p>
        </w:tc>
      </w:tr>
      <w:tr>
        <w:trPr>
          <w:trHeight w:val="160"/>
        </w:trPr>
        <w:tc>
          <w:tcPr>
            <w:tcW w:w="596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High</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Low</w:t>
            </w:r>
          </w:p>
        </w:tc>
        <w:tc>
          <w:tcPr>
            <w:tcW w:w="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Close</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Volume</w:t>
            </w: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High</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Low</w:t>
            </w:r>
          </w:p>
        </w:tc>
        <w:tc>
          <w:tcPr>
            <w:tcW w:w="20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Close</w:t>
            </w: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Volume</w:t>
            </w:r>
          </w:p>
        </w:tc>
      </w:tr>
      <w:tr>
        <w:trPr>
          <w:trHeight w:val="208"/>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First quarter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$10.30</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$6.37</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$9.75</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142,987</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$ 11.85</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$5.95</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$ 11.65</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227,321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5960" w:type="dxa"/>
            <w:vAlign w:val="bottom"/>
          </w:tcPr>
          <w:p>
            <w:pPr>
              <w:spacing w:after="0"/>
              <w:rPr>
                <w:sz w:val="20"/>
                <w:szCs w:val="20"/>
                <w:color w:val="auto"/>
              </w:rPr>
            </w:pPr>
            <w:r>
              <w:rPr>
                <w:rFonts w:ascii="Arial" w:cs="Arial" w:eastAsia="Arial" w:hAnsi="Arial"/>
                <w:sz w:val="17"/>
                <w:szCs w:val="17"/>
                <w:color w:val="auto"/>
              </w:rPr>
              <w:t>Second quarter</w:t>
            </w: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9.77</w:t>
            </w:r>
          </w:p>
        </w:tc>
        <w:tc>
          <w:tcPr>
            <w:tcW w:w="400" w:type="dxa"/>
            <w:vAlign w:val="bottom"/>
          </w:tcPr>
          <w:p>
            <w:pPr>
              <w:jc w:val="right"/>
              <w:spacing w:after="0"/>
              <w:rPr>
                <w:sz w:val="20"/>
                <w:szCs w:val="20"/>
                <w:color w:val="auto"/>
              </w:rPr>
            </w:pPr>
            <w:r>
              <w:rPr>
                <w:rFonts w:ascii="Arial" w:cs="Arial" w:eastAsia="Arial" w:hAnsi="Arial"/>
                <w:sz w:val="17"/>
                <w:szCs w:val="17"/>
                <w:color w:val="auto"/>
              </w:rPr>
              <w:t>7.76</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8.57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145,132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14.65</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9.80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10.56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139,741</w:t>
            </w:r>
          </w:p>
        </w:tc>
        <w:tc>
          <w:tcPr>
            <w:tcW w:w="100" w:type="dxa"/>
            <w:vAlign w:val="bottom"/>
          </w:tcPr>
          <w:p>
            <w:pPr>
              <w:spacing w:after="0"/>
              <w:rPr>
                <w:sz w:val="18"/>
                <w:szCs w:val="18"/>
                <w:color w:val="auto"/>
              </w:rPr>
            </w:pPr>
          </w:p>
        </w:tc>
      </w:tr>
      <w:tr>
        <w:trPr>
          <w:trHeight w:val="214"/>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214,303</w:t>
            </w:r>
          </w:p>
        </w:tc>
        <w:tc>
          <w:tcPr>
            <w:tcW w:w="100" w:type="dxa"/>
            <w:vAlign w:val="bottom"/>
            <w:shd w:val="clear" w:color="auto" w:fill="CCEEFF"/>
          </w:tcPr>
          <w:p>
            <w:pPr>
              <w:spacing w:after="0"/>
              <w:rPr>
                <w:sz w:val="18"/>
                <w:szCs w:val="18"/>
                <w:color w:val="auto"/>
              </w:rPr>
            </w:pPr>
          </w:p>
        </w:tc>
      </w:tr>
      <w:tr>
        <w:trPr>
          <w:trHeight w:val="221"/>
        </w:trPr>
        <w:tc>
          <w:tcPr>
            <w:tcW w:w="5960" w:type="dxa"/>
            <w:vAlign w:val="bottom"/>
          </w:tcPr>
          <w:p>
            <w:pPr>
              <w:spacing w:after="0"/>
              <w:rPr>
                <w:sz w:val="20"/>
                <w:szCs w:val="20"/>
                <w:color w:val="auto"/>
              </w:rPr>
            </w:pPr>
            <w:r>
              <w:rPr>
                <w:rFonts w:ascii="Arial" w:cs="Arial" w:eastAsia="Arial" w:hAnsi="Arial"/>
                <w:sz w:val="17"/>
                <w:szCs w:val="17"/>
                <w:color w:val="auto"/>
              </w:rPr>
              <w:t>Fourth quarter</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8.90</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6.22</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6.99</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202,024</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 The stock price information shown above has been adjusted to reflect United’s 1-for-5 reverse stock split as though it had occurred at the beginning of the earliest reported period.</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Federal Reserve Board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2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14"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minimum leverage ratio is required in addition to the risk-based capital standards and is defined as Tier I capital divided by average assets adjusted for goodwill and deposit-based intangibles. Although a minimum leverage ratio of 3% is required,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57"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United’s capital ratios, as calculated under regulatory guidelines, at June 30, 2012, December 31, 2011 and June 30, 2011.</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15—Capital Ratios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00" w:type="dxa"/>
            <w:vAlign w:val="bottom"/>
          </w:tcPr>
          <w:p>
            <w:pPr>
              <w:spacing w:after="0"/>
              <w:rPr>
                <w:sz w:val="13"/>
                <w:szCs w:val="13"/>
                <w:color w:val="auto"/>
              </w:rPr>
            </w:pPr>
          </w:p>
        </w:tc>
        <w:tc>
          <w:tcPr>
            <w:tcW w:w="1900" w:type="dxa"/>
            <w:vAlign w:val="bottom"/>
            <w:gridSpan w:val="4"/>
          </w:tcPr>
          <w:p>
            <w:pPr>
              <w:ind w:left="500"/>
              <w:spacing w:after="0"/>
              <w:rPr>
                <w:sz w:val="20"/>
                <w:szCs w:val="20"/>
                <w:color w:val="auto"/>
              </w:rPr>
            </w:pPr>
            <w:r>
              <w:rPr>
                <w:rFonts w:ascii="Arial" w:cs="Arial" w:eastAsia="Arial" w:hAnsi="Arial"/>
                <w:sz w:val="13"/>
                <w:szCs w:val="13"/>
                <w:b w:val="1"/>
                <w:bCs w:val="1"/>
                <w:color w:val="auto"/>
              </w:rPr>
              <w:t>Regulatory</w:t>
            </w:r>
          </w:p>
        </w:tc>
        <w:tc>
          <w:tcPr>
            <w:tcW w:w="140" w:type="dxa"/>
            <w:vAlign w:val="bottom"/>
          </w:tcPr>
          <w:p>
            <w:pPr>
              <w:spacing w:after="0"/>
              <w:rPr>
                <w:sz w:val="13"/>
                <w:szCs w:val="13"/>
                <w:color w:val="auto"/>
              </w:rPr>
            </w:pPr>
          </w:p>
        </w:tc>
        <w:tc>
          <w:tcPr>
            <w:tcW w:w="3200" w:type="dxa"/>
            <w:vAlign w:val="bottom"/>
            <w:gridSpan w:val="7"/>
          </w:tcPr>
          <w:p>
            <w:pPr>
              <w:jc w:val="center"/>
              <w:ind w:right="260"/>
              <w:spacing w:after="0"/>
              <w:rPr>
                <w:sz w:val="20"/>
                <w:szCs w:val="20"/>
                <w:color w:val="auto"/>
              </w:rPr>
            </w:pPr>
            <w:r>
              <w:rPr>
                <w:rFonts w:ascii="Arial" w:cs="Arial" w:eastAsia="Arial" w:hAnsi="Arial"/>
                <w:sz w:val="13"/>
                <w:szCs w:val="13"/>
                <w:b w:val="1"/>
                <w:bCs w:val="1"/>
                <w:color w:val="auto"/>
                <w:w w:val="94"/>
              </w:rPr>
              <w:t>United Community Banks, Inc.</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1"/>
        </w:trPr>
        <w:tc>
          <w:tcPr>
            <w:tcW w:w="2900" w:type="dxa"/>
            <w:vAlign w:val="bottom"/>
          </w:tcPr>
          <w:p>
            <w:pPr>
              <w:spacing w:after="0"/>
              <w:rPr>
                <w:sz w:val="12"/>
                <w:szCs w:val="12"/>
                <w:color w:val="auto"/>
              </w:rPr>
            </w:pPr>
          </w:p>
        </w:tc>
        <w:tc>
          <w:tcPr>
            <w:tcW w:w="1640" w:type="dxa"/>
            <w:vAlign w:val="bottom"/>
            <w:tcBorders>
              <w:top w:val="single" w:sz="8" w:color="auto"/>
              <w:bottom w:val="single" w:sz="8" w:color="auto"/>
            </w:tcBorders>
            <w:gridSpan w:val="3"/>
          </w:tcPr>
          <w:p>
            <w:pPr>
              <w:ind w:left="520"/>
              <w:spacing w:after="0" w:line="141" w:lineRule="exact"/>
              <w:rPr>
                <w:sz w:val="20"/>
                <w:szCs w:val="20"/>
                <w:color w:val="auto"/>
              </w:rPr>
            </w:pPr>
            <w:r>
              <w:rPr>
                <w:rFonts w:ascii="Arial" w:cs="Arial" w:eastAsia="Arial" w:hAnsi="Arial"/>
                <w:sz w:val="13"/>
                <w:szCs w:val="13"/>
                <w:b w:val="1"/>
                <w:bCs w:val="1"/>
                <w:color w:val="auto"/>
              </w:rPr>
              <w:t>Guidelines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center"/>
              <w:ind w:right="260"/>
              <w:spacing w:after="0" w:line="141" w:lineRule="exact"/>
              <w:rPr>
                <w:sz w:val="20"/>
                <w:szCs w:val="20"/>
                <w:color w:val="auto"/>
              </w:rPr>
            </w:pPr>
            <w:r>
              <w:rPr>
                <w:rFonts w:ascii="Arial" w:cs="Arial" w:eastAsia="Arial" w:hAnsi="Arial"/>
                <w:sz w:val="13"/>
                <w:szCs w:val="13"/>
                <w:b w:val="1"/>
                <w:bCs w:val="1"/>
                <w:color w:val="auto"/>
                <w:w w:val="92"/>
              </w:rPr>
              <w:t>(Consolidated)</w:t>
            </w:r>
          </w:p>
        </w:tc>
        <w:tc>
          <w:tcPr>
            <w:tcW w:w="6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center"/>
              <w:spacing w:after="0" w:line="141" w:lineRule="exact"/>
              <w:rPr>
                <w:sz w:val="20"/>
                <w:szCs w:val="20"/>
                <w:color w:val="auto"/>
              </w:rPr>
            </w:pPr>
            <w:r>
              <w:rPr>
                <w:rFonts w:ascii="Arial" w:cs="Arial" w:eastAsia="Arial" w:hAnsi="Arial"/>
                <w:sz w:val="13"/>
                <w:szCs w:val="13"/>
                <w:b w:val="1"/>
                <w:bCs w:val="1"/>
                <w:color w:val="auto"/>
                <w:w w:val="95"/>
              </w:rPr>
              <w:t>United Community Bank</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8"/>
        </w:trPr>
        <w:tc>
          <w:tcPr>
            <w:tcW w:w="2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jc w:val="right"/>
              <w:ind w:right="121"/>
              <w:spacing w:after="0" w:line="128" w:lineRule="exact"/>
              <w:rPr>
                <w:sz w:val="20"/>
                <w:szCs w:val="20"/>
                <w:color w:val="auto"/>
              </w:rPr>
            </w:pPr>
            <w:r>
              <w:rPr>
                <w:rFonts w:ascii="Arial" w:cs="Arial" w:eastAsia="Arial" w:hAnsi="Arial"/>
                <w:sz w:val="13"/>
                <w:szCs w:val="13"/>
                <w:b w:val="1"/>
                <w:bCs w:val="1"/>
                <w:color w:val="auto"/>
              </w:rPr>
              <w:t>Well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340"/>
              <w:spacing w:after="0" w:line="128"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1"/>
                <w:szCs w:val="11"/>
                <w:color w:val="auto"/>
              </w:rPr>
            </w:pPr>
          </w:p>
        </w:tc>
        <w:tc>
          <w:tcPr>
            <w:tcW w:w="120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w w:val="92"/>
              </w:rPr>
              <w:t>December 31,</w:t>
            </w:r>
          </w:p>
        </w:tc>
        <w:tc>
          <w:tcPr>
            <w:tcW w:w="680" w:type="dxa"/>
            <w:vAlign w:val="bottom"/>
          </w:tcPr>
          <w:p>
            <w:pPr>
              <w:jc w:val="right"/>
              <w:ind w:right="19"/>
              <w:spacing w:after="0" w:line="128"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353"/>
              <w:spacing w:after="0" w:line="128" w:lineRule="exact"/>
              <w:rPr>
                <w:sz w:val="20"/>
                <w:szCs w:val="20"/>
                <w:color w:val="auto"/>
              </w:rPr>
            </w:pPr>
            <w:r>
              <w:rPr>
                <w:rFonts w:ascii="Arial" w:cs="Arial" w:eastAsia="Arial" w:hAnsi="Arial"/>
                <w:sz w:val="13"/>
                <w:szCs w:val="13"/>
                <w:b w:val="1"/>
                <w:bCs w:val="1"/>
                <w:color w:val="auto"/>
                <w:w w:val="92"/>
              </w:rPr>
              <w:t>June 30,</w:t>
            </w:r>
          </w:p>
        </w:tc>
        <w:tc>
          <w:tcPr>
            <w:tcW w:w="116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89"/>
              </w:rPr>
              <w:t>December 31,</w:t>
            </w:r>
          </w:p>
        </w:tc>
        <w:tc>
          <w:tcPr>
            <w:tcW w:w="60" w:type="dxa"/>
            <w:vAlign w:val="bottom"/>
          </w:tcPr>
          <w:p>
            <w:pPr>
              <w:spacing w:after="0"/>
              <w:rPr>
                <w:sz w:val="11"/>
                <w:szCs w:val="11"/>
                <w:color w:val="auto"/>
              </w:rPr>
            </w:pPr>
          </w:p>
        </w:tc>
        <w:tc>
          <w:tcPr>
            <w:tcW w:w="660" w:type="dxa"/>
            <w:vAlign w:val="bottom"/>
          </w:tcPr>
          <w:p>
            <w:pPr>
              <w:jc w:val="right"/>
              <w:ind w:right="33"/>
              <w:spacing w:after="0" w:line="128"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1"/>
                <w:szCs w:val="11"/>
                <w:color w:val="auto"/>
              </w:rPr>
            </w:pPr>
          </w:p>
        </w:tc>
      </w:tr>
      <w:tr>
        <w:trPr>
          <w:trHeight w:val="160"/>
        </w:trPr>
        <w:tc>
          <w:tcPr>
            <w:tcW w:w="290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Minimum</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3"/>
              </w:rPr>
              <w:t>Capitalized</w:t>
            </w:r>
          </w:p>
        </w:tc>
        <w:tc>
          <w:tcPr>
            <w:tcW w:w="80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2012</w:t>
            </w:r>
          </w:p>
        </w:tc>
        <w:tc>
          <w:tcPr>
            <w:tcW w:w="260" w:type="dxa"/>
            <w:vAlign w:val="bottom"/>
          </w:tcPr>
          <w:p>
            <w:pPr>
              <w:spacing w:after="0"/>
              <w:rPr>
                <w:sz w:val="13"/>
                <w:szCs w:val="13"/>
                <w:color w:val="auto"/>
              </w:rPr>
            </w:pPr>
          </w:p>
        </w:tc>
        <w:tc>
          <w:tcPr>
            <w:tcW w:w="940" w:type="dxa"/>
            <w:vAlign w:val="bottom"/>
            <w:gridSpan w:val="2"/>
          </w:tcPr>
          <w:p>
            <w:pPr>
              <w:jc w:val="center"/>
              <w:ind w:left="79"/>
              <w:spacing w:after="0"/>
              <w:rPr>
                <w:sz w:val="20"/>
                <w:szCs w:val="20"/>
                <w:color w:val="auto"/>
              </w:rPr>
            </w:pPr>
            <w:r>
              <w:rPr>
                <w:rFonts w:ascii="Arial" w:cs="Arial" w:eastAsia="Arial" w:hAnsi="Arial"/>
                <w:sz w:val="13"/>
                <w:szCs w:val="13"/>
                <w:b w:val="1"/>
                <w:bCs w:val="1"/>
                <w:color w:val="auto"/>
                <w:w w:val="89"/>
              </w:rPr>
              <w:t>2011</w:t>
            </w:r>
          </w:p>
        </w:tc>
        <w:tc>
          <w:tcPr>
            <w:tcW w:w="400" w:type="dxa"/>
            <w:vAlign w:val="bottom"/>
          </w:tcPr>
          <w:p>
            <w:pPr>
              <w:spacing w:after="0"/>
              <w:rPr>
                <w:sz w:val="13"/>
                <w:szCs w:val="13"/>
                <w:color w:val="auto"/>
              </w:rPr>
            </w:pPr>
          </w:p>
        </w:tc>
        <w:tc>
          <w:tcPr>
            <w:tcW w:w="680" w:type="dxa"/>
            <w:vAlign w:val="bottom"/>
          </w:tcPr>
          <w:p>
            <w:pPr>
              <w:jc w:val="right"/>
              <w:ind w:right="139"/>
              <w:spacing w:after="0"/>
              <w:rPr>
                <w:sz w:val="20"/>
                <w:szCs w:val="20"/>
                <w:color w:val="auto"/>
              </w:rPr>
            </w:pPr>
            <w:r>
              <w:rPr>
                <w:rFonts w:ascii="Arial" w:cs="Arial" w:eastAsia="Arial" w:hAnsi="Arial"/>
                <w:sz w:val="13"/>
                <w:szCs w:val="13"/>
                <w:b w:val="1"/>
                <w:bCs w:val="1"/>
                <w:color w:val="auto"/>
              </w:rPr>
              <w:t>2011</w:t>
            </w:r>
          </w:p>
        </w:tc>
        <w:tc>
          <w:tcPr>
            <w:tcW w:w="260" w:type="dxa"/>
            <w:vAlign w:val="bottom"/>
          </w:tcPr>
          <w:p>
            <w:pPr>
              <w:spacing w:after="0"/>
              <w:rPr>
                <w:sz w:val="13"/>
                <w:szCs w:val="13"/>
                <w:color w:val="auto"/>
              </w:rPr>
            </w:pPr>
          </w:p>
        </w:tc>
        <w:tc>
          <w:tcPr>
            <w:tcW w:w="80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2011</w:t>
            </w:r>
          </w:p>
        </w:tc>
        <w:tc>
          <w:tcPr>
            <w:tcW w:w="360" w:type="dxa"/>
            <w:vAlign w:val="bottom"/>
          </w:tcPr>
          <w:p>
            <w:pPr>
              <w:spacing w:after="0"/>
              <w:rPr>
                <w:sz w:val="13"/>
                <w:szCs w:val="13"/>
                <w:color w:val="auto"/>
              </w:rPr>
            </w:pPr>
          </w:p>
        </w:tc>
        <w:tc>
          <w:tcPr>
            <w:tcW w:w="72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r>
      <w:tr>
        <w:trPr>
          <w:trHeight w:val="194"/>
        </w:trPr>
        <w:tc>
          <w:tcPr>
            <w:tcW w:w="29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Risk-based ratios:</w:t>
            </w: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4"/>
        </w:trPr>
        <w:tc>
          <w:tcPr>
            <w:tcW w:w="2900" w:type="dxa"/>
            <w:vAlign w:val="bottom"/>
          </w:tcPr>
          <w:p>
            <w:pPr>
              <w:ind w:left="440"/>
              <w:spacing w:after="0"/>
              <w:rPr>
                <w:sz w:val="20"/>
                <w:szCs w:val="20"/>
                <w:color w:val="auto"/>
              </w:rPr>
            </w:pPr>
            <w:r>
              <w:rPr>
                <w:rFonts w:ascii="Arial" w:cs="Arial" w:eastAsia="Arial" w:hAnsi="Arial"/>
                <w:sz w:val="17"/>
                <w:szCs w:val="17"/>
                <w:color w:val="auto"/>
              </w:rPr>
              <w:t>Tier I capital</w:t>
            </w:r>
          </w:p>
        </w:tc>
        <w:tc>
          <w:tcPr>
            <w:tcW w:w="980" w:type="dxa"/>
            <w:vAlign w:val="bottom"/>
            <w:gridSpan w:val="2"/>
          </w:tcPr>
          <w:p>
            <w:pPr>
              <w:ind w:left="360"/>
              <w:spacing w:after="0"/>
              <w:rPr>
                <w:sz w:val="20"/>
                <w:szCs w:val="20"/>
                <w:color w:val="auto"/>
              </w:rPr>
            </w:pPr>
            <w:r>
              <w:rPr>
                <w:rFonts w:ascii="Arial" w:cs="Arial" w:eastAsia="Arial" w:hAnsi="Arial"/>
                <w:sz w:val="17"/>
                <w:szCs w:val="17"/>
                <w:color w:val="auto"/>
              </w:rPr>
              <w:t>4.0%</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6.0%</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14.19%</w:t>
            </w:r>
          </w:p>
        </w:tc>
        <w:tc>
          <w:tcPr>
            <w:tcW w:w="1340" w:type="dxa"/>
            <w:vAlign w:val="bottom"/>
            <w:gridSpan w:val="3"/>
          </w:tcPr>
          <w:p>
            <w:pPr>
              <w:jc w:val="right"/>
              <w:ind w:right="260"/>
              <w:spacing w:after="0"/>
              <w:rPr>
                <w:sz w:val="20"/>
                <w:szCs w:val="20"/>
                <w:color w:val="auto"/>
              </w:rPr>
            </w:pPr>
            <w:r>
              <w:rPr>
                <w:rFonts w:ascii="Arial" w:cs="Arial" w:eastAsia="Arial" w:hAnsi="Arial"/>
                <w:sz w:val="17"/>
                <w:szCs w:val="17"/>
                <w:color w:val="auto"/>
              </w:rPr>
              <w:t>13.69%</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13.62%</w:t>
            </w:r>
          </w:p>
        </w:tc>
        <w:tc>
          <w:tcPr>
            <w:tcW w:w="1200" w:type="dxa"/>
            <w:vAlign w:val="bottom"/>
            <w:gridSpan w:val="3"/>
          </w:tcPr>
          <w:p>
            <w:pPr>
              <w:jc w:val="right"/>
              <w:ind w:right="193"/>
              <w:spacing w:after="0"/>
              <w:rPr>
                <w:sz w:val="20"/>
                <w:szCs w:val="20"/>
                <w:color w:val="auto"/>
              </w:rPr>
            </w:pPr>
            <w:r>
              <w:rPr>
                <w:rFonts w:ascii="Arial" w:cs="Arial" w:eastAsia="Arial" w:hAnsi="Arial"/>
                <w:sz w:val="17"/>
                <w:szCs w:val="17"/>
                <w:color w:val="auto"/>
              </w:rPr>
              <w:t>14.30%</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13.60%</w:t>
            </w:r>
          </w:p>
        </w:tc>
        <w:tc>
          <w:tcPr>
            <w:tcW w:w="920" w:type="dxa"/>
            <w:vAlign w:val="bottom"/>
            <w:gridSpan w:val="3"/>
          </w:tcPr>
          <w:p>
            <w:pPr>
              <w:jc w:val="right"/>
              <w:ind w:right="60"/>
              <w:spacing w:after="0"/>
              <w:rPr>
                <w:sz w:val="20"/>
                <w:szCs w:val="20"/>
                <w:color w:val="auto"/>
              </w:rPr>
            </w:pPr>
            <w:r>
              <w:rPr>
                <w:rFonts w:ascii="Arial" w:cs="Arial" w:eastAsia="Arial" w:hAnsi="Arial"/>
                <w:sz w:val="17"/>
                <w:szCs w:val="17"/>
                <w:color w:val="auto"/>
              </w:rPr>
              <w:t>13.33%</w:t>
            </w:r>
          </w:p>
        </w:tc>
      </w:tr>
      <w:tr>
        <w:trPr>
          <w:trHeight w:val="214"/>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capital</w:t>
            </w:r>
          </w:p>
        </w:tc>
        <w:tc>
          <w:tcPr>
            <w:tcW w:w="5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84"/>
              </w:rPr>
              <w:t>8.0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15.93</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15.41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33"/>
              <w:spacing w:after="0"/>
              <w:rPr>
                <w:sz w:val="20"/>
                <w:szCs w:val="20"/>
                <w:color w:val="auto"/>
              </w:rPr>
            </w:pPr>
            <w:r>
              <w:rPr>
                <w:rFonts w:ascii="Arial" w:cs="Arial" w:eastAsia="Arial" w:hAnsi="Arial"/>
                <w:sz w:val="17"/>
                <w:szCs w:val="17"/>
                <w:color w:val="auto"/>
              </w:rPr>
              <w:t>15.56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15.12</w:t>
            </w:r>
          </w:p>
        </w:tc>
        <w:tc>
          <w:tcPr>
            <w:tcW w:w="200" w:type="dxa"/>
            <w:vAlign w:val="bottom"/>
            <w:shd w:val="clear" w:color="auto" w:fill="CCEEFF"/>
          </w:tcPr>
          <w:p>
            <w:pPr>
              <w:spacing w:after="0"/>
              <w:rPr>
                <w:sz w:val="18"/>
                <w:szCs w:val="18"/>
                <w:color w:val="auto"/>
              </w:rPr>
            </w:pPr>
          </w:p>
        </w:tc>
      </w:tr>
      <w:tr>
        <w:trPr>
          <w:trHeight w:val="221"/>
        </w:trPr>
        <w:tc>
          <w:tcPr>
            <w:tcW w:w="2900" w:type="dxa"/>
            <w:vAlign w:val="bottom"/>
          </w:tcPr>
          <w:p>
            <w:pPr>
              <w:spacing w:after="0"/>
              <w:rPr>
                <w:sz w:val="20"/>
                <w:szCs w:val="20"/>
                <w:color w:val="auto"/>
              </w:rPr>
            </w:pPr>
            <w:r>
              <w:rPr>
                <w:rFonts w:ascii="Arial" w:cs="Arial" w:eastAsia="Arial" w:hAnsi="Arial"/>
                <w:sz w:val="17"/>
                <w:szCs w:val="17"/>
                <w:color w:val="auto"/>
              </w:rPr>
              <w:t>Leverage ratio</w:t>
            </w:r>
          </w:p>
        </w:tc>
        <w:tc>
          <w:tcPr>
            <w:tcW w:w="580" w:type="dxa"/>
            <w:vAlign w:val="bottom"/>
          </w:tcPr>
          <w:p>
            <w:pPr>
              <w:ind w:left="360"/>
              <w:spacing w:after="0"/>
              <w:rPr>
                <w:sz w:val="20"/>
                <w:szCs w:val="20"/>
                <w:color w:val="auto"/>
              </w:rPr>
            </w:pPr>
            <w:r>
              <w:rPr>
                <w:rFonts w:ascii="Arial" w:cs="Arial" w:eastAsia="Arial" w:hAnsi="Arial"/>
                <w:sz w:val="17"/>
                <w:szCs w:val="17"/>
                <w:color w:val="auto"/>
                <w:w w:val="84"/>
              </w:rPr>
              <w:t>3.0</w:t>
            </w:r>
          </w:p>
        </w:tc>
        <w:tc>
          <w:tcPr>
            <w:tcW w:w="4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5.0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9.09</w:t>
            </w:r>
          </w:p>
        </w:tc>
        <w:tc>
          <w:tcPr>
            <w:tcW w:w="260" w:type="dxa"/>
            <w:vAlign w:val="bottom"/>
          </w:tcPr>
          <w:p>
            <w:pPr>
              <w:spacing w:after="0"/>
              <w:rPr>
                <w:sz w:val="19"/>
                <w:szCs w:val="19"/>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7"/>
                <w:szCs w:val="17"/>
                <w:color w:val="auto"/>
              </w:rPr>
              <w:t>8.83</w:t>
            </w:r>
          </w:p>
        </w:tc>
        <w:tc>
          <w:tcPr>
            <w:tcW w:w="680" w:type="dxa"/>
            <w:vAlign w:val="bottom"/>
          </w:tcPr>
          <w:p>
            <w:pPr>
              <w:jc w:val="right"/>
              <w:spacing w:after="0"/>
              <w:rPr>
                <w:sz w:val="20"/>
                <w:szCs w:val="20"/>
                <w:color w:val="auto"/>
              </w:rPr>
            </w:pPr>
            <w:r>
              <w:rPr>
                <w:rFonts w:ascii="Arial" w:cs="Arial" w:eastAsia="Arial" w:hAnsi="Arial"/>
                <w:sz w:val="17"/>
                <w:szCs w:val="17"/>
                <w:color w:val="auto"/>
              </w:rPr>
              <w:t>8.52</w:t>
            </w:r>
          </w:p>
        </w:tc>
        <w:tc>
          <w:tcPr>
            <w:tcW w:w="260" w:type="dxa"/>
            <w:vAlign w:val="bottom"/>
          </w:tcPr>
          <w:p>
            <w:pPr>
              <w:spacing w:after="0"/>
              <w:rPr>
                <w:sz w:val="19"/>
                <w:szCs w:val="19"/>
                <w:color w:val="auto"/>
              </w:rPr>
            </w:pPr>
          </w:p>
        </w:tc>
        <w:tc>
          <w:tcPr>
            <w:tcW w:w="1200" w:type="dxa"/>
            <w:vAlign w:val="bottom"/>
            <w:gridSpan w:val="3"/>
          </w:tcPr>
          <w:p>
            <w:pPr>
              <w:jc w:val="right"/>
              <w:ind w:right="333"/>
              <w:spacing w:after="0"/>
              <w:rPr>
                <w:sz w:val="20"/>
                <w:szCs w:val="20"/>
                <w:color w:val="auto"/>
              </w:rPr>
            </w:pPr>
            <w:r>
              <w:rPr>
                <w:rFonts w:ascii="Arial" w:cs="Arial" w:eastAsia="Arial" w:hAnsi="Arial"/>
                <w:sz w:val="17"/>
                <w:szCs w:val="17"/>
                <w:color w:val="auto"/>
              </w:rPr>
              <w:t>9.16</w:t>
            </w:r>
          </w:p>
        </w:tc>
        <w:tc>
          <w:tcPr>
            <w:tcW w:w="1160" w:type="dxa"/>
            <w:vAlign w:val="bottom"/>
            <w:gridSpan w:val="2"/>
          </w:tcPr>
          <w:p>
            <w:pPr>
              <w:jc w:val="right"/>
              <w:ind w:right="360"/>
              <w:spacing w:after="0"/>
              <w:rPr>
                <w:sz w:val="20"/>
                <w:szCs w:val="20"/>
                <w:color w:val="auto"/>
              </w:rPr>
            </w:pPr>
            <w:r>
              <w:rPr>
                <w:rFonts w:ascii="Arial" w:cs="Arial" w:eastAsia="Arial" w:hAnsi="Arial"/>
                <w:sz w:val="17"/>
                <w:szCs w:val="17"/>
                <w:color w:val="auto"/>
              </w:rPr>
              <w:t>8.78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8.35</w:t>
            </w:r>
          </w:p>
        </w:tc>
        <w:tc>
          <w:tcPr>
            <w:tcW w:w="200" w:type="dxa"/>
            <w:vAlign w:val="bottom"/>
          </w:tcPr>
          <w:p>
            <w:pPr>
              <w:spacing w:after="0"/>
              <w:rPr>
                <w:sz w:val="19"/>
                <w:szCs w:val="19"/>
                <w:color w:val="auto"/>
              </w:rPr>
            </w:pPr>
          </w:p>
        </w:tc>
      </w:tr>
      <w:tr>
        <w:trPr>
          <w:trHeight w:val="100"/>
        </w:trPr>
        <w:tc>
          <w:tcPr>
            <w:tcW w:w="2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4"/>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Tier I capital</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$ 634,811</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  618,695</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$626,485</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33"/>
              <w:spacing w:after="0"/>
              <w:rPr>
                <w:sz w:val="20"/>
                <w:szCs w:val="20"/>
                <w:color w:val="auto"/>
              </w:rPr>
            </w:pPr>
            <w:r>
              <w:rPr>
                <w:rFonts w:ascii="Arial" w:cs="Arial" w:eastAsia="Arial" w:hAnsi="Arial"/>
                <w:sz w:val="17"/>
                <w:szCs w:val="17"/>
                <w:color w:val="auto"/>
              </w:rPr>
              <w:t>$638,823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7"/>
              </w:rPr>
              <w:t>$  614,532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$613,016</w:t>
            </w:r>
          </w:p>
        </w:tc>
        <w:tc>
          <w:tcPr>
            <w:tcW w:w="200" w:type="dxa"/>
            <w:vAlign w:val="bottom"/>
            <w:shd w:val="clear" w:color="auto" w:fill="CCEEFF"/>
          </w:tcPr>
          <w:p>
            <w:pPr>
              <w:spacing w:after="0"/>
              <w:rPr>
                <w:sz w:val="18"/>
                <w:szCs w:val="18"/>
                <w:color w:val="auto"/>
              </w:rPr>
            </w:pPr>
          </w:p>
        </w:tc>
      </w:tr>
      <w:tr>
        <w:trPr>
          <w:trHeight w:val="221"/>
        </w:trPr>
        <w:tc>
          <w:tcPr>
            <w:tcW w:w="2900" w:type="dxa"/>
            <w:vAlign w:val="bottom"/>
          </w:tcPr>
          <w:p>
            <w:pPr>
              <w:ind w:left="440"/>
              <w:spacing w:after="0"/>
              <w:rPr>
                <w:sz w:val="20"/>
                <w:szCs w:val="20"/>
                <w:color w:val="auto"/>
              </w:rPr>
            </w:pPr>
            <w:r>
              <w:rPr>
                <w:rFonts w:ascii="Arial" w:cs="Arial" w:eastAsia="Arial" w:hAnsi="Arial"/>
                <w:sz w:val="17"/>
                <w:szCs w:val="17"/>
                <w:color w:val="auto"/>
              </w:rPr>
              <w:t>Total capital</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712,422</w:t>
            </w:r>
          </w:p>
        </w:tc>
        <w:tc>
          <w:tcPr>
            <w:tcW w:w="260" w:type="dxa"/>
            <w:vAlign w:val="bottom"/>
          </w:tcPr>
          <w:p>
            <w:pPr>
              <w:spacing w:after="0"/>
              <w:rPr>
                <w:sz w:val="19"/>
                <w:szCs w:val="19"/>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7"/>
                <w:szCs w:val="17"/>
                <w:color w:val="auto"/>
              </w:rPr>
              <w:t>696,881</w:t>
            </w:r>
          </w:p>
        </w:tc>
        <w:tc>
          <w:tcPr>
            <w:tcW w:w="680" w:type="dxa"/>
            <w:vAlign w:val="bottom"/>
          </w:tcPr>
          <w:p>
            <w:pPr>
              <w:jc w:val="right"/>
              <w:spacing w:after="0"/>
              <w:rPr>
                <w:sz w:val="20"/>
                <w:szCs w:val="20"/>
                <w:color w:val="auto"/>
              </w:rPr>
            </w:pPr>
            <w:r>
              <w:rPr>
                <w:rFonts w:ascii="Arial" w:cs="Arial" w:eastAsia="Arial" w:hAnsi="Arial"/>
                <w:sz w:val="17"/>
                <w:szCs w:val="17"/>
                <w:color w:val="auto"/>
              </w:rPr>
              <w:t>742,930</w:t>
            </w:r>
          </w:p>
        </w:tc>
        <w:tc>
          <w:tcPr>
            <w:tcW w:w="260" w:type="dxa"/>
            <w:vAlign w:val="bottom"/>
          </w:tcPr>
          <w:p>
            <w:pPr>
              <w:spacing w:after="0"/>
              <w:rPr>
                <w:sz w:val="19"/>
                <w:szCs w:val="19"/>
                <w:color w:val="auto"/>
              </w:rPr>
            </w:pPr>
          </w:p>
        </w:tc>
        <w:tc>
          <w:tcPr>
            <w:tcW w:w="1200" w:type="dxa"/>
            <w:vAlign w:val="bottom"/>
            <w:gridSpan w:val="3"/>
          </w:tcPr>
          <w:p>
            <w:pPr>
              <w:jc w:val="right"/>
              <w:ind w:right="333"/>
              <w:spacing w:after="0"/>
              <w:rPr>
                <w:sz w:val="20"/>
                <w:szCs w:val="20"/>
                <w:color w:val="auto"/>
              </w:rPr>
            </w:pPr>
            <w:r>
              <w:rPr>
                <w:rFonts w:ascii="Arial" w:cs="Arial" w:eastAsia="Arial" w:hAnsi="Arial"/>
                <w:sz w:val="17"/>
                <w:szCs w:val="17"/>
                <w:color w:val="auto"/>
              </w:rPr>
              <w:t>695,369</w:t>
            </w:r>
          </w:p>
        </w:tc>
        <w:tc>
          <w:tcPr>
            <w:tcW w:w="1160" w:type="dxa"/>
            <w:vAlign w:val="bottom"/>
            <w:gridSpan w:val="2"/>
          </w:tcPr>
          <w:p>
            <w:pPr>
              <w:jc w:val="right"/>
              <w:ind w:right="360"/>
              <w:spacing w:after="0"/>
              <w:rPr>
                <w:sz w:val="20"/>
                <w:szCs w:val="20"/>
                <w:color w:val="auto"/>
              </w:rPr>
            </w:pPr>
            <w:r>
              <w:rPr>
                <w:rFonts w:ascii="Arial" w:cs="Arial" w:eastAsia="Arial" w:hAnsi="Arial"/>
                <w:sz w:val="17"/>
                <w:szCs w:val="17"/>
                <w:color w:val="auto"/>
              </w:rPr>
              <w:t>671,718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695,358</w:t>
            </w:r>
          </w:p>
        </w:tc>
        <w:tc>
          <w:tcPr>
            <w:tcW w:w="200" w:type="dxa"/>
            <w:vAlign w:val="bottom"/>
          </w:tcPr>
          <w:p>
            <w:pPr>
              <w:spacing w:after="0"/>
              <w:rPr>
                <w:sz w:val="19"/>
                <w:szCs w:val="19"/>
                <w:color w:val="auto"/>
              </w:rPr>
            </w:pPr>
          </w:p>
        </w:tc>
      </w:tr>
    </w:tbl>
    <w:p>
      <w:pPr>
        <w:spacing w:after="0" w:line="14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United’s Tier I capital excludes other comprehensive income, and consists of shareholders’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 and Changing Prices</w:t>
      </w:r>
    </w:p>
    <w:p>
      <w:pPr>
        <w:spacing w:after="0" w:line="10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2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 About Market Risk</w:t>
      </w:r>
    </w:p>
    <w:p>
      <w:pPr>
        <w:spacing w:after="0" w:line="105"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There have been no material changes in United’s quantitative and qualitative disclosures about market risk as of June 30, 2012 from that presented in the Annual Report on Form 10-K for the year ended December 31, 2011. The interest rate sensitivity position at June 30, 2012 is included in management’s discussion and analysis on page 48 of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United’s management, including the Chief Executive Officer and Chief Financial Officer, supervised and participated in an evaluation of the Company’s disclosure controls and procedures as of June 30, 2012.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33" w:lineRule="exact"/>
        <w:rPr>
          <w:sz w:val="20"/>
          <w:szCs w:val="20"/>
          <w:color w:val="auto"/>
        </w:rPr>
      </w:pPr>
    </w:p>
    <w:p>
      <w:pPr>
        <w:jc w:val="center"/>
        <w:ind w:right="80"/>
        <w:spacing w:after="0" w:line="475" w:lineRule="auto"/>
        <w:rPr>
          <w:sz w:val="20"/>
          <w:szCs w:val="20"/>
          <w:color w:val="auto"/>
        </w:rPr>
      </w:pPr>
      <w:r>
        <w:rPr>
          <w:rFonts w:ascii="Arial" w:cs="Arial" w:eastAsia="Arial" w:hAnsi="Arial"/>
          <w:sz w:val="17"/>
          <w:szCs w:val="17"/>
          <w:color w:val="auto"/>
        </w:rPr>
        <w:t>There were no significant changes in the internal controls or in other factors that could significantly affect these controls subsequent to the date of their evaluation. 52</w:t>
      </w:r>
    </w:p>
    <w:p>
      <w:pPr>
        <w:sectPr>
          <w:pgSz w:w="11900" w:h="16838" w:orient="portrait"/>
          <w:cols w:equalWidth="0" w:num="1">
            <w:col w:w="11420"/>
          </w:cols>
          <w:pgMar w:left="240" w:top="457"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in which an adverse decision could result in a material adverse change in the consolidated financial condition or results of operations of United.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There have been no material changes from the risk factors previously disclosed in United’s Annual Report on Form 10-K for the year ended December 31, 2011.</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 – None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 – None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Disclosures—None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 – None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20"/>
          </w:cols>
          <w:pgMar w:left="240" w:top="457"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20"/>
                <w:szCs w:val="20"/>
                <w:color w:val="auto"/>
              </w:rPr>
            </w:pPr>
            <w:r>
              <w:rPr>
                <w:rFonts w:ascii="Arial" w:cs="Arial" w:eastAsia="Arial" w:hAnsi="Arial"/>
                <w:sz w:val="13"/>
                <w:szCs w:val="13"/>
                <w:color w:val="auto"/>
              </w:rPr>
              <w:t>Exhibit No.</w:t>
            </w:r>
          </w:p>
        </w:tc>
        <w:tc>
          <w:tcPr>
            <w:tcW w:w="10460" w:type="dxa"/>
            <w:vAlign w:val="bottom"/>
          </w:tcPr>
          <w:p>
            <w:pPr>
              <w:ind w:left="260"/>
              <w:spacing w:after="0"/>
              <w:rPr>
                <w:sz w:val="20"/>
                <w:szCs w:val="20"/>
                <w:color w:val="auto"/>
              </w:rPr>
            </w:pPr>
            <w:r>
              <w:rPr>
                <w:rFonts w:ascii="Arial" w:cs="Arial" w:eastAsia="Arial" w:hAnsi="Arial"/>
                <w:sz w:val="13"/>
                <w:szCs w:val="13"/>
                <w:color w:val="auto"/>
              </w:rPr>
              <w:t>Description</w:t>
            </w:r>
          </w:p>
        </w:tc>
      </w:tr>
      <w:tr>
        <w:trPr>
          <w:trHeight w:val="300"/>
        </w:trPr>
        <w:tc>
          <w:tcPr>
            <w:tcW w:w="900" w:type="dxa"/>
            <w:vAlign w:val="bottom"/>
          </w:tcPr>
          <w:p>
            <w:pPr>
              <w:spacing w:after="0"/>
              <w:rPr>
                <w:sz w:val="20"/>
                <w:szCs w:val="20"/>
                <w:color w:val="auto"/>
              </w:rPr>
            </w:pPr>
            <w:r>
              <w:rPr>
                <w:rFonts w:ascii="Arial" w:cs="Arial" w:eastAsia="Arial" w:hAnsi="Arial"/>
                <w:sz w:val="17"/>
                <w:szCs w:val="17"/>
                <w:color w:val="auto"/>
              </w:rPr>
              <w:t>31.1</w:t>
            </w:r>
          </w:p>
        </w:tc>
        <w:tc>
          <w:tcPr>
            <w:tcW w:w="10460" w:type="dxa"/>
            <w:vAlign w:val="bottom"/>
          </w:tcPr>
          <w:p>
            <w:pPr>
              <w:ind w:left="260"/>
              <w:spacing w:after="0"/>
              <w:rPr>
                <w:sz w:val="20"/>
                <w:szCs w:val="20"/>
                <w:color w:val="auto"/>
              </w:rPr>
            </w:pPr>
            <w:r>
              <w:rPr>
                <w:rFonts w:ascii="Arial" w:cs="Arial" w:eastAsia="Arial" w:hAnsi="Arial"/>
                <w:sz w:val="17"/>
                <w:szCs w:val="17"/>
                <w:color w:val="auto"/>
                <w:w w:val="93"/>
              </w:rPr>
              <w:t>Certification by Jimmy C. Tallent, President and Chief Executive Officer of United Community Banks, Inc., as adopted pursuant to Section 302 of</w:t>
            </w:r>
          </w:p>
        </w:tc>
      </w:tr>
      <w:tr>
        <w:trPr>
          <w:trHeight w:val="221"/>
        </w:trPr>
        <w:tc>
          <w:tcPr>
            <w:tcW w:w="900" w:type="dxa"/>
            <w:vAlign w:val="bottom"/>
          </w:tcPr>
          <w:p>
            <w:pPr>
              <w:spacing w:after="0"/>
              <w:rPr>
                <w:sz w:val="19"/>
                <w:szCs w:val="19"/>
                <w:color w:val="auto"/>
              </w:rPr>
            </w:pPr>
          </w:p>
        </w:tc>
        <w:tc>
          <w:tcPr>
            <w:tcW w:w="10460" w:type="dxa"/>
            <w:vAlign w:val="bottom"/>
          </w:tcPr>
          <w:p>
            <w:pPr>
              <w:ind w:left="260"/>
              <w:spacing w:after="0"/>
              <w:rPr>
                <w:sz w:val="20"/>
                <w:szCs w:val="20"/>
                <w:color w:val="auto"/>
              </w:rPr>
            </w:pPr>
            <w:r>
              <w:rPr>
                <w:rFonts w:ascii="Arial" w:cs="Arial" w:eastAsia="Arial" w:hAnsi="Arial"/>
                <w:sz w:val="17"/>
                <w:szCs w:val="17"/>
                <w:color w:val="auto"/>
              </w:rPr>
              <w:t>the Sarbanes-Oxley Act of 2002.</w:t>
            </w:r>
          </w:p>
        </w:tc>
      </w:tr>
      <w:tr>
        <w:trPr>
          <w:trHeight w:val="315"/>
        </w:trPr>
        <w:tc>
          <w:tcPr>
            <w:tcW w:w="900" w:type="dxa"/>
            <w:vAlign w:val="bottom"/>
          </w:tcPr>
          <w:p>
            <w:pPr>
              <w:spacing w:after="0"/>
              <w:rPr>
                <w:sz w:val="20"/>
                <w:szCs w:val="20"/>
                <w:color w:val="auto"/>
              </w:rPr>
            </w:pPr>
            <w:r>
              <w:rPr>
                <w:rFonts w:ascii="Arial" w:cs="Arial" w:eastAsia="Arial" w:hAnsi="Arial"/>
                <w:sz w:val="17"/>
                <w:szCs w:val="17"/>
                <w:color w:val="auto"/>
              </w:rPr>
              <w:t>31.2</w:t>
            </w:r>
          </w:p>
        </w:tc>
        <w:tc>
          <w:tcPr>
            <w:tcW w:w="10460" w:type="dxa"/>
            <w:vAlign w:val="bottom"/>
          </w:tcPr>
          <w:p>
            <w:pPr>
              <w:ind w:left="260"/>
              <w:spacing w:after="0"/>
              <w:rPr>
                <w:sz w:val="20"/>
                <w:szCs w:val="20"/>
                <w:color w:val="auto"/>
              </w:rPr>
            </w:pPr>
            <w:r>
              <w:rPr>
                <w:rFonts w:ascii="Arial" w:cs="Arial" w:eastAsia="Arial" w:hAnsi="Arial"/>
                <w:sz w:val="17"/>
                <w:szCs w:val="17"/>
                <w:color w:val="auto"/>
                <w:w w:val="94"/>
              </w:rPr>
              <w:t>Certification by Rex S. Schuette, Executive Vice President and Chief Financial Officer of United Community Banks, Inc., as adopted pursuant to</w:t>
            </w:r>
          </w:p>
        </w:tc>
      </w:tr>
      <w:tr>
        <w:trPr>
          <w:trHeight w:val="221"/>
        </w:trPr>
        <w:tc>
          <w:tcPr>
            <w:tcW w:w="900" w:type="dxa"/>
            <w:vAlign w:val="bottom"/>
          </w:tcPr>
          <w:p>
            <w:pPr>
              <w:spacing w:after="0"/>
              <w:rPr>
                <w:sz w:val="19"/>
                <w:szCs w:val="19"/>
                <w:color w:val="auto"/>
              </w:rPr>
            </w:pPr>
          </w:p>
        </w:tc>
        <w:tc>
          <w:tcPr>
            <w:tcW w:w="10460" w:type="dxa"/>
            <w:vAlign w:val="bottom"/>
          </w:tcPr>
          <w:p>
            <w:pPr>
              <w:ind w:left="260"/>
              <w:spacing w:after="0"/>
              <w:rPr>
                <w:sz w:val="20"/>
                <w:szCs w:val="20"/>
                <w:color w:val="auto"/>
              </w:rPr>
            </w:pPr>
            <w:r>
              <w:rPr>
                <w:rFonts w:ascii="Arial" w:cs="Arial" w:eastAsia="Arial" w:hAnsi="Arial"/>
                <w:sz w:val="17"/>
                <w:szCs w:val="17"/>
                <w:color w:val="auto"/>
              </w:rPr>
              <w:t>Section 302 of the Sarbanes-Oxley Act of 2002.</w:t>
            </w:r>
          </w:p>
        </w:tc>
      </w:tr>
      <w:tr>
        <w:trPr>
          <w:trHeight w:val="322"/>
        </w:trPr>
        <w:tc>
          <w:tcPr>
            <w:tcW w:w="900" w:type="dxa"/>
            <w:vAlign w:val="bottom"/>
          </w:tcPr>
          <w:p>
            <w:pPr>
              <w:spacing w:after="0"/>
              <w:rPr>
                <w:sz w:val="20"/>
                <w:szCs w:val="20"/>
                <w:color w:val="auto"/>
              </w:rPr>
            </w:pPr>
            <w:r>
              <w:rPr>
                <w:rFonts w:ascii="Arial" w:cs="Arial" w:eastAsia="Arial" w:hAnsi="Arial"/>
                <w:sz w:val="17"/>
                <w:szCs w:val="17"/>
                <w:color w:val="auto"/>
              </w:rPr>
              <w:t>32</w:t>
            </w:r>
          </w:p>
        </w:tc>
        <w:tc>
          <w:tcPr>
            <w:tcW w:w="10460" w:type="dxa"/>
            <w:vAlign w:val="bottom"/>
          </w:tcPr>
          <w:p>
            <w:pPr>
              <w:ind w:left="260"/>
              <w:spacing w:after="0"/>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w:t>
            </w:r>
          </w:p>
        </w:tc>
      </w:tr>
      <w:tr>
        <w:trPr>
          <w:trHeight w:val="322"/>
        </w:trPr>
        <w:tc>
          <w:tcPr>
            <w:tcW w:w="900" w:type="dxa"/>
            <w:vAlign w:val="bottom"/>
          </w:tcPr>
          <w:p>
            <w:pPr>
              <w:spacing w:after="0"/>
              <w:rPr>
                <w:sz w:val="20"/>
                <w:szCs w:val="20"/>
                <w:color w:val="auto"/>
              </w:rPr>
            </w:pPr>
            <w:r>
              <w:rPr>
                <w:rFonts w:ascii="Arial" w:cs="Arial" w:eastAsia="Arial" w:hAnsi="Arial"/>
                <w:sz w:val="17"/>
                <w:szCs w:val="17"/>
                <w:color w:val="auto"/>
              </w:rPr>
              <w:t>101.INS</w:t>
            </w:r>
          </w:p>
        </w:tc>
        <w:tc>
          <w:tcPr>
            <w:tcW w:w="10460" w:type="dxa"/>
            <w:vAlign w:val="bottom"/>
          </w:tcPr>
          <w:p>
            <w:pPr>
              <w:ind w:left="260"/>
              <w:spacing w:after="0"/>
              <w:rPr>
                <w:sz w:val="20"/>
                <w:szCs w:val="20"/>
                <w:color w:val="auto"/>
              </w:rPr>
            </w:pPr>
            <w:r>
              <w:rPr>
                <w:rFonts w:ascii="Arial" w:cs="Arial" w:eastAsia="Arial" w:hAnsi="Arial"/>
                <w:sz w:val="17"/>
                <w:szCs w:val="17"/>
                <w:color w:val="auto"/>
              </w:rPr>
              <w:t>XBRL Instance Document</w:t>
            </w:r>
          </w:p>
        </w:tc>
      </w:tr>
      <w:tr>
        <w:trPr>
          <w:trHeight w:val="322"/>
        </w:trPr>
        <w:tc>
          <w:tcPr>
            <w:tcW w:w="900" w:type="dxa"/>
            <w:vAlign w:val="bottom"/>
          </w:tcPr>
          <w:p>
            <w:pPr>
              <w:spacing w:after="0"/>
              <w:rPr>
                <w:sz w:val="20"/>
                <w:szCs w:val="20"/>
                <w:color w:val="auto"/>
              </w:rPr>
            </w:pPr>
            <w:r>
              <w:rPr>
                <w:rFonts w:ascii="Arial" w:cs="Arial" w:eastAsia="Arial" w:hAnsi="Arial"/>
                <w:sz w:val="17"/>
                <w:szCs w:val="17"/>
                <w:color w:val="auto"/>
              </w:rPr>
              <w:t>101.SCH</w:t>
            </w:r>
          </w:p>
        </w:tc>
        <w:tc>
          <w:tcPr>
            <w:tcW w:w="10460" w:type="dxa"/>
            <w:vAlign w:val="bottom"/>
          </w:tcPr>
          <w:p>
            <w:pPr>
              <w:ind w:left="260"/>
              <w:spacing w:after="0"/>
              <w:rPr>
                <w:sz w:val="20"/>
                <w:szCs w:val="20"/>
                <w:color w:val="auto"/>
              </w:rPr>
            </w:pPr>
            <w:r>
              <w:rPr>
                <w:rFonts w:ascii="Arial" w:cs="Arial" w:eastAsia="Arial" w:hAnsi="Arial"/>
                <w:sz w:val="17"/>
                <w:szCs w:val="17"/>
                <w:color w:val="auto"/>
              </w:rPr>
              <w:t>XBRL Taxonomy Extension Schema Document</w:t>
            </w:r>
          </w:p>
        </w:tc>
      </w:tr>
      <w:tr>
        <w:trPr>
          <w:trHeight w:val="322"/>
        </w:trPr>
        <w:tc>
          <w:tcPr>
            <w:tcW w:w="900" w:type="dxa"/>
            <w:vAlign w:val="bottom"/>
          </w:tcPr>
          <w:p>
            <w:pPr>
              <w:spacing w:after="0"/>
              <w:rPr>
                <w:sz w:val="20"/>
                <w:szCs w:val="20"/>
                <w:color w:val="auto"/>
              </w:rPr>
            </w:pPr>
            <w:r>
              <w:rPr>
                <w:rFonts w:ascii="Arial" w:cs="Arial" w:eastAsia="Arial" w:hAnsi="Arial"/>
                <w:sz w:val="17"/>
                <w:szCs w:val="17"/>
                <w:color w:val="auto"/>
              </w:rPr>
              <w:t>101.CAL</w:t>
            </w:r>
          </w:p>
        </w:tc>
        <w:tc>
          <w:tcPr>
            <w:tcW w:w="10460" w:type="dxa"/>
            <w:vAlign w:val="bottom"/>
          </w:tcPr>
          <w:p>
            <w:pPr>
              <w:ind w:left="260"/>
              <w:spacing w:after="0"/>
              <w:rPr>
                <w:sz w:val="20"/>
                <w:szCs w:val="20"/>
                <w:color w:val="auto"/>
              </w:rPr>
            </w:pPr>
            <w:r>
              <w:rPr>
                <w:rFonts w:ascii="Arial" w:cs="Arial" w:eastAsia="Arial" w:hAnsi="Arial"/>
                <w:sz w:val="17"/>
                <w:szCs w:val="17"/>
                <w:color w:val="auto"/>
              </w:rPr>
              <w:t>XBRL Taxonomy Extension Calculation Linkbase Document</w:t>
            </w:r>
          </w:p>
        </w:tc>
      </w:tr>
      <w:tr>
        <w:trPr>
          <w:trHeight w:val="322"/>
        </w:trPr>
        <w:tc>
          <w:tcPr>
            <w:tcW w:w="900" w:type="dxa"/>
            <w:vAlign w:val="bottom"/>
          </w:tcPr>
          <w:p>
            <w:pPr>
              <w:spacing w:after="0"/>
              <w:rPr>
                <w:sz w:val="20"/>
                <w:szCs w:val="20"/>
                <w:color w:val="auto"/>
              </w:rPr>
            </w:pPr>
            <w:r>
              <w:rPr>
                <w:rFonts w:ascii="Arial" w:cs="Arial" w:eastAsia="Arial" w:hAnsi="Arial"/>
                <w:sz w:val="17"/>
                <w:szCs w:val="17"/>
                <w:color w:val="auto"/>
              </w:rPr>
              <w:t>101.DEF</w:t>
            </w:r>
          </w:p>
        </w:tc>
        <w:tc>
          <w:tcPr>
            <w:tcW w:w="10460" w:type="dxa"/>
            <w:vAlign w:val="bottom"/>
          </w:tcPr>
          <w:p>
            <w:pPr>
              <w:ind w:left="260"/>
              <w:spacing w:after="0"/>
              <w:rPr>
                <w:sz w:val="20"/>
                <w:szCs w:val="20"/>
                <w:color w:val="auto"/>
              </w:rPr>
            </w:pPr>
            <w:r>
              <w:rPr>
                <w:rFonts w:ascii="Arial" w:cs="Arial" w:eastAsia="Arial" w:hAnsi="Arial"/>
                <w:sz w:val="17"/>
                <w:szCs w:val="17"/>
                <w:color w:val="auto"/>
              </w:rPr>
              <w:t>XBRL Taxonomy Extension Definition Linkbase Document</w:t>
            </w:r>
          </w:p>
        </w:tc>
      </w:tr>
      <w:tr>
        <w:trPr>
          <w:trHeight w:val="322"/>
        </w:trPr>
        <w:tc>
          <w:tcPr>
            <w:tcW w:w="900" w:type="dxa"/>
            <w:vAlign w:val="bottom"/>
          </w:tcPr>
          <w:p>
            <w:pPr>
              <w:spacing w:after="0"/>
              <w:rPr>
                <w:sz w:val="20"/>
                <w:szCs w:val="20"/>
                <w:color w:val="auto"/>
              </w:rPr>
            </w:pPr>
            <w:r>
              <w:rPr>
                <w:rFonts w:ascii="Arial" w:cs="Arial" w:eastAsia="Arial" w:hAnsi="Arial"/>
                <w:sz w:val="17"/>
                <w:szCs w:val="17"/>
                <w:color w:val="auto"/>
              </w:rPr>
              <w:t>101.LAB</w:t>
            </w:r>
          </w:p>
        </w:tc>
        <w:tc>
          <w:tcPr>
            <w:tcW w:w="10460" w:type="dxa"/>
            <w:vAlign w:val="bottom"/>
          </w:tcPr>
          <w:p>
            <w:pPr>
              <w:ind w:left="260"/>
              <w:spacing w:after="0"/>
              <w:rPr>
                <w:sz w:val="20"/>
                <w:szCs w:val="20"/>
                <w:color w:val="auto"/>
              </w:rPr>
            </w:pPr>
            <w:r>
              <w:rPr>
                <w:rFonts w:ascii="Arial" w:cs="Arial" w:eastAsia="Arial" w:hAnsi="Arial"/>
                <w:sz w:val="17"/>
                <w:szCs w:val="17"/>
                <w:color w:val="auto"/>
              </w:rPr>
              <w:t>XBRL Taxonomy Extension Label Linkbase Document</w:t>
            </w:r>
          </w:p>
        </w:tc>
      </w:tr>
      <w:tr>
        <w:trPr>
          <w:trHeight w:val="322"/>
        </w:trPr>
        <w:tc>
          <w:tcPr>
            <w:tcW w:w="900" w:type="dxa"/>
            <w:vAlign w:val="bottom"/>
          </w:tcPr>
          <w:p>
            <w:pPr>
              <w:spacing w:after="0"/>
              <w:rPr>
                <w:sz w:val="20"/>
                <w:szCs w:val="20"/>
                <w:color w:val="auto"/>
              </w:rPr>
            </w:pPr>
            <w:r>
              <w:rPr>
                <w:rFonts w:ascii="Arial" w:cs="Arial" w:eastAsia="Arial" w:hAnsi="Arial"/>
                <w:sz w:val="17"/>
                <w:szCs w:val="17"/>
                <w:color w:val="auto"/>
              </w:rPr>
              <w:t>101.PRE</w:t>
            </w:r>
          </w:p>
        </w:tc>
        <w:tc>
          <w:tcPr>
            <w:tcW w:w="10460" w:type="dxa"/>
            <w:vAlign w:val="bottom"/>
          </w:tcPr>
          <w:p>
            <w:pPr>
              <w:ind w:left="26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362"/>
        </w:trPr>
        <w:tc>
          <w:tcPr>
            <w:tcW w:w="900" w:type="dxa"/>
            <w:vAlign w:val="bottom"/>
          </w:tcPr>
          <w:p>
            <w:pPr>
              <w:spacing w:after="0"/>
              <w:rPr>
                <w:sz w:val="24"/>
                <w:szCs w:val="24"/>
                <w:color w:val="auto"/>
              </w:rPr>
            </w:pPr>
          </w:p>
        </w:tc>
        <w:tc>
          <w:tcPr>
            <w:tcW w:w="10460" w:type="dxa"/>
            <w:vAlign w:val="bottom"/>
          </w:tcPr>
          <w:p>
            <w:pPr>
              <w:ind w:left="4720"/>
              <w:spacing w:after="0"/>
              <w:rPr>
                <w:sz w:val="20"/>
                <w:szCs w:val="20"/>
                <w:color w:val="auto"/>
              </w:rPr>
            </w:pPr>
            <w:r>
              <w:rPr>
                <w:rFonts w:ascii="Arial" w:cs="Arial" w:eastAsia="Arial" w:hAnsi="Arial"/>
                <w:sz w:val="17"/>
                <w:szCs w:val="17"/>
                <w:color w:val="auto"/>
              </w:rPr>
              <w:t>54</w:t>
            </w:r>
          </w:p>
        </w:tc>
      </w:tr>
    </w:tbl>
    <w:p>
      <w:pPr>
        <w:sectPr>
          <w:pgSz w:w="11900" w:h="16838" w:orient="portrait"/>
          <w:cols w:equalWidth="0" w:num="1">
            <w:col w:w="11360"/>
          </w:cols>
          <w:pgMar w:left="240" w:top="457"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Signatures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UNITED COMMUNITY BANKS, INC.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7"/>
          <w:szCs w:val="17"/>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8924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Jimmy C. Tallent</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 Chief Executive Officer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Executive Officer)</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7"/>
          <w:szCs w:val="17"/>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8924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Rex S. Schuette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 Vice President and</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Financial Officer)</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7"/>
          <w:szCs w:val="17"/>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8924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Alan H. Kumler</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Senior Vice President and Controller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Accounting Officer)</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Date: August 7, 2012</w:t>
      </w:r>
    </w:p>
    <w:p>
      <w:pPr>
        <w:spacing w:after="0" w:line="16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960"/>
          </w:cols>
          <w:pgMar w:left="240" w:top="457" w:right="69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7"/>
          <w:szCs w:val="17"/>
          <w:b w:val="1"/>
          <w:bCs w:val="1"/>
          <w:color w:val="auto"/>
        </w:rPr>
        <w:t>Exhibit 31.1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 Jimmy C. Tallent, certify that:</w:t>
      </w:r>
    </w:p>
    <w:p>
      <w:pPr>
        <w:spacing w:after="0" w:line="99" w:lineRule="exact"/>
        <w:rPr>
          <w:sz w:val="20"/>
          <w:szCs w:val="20"/>
          <w:color w:val="auto"/>
        </w:rPr>
      </w:pPr>
    </w:p>
    <w:p>
      <w:pPr>
        <w:ind w:left="180" w:hanging="173"/>
        <w:spacing w:after="0"/>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United Community Banks, Inc. (the “Registrant”);</w:t>
      </w:r>
    </w:p>
    <w:p>
      <w:pPr>
        <w:spacing w:after="0" w:line="99" w:lineRule="exact"/>
        <w:rPr>
          <w:rFonts w:ascii="Arial" w:cs="Arial" w:eastAsia="Arial" w:hAnsi="Arial"/>
          <w:sz w:val="17"/>
          <w:szCs w:val="17"/>
          <w:color w:val="auto"/>
        </w:rPr>
      </w:pPr>
    </w:p>
    <w:p>
      <w:pPr>
        <w:ind w:right="300" w:firstLine="7"/>
        <w:spacing w:after="0" w:line="328" w:lineRule="auto"/>
        <w:tabs>
          <w:tab w:leader="none" w:pos="17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400" w:firstLine="7"/>
        <w:spacing w:after="0" w:line="294" w:lineRule="auto"/>
        <w:tabs>
          <w:tab w:leader="none" w:pos="174"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7"/>
          <w:szCs w:val="17"/>
          <w:color w:val="auto"/>
        </w:rPr>
      </w:pPr>
    </w:p>
    <w:p>
      <w:pPr>
        <w:ind w:right="140" w:firstLine="7"/>
        <w:spacing w:after="0" w:line="278" w:lineRule="auto"/>
        <w:tabs>
          <w:tab w:leader="none" w:pos="17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Arial" w:cs="Arial" w:eastAsia="Arial" w:hAnsi="Arial"/>
          <w:sz w:val="17"/>
          <w:szCs w:val="17"/>
          <w:color w:val="auto"/>
        </w:rPr>
      </w:pPr>
    </w:p>
    <w:p>
      <w:pPr>
        <w:ind w:left="460" w:firstLine="4"/>
        <w:spacing w:after="0" w:line="278" w:lineRule="auto"/>
        <w:tabs>
          <w:tab w:leader="none" w:pos="639"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7"/>
          <w:szCs w:val="17"/>
          <w:color w:val="auto"/>
        </w:rPr>
      </w:pPr>
    </w:p>
    <w:p>
      <w:pPr>
        <w:jc w:val="both"/>
        <w:ind w:left="460" w:right="160" w:firstLine="4"/>
        <w:spacing w:after="0" w:line="278" w:lineRule="auto"/>
        <w:tabs>
          <w:tab w:leader="none" w:pos="649"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460" w:right="240" w:firstLine="4"/>
        <w:spacing w:after="0" w:line="294" w:lineRule="auto"/>
        <w:tabs>
          <w:tab w:leader="none" w:pos="639"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460" w:right="440" w:firstLine="4"/>
        <w:spacing w:after="0" w:line="328" w:lineRule="auto"/>
        <w:tabs>
          <w:tab w:leader="none" w:pos="6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6"/>
          <w:szCs w:val="16"/>
          <w:color w:val="auto"/>
        </w:rPr>
      </w:pPr>
    </w:p>
    <w:p>
      <w:pPr>
        <w:ind w:right="160" w:firstLine="7"/>
        <w:spacing w:after="0" w:line="294" w:lineRule="auto"/>
        <w:tabs>
          <w:tab w:leader="none" w:pos="17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0" w:lineRule="exact"/>
        <w:rPr>
          <w:rFonts w:ascii="Arial" w:cs="Arial" w:eastAsia="Arial" w:hAnsi="Arial"/>
          <w:sz w:val="17"/>
          <w:szCs w:val="17"/>
          <w:color w:val="auto"/>
        </w:rPr>
      </w:pPr>
    </w:p>
    <w:p>
      <w:pPr>
        <w:ind w:left="460" w:right="160" w:firstLine="4"/>
        <w:spacing w:after="0" w:line="294" w:lineRule="auto"/>
        <w:tabs>
          <w:tab w:leader="none" w:pos="639"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460" w:right="380" w:firstLine="4"/>
        <w:spacing w:after="0" w:line="294" w:lineRule="auto"/>
        <w:tabs>
          <w:tab w:leader="none" w:pos="649"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17145</wp:posOffset>
            </wp:positionV>
            <wp:extent cx="27222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22245" cy="8255"/>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Jimmy C. Tallent</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President and Chief Executive Officer of the Registrant</w:t>
      </w: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Date: August 7, 2012</w:t>
      </w:r>
    </w:p>
    <w:p>
      <w:pPr>
        <w:sectPr>
          <w:pgSz w:w="11900" w:h="16838" w:orient="portrait"/>
          <w:cols w:equalWidth="0" w:num="1">
            <w:col w:w="11400"/>
          </w:cols>
          <w:pgMar w:left="240" w:top="125" w:right="25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7"/>
          <w:szCs w:val="17"/>
          <w:b w:val="1"/>
          <w:bCs w:val="1"/>
          <w:color w:val="auto"/>
        </w:rPr>
        <w:t>Exhibit 31.2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 Rex S. Schuette, certify that:</w:t>
      </w:r>
    </w:p>
    <w:p>
      <w:pPr>
        <w:spacing w:after="0" w:line="99" w:lineRule="exact"/>
        <w:rPr>
          <w:sz w:val="20"/>
          <w:szCs w:val="20"/>
          <w:color w:val="auto"/>
        </w:rPr>
      </w:pPr>
    </w:p>
    <w:p>
      <w:pPr>
        <w:ind w:left="180" w:hanging="173"/>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United Community Banks, Inc. (the “Registrant”);</w:t>
      </w:r>
    </w:p>
    <w:p>
      <w:pPr>
        <w:spacing w:after="0" w:line="99" w:lineRule="exact"/>
        <w:rPr>
          <w:rFonts w:ascii="Arial" w:cs="Arial" w:eastAsia="Arial" w:hAnsi="Arial"/>
          <w:sz w:val="17"/>
          <w:szCs w:val="17"/>
          <w:color w:val="auto"/>
        </w:rPr>
      </w:pPr>
    </w:p>
    <w:p>
      <w:pPr>
        <w:ind w:right="300" w:firstLine="7"/>
        <w:spacing w:after="0" w:line="328" w:lineRule="auto"/>
        <w:tabs>
          <w:tab w:leader="none" w:pos="17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400" w:firstLine="7"/>
        <w:spacing w:after="0" w:line="294" w:lineRule="auto"/>
        <w:tabs>
          <w:tab w:leader="none" w:pos="174"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7"/>
          <w:szCs w:val="17"/>
          <w:color w:val="auto"/>
        </w:rPr>
      </w:pPr>
    </w:p>
    <w:p>
      <w:pPr>
        <w:ind w:right="140" w:firstLine="7"/>
        <w:spacing w:after="0" w:line="278" w:lineRule="auto"/>
        <w:tabs>
          <w:tab w:leader="none" w:pos="17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Arial" w:cs="Arial" w:eastAsia="Arial" w:hAnsi="Arial"/>
          <w:sz w:val="17"/>
          <w:szCs w:val="17"/>
          <w:color w:val="auto"/>
        </w:rPr>
      </w:pPr>
    </w:p>
    <w:p>
      <w:pPr>
        <w:ind w:left="460" w:firstLine="4"/>
        <w:spacing w:after="0" w:line="278" w:lineRule="auto"/>
        <w:tabs>
          <w:tab w:leader="none" w:pos="639"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7"/>
          <w:szCs w:val="17"/>
          <w:color w:val="auto"/>
        </w:rPr>
      </w:pPr>
    </w:p>
    <w:p>
      <w:pPr>
        <w:jc w:val="both"/>
        <w:ind w:left="460" w:right="160" w:firstLine="4"/>
        <w:spacing w:after="0" w:line="278" w:lineRule="auto"/>
        <w:tabs>
          <w:tab w:leader="none" w:pos="649"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460" w:right="240" w:firstLine="4"/>
        <w:spacing w:after="0" w:line="294" w:lineRule="auto"/>
        <w:tabs>
          <w:tab w:leader="none" w:pos="639"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460" w:right="440" w:firstLine="4"/>
        <w:spacing w:after="0" w:line="328" w:lineRule="auto"/>
        <w:tabs>
          <w:tab w:leader="none" w:pos="649"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6"/>
          <w:szCs w:val="16"/>
          <w:color w:val="auto"/>
        </w:rPr>
      </w:pPr>
    </w:p>
    <w:p>
      <w:pPr>
        <w:ind w:right="160" w:firstLine="7"/>
        <w:spacing w:after="0" w:line="294" w:lineRule="auto"/>
        <w:tabs>
          <w:tab w:leader="none" w:pos="17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0" w:lineRule="exact"/>
        <w:rPr>
          <w:rFonts w:ascii="Arial" w:cs="Arial" w:eastAsia="Arial" w:hAnsi="Arial"/>
          <w:sz w:val="17"/>
          <w:szCs w:val="17"/>
          <w:color w:val="auto"/>
        </w:rPr>
      </w:pPr>
    </w:p>
    <w:p>
      <w:pPr>
        <w:ind w:left="460" w:right="160" w:firstLine="4"/>
        <w:spacing w:after="0" w:line="294" w:lineRule="auto"/>
        <w:tabs>
          <w:tab w:leader="none" w:pos="639"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460" w:right="380" w:firstLine="4"/>
        <w:spacing w:after="0" w:line="294" w:lineRule="auto"/>
        <w:tabs>
          <w:tab w:leader="none" w:pos="649"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28327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2"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Rex S. Schuette</w:t>
      </w:r>
    </w:p>
    <w:p>
      <w:pPr>
        <w:spacing w:after="0" w:line="2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Executive Vice President and Chief Financial Officer of the</w:t>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Registrant</w:t>
      </w:r>
    </w:p>
    <w:p>
      <w:pPr>
        <w:spacing w:after="0" w:line="24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Date: August 7, 2012</w:t>
      </w:r>
    </w:p>
    <w:p>
      <w:pPr>
        <w:sectPr>
          <w:pgSz w:w="11900" w:h="16838" w:orient="portrait"/>
          <w:cols w:equalWidth="0" w:num="1">
            <w:col w:w="11400"/>
          </w:cols>
          <w:pgMar w:left="240" w:top="125" w:right="259" w:bottom="1440" w:gutter="0" w:footer="0" w:header="0"/>
        </w:sectPr>
      </w:pPr>
    </w:p>
    <w:bookmarkStart w:id="58" w:name="page59"/>
    <w:bookmarkEnd w:id="58"/>
    <w:p>
      <w:pPr>
        <w:ind w:left="5320"/>
        <w:spacing w:after="0"/>
        <w:rPr>
          <w:sz w:val="20"/>
          <w:szCs w:val="20"/>
          <w:color w:val="auto"/>
        </w:rPr>
      </w:pPr>
      <w:r>
        <w:rPr>
          <w:rFonts w:ascii="Arial" w:cs="Arial" w:eastAsia="Arial" w:hAnsi="Arial"/>
          <w:sz w:val="17"/>
          <w:szCs w:val="17"/>
          <w:b w:val="1"/>
          <w:bCs w:val="1"/>
          <w:color w:val="auto"/>
        </w:rPr>
        <w:t>Exhibit 32</w:t>
      </w:r>
    </w:p>
    <w:p>
      <w:pPr>
        <w:spacing w:after="0" w:line="180"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18 U.S.C. SECTION 1350,</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AS ADOPTED PURSUANT TO</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Quarterly Report of United Community Banks, Inc. (“United”) on Form 10-Q for the period ending June 30, 2012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48" w:lineRule="exact"/>
        <w:rPr>
          <w:sz w:val="20"/>
          <w:szCs w:val="20"/>
          <w:color w:val="auto"/>
        </w:rPr>
      </w:pPr>
    </w:p>
    <w:p>
      <w:pPr>
        <w:ind w:left="920" w:hanging="45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9" w:lineRule="exact"/>
        <w:rPr>
          <w:rFonts w:ascii="Arial" w:cs="Arial" w:eastAsia="Arial" w:hAnsi="Arial"/>
          <w:sz w:val="17"/>
          <w:szCs w:val="17"/>
          <w:color w:val="auto"/>
        </w:rPr>
      </w:pPr>
    </w:p>
    <w:p>
      <w:pPr>
        <w:ind w:left="920" w:hanging="45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20"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17145</wp:posOffset>
            </wp:positionV>
            <wp:extent cx="27222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22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Jimmy C. Tallent</w:t>
      </w:r>
    </w:p>
    <w:p>
      <w:pPr>
        <w:spacing w:after="0" w:line="2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President and Chief Executive Officer</w:t>
      </w:r>
    </w:p>
    <w:p>
      <w:pPr>
        <w:spacing w:after="0" w:line="226"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4"/>
          <w:szCs w:val="14"/>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17145</wp:posOffset>
            </wp:positionV>
            <wp:extent cx="27222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22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Rex S. Schuette</w:t>
      </w:r>
    </w:p>
    <w:p>
      <w:pPr>
        <w:spacing w:after="0" w:line="2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Executive Vice President and</w:t>
      </w:r>
    </w:p>
    <w:p>
      <w:pPr>
        <w:spacing w:after="0" w:line="19"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Chief Financial Officer</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Date: August 7, 2012</w:t>
      </w:r>
    </w:p>
    <w:sectPr>
      <w:pgSz w:w="11900" w:h="16838" w:orient="portrait"/>
      <w:cols w:equalWidth="0" w:num="1">
        <w:col w:w="11260"/>
      </w:cols>
      <w:pgMar w:left="24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upperLetter"/>
      <w:start w:val="1"/>
    </w:lvl>
  </w:abstractNum>
  <w:abstractNum w:abstractNumId="16">
    <w:nsid w:val="3F2DBA31"/>
    <w:multiLevelType w:val="hybridMultilevel"/>
    <w:lvl w:ilvl="0">
      <w:lvlJc w:val="left"/>
      <w:lvlText w:val="(%1)"/>
      <w:numFmt w:val="upperLetter"/>
      <w:start w:val="8"/>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2019-12-09T09:46:57Z</dcterms:created>
  <dcterms:modified xsi:type="dcterms:W3CDTF">2019-12-09T09:46:57Z</dcterms:modified>
</cp:coreProperties>
</file>